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09E9F72" w14:textId="77777777" w:rsidR="009C2D86" w:rsidRDefault="009C2D86">
      <w:pPr>
        <w:widowControl/>
        <w:autoSpaceDE w:val="0"/>
        <w:autoSpaceDN w:val="0"/>
        <w:spacing w:line="360" w:lineRule="auto"/>
        <w:jc w:val="center"/>
        <w:textAlignment w:val="bottom"/>
        <w:rPr>
          <w:rFonts w:ascii="宋体" w:cs="Times New Roman"/>
          <w:b/>
          <w:bCs/>
          <w:sz w:val="44"/>
          <w:szCs w:val="44"/>
        </w:rPr>
      </w:pPr>
    </w:p>
    <w:p w14:paraId="1057BCF9" w14:textId="77777777" w:rsidR="009C2D86" w:rsidRDefault="009C2D86">
      <w:pPr>
        <w:widowControl/>
        <w:autoSpaceDE w:val="0"/>
        <w:autoSpaceDN w:val="0"/>
        <w:spacing w:line="360" w:lineRule="auto"/>
        <w:jc w:val="center"/>
        <w:textAlignment w:val="bottom"/>
        <w:rPr>
          <w:rFonts w:ascii="宋体" w:cs="Times New Roman"/>
          <w:b/>
          <w:bCs/>
          <w:sz w:val="44"/>
          <w:szCs w:val="44"/>
        </w:rPr>
      </w:pPr>
      <w:bookmarkStart w:id="0" w:name="_GoBack"/>
      <w:bookmarkEnd w:id="0"/>
    </w:p>
    <w:p w14:paraId="10F946F2" w14:textId="77777777" w:rsidR="009C2D86" w:rsidRDefault="009C2D86">
      <w:pPr>
        <w:widowControl/>
        <w:autoSpaceDE w:val="0"/>
        <w:autoSpaceDN w:val="0"/>
        <w:spacing w:line="360" w:lineRule="auto"/>
        <w:jc w:val="center"/>
        <w:textAlignment w:val="bottom"/>
        <w:rPr>
          <w:rFonts w:ascii="宋体" w:cs="Times New Roman"/>
          <w:b/>
          <w:bCs/>
          <w:sz w:val="44"/>
          <w:szCs w:val="44"/>
        </w:rPr>
      </w:pPr>
    </w:p>
    <w:p w14:paraId="46236504" w14:textId="77777777" w:rsidR="009C2D86" w:rsidRDefault="009C2D86">
      <w:pPr>
        <w:widowControl/>
        <w:autoSpaceDE w:val="0"/>
        <w:autoSpaceDN w:val="0"/>
        <w:spacing w:line="360" w:lineRule="auto"/>
        <w:jc w:val="center"/>
        <w:textAlignment w:val="bottom"/>
        <w:rPr>
          <w:rFonts w:ascii="宋体" w:cs="Times New Roman"/>
          <w:b/>
          <w:bCs/>
          <w:sz w:val="44"/>
          <w:szCs w:val="44"/>
        </w:rPr>
      </w:pPr>
    </w:p>
    <w:p w14:paraId="56E71FA5" w14:textId="77777777" w:rsidR="009C2D86" w:rsidRDefault="009C2D86">
      <w:pPr>
        <w:widowControl/>
        <w:autoSpaceDE w:val="0"/>
        <w:autoSpaceDN w:val="0"/>
        <w:spacing w:line="360" w:lineRule="auto"/>
        <w:jc w:val="center"/>
        <w:textAlignment w:val="bottom"/>
        <w:rPr>
          <w:rFonts w:ascii="宋体" w:cs="Times New Roman"/>
          <w:b/>
          <w:bCs/>
          <w:sz w:val="44"/>
          <w:szCs w:val="44"/>
        </w:rPr>
      </w:pPr>
    </w:p>
    <w:p w14:paraId="7BB5EAEF" w14:textId="303769E4" w:rsidR="009C2D86" w:rsidRDefault="00A70492">
      <w:pPr>
        <w:pStyle w:val="1"/>
        <w:ind w:left="0" w:firstLine="0"/>
        <w:jc w:val="center"/>
        <w:rPr>
          <w:rFonts w:ascii="宋体"/>
          <w:spacing w:val="-28"/>
        </w:rPr>
      </w:pPr>
      <w:bookmarkStart w:id="1" w:name="_Toc360786949"/>
      <w:bookmarkStart w:id="2" w:name="_Toc360195350"/>
      <w:bookmarkStart w:id="3" w:name="_Toc360191555"/>
      <w:bookmarkStart w:id="4" w:name="_Toc360195006"/>
      <w:bookmarkStart w:id="5" w:name="_Toc416453839"/>
      <w:bookmarkStart w:id="6" w:name="_Toc360794402"/>
      <w:bookmarkStart w:id="7" w:name="_Toc360794094"/>
      <w:bookmarkStart w:id="8" w:name="_Toc362533449"/>
      <w:bookmarkStart w:id="9" w:name="_Toc360793492"/>
      <w:bookmarkStart w:id="10" w:name="_Toc360194761"/>
      <w:bookmarkStart w:id="11" w:name="_Toc360787431"/>
      <w:bookmarkStart w:id="12" w:name="_Toc48900067"/>
      <w:bookmarkStart w:id="13" w:name="_Toc416453788"/>
      <w:bookmarkStart w:id="14" w:name="_Toc360192746"/>
      <w:r>
        <w:rPr>
          <w:rFonts w:ascii="宋体" w:hAnsi="宋体" w:cs="宋体" w:hint="eastAsia"/>
          <w:spacing w:val="-28"/>
        </w:rPr>
        <w:t>南方</w:t>
      </w:r>
      <w:r w:rsidR="001A3FE9">
        <w:rPr>
          <w:rFonts w:ascii="宋体" w:hAnsi="宋体" w:cs="宋体" w:hint="eastAsia"/>
          <w:spacing w:val="-28"/>
        </w:rPr>
        <w:t>创业板人工智能</w:t>
      </w:r>
      <w:r>
        <w:rPr>
          <w:rFonts w:ascii="宋体" w:hAnsi="宋体" w:cs="宋体" w:hint="eastAsia"/>
          <w:spacing w:val="-28"/>
        </w:rPr>
        <w:t>交易型开放式指数证券投资基金联接基金</w:t>
      </w:r>
      <w:r w:rsidR="0027599D">
        <w:rPr>
          <w:rFonts w:ascii="宋体" w:hAnsi="宋体" w:cs="宋体" w:hint="eastAsia"/>
          <w:spacing w:val="-28"/>
        </w:rPr>
        <w:t>招募说明书</w:t>
      </w:r>
      <w:bookmarkEnd w:id="1"/>
      <w:bookmarkEnd w:id="2"/>
      <w:bookmarkEnd w:id="3"/>
      <w:bookmarkEnd w:id="4"/>
      <w:bookmarkEnd w:id="5"/>
      <w:bookmarkEnd w:id="6"/>
      <w:bookmarkEnd w:id="7"/>
      <w:bookmarkEnd w:id="8"/>
      <w:bookmarkEnd w:id="9"/>
      <w:bookmarkEnd w:id="10"/>
      <w:bookmarkEnd w:id="11"/>
      <w:bookmarkEnd w:id="12"/>
      <w:bookmarkEnd w:id="13"/>
      <w:bookmarkEnd w:id="14"/>
    </w:p>
    <w:p w14:paraId="0D02C58B" w14:textId="77777777" w:rsidR="009C2D86" w:rsidRDefault="009C2D86">
      <w:pPr>
        <w:spacing w:line="400" w:lineRule="atLeast"/>
        <w:rPr>
          <w:rFonts w:ascii="宋体" w:cs="Times New Roman"/>
        </w:rPr>
      </w:pPr>
    </w:p>
    <w:p w14:paraId="3E611C92" w14:textId="77777777" w:rsidR="009C2D86" w:rsidRPr="00434B77" w:rsidRDefault="009C2D86">
      <w:pPr>
        <w:spacing w:line="400" w:lineRule="atLeast"/>
        <w:rPr>
          <w:rFonts w:ascii="宋体" w:cs="Times New Roman"/>
        </w:rPr>
      </w:pPr>
    </w:p>
    <w:p w14:paraId="2E91D3EC" w14:textId="77777777" w:rsidR="009C2D86" w:rsidRPr="00A70492" w:rsidRDefault="009C2D86">
      <w:pPr>
        <w:spacing w:line="400" w:lineRule="atLeast"/>
        <w:rPr>
          <w:rFonts w:ascii="宋体" w:cs="Times New Roman"/>
        </w:rPr>
      </w:pPr>
    </w:p>
    <w:p w14:paraId="2B7BD822" w14:textId="77777777" w:rsidR="009C2D86" w:rsidRDefault="009C2D86">
      <w:pPr>
        <w:spacing w:line="400" w:lineRule="atLeast"/>
        <w:rPr>
          <w:rFonts w:ascii="宋体" w:cs="Times New Roman"/>
        </w:rPr>
      </w:pPr>
    </w:p>
    <w:p w14:paraId="491F4A32" w14:textId="77777777" w:rsidR="009C2D86" w:rsidRPr="00066DF4" w:rsidRDefault="009C2D86">
      <w:pPr>
        <w:spacing w:line="400" w:lineRule="atLeast"/>
        <w:rPr>
          <w:rFonts w:ascii="宋体" w:cs="Times New Roman"/>
        </w:rPr>
      </w:pPr>
    </w:p>
    <w:p w14:paraId="506E42B2" w14:textId="77777777" w:rsidR="009C2D86" w:rsidRDefault="009C2D86">
      <w:pPr>
        <w:spacing w:line="400" w:lineRule="atLeast"/>
        <w:rPr>
          <w:rFonts w:ascii="宋体" w:cs="Times New Roman"/>
        </w:rPr>
      </w:pPr>
    </w:p>
    <w:p w14:paraId="31017B09" w14:textId="77777777" w:rsidR="009C2D86" w:rsidRDefault="009C2D86">
      <w:pPr>
        <w:spacing w:line="400" w:lineRule="atLeast"/>
        <w:rPr>
          <w:rFonts w:ascii="宋体" w:cs="Times New Roman"/>
        </w:rPr>
      </w:pPr>
    </w:p>
    <w:p w14:paraId="20D9CFFA" w14:textId="77777777" w:rsidR="009C2D86" w:rsidRDefault="009C2D86">
      <w:pPr>
        <w:spacing w:line="400" w:lineRule="atLeast"/>
        <w:rPr>
          <w:rFonts w:ascii="宋体" w:cs="Times New Roman"/>
        </w:rPr>
      </w:pPr>
    </w:p>
    <w:p w14:paraId="5F0C7D24" w14:textId="77777777" w:rsidR="009C2D86" w:rsidRDefault="009C2D86">
      <w:pPr>
        <w:spacing w:line="400" w:lineRule="atLeast"/>
        <w:rPr>
          <w:rFonts w:ascii="宋体" w:cs="Times New Roman"/>
        </w:rPr>
      </w:pPr>
    </w:p>
    <w:p w14:paraId="7D29A750" w14:textId="77777777" w:rsidR="009C2D86" w:rsidRDefault="009C2D86">
      <w:pPr>
        <w:tabs>
          <w:tab w:val="left" w:pos="540"/>
        </w:tabs>
        <w:adjustRightInd w:val="0"/>
        <w:snapToGrid w:val="0"/>
        <w:spacing w:line="360" w:lineRule="auto"/>
        <w:ind w:firstLineChars="200" w:firstLine="600"/>
        <w:jc w:val="center"/>
        <w:rPr>
          <w:rFonts w:ascii="宋体" w:cs="Times New Roman"/>
          <w:sz w:val="30"/>
          <w:szCs w:val="30"/>
        </w:rPr>
      </w:pPr>
    </w:p>
    <w:p w14:paraId="4204B514" w14:textId="77777777" w:rsidR="009C2D86" w:rsidRDefault="0027599D">
      <w:pPr>
        <w:tabs>
          <w:tab w:val="left" w:pos="540"/>
        </w:tabs>
        <w:adjustRightInd w:val="0"/>
        <w:snapToGrid w:val="0"/>
        <w:spacing w:line="360" w:lineRule="auto"/>
        <w:jc w:val="center"/>
        <w:rPr>
          <w:rFonts w:ascii="宋体" w:cs="Times New Roman"/>
          <w:b/>
          <w:bCs/>
          <w:sz w:val="30"/>
          <w:szCs w:val="30"/>
        </w:rPr>
      </w:pPr>
      <w:r>
        <w:rPr>
          <w:rFonts w:ascii="宋体" w:hAnsi="宋体" w:cs="宋体" w:hint="eastAsia"/>
          <w:b/>
          <w:bCs/>
          <w:sz w:val="30"/>
          <w:szCs w:val="30"/>
        </w:rPr>
        <w:t>基金管理人：南方基金管理股份有限公司</w:t>
      </w:r>
    </w:p>
    <w:p w14:paraId="49A39469" w14:textId="0EA9EFE4" w:rsidR="009C2D86" w:rsidRDefault="0027599D">
      <w:pPr>
        <w:tabs>
          <w:tab w:val="left" w:pos="540"/>
        </w:tabs>
        <w:adjustRightInd w:val="0"/>
        <w:snapToGrid w:val="0"/>
        <w:spacing w:line="360" w:lineRule="auto"/>
        <w:jc w:val="center"/>
        <w:rPr>
          <w:rFonts w:ascii="宋体" w:cs="Times New Roman"/>
          <w:b/>
          <w:bCs/>
          <w:sz w:val="30"/>
          <w:szCs w:val="30"/>
        </w:rPr>
      </w:pPr>
      <w:r>
        <w:rPr>
          <w:rFonts w:ascii="宋体" w:hAnsi="宋体" w:cs="宋体" w:hint="eastAsia"/>
          <w:b/>
          <w:bCs/>
          <w:sz w:val="30"/>
          <w:szCs w:val="30"/>
        </w:rPr>
        <w:t>基金托管人：</w:t>
      </w:r>
      <w:r w:rsidR="001A3FE9">
        <w:rPr>
          <w:rFonts w:ascii="宋体" w:hAnsi="宋体" w:cs="宋体" w:hint="eastAsia"/>
          <w:b/>
          <w:bCs/>
          <w:sz w:val="30"/>
          <w:szCs w:val="30"/>
        </w:rPr>
        <w:t>中国建设银行</w:t>
      </w:r>
      <w:r w:rsidR="00434B77">
        <w:rPr>
          <w:rFonts w:ascii="宋体" w:hAnsi="宋体" w:cs="宋体" w:hint="eastAsia"/>
          <w:b/>
          <w:bCs/>
          <w:sz w:val="30"/>
          <w:szCs w:val="30"/>
        </w:rPr>
        <w:t>股份有限公司</w:t>
      </w:r>
    </w:p>
    <w:p w14:paraId="23815950" w14:textId="77777777" w:rsidR="009C2D86" w:rsidRDefault="0027599D">
      <w:pPr>
        <w:tabs>
          <w:tab w:val="left" w:pos="540"/>
        </w:tabs>
        <w:adjustRightInd w:val="0"/>
        <w:snapToGrid w:val="0"/>
        <w:spacing w:line="360" w:lineRule="auto"/>
        <w:jc w:val="center"/>
        <w:rPr>
          <w:rFonts w:hAnsi="宋体" w:cs="Times New Roman"/>
        </w:rPr>
      </w:pPr>
      <w:r>
        <w:rPr>
          <w:rFonts w:ascii="宋体" w:hAnsi="宋体" w:cs="宋体" w:hint="eastAsia"/>
          <w:b/>
          <w:bCs/>
          <w:sz w:val="30"/>
          <w:szCs w:val="30"/>
        </w:rPr>
        <w:t xml:space="preserve"> </w:t>
      </w:r>
    </w:p>
    <w:p w14:paraId="344C0B62" w14:textId="77777777" w:rsidR="009C2D86" w:rsidRDefault="0027599D">
      <w:pPr>
        <w:jc w:val="center"/>
        <w:rPr>
          <w:rFonts w:cs="Times New Roman"/>
          <w:sz w:val="28"/>
          <w:szCs w:val="28"/>
        </w:rPr>
      </w:pPr>
      <w:r>
        <w:rPr>
          <w:rFonts w:ascii="宋体" w:cs="Times New Roman"/>
          <w:sz w:val="30"/>
          <w:szCs w:val="30"/>
        </w:rPr>
        <w:br w:type="page"/>
      </w:r>
    </w:p>
    <w:p w14:paraId="645D86B7" w14:textId="77777777" w:rsidR="009C2D86" w:rsidRDefault="0027599D">
      <w:pPr>
        <w:snapToGrid w:val="0"/>
        <w:spacing w:line="360" w:lineRule="auto"/>
        <w:jc w:val="center"/>
        <w:rPr>
          <w:rFonts w:ascii="宋体" w:cs="Times New Roman"/>
          <w:b/>
          <w:bCs/>
          <w:color w:val="000000"/>
        </w:rPr>
      </w:pPr>
      <w:r>
        <w:rPr>
          <w:rFonts w:ascii="宋体" w:hAnsi="宋体" w:cs="宋体" w:hint="eastAsia"/>
          <w:b/>
          <w:bCs/>
          <w:color w:val="000000"/>
        </w:rPr>
        <w:lastRenderedPageBreak/>
        <w:t>重要提示</w:t>
      </w:r>
    </w:p>
    <w:p w14:paraId="73060BB2" w14:textId="77777777" w:rsidR="009C2D86" w:rsidRDefault="009C2D86">
      <w:pPr>
        <w:snapToGrid w:val="0"/>
        <w:spacing w:line="360" w:lineRule="auto"/>
        <w:jc w:val="center"/>
        <w:rPr>
          <w:rFonts w:ascii="宋体" w:cs="Times New Roman"/>
          <w:b/>
          <w:bCs/>
          <w:color w:val="000000"/>
        </w:rPr>
      </w:pPr>
    </w:p>
    <w:p w14:paraId="49FB971C" w14:textId="0DB1F0E7" w:rsidR="009C2D86" w:rsidRDefault="0027599D">
      <w:pPr>
        <w:numPr>
          <w:ilvl w:val="12"/>
          <w:numId w:val="0"/>
        </w:numPr>
        <w:snapToGrid w:val="0"/>
        <w:spacing w:line="360" w:lineRule="auto"/>
        <w:ind w:firstLineChars="196" w:firstLine="412"/>
        <w:rPr>
          <w:rFonts w:ascii="宋体" w:cs="Times New Roman"/>
        </w:rPr>
      </w:pPr>
      <w:r>
        <w:rPr>
          <w:rFonts w:ascii="宋体" w:hAnsi="宋体" w:cs="宋体" w:hint="eastAsia"/>
        </w:rPr>
        <w:t>本基金经中国证监会</w:t>
      </w:r>
      <w:r>
        <w:rPr>
          <w:rFonts w:ascii="宋体" w:hAnsi="宋体" w:cs="宋体"/>
        </w:rPr>
        <w:t>2025年</w:t>
      </w:r>
      <w:r w:rsidR="00DB6E41">
        <w:rPr>
          <w:rFonts w:ascii="宋体" w:hAnsi="宋体" w:cs="宋体" w:hint="eastAsia"/>
        </w:rPr>
        <w:t>6</w:t>
      </w:r>
      <w:r>
        <w:rPr>
          <w:rFonts w:ascii="宋体" w:hAnsi="宋体" w:cs="宋体"/>
        </w:rPr>
        <w:t>月</w:t>
      </w:r>
      <w:r w:rsidR="00DB6E41">
        <w:rPr>
          <w:rFonts w:ascii="宋体" w:hAnsi="宋体" w:cs="宋体" w:hint="eastAsia"/>
        </w:rPr>
        <w:t>6</w:t>
      </w:r>
      <w:r>
        <w:rPr>
          <w:rFonts w:ascii="宋体" w:hAnsi="宋体" w:cs="宋体"/>
        </w:rPr>
        <w:t>日证监许可〔202</w:t>
      </w:r>
      <w:r w:rsidR="00DB6E41">
        <w:rPr>
          <w:rFonts w:ascii="宋体" w:hAnsi="宋体" w:cs="宋体" w:hint="eastAsia"/>
        </w:rPr>
        <w:t>5</w:t>
      </w:r>
      <w:r>
        <w:rPr>
          <w:rFonts w:ascii="宋体" w:hAnsi="宋体" w:cs="宋体"/>
        </w:rPr>
        <w:t>〕</w:t>
      </w:r>
      <w:r w:rsidR="00DB6E41">
        <w:rPr>
          <w:rFonts w:ascii="宋体" w:hAnsi="宋体" w:cs="宋体" w:hint="eastAsia"/>
        </w:rPr>
        <w:t>1186</w:t>
      </w:r>
      <w:r>
        <w:rPr>
          <w:rFonts w:ascii="宋体" w:hAnsi="宋体" w:cs="宋体"/>
        </w:rPr>
        <w:t>号文</w:t>
      </w:r>
      <w:r>
        <w:rPr>
          <w:rFonts w:ascii="宋体" w:hAnsi="宋体" w:cs="宋体" w:hint="eastAsia"/>
        </w:rPr>
        <w:t>注册募集。</w:t>
      </w:r>
    </w:p>
    <w:p w14:paraId="53E0F94B" w14:textId="77777777" w:rsidR="009C2D86" w:rsidRDefault="0027599D">
      <w:pPr>
        <w:numPr>
          <w:ilvl w:val="12"/>
          <w:numId w:val="0"/>
        </w:numPr>
        <w:snapToGrid w:val="0"/>
        <w:spacing w:line="360" w:lineRule="auto"/>
        <w:ind w:firstLineChars="196" w:firstLine="412"/>
        <w:rPr>
          <w:rFonts w:ascii="宋体" w:cs="Times New Roman"/>
        </w:rPr>
      </w:pPr>
      <w:r>
        <w:rPr>
          <w:rFonts w:ascii="宋体" w:hAnsi="宋体" w:cs="宋体" w:hint="eastAsia"/>
        </w:rPr>
        <w:t>基金管理人保证招募说明书的内容真实、准确、完整。本招募说明书经中国证监会注册，但中国证监会对本基金募集的注册，并不表明其对本基金的投资价值和市场前景做出实质性判断或保证，也不表明投资于本基金没有风险。</w:t>
      </w:r>
    </w:p>
    <w:p w14:paraId="4C781542" w14:textId="7A20EBC4" w:rsidR="00023F43" w:rsidRPr="00023F43" w:rsidRDefault="0027599D">
      <w:pPr>
        <w:snapToGrid w:val="0"/>
        <w:spacing w:line="360" w:lineRule="auto"/>
        <w:ind w:firstLineChars="200" w:firstLine="420"/>
        <w:rPr>
          <w:rFonts w:ascii="宋体" w:hAnsi="宋体" w:cs="宋体"/>
        </w:rPr>
      </w:pPr>
      <w:r>
        <w:rPr>
          <w:rFonts w:ascii="宋体" w:hAnsi="宋体" w:cs="宋体" w:hint="eastAsia"/>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w:t>
      </w:r>
      <w:r w:rsidR="0006253E">
        <w:rPr>
          <w:rFonts w:ascii="宋体" w:hAnsi="宋体" w:cs="宋体" w:hint="eastAsia"/>
        </w:rPr>
        <w:t>特有</w:t>
      </w:r>
      <w:r>
        <w:rPr>
          <w:rFonts w:ascii="宋体" w:hAnsi="宋体" w:cs="宋体" w:hint="eastAsia"/>
        </w:rPr>
        <w:t>的风险，其他风险，基金风险评价不一致的风险等。基金投资中出现的各类风险详见招募说明书“风险揭示”章节等。本基金为南方</w:t>
      </w:r>
      <w:r w:rsidR="001A3FE9">
        <w:rPr>
          <w:rFonts w:ascii="宋体" w:hAnsi="宋体" w:cs="宋体" w:hint="eastAsia"/>
        </w:rPr>
        <w:t>创业板人工智能</w:t>
      </w:r>
      <w:r>
        <w:rPr>
          <w:rFonts w:ascii="宋体" w:hAnsi="宋体" w:cs="宋体" w:hint="eastAsia"/>
        </w:rPr>
        <w:t>交易型开放式指数证券投资基金（简称“</w:t>
      </w:r>
      <w:r>
        <w:rPr>
          <w:rFonts w:ascii="宋体" w:hAnsi="宋体" w:cs="宋体"/>
        </w:rPr>
        <w:t>目标</w:t>
      </w:r>
      <w:r>
        <w:rPr>
          <w:rFonts w:ascii="宋体" w:hAnsi="宋体" w:cs="宋体" w:hint="eastAsia"/>
        </w:rPr>
        <w:t>ETF</w:t>
      </w:r>
      <w:r>
        <w:rPr>
          <w:rFonts w:ascii="宋体" w:hAnsi="宋体" w:cs="宋体"/>
        </w:rPr>
        <w:t>”）</w:t>
      </w:r>
      <w:r>
        <w:rPr>
          <w:rFonts w:ascii="宋体" w:hAnsi="宋体" w:cs="宋体" w:hint="eastAsia"/>
        </w:rPr>
        <w:t>的联接基金，通过投资于目标ETF跟踪标的指数表现，具有与标的指数以及标的指数所代表的市场相似的风险收益特征。</w:t>
      </w:r>
      <w:r w:rsidR="0083338A" w:rsidRPr="0083338A">
        <w:rPr>
          <w:rFonts w:ascii="宋体" w:hAnsi="宋体" w:cs="宋体" w:hint="eastAsia"/>
          <w:bCs/>
        </w:rPr>
        <w:t>本基金的目标ETF为股票型基金，一般而言，其长期平均风险与预期收益高于混合型基金、债券型基金与货币市场基金。</w:t>
      </w:r>
      <w:r w:rsidR="00023F43" w:rsidRPr="00023F43">
        <w:rPr>
          <w:rFonts w:ascii="宋体" w:hAnsi="宋体" w:cs="宋体" w:hint="eastAsia"/>
        </w:rPr>
        <w:t>本基金投资创业板股票，会面临创业板机制下因投资标的、市场制度以及交易规则等差异带来的特有风险，包括流动性风险、退市风险和投资集中风险等。</w:t>
      </w:r>
    </w:p>
    <w:p w14:paraId="78C89034" w14:textId="7FE9EEB8" w:rsidR="009C2D86" w:rsidRDefault="0027599D">
      <w:pPr>
        <w:snapToGrid w:val="0"/>
        <w:spacing w:line="360" w:lineRule="auto"/>
        <w:ind w:firstLineChars="200" w:firstLine="420"/>
        <w:rPr>
          <w:rFonts w:ascii="宋体" w:hAnsi="宋体" w:cs="宋体"/>
        </w:rPr>
      </w:pPr>
      <w:r>
        <w:rPr>
          <w:rFonts w:ascii="宋体" w:hAnsi="宋体" w:cs="宋体" w:hint="eastAsia"/>
        </w:rPr>
        <w:t>投资有风险，投资人认购（或申购）基金时应认真阅读本基金的《招募说明书》、《基金合同》及基金产品资料概要，全面认识本基金的风险收益特征和产品特性，并充分考虑自身的风险承受能力，理性判断市场，谨慎做出投资决策。</w:t>
      </w:r>
    </w:p>
    <w:p w14:paraId="4151128D"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可参与存托凭证的投资，存托凭证有可能出现股价波动较大的情况，投资者有可能面临存托凭证价格大幅波动甚至出现较大亏损的风险，以及与中国存托凭证发行机制相关的风险。但基金资产并非必然参与存托凭证的投资，基金可根据投资策略需要或不同市场环境的变化，选择是否采用存托凭证投资策略。</w:t>
      </w:r>
    </w:p>
    <w:p w14:paraId="5E418835"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本基金可根据法律法规和基金合同的约定参与转融通证券出借业务，可能存在流动性风险、市场风险、信用风险、操作风险等转融通业务特有风险。</w:t>
      </w:r>
    </w:p>
    <w:p w14:paraId="1313430E"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投资范围包括股指期货、股票期权等金融衍生品，可能给本基金带来额外风险。投资股指期货的风险包括但不限于杠杆风险、保证金风险、基差风险等；投资股票期权的风险包括但不限于流动性风险、信用风险、操作风险等；由此可能增加本基金净值的波动性。</w:t>
      </w:r>
    </w:p>
    <w:p w14:paraId="650035D8" w14:textId="77777777" w:rsidR="009C2D86" w:rsidRDefault="0027599D">
      <w:pPr>
        <w:numPr>
          <w:ilvl w:val="12"/>
          <w:numId w:val="0"/>
        </w:numPr>
        <w:snapToGrid w:val="0"/>
        <w:spacing w:line="360" w:lineRule="auto"/>
        <w:ind w:firstLineChars="196" w:firstLine="412"/>
        <w:rPr>
          <w:rFonts w:ascii="宋体" w:hAnsi="宋体" w:cs="宋体"/>
        </w:rPr>
      </w:pPr>
      <w:r>
        <w:rPr>
          <w:rFonts w:ascii="宋体" w:hAnsi="宋体" w:cs="宋体" w:hint="eastAsia"/>
        </w:rPr>
        <w:t>本基金可投资于资产支持证券，因此可能面临资产支持证券的信用风险、利率风险、流动性风险、提前偿付风险、法律风险和操作风险。</w:t>
      </w:r>
    </w:p>
    <w:p w14:paraId="541E7D6E" w14:textId="77777777" w:rsidR="009C2D86" w:rsidRDefault="0027599D">
      <w:pPr>
        <w:numPr>
          <w:ilvl w:val="12"/>
          <w:numId w:val="0"/>
        </w:numPr>
        <w:snapToGrid w:val="0"/>
        <w:spacing w:line="360" w:lineRule="auto"/>
        <w:ind w:firstLineChars="196" w:firstLine="412"/>
        <w:rPr>
          <w:rFonts w:ascii="宋体" w:hAnsi="宋体" w:cs="宋体"/>
        </w:rPr>
      </w:pPr>
      <w:r>
        <w:rPr>
          <w:rFonts w:ascii="宋体" w:hAnsi="宋体" w:cs="宋体" w:hint="eastAsia"/>
        </w:rPr>
        <w:t>本基金为指数基金，投资者投资于本基金面临跟踪误差控制未达约定目标、指数编制机构停止服务、成份股停牌、摘牌等潜在风险。</w:t>
      </w:r>
    </w:p>
    <w:p w14:paraId="30BEB642" w14:textId="77777777" w:rsidR="009C2D86" w:rsidRDefault="0027599D">
      <w:pPr>
        <w:numPr>
          <w:ilvl w:val="12"/>
          <w:numId w:val="0"/>
        </w:numPr>
        <w:snapToGrid w:val="0"/>
        <w:spacing w:line="360" w:lineRule="auto"/>
        <w:ind w:firstLineChars="196" w:firstLine="412"/>
        <w:rPr>
          <w:rFonts w:ascii="宋体" w:hAnsi="宋体" w:cs="宋体"/>
        </w:rPr>
      </w:pPr>
      <w:r>
        <w:rPr>
          <w:rFonts w:ascii="宋体" w:hAnsi="宋体" w:cs="宋体" w:hint="eastAsia"/>
        </w:rPr>
        <w:t>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1F62DEE4" w14:textId="77777777" w:rsidR="009C2D86" w:rsidRDefault="0027599D">
      <w:pPr>
        <w:numPr>
          <w:ilvl w:val="12"/>
          <w:numId w:val="0"/>
        </w:numPr>
        <w:snapToGrid w:val="0"/>
        <w:spacing w:line="360" w:lineRule="auto"/>
        <w:ind w:firstLineChars="196" w:firstLine="412"/>
        <w:rPr>
          <w:rFonts w:ascii="宋体" w:cs="Times New Roman"/>
        </w:rPr>
      </w:pPr>
      <w:r>
        <w:rPr>
          <w:rFonts w:ascii="宋体" w:hAnsi="宋体" w:cs="宋体" w:hint="eastAsia"/>
        </w:rPr>
        <w:t>基金的过往业绩并不预示其未来表现，基金管理人管理的其他基金的业绩也不构成对本基金业绩表现的保证。基金管理人提醒投资人基金投资的“买者自负”原则，在作出投资决策后，基金运营状况与基金净值变化引致的投资风险，由投资人自行负担。</w:t>
      </w:r>
    </w:p>
    <w:p w14:paraId="2F0D8D4C" w14:textId="77777777" w:rsidR="009C2D86" w:rsidRDefault="0027599D">
      <w:pPr>
        <w:numPr>
          <w:ilvl w:val="12"/>
          <w:numId w:val="0"/>
        </w:numPr>
        <w:snapToGrid w:val="0"/>
        <w:spacing w:line="360" w:lineRule="auto"/>
        <w:ind w:firstLineChars="196" w:firstLine="412"/>
        <w:rPr>
          <w:rFonts w:cs="宋体"/>
        </w:rPr>
      </w:pPr>
      <w:r>
        <w:rPr>
          <w:rFonts w:ascii="宋体" w:hAnsi="宋体" w:cs="宋体" w:hint="eastAsia"/>
        </w:rPr>
        <w:t>基金管理人依照恪尽职守、诚实信用、谨慎勤勉的原则管理和运用基金资产，但不保证基金一定盈利，也不保证最低收益。</w:t>
      </w:r>
      <w:r>
        <w:rPr>
          <w:rFonts w:cs="宋体" w:hint="eastAsia"/>
        </w:rPr>
        <w:t>投资人应当认真阅读基金合同、基金招募说明书等信息披露文件，自主判断基金的投资价值，自主做出投资决策，自行承担投资风险。</w:t>
      </w:r>
    </w:p>
    <w:p w14:paraId="703C6C5A" w14:textId="5A7DA708" w:rsidR="00266EAA" w:rsidRDefault="00DA1D58">
      <w:pPr>
        <w:numPr>
          <w:ilvl w:val="12"/>
          <w:numId w:val="0"/>
        </w:numPr>
        <w:snapToGrid w:val="0"/>
        <w:spacing w:line="360" w:lineRule="auto"/>
        <w:ind w:firstLineChars="196" w:firstLine="412"/>
        <w:rPr>
          <w:rFonts w:ascii="宋体" w:hAnsi="宋体" w:cs="宋体"/>
        </w:rPr>
      </w:pPr>
      <w:r w:rsidRPr="00DA1D58">
        <w:rPr>
          <w:rFonts w:ascii="宋体" w:hAnsi="宋体" w:cs="宋体" w:hint="eastAsia"/>
        </w:rPr>
        <w:t>本基金标的指数为</w:t>
      </w:r>
      <w:r w:rsidR="001A3FE9">
        <w:rPr>
          <w:rFonts w:ascii="宋体" w:hAnsi="宋体" w:cs="宋体" w:hint="eastAsia"/>
        </w:rPr>
        <w:t>创业板人工智能</w:t>
      </w:r>
      <w:r w:rsidRPr="00DA1D58">
        <w:rPr>
          <w:rFonts w:ascii="宋体" w:hAnsi="宋体" w:cs="宋体" w:hint="eastAsia"/>
        </w:rPr>
        <w:t>指数：</w:t>
      </w:r>
      <w:r w:rsidR="00D11F3A" w:rsidRPr="00D11F3A">
        <w:rPr>
          <w:rFonts w:ascii="宋体" w:hAnsi="宋体" w:cs="宋体" w:hint="eastAsia"/>
        </w:rPr>
        <w:t>创业</w:t>
      </w:r>
      <w:r w:rsidR="00D11F3A">
        <w:rPr>
          <w:rFonts w:ascii="宋体" w:hAnsi="宋体" w:cs="宋体" w:hint="eastAsia"/>
        </w:rPr>
        <w:t>板人工智能指数反映创业板人工智能相关上市公司的股价变化情况</w:t>
      </w:r>
      <w:r w:rsidRPr="00DA1D58">
        <w:rPr>
          <w:rFonts w:ascii="宋体" w:hAnsi="宋体" w:cs="宋体" w:hint="eastAsia"/>
        </w:rPr>
        <w:t>。</w:t>
      </w:r>
    </w:p>
    <w:p w14:paraId="10DD5975" w14:textId="77777777" w:rsidR="009C2D86" w:rsidRDefault="0027599D">
      <w:pPr>
        <w:numPr>
          <w:ilvl w:val="12"/>
          <w:numId w:val="0"/>
        </w:numPr>
        <w:snapToGrid w:val="0"/>
        <w:spacing w:line="360" w:lineRule="auto"/>
        <w:ind w:firstLineChars="196" w:firstLine="412"/>
        <w:rPr>
          <w:rFonts w:ascii="宋体" w:hAnsi="宋体" w:cs="宋体"/>
        </w:rPr>
      </w:pPr>
      <w:r>
        <w:rPr>
          <w:rFonts w:ascii="宋体" w:hAnsi="宋体" w:cs="宋体" w:hint="eastAsia"/>
        </w:rPr>
        <w:t>有关标的指数具体编制方案及成份股信息详见深圳证券信息有限公司网站，网址：</w:t>
      </w:r>
      <w:r>
        <w:rPr>
          <w:rFonts w:ascii="宋体" w:hAnsi="宋体" w:cs="宋体"/>
        </w:rPr>
        <w:t>www.cnindex.com.cn</w:t>
      </w:r>
      <w:r>
        <w:rPr>
          <w:rFonts w:ascii="宋体" w:hAnsi="宋体" w:cs="宋体" w:hint="eastAsia"/>
        </w:rPr>
        <w:t>。</w:t>
      </w:r>
    </w:p>
    <w:p w14:paraId="16BDA8A9" w14:textId="77777777" w:rsidR="009C2D86" w:rsidRDefault="0027599D">
      <w:pPr>
        <w:widowControl/>
        <w:jc w:val="left"/>
        <w:rPr>
          <w:rFonts w:ascii="宋体" w:cs="Times New Roman"/>
        </w:rPr>
      </w:pPr>
      <w:r>
        <w:rPr>
          <w:rFonts w:ascii="宋体" w:cs="Times New Roman"/>
        </w:rPr>
        <w:br w:type="page"/>
      </w:r>
    </w:p>
    <w:p w14:paraId="04FC15FE" w14:textId="77777777" w:rsidR="009C2D86" w:rsidRDefault="009C2D86">
      <w:pPr>
        <w:numPr>
          <w:ilvl w:val="12"/>
          <w:numId w:val="0"/>
        </w:numPr>
        <w:snapToGrid w:val="0"/>
        <w:spacing w:line="360" w:lineRule="auto"/>
        <w:ind w:firstLineChars="196" w:firstLine="412"/>
        <w:rPr>
          <w:rFonts w:ascii="宋体" w:cs="Times New Roman"/>
        </w:rPr>
      </w:pPr>
    </w:p>
    <w:p w14:paraId="55E46666" w14:textId="77777777" w:rsidR="009C2D86" w:rsidRDefault="0027599D">
      <w:pPr>
        <w:jc w:val="center"/>
        <w:rPr>
          <w:rFonts w:cs="Times New Roman"/>
          <w:b/>
          <w:bCs/>
          <w:sz w:val="28"/>
          <w:szCs w:val="28"/>
        </w:rPr>
      </w:pPr>
      <w:r>
        <w:rPr>
          <w:rFonts w:cs="宋体" w:hint="eastAsia"/>
          <w:b/>
          <w:bCs/>
          <w:sz w:val="28"/>
          <w:szCs w:val="28"/>
        </w:rPr>
        <w:t>目录</w:t>
      </w:r>
    </w:p>
    <w:p w14:paraId="36392894" w14:textId="77777777" w:rsidR="009C2D86" w:rsidRDefault="0027599D">
      <w:pPr>
        <w:pStyle w:val="11"/>
        <w:rPr>
          <w:rFonts w:asciiTheme="minorHAnsi" w:eastAsiaTheme="minorEastAsia" w:hAnsiTheme="minorHAnsi" w:cstheme="minorBidi"/>
          <w:b w:val="0"/>
          <w:bCs w:val="0"/>
          <w:noProof/>
          <w:color w:val="auto"/>
          <w:szCs w:val="22"/>
        </w:rPr>
      </w:pPr>
      <w:r>
        <w:fldChar w:fldCharType="begin"/>
      </w:r>
      <w:r>
        <w:instrText xml:space="preserve"> TOC \o "1-3" \h \z \u </w:instrText>
      </w:r>
      <w:r>
        <w:fldChar w:fldCharType="separate"/>
      </w:r>
    </w:p>
    <w:p w14:paraId="49D68138" w14:textId="4EAF46E6" w:rsidR="009C2D86" w:rsidRDefault="00BA18F5">
      <w:pPr>
        <w:pStyle w:val="25"/>
        <w:rPr>
          <w:rFonts w:asciiTheme="minorHAnsi" w:eastAsiaTheme="minorEastAsia" w:hAnsiTheme="minorHAnsi" w:cstheme="minorBidi"/>
          <w:noProof/>
          <w:szCs w:val="22"/>
        </w:rPr>
      </w:pPr>
      <w:hyperlink w:anchor="_Toc48900068" w:history="1">
        <w:r w:rsidR="0027599D">
          <w:rPr>
            <w:rStyle w:val="afff2"/>
            <w:rFonts w:ascii="宋体" w:hAnsi="宋体"/>
            <w:noProof/>
          </w:rPr>
          <w:t>一、</w:t>
        </w:r>
        <w:r w:rsidR="0027599D">
          <w:rPr>
            <w:rFonts w:asciiTheme="minorHAnsi" w:eastAsiaTheme="minorEastAsia" w:hAnsiTheme="minorHAnsi" w:cstheme="minorBidi"/>
            <w:noProof/>
            <w:szCs w:val="22"/>
          </w:rPr>
          <w:tab/>
        </w:r>
        <w:r w:rsidR="0027599D">
          <w:rPr>
            <w:rStyle w:val="afff2"/>
            <w:rFonts w:ascii="宋体" w:hAnsi="宋体" w:cs="宋体"/>
            <w:noProof/>
          </w:rPr>
          <w:t>绪言</w:t>
        </w:r>
        <w:r w:rsidR="0027599D">
          <w:rPr>
            <w:noProof/>
          </w:rPr>
          <w:tab/>
        </w:r>
        <w:r w:rsidR="0027599D">
          <w:rPr>
            <w:noProof/>
          </w:rPr>
          <w:fldChar w:fldCharType="begin"/>
        </w:r>
        <w:r w:rsidR="0027599D">
          <w:rPr>
            <w:noProof/>
          </w:rPr>
          <w:instrText xml:space="preserve"> PAGEREF _Toc48900068 \h </w:instrText>
        </w:r>
        <w:r w:rsidR="0027599D">
          <w:rPr>
            <w:noProof/>
          </w:rPr>
        </w:r>
        <w:r w:rsidR="0027599D">
          <w:rPr>
            <w:noProof/>
          </w:rPr>
          <w:fldChar w:fldCharType="separate"/>
        </w:r>
        <w:r w:rsidR="00756E65">
          <w:rPr>
            <w:noProof/>
          </w:rPr>
          <w:t>5</w:t>
        </w:r>
        <w:r w:rsidR="0027599D">
          <w:rPr>
            <w:noProof/>
          </w:rPr>
          <w:fldChar w:fldCharType="end"/>
        </w:r>
      </w:hyperlink>
    </w:p>
    <w:p w14:paraId="452817D0" w14:textId="3771D3DE" w:rsidR="009C2D86" w:rsidRDefault="00BA18F5">
      <w:pPr>
        <w:pStyle w:val="25"/>
        <w:rPr>
          <w:rFonts w:asciiTheme="minorHAnsi" w:eastAsiaTheme="minorEastAsia" w:hAnsiTheme="minorHAnsi" w:cstheme="minorBidi"/>
          <w:noProof/>
          <w:szCs w:val="22"/>
        </w:rPr>
      </w:pPr>
      <w:hyperlink w:anchor="_Toc48900069" w:history="1">
        <w:r w:rsidR="0027599D">
          <w:rPr>
            <w:rStyle w:val="afff2"/>
            <w:rFonts w:ascii="宋体" w:hAnsi="宋体"/>
            <w:noProof/>
          </w:rPr>
          <w:t>二、</w:t>
        </w:r>
        <w:r w:rsidR="0027599D">
          <w:rPr>
            <w:rFonts w:asciiTheme="minorHAnsi" w:eastAsiaTheme="minorEastAsia" w:hAnsiTheme="minorHAnsi" w:cstheme="minorBidi"/>
            <w:noProof/>
            <w:szCs w:val="22"/>
          </w:rPr>
          <w:tab/>
        </w:r>
        <w:r w:rsidR="0027599D">
          <w:rPr>
            <w:rStyle w:val="afff2"/>
            <w:rFonts w:ascii="宋体" w:hAnsi="宋体" w:cs="宋体"/>
            <w:noProof/>
          </w:rPr>
          <w:t>释义</w:t>
        </w:r>
        <w:r w:rsidR="0027599D">
          <w:rPr>
            <w:noProof/>
          </w:rPr>
          <w:tab/>
        </w:r>
        <w:r w:rsidR="0027599D">
          <w:rPr>
            <w:noProof/>
          </w:rPr>
          <w:fldChar w:fldCharType="begin"/>
        </w:r>
        <w:r w:rsidR="0027599D">
          <w:rPr>
            <w:noProof/>
          </w:rPr>
          <w:instrText xml:space="preserve"> PAGEREF _Toc48900069 \h </w:instrText>
        </w:r>
        <w:r w:rsidR="0027599D">
          <w:rPr>
            <w:noProof/>
          </w:rPr>
        </w:r>
        <w:r w:rsidR="0027599D">
          <w:rPr>
            <w:noProof/>
          </w:rPr>
          <w:fldChar w:fldCharType="separate"/>
        </w:r>
        <w:r w:rsidR="00756E65">
          <w:rPr>
            <w:noProof/>
          </w:rPr>
          <w:t>6</w:t>
        </w:r>
        <w:r w:rsidR="0027599D">
          <w:rPr>
            <w:noProof/>
          </w:rPr>
          <w:fldChar w:fldCharType="end"/>
        </w:r>
      </w:hyperlink>
    </w:p>
    <w:p w14:paraId="2E265191" w14:textId="33F02E66" w:rsidR="009C2D86" w:rsidRDefault="00BA18F5">
      <w:pPr>
        <w:pStyle w:val="25"/>
        <w:rPr>
          <w:rFonts w:asciiTheme="minorHAnsi" w:eastAsiaTheme="minorEastAsia" w:hAnsiTheme="minorHAnsi" w:cstheme="minorBidi"/>
          <w:noProof/>
          <w:szCs w:val="22"/>
        </w:rPr>
      </w:pPr>
      <w:hyperlink w:anchor="_Toc48900070" w:history="1">
        <w:r w:rsidR="0027599D">
          <w:rPr>
            <w:rStyle w:val="afff2"/>
            <w:rFonts w:ascii="宋体" w:hAnsi="宋体"/>
            <w:noProof/>
          </w:rPr>
          <w:t>三、</w:t>
        </w:r>
        <w:r w:rsidR="0027599D">
          <w:rPr>
            <w:rFonts w:asciiTheme="minorHAnsi" w:eastAsiaTheme="minorEastAsia" w:hAnsiTheme="minorHAnsi" w:cstheme="minorBidi"/>
            <w:noProof/>
            <w:szCs w:val="22"/>
          </w:rPr>
          <w:tab/>
        </w:r>
        <w:r w:rsidR="0027599D">
          <w:rPr>
            <w:rStyle w:val="afff2"/>
            <w:rFonts w:ascii="宋体" w:hAnsi="宋体" w:cs="宋体"/>
            <w:noProof/>
          </w:rPr>
          <w:t>基金管理人</w:t>
        </w:r>
        <w:r w:rsidR="0027599D">
          <w:rPr>
            <w:noProof/>
          </w:rPr>
          <w:tab/>
        </w:r>
        <w:r w:rsidR="0027599D">
          <w:rPr>
            <w:noProof/>
          </w:rPr>
          <w:fldChar w:fldCharType="begin"/>
        </w:r>
        <w:r w:rsidR="0027599D">
          <w:rPr>
            <w:noProof/>
          </w:rPr>
          <w:instrText xml:space="preserve"> PAGEREF _Toc48900070 \h </w:instrText>
        </w:r>
        <w:r w:rsidR="0027599D">
          <w:rPr>
            <w:noProof/>
          </w:rPr>
        </w:r>
        <w:r w:rsidR="0027599D">
          <w:rPr>
            <w:noProof/>
          </w:rPr>
          <w:fldChar w:fldCharType="separate"/>
        </w:r>
        <w:r w:rsidR="00756E65">
          <w:rPr>
            <w:noProof/>
          </w:rPr>
          <w:t>11</w:t>
        </w:r>
        <w:r w:rsidR="0027599D">
          <w:rPr>
            <w:noProof/>
          </w:rPr>
          <w:fldChar w:fldCharType="end"/>
        </w:r>
      </w:hyperlink>
    </w:p>
    <w:p w14:paraId="0F13FAB3" w14:textId="35509394" w:rsidR="009C2D86" w:rsidRDefault="00BA18F5">
      <w:pPr>
        <w:pStyle w:val="25"/>
        <w:rPr>
          <w:rFonts w:asciiTheme="minorHAnsi" w:eastAsiaTheme="minorEastAsia" w:hAnsiTheme="minorHAnsi" w:cstheme="minorBidi"/>
          <w:noProof/>
          <w:szCs w:val="22"/>
        </w:rPr>
      </w:pPr>
      <w:hyperlink w:anchor="_Toc48900071" w:history="1">
        <w:r w:rsidR="0027599D">
          <w:rPr>
            <w:rStyle w:val="afff2"/>
            <w:rFonts w:ascii="宋体" w:hAnsi="宋体"/>
            <w:noProof/>
          </w:rPr>
          <w:t>四、</w:t>
        </w:r>
        <w:r w:rsidR="0027599D">
          <w:rPr>
            <w:rFonts w:asciiTheme="minorHAnsi" w:eastAsiaTheme="minorEastAsia" w:hAnsiTheme="minorHAnsi" w:cstheme="minorBidi"/>
            <w:noProof/>
            <w:szCs w:val="22"/>
          </w:rPr>
          <w:tab/>
        </w:r>
        <w:r w:rsidR="0027599D">
          <w:rPr>
            <w:rStyle w:val="afff2"/>
            <w:rFonts w:ascii="宋体" w:hAnsi="宋体" w:cs="宋体"/>
            <w:noProof/>
          </w:rPr>
          <w:t>基金托管人</w:t>
        </w:r>
        <w:r w:rsidR="0027599D">
          <w:rPr>
            <w:noProof/>
          </w:rPr>
          <w:tab/>
        </w:r>
        <w:r w:rsidR="0027599D">
          <w:rPr>
            <w:noProof/>
          </w:rPr>
          <w:fldChar w:fldCharType="begin"/>
        </w:r>
        <w:r w:rsidR="0027599D">
          <w:rPr>
            <w:noProof/>
          </w:rPr>
          <w:instrText xml:space="preserve"> PAGEREF _Toc48900071 \h </w:instrText>
        </w:r>
        <w:r w:rsidR="0027599D">
          <w:rPr>
            <w:noProof/>
          </w:rPr>
        </w:r>
        <w:r w:rsidR="0027599D">
          <w:rPr>
            <w:noProof/>
          </w:rPr>
          <w:fldChar w:fldCharType="separate"/>
        </w:r>
        <w:r w:rsidR="00756E65">
          <w:rPr>
            <w:noProof/>
          </w:rPr>
          <w:t>21</w:t>
        </w:r>
        <w:r w:rsidR="0027599D">
          <w:rPr>
            <w:noProof/>
          </w:rPr>
          <w:fldChar w:fldCharType="end"/>
        </w:r>
      </w:hyperlink>
    </w:p>
    <w:p w14:paraId="0C856266" w14:textId="54F0D022" w:rsidR="009C2D86" w:rsidRDefault="00BA18F5">
      <w:pPr>
        <w:pStyle w:val="25"/>
        <w:rPr>
          <w:rFonts w:asciiTheme="minorHAnsi" w:eastAsiaTheme="minorEastAsia" w:hAnsiTheme="minorHAnsi" w:cstheme="minorBidi"/>
          <w:noProof/>
          <w:szCs w:val="22"/>
        </w:rPr>
      </w:pPr>
      <w:hyperlink w:anchor="_Toc48900072" w:history="1">
        <w:r w:rsidR="0027599D">
          <w:rPr>
            <w:rStyle w:val="afff2"/>
            <w:rFonts w:ascii="宋体" w:hAnsi="宋体"/>
            <w:noProof/>
          </w:rPr>
          <w:t>五、</w:t>
        </w:r>
        <w:r w:rsidR="0027599D">
          <w:rPr>
            <w:rFonts w:asciiTheme="minorHAnsi" w:eastAsiaTheme="minorEastAsia" w:hAnsiTheme="minorHAnsi" w:cstheme="minorBidi"/>
            <w:noProof/>
            <w:szCs w:val="22"/>
          </w:rPr>
          <w:tab/>
        </w:r>
        <w:r w:rsidR="0027599D">
          <w:rPr>
            <w:rStyle w:val="afff2"/>
            <w:rFonts w:ascii="宋体" w:hAnsi="宋体" w:cs="宋体"/>
            <w:noProof/>
          </w:rPr>
          <w:t>相关服务机构</w:t>
        </w:r>
        <w:r w:rsidR="0027599D">
          <w:rPr>
            <w:noProof/>
          </w:rPr>
          <w:tab/>
        </w:r>
        <w:r w:rsidR="0027599D">
          <w:rPr>
            <w:noProof/>
          </w:rPr>
          <w:fldChar w:fldCharType="begin"/>
        </w:r>
        <w:r w:rsidR="0027599D">
          <w:rPr>
            <w:noProof/>
          </w:rPr>
          <w:instrText xml:space="preserve"> PAGEREF _Toc48900072 \h </w:instrText>
        </w:r>
        <w:r w:rsidR="0027599D">
          <w:rPr>
            <w:noProof/>
          </w:rPr>
        </w:r>
        <w:r w:rsidR="0027599D">
          <w:rPr>
            <w:noProof/>
          </w:rPr>
          <w:fldChar w:fldCharType="separate"/>
        </w:r>
        <w:r w:rsidR="00756E65">
          <w:rPr>
            <w:noProof/>
          </w:rPr>
          <w:t>24</w:t>
        </w:r>
        <w:r w:rsidR="0027599D">
          <w:rPr>
            <w:noProof/>
          </w:rPr>
          <w:fldChar w:fldCharType="end"/>
        </w:r>
      </w:hyperlink>
    </w:p>
    <w:p w14:paraId="741C8D76" w14:textId="66153B90" w:rsidR="009C2D86" w:rsidRDefault="00BA18F5">
      <w:pPr>
        <w:pStyle w:val="25"/>
        <w:rPr>
          <w:rFonts w:asciiTheme="minorHAnsi" w:eastAsiaTheme="minorEastAsia" w:hAnsiTheme="minorHAnsi" w:cstheme="minorBidi"/>
          <w:noProof/>
          <w:szCs w:val="22"/>
        </w:rPr>
      </w:pPr>
      <w:hyperlink w:anchor="_Toc48900073" w:history="1">
        <w:r w:rsidR="0027599D">
          <w:rPr>
            <w:rStyle w:val="afff2"/>
            <w:rFonts w:ascii="宋体" w:hAnsi="宋体"/>
            <w:noProof/>
          </w:rPr>
          <w:t>六、</w:t>
        </w:r>
        <w:r w:rsidR="0027599D">
          <w:rPr>
            <w:rFonts w:asciiTheme="minorHAnsi" w:eastAsiaTheme="minorEastAsia" w:hAnsiTheme="minorHAnsi" w:cstheme="minorBidi"/>
            <w:noProof/>
            <w:szCs w:val="22"/>
          </w:rPr>
          <w:tab/>
        </w:r>
        <w:r w:rsidR="0027599D">
          <w:rPr>
            <w:rStyle w:val="afff2"/>
            <w:rFonts w:ascii="宋体" w:hAnsi="宋体" w:cs="宋体"/>
            <w:noProof/>
          </w:rPr>
          <w:t>基金募集</w:t>
        </w:r>
        <w:r w:rsidR="0027599D">
          <w:rPr>
            <w:noProof/>
          </w:rPr>
          <w:tab/>
        </w:r>
        <w:r w:rsidR="0027599D">
          <w:rPr>
            <w:noProof/>
          </w:rPr>
          <w:fldChar w:fldCharType="begin"/>
        </w:r>
        <w:r w:rsidR="0027599D">
          <w:rPr>
            <w:noProof/>
          </w:rPr>
          <w:instrText xml:space="preserve"> PAGEREF _Toc48900073 \h </w:instrText>
        </w:r>
        <w:r w:rsidR="0027599D">
          <w:rPr>
            <w:noProof/>
          </w:rPr>
        </w:r>
        <w:r w:rsidR="0027599D">
          <w:rPr>
            <w:noProof/>
          </w:rPr>
          <w:fldChar w:fldCharType="separate"/>
        </w:r>
        <w:r w:rsidR="00756E65">
          <w:rPr>
            <w:noProof/>
          </w:rPr>
          <w:t>25</w:t>
        </w:r>
        <w:r w:rsidR="0027599D">
          <w:rPr>
            <w:noProof/>
          </w:rPr>
          <w:fldChar w:fldCharType="end"/>
        </w:r>
      </w:hyperlink>
    </w:p>
    <w:p w14:paraId="066BE0BB" w14:textId="2AA6F479" w:rsidR="009C2D86" w:rsidRDefault="00BA18F5">
      <w:pPr>
        <w:pStyle w:val="25"/>
        <w:rPr>
          <w:rFonts w:asciiTheme="minorHAnsi" w:eastAsiaTheme="minorEastAsia" w:hAnsiTheme="minorHAnsi" w:cstheme="minorBidi"/>
          <w:noProof/>
          <w:szCs w:val="22"/>
        </w:rPr>
      </w:pPr>
      <w:hyperlink w:anchor="_Toc48900074" w:history="1">
        <w:r w:rsidR="0027599D">
          <w:rPr>
            <w:rStyle w:val="afff2"/>
            <w:rFonts w:ascii="宋体" w:hAnsi="宋体"/>
            <w:noProof/>
          </w:rPr>
          <w:t>七、</w:t>
        </w:r>
        <w:r w:rsidR="0027599D">
          <w:rPr>
            <w:rFonts w:asciiTheme="minorHAnsi" w:eastAsiaTheme="minorEastAsia" w:hAnsiTheme="minorHAnsi" w:cstheme="minorBidi"/>
            <w:noProof/>
            <w:szCs w:val="22"/>
          </w:rPr>
          <w:tab/>
        </w:r>
        <w:r w:rsidR="0027599D">
          <w:rPr>
            <w:rStyle w:val="afff2"/>
            <w:rFonts w:ascii="宋体" w:hAnsi="宋体" w:cs="宋体"/>
            <w:noProof/>
          </w:rPr>
          <w:t>基金合同的生效</w:t>
        </w:r>
        <w:r w:rsidR="0027599D">
          <w:rPr>
            <w:noProof/>
          </w:rPr>
          <w:tab/>
        </w:r>
        <w:r w:rsidR="0027599D">
          <w:rPr>
            <w:noProof/>
          </w:rPr>
          <w:fldChar w:fldCharType="begin"/>
        </w:r>
        <w:r w:rsidR="0027599D">
          <w:rPr>
            <w:noProof/>
          </w:rPr>
          <w:instrText xml:space="preserve"> PAGEREF _Toc48900074 \h </w:instrText>
        </w:r>
        <w:r w:rsidR="0027599D">
          <w:rPr>
            <w:noProof/>
          </w:rPr>
        </w:r>
        <w:r w:rsidR="0027599D">
          <w:rPr>
            <w:noProof/>
          </w:rPr>
          <w:fldChar w:fldCharType="separate"/>
        </w:r>
        <w:r w:rsidR="00756E65">
          <w:rPr>
            <w:noProof/>
          </w:rPr>
          <w:t>29</w:t>
        </w:r>
        <w:r w:rsidR="0027599D">
          <w:rPr>
            <w:noProof/>
          </w:rPr>
          <w:fldChar w:fldCharType="end"/>
        </w:r>
      </w:hyperlink>
    </w:p>
    <w:p w14:paraId="739918F5" w14:textId="0D6D39BA" w:rsidR="009C2D86" w:rsidRDefault="00BA18F5">
      <w:pPr>
        <w:pStyle w:val="25"/>
        <w:rPr>
          <w:rFonts w:asciiTheme="minorHAnsi" w:eastAsiaTheme="minorEastAsia" w:hAnsiTheme="minorHAnsi" w:cstheme="minorBidi"/>
          <w:noProof/>
          <w:szCs w:val="22"/>
        </w:rPr>
      </w:pPr>
      <w:hyperlink w:anchor="_Toc48900075" w:history="1">
        <w:r w:rsidR="0027599D">
          <w:rPr>
            <w:rStyle w:val="afff2"/>
            <w:rFonts w:ascii="宋体" w:hAnsi="宋体"/>
            <w:noProof/>
          </w:rPr>
          <w:t>八、</w:t>
        </w:r>
        <w:r w:rsidR="0027599D">
          <w:rPr>
            <w:rFonts w:asciiTheme="minorHAnsi" w:eastAsiaTheme="minorEastAsia" w:hAnsiTheme="minorHAnsi" w:cstheme="minorBidi"/>
            <w:noProof/>
            <w:szCs w:val="22"/>
          </w:rPr>
          <w:tab/>
        </w:r>
        <w:r w:rsidR="0027599D">
          <w:rPr>
            <w:rStyle w:val="afff2"/>
            <w:rFonts w:ascii="宋体" w:hAnsi="宋体" w:cs="宋体"/>
            <w:noProof/>
          </w:rPr>
          <w:t>基金份额的申购和赎回</w:t>
        </w:r>
        <w:r w:rsidR="0027599D">
          <w:rPr>
            <w:noProof/>
          </w:rPr>
          <w:tab/>
        </w:r>
        <w:r w:rsidR="0027599D">
          <w:rPr>
            <w:noProof/>
          </w:rPr>
          <w:fldChar w:fldCharType="begin"/>
        </w:r>
        <w:r w:rsidR="0027599D">
          <w:rPr>
            <w:noProof/>
          </w:rPr>
          <w:instrText xml:space="preserve"> PAGEREF _Toc48900075 \h </w:instrText>
        </w:r>
        <w:r w:rsidR="0027599D">
          <w:rPr>
            <w:noProof/>
          </w:rPr>
        </w:r>
        <w:r w:rsidR="0027599D">
          <w:rPr>
            <w:noProof/>
          </w:rPr>
          <w:fldChar w:fldCharType="separate"/>
        </w:r>
        <w:r w:rsidR="00756E65">
          <w:rPr>
            <w:noProof/>
          </w:rPr>
          <w:t>30</w:t>
        </w:r>
        <w:r w:rsidR="0027599D">
          <w:rPr>
            <w:noProof/>
          </w:rPr>
          <w:fldChar w:fldCharType="end"/>
        </w:r>
      </w:hyperlink>
    </w:p>
    <w:p w14:paraId="535F6397" w14:textId="242235AF" w:rsidR="009C2D86" w:rsidRDefault="00BA18F5">
      <w:pPr>
        <w:pStyle w:val="25"/>
        <w:rPr>
          <w:rFonts w:asciiTheme="minorHAnsi" w:eastAsiaTheme="minorEastAsia" w:hAnsiTheme="minorHAnsi" w:cstheme="minorBidi"/>
          <w:noProof/>
          <w:szCs w:val="22"/>
        </w:rPr>
      </w:pPr>
      <w:hyperlink w:anchor="_Toc48900076" w:history="1">
        <w:r w:rsidR="0027599D">
          <w:rPr>
            <w:rStyle w:val="afff2"/>
            <w:rFonts w:ascii="宋体" w:hAnsi="宋体"/>
            <w:noProof/>
          </w:rPr>
          <w:t>九、</w:t>
        </w:r>
        <w:r w:rsidR="0027599D">
          <w:rPr>
            <w:rFonts w:asciiTheme="minorHAnsi" w:eastAsiaTheme="minorEastAsia" w:hAnsiTheme="minorHAnsi" w:cstheme="minorBidi"/>
            <w:noProof/>
            <w:szCs w:val="22"/>
          </w:rPr>
          <w:tab/>
        </w:r>
        <w:r w:rsidR="0027599D">
          <w:rPr>
            <w:rStyle w:val="afff2"/>
            <w:rFonts w:ascii="宋体" w:hAnsi="宋体" w:cs="宋体"/>
            <w:noProof/>
          </w:rPr>
          <w:t>基金的投资</w:t>
        </w:r>
        <w:r w:rsidR="0027599D">
          <w:rPr>
            <w:noProof/>
          </w:rPr>
          <w:tab/>
        </w:r>
        <w:r w:rsidR="0027599D">
          <w:rPr>
            <w:noProof/>
          </w:rPr>
          <w:fldChar w:fldCharType="begin"/>
        </w:r>
        <w:r w:rsidR="0027599D">
          <w:rPr>
            <w:noProof/>
          </w:rPr>
          <w:instrText xml:space="preserve"> PAGEREF _Toc48900076 \h </w:instrText>
        </w:r>
        <w:r w:rsidR="0027599D">
          <w:rPr>
            <w:noProof/>
          </w:rPr>
        </w:r>
        <w:r w:rsidR="0027599D">
          <w:rPr>
            <w:noProof/>
          </w:rPr>
          <w:fldChar w:fldCharType="separate"/>
        </w:r>
        <w:r w:rsidR="00756E65">
          <w:rPr>
            <w:noProof/>
          </w:rPr>
          <w:t>40</w:t>
        </w:r>
        <w:r w:rsidR="0027599D">
          <w:rPr>
            <w:noProof/>
          </w:rPr>
          <w:fldChar w:fldCharType="end"/>
        </w:r>
      </w:hyperlink>
    </w:p>
    <w:p w14:paraId="0D7C89FA" w14:textId="7F87E9FD" w:rsidR="009C2D86" w:rsidRDefault="00BA18F5">
      <w:pPr>
        <w:pStyle w:val="25"/>
        <w:rPr>
          <w:rFonts w:asciiTheme="minorHAnsi" w:eastAsiaTheme="minorEastAsia" w:hAnsiTheme="minorHAnsi" w:cstheme="minorBidi"/>
          <w:noProof/>
          <w:szCs w:val="22"/>
        </w:rPr>
      </w:pPr>
      <w:hyperlink w:anchor="_Toc48900077" w:history="1">
        <w:r w:rsidR="0027599D">
          <w:rPr>
            <w:rStyle w:val="afff2"/>
            <w:rFonts w:ascii="宋体" w:hAnsi="宋体"/>
            <w:noProof/>
          </w:rPr>
          <w:t>十、</w:t>
        </w:r>
        <w:r w:rsidR="0027599D">
          <w:rPr>
            <w:rFonts w:asciiTheme="minorHAnsi" w:eastAsiaTheme="minorEastAsia" w:hAnsiTheme="minorHAnsi" w:cstheme="minorBidi"/>
            <w:noProof/>
            <w:szCs w:val="22"/>
          </w:rPr>
          <w:tab/>
        </w:r>
        <w:r w:rsidR="0027599D">
          <w:rPr>
            <w:rStyle w:val="afff2"/>
            <w:rFonts w:ascii="宋体" w:hAnsi="宋体" w:cs="宋体"/>
            <w:noProof/>
          </w:rPr>
          <w:t>基金的财产</w:t>
        </w:r>
        <w:r w:rsidR="0027599D">
          <w:rPr>
            <w:noProof/>
          </w:rPr>
          <w:tab/>
        </w:r>
        <w:r w:rsidR="0027599D">
          <w:rPr>
            <w:noProof/>
          </w:rPr>
          <w:fldChar w:fldCharType="begin"/>
        </w:r>
        <w:r w:rsidR="0027599D">
          <w:rPr>
            <w:noProof/>
          </w:rPr>
          <w:instrText xml:space="preserve"> PAGEREF _Toc48900077 \h </w:instrText>
        </w:r>
        <w:r w:rsidR="0027599D">
          <w:rPr>
            <w:noProof/>
          </w:rPr>
        </w:r>
        <w:r w:rsidR="0027599D">
          <w:rPr>
            <w:noProof/>
          </w:rPr>
          <w:fldChar w:fldCharType="separate"/>
        </w:r>
        <w:r w:rsidR="00756E65">
          <w:rPr>
            <w:noProof/>
          </w:rPr>
          <w:t>47</w:t>
        </w:r>
        <w:r w:rsidR="0027599D">
          <w:rPr>
            <w:noProof/>
          </w:rPr>
          <w:fldChar w:fldCharType="end"/>
        </w:r>
      </w:hyperlink>
    </w:p>
    <w:p w14:paraId="7DC5E16E" w14:textId="3990C3E1" w:rsidR="009C2D86" w:rsidRDefault="00BA18F5">
      <w:pPr>
        <w:pStyle w:val="25"/>
        <w:rPr>
          <w:rFonts w:asciiTheme="minorHAnsi" w:eastAsiaTheme="minorEastAsia" w:hAnsiTheme="minorHAnsi" w:cstheme="minorBidi"/>
          <w:noProof/>
          <w:szCs w:val="22"/>
        </w:rPr>
      </w:pPr>
      <w:hyperlink w:anchor="_Toc48900078" w:history="1">
        <w:r w:rsidR="0027599D">
          <w:rPr>
            <w:rStyle w:val="afff2"/>
            <w:rFonts w:ascii="宋体" w:hAnsi="宋体"/>
            <w:noProof/>
          </w:rPr>
          <w:t>十一、</w:t>
        </w:r>
        <w:r w:rsidR="0027599D">
          <w:rPr>
            <w:rFonts w:asciiTheme="minorHAnsi" w:eastAsiaTheme="minorEastAsia" w:hAnsiTheme="minorHAnsi" w:cstheme="minorBidi"/>
            <w:noProof/>
            <w:szCs w:val="22"/>
          </w:rPr>
          <w:tab/>
        </w:r>
        <w:r w:rsidR="0027599D">
          <w:rPr>
            <w:rStyle w:val="afff2"/>
            <w:rFonts w:ascii="宋体" w:hAnsi="宋体" w:cs="宋体"/>
            <w:noProof/>
          </w:rPr>
          <w:t>基金资产估值</w:t>
        </w:r>
        <w:r w:rsidR="0027599D">
          <w:rPr>
            <w:noProof/>
          </w:rPr>
          <w:tab/>
        </w:r>
        <w:r w:rsidR="0027599D">
          <w:rPr>
            <w:noProof/>
          </w:rPr>
          <w:fldChar w:fldCharType="begin"/>
        </w:r>
        <w:r w:rsidR="0027599D">
          <w:rPr>
            <w:noProof/>
          </w:rPr>
          <w:instrText xml:space="preserve"> PAGEREF _Toc48900078 \h </w:instrText>
        </w:r>
        <w:r w:rsidR="0027599D">
          <w:rPr>
            <w:noProof/>
          </w:rPr>
        </w:r>
        <w:r w:rsidR="0027599D">
          <w:rPr>
            <w:noProof/>
          </w:rPr>
          <w:fldChar w:fldCharType="separate"/>
        </w:r>
        <w:r w:rsidR="00756E65">
          <w:rPr>
            <w:noProof/>
          </w:rPr>
          <w:t>48</w:t>
        </w:r>
        <w:r w:rsidR="0027599D">
          <w:rPr>
            <w:noProof/>
          </w:rPr>
          <w:fldChar w:fldCharType="end"/>
        </w:r>
      </w:hyperlink>
    </w:p>
    <w:p w14:paraId="2B664035" w14:textId="2B1B39EB" w:rsidR="009C2D86" w:rsidRDefault="00BA18F5">
      <w:pPr>
        <w:pStyle w:val="25"/>
        <w:rPr>
          <w:rFonts w:asciiTheme="minorHAnsi" w:eastAsiaTheme="minorEastAsia" w:hAnsiTheme="minorHAnsi" w:cstheme="minorBidi"/>
          <w:noProof/>
          <w:szCs w:val="22"/>
        </w:rPr>
      </w:pPr>
      <w:hyperlink w:anchor="_Toc48900079" w:history="1">
        <w:r w:rsidR="0027599D">
          <w:rPr>
            <w:rStyle w:val="afff2"/>
            <w:rFonts w:ascii="宋体" w:hAnsi="宋体"/>
            <w:noProof/>
          </w:rPr>
          <w:t>十二、</w:t>
        </w:r>
        <w:r w:rsidR="0027599D">
          <w:rPr>
            <w:rFonts w:asciiTheme="minorHAnsi" w:eastAsiaTheme="minorEastAsia" w:hAnsiTheme="minorHAnsi" w:cstheme="minorBidi"/>
            <w:noProof/>
            <w:szCs w:val="22"/>
          </w:rPr>
          <w:tab/>
        </w:r>
        <w:r w:rsidR="0027599D">
          <w:rPr>
            <w:rStyle w:val="afff2"/>
            <w:rFonts w:ascii="宋体" w:hAnsi="宋体" w:cs="宋体"/>
            <w:noProof/>
          </w:rPr>
          <w:t>基金的收益与分配</w:t>
        </w:r>
        <w:r w:rsidR="0027599D">
          <w:rPr>
            <w:noProof/>
          </w:rPr>
          <w:tab/>
        </w:r>
        <w:r w:rsidR="0027599D">
          <w:rPr>
            <w:noProof/>
          </w:rPr>
          <w:fldChar w:fldCharType="begin"/>
        </w:r>
        <w:r w:rsidR="0027599D">
          <w:rPr>
            <w:noProof/>
          </w:rPr>
          <w:instrText xml:space="preserve"> PAGEREF _Toc48900079 \h </w:instrText>
        </w:r>
        <w:r w:rsidR="0027599D">
          <w:rPr>
            <w:noProof/>
          </w:rPr>
        </w:r>
        <w:r w:rsidR="0027599D">
          <w:rPr>
            <w:noProof/>
          </w:rPr>
          <w:fldChar w:fldCharType="separate"/>
        </w:r>
        <w:r w:rsidR="00756E65">
          <w:rPr>
            <w:noProof/>
          </w:rPr>
          <w:t>54</w:t>
        </w:r>
        <w:r w:rsidR="0027599D">
          <w:rPr>
            <w:noProof/>
          </w:rPr>
          <w:fldChar w:fldCharType="end"/>
        </w:r>
      </w:hyperlink>
    </w:p>
    <w:p w14:paraId="0CBA05DA" w14:textId="7E7932DC" w:rsidR="009C2D86" w:rsidRDefault="00BA18F5">
      <w:pPr>
        <w:pStyle w:val="25"/>
        <w:rPr>
          <w:rFonts w:asciiTheme="minorHAnsi" w:eastAsiaTheme="minorEastAsia" w:hAnsiTheme="minorHAnsi" w:cstheme="minorBidi"/>
          <w:noProof/>
          <w:szCs w:val="22"/>
        </w:rPr>
      </w:pPr>
      <w:hyperlink w:anchor="_Toc48900080" w:history="1">
        <w:r w:rsidR="0027599D">
          <w:rPr>
            <w:rStyle w:val="afff2"/>
            <w:rFonts w:ascii="宋体" w:hAnsi="宋体"/>
            <w:noProof/>
          </w:rPr>
          <w:t>十三、</w:t>
        </w:r>
        <w:r w:rsidR="0027599D">
          <w:rPr>
            <w:rFonts w:asciiTheme="minorHAnsi" w:eastAsiaTheme="minorEastAsia" w:hAnsiTheme="minorHAnsi" w:cstheme="minorBidi"/>
            <w:noProof/>
            <w:szCs w:val="22"/>
          </w:rPr>
          <w:tab/>
        </w:r>
        <w:r w:rsidR="0027599D">
          <w:rPr>
            <w:rStyle w:val="afff2"/>
            <w:rFonts w:ascii="宋体" w:hAnsi="宋体" w:cs="宋体"/>
            <w:noProof/>
          </w:rPr>
          <w:t>基金的费用与税收</w:t>
        </w:r>
        <w:r w:rsidR="0027599D">
          <w:rPr>
            <w:noProof/>
          </w:rPr>
          <w:tab/>
        </w:r>
        <w:r w:rsidR="0027599D">
          <w:rPr>
            <w:noProof/>
          </w:rPr>
          <w:fldChar w:fldCharType="begin"/>
        </w:r>
        <w:r w:rsidR="0027599D">
          <w:rPr>
            <w:noProof/>
          </w:rPr>
          <w:instrText xml:space="preserve"> PAGEREF _Toc48900080 \h </w:instrText>
        </w:r>
        <w:r w:rsidR="0027599D">
          <w:rPr>
            <w:noProof/>
          </w:rPr>
        </w:r>
        <w:r w:rsidR="0027599D">
          <w:rPr>
            <w:noProof/>
          </w:rPr>
          <w:fldChar w:fldCharType="separate"/>
        </w:r>
        <w:r w:rsidR="00756E65">
          <w:rPr>
            <w:noProof/>
          </w:rPr>
          <w:t>56</w:t>
        </w:r>
        <w:r w:rsidR="0027599D">
          <w:rPr>
            <w:noProof/>
          </w:rPr>
          <w:fldChar w:fldCharType="end"/>
        </w:r>
      </w:hyperlink>
    </w:p>
    <w:p w14:paraId="577F3271" w14:textId="34DA28A8" w:rsidR="009C2D86" w:rsidRDefault="00BA18F5">
      <w:pPr>
        <w:pStyle w:val="25"/>
        <w:rPr>
          <w:rFonts w:asciiTheme="minorHAnsi" w:eastAsiaTheme="minorEastAsia" w:hAnsiTheme="minorHAnsi" w:cstheme="minorBidi"/>
          <w:noProof/>
          <w:szCs w:val="22"/>
        </w:rPr>
      </w:pPr>
      <w:hyperlink w:anchor="_Toc48900081" w:history="1">
        <w:r w:rsidR="0027599D">
          <w:rPr>
            <w:rStyle w:val="afff2"/>
            <w:rFonts w:ascii="宋体" w:hAnsi="宋体"/>
            <w:noProof/>
          </w:rPr>
          <w:t>十四、</w:t>
        </w:r>
        <w:r w:rsidR="0027599D">
          <w:rPr>
            <w:rFonts w:asciiTheme="minorHAnsi" w:eastAsiaTheme="minorEastAsia" w:hAnsiTheme="minorHAnsi" w:cstheme="minorBidi"/>
            <w:noProof/>
            <w:szCs w:val="22"/>
          </w:rPr>
          <w:tab/>
        </w:r>
        <w:r w:rsidR="0027599D">
          <w:rPr>
            <w:rStyle w:val="afff2"/>
            <w:rFonts w:ascii="宋体" w:hAnsi="宋体" w:cs="宋体"/>
            <w:noProof/>
          </w:rPr>
          <w:t>基金的会计与审计</w:t>
        </w:r>
        <w:r w:rsidR="0027599D">
          <w:rPr>
            <w:noProof/>
          </w:rPr>
          <w:tab/>
        </w:r>
        <w:r w:rsidR="0027599D">
          <w:rPr>
            <w:noProof/>
          </w:rPr>
          <w:fldChar w:fldCharType="begin"/>
        </w:r>
        <w:r w:rsidR="0027599D">
          <w:rPr>
            <w:noProof/>
          </w:rPr>
          <w:instrText xml:space="preserve"> PAGEREF _Toc48900081 \h </w:instrText>
        </w:r>
        <w:r w:rsidR="0027599D">
          <w:rPr>
            <w:noProof/>
          </w:rPr>
        </w:r>
        <w:r w:rsidR="0027599D">
          <w:rPr>
            <w:noProof/>
          </w:rPr>
          <w:fldChar w:fldCharType="separate"/>
        </w:r>
        <w:r w:rsidR="00756E65">
          <w:rPr>
            <w:noProof/>
          </w:rPr>
          <w:t>59</w:t>
        </w:r>
        <w:r w:rsidR="0027599D">
          <w:rPr>
            <w:noProof/>
          </w:rPr>
          <w:fldChar w:fldCharType="end"/>
        </w:r>
      </w:hyperlink>
    </w:p>
    <w:p w14:paraId="45BF065F" w14:textId="7B7E848D" w:rsidR="009C2D86" w:rsidRDefault="00BA18F5">
      <w:pPr>
        <w:pStyle w:val="25"/>
        <w:rPr>
          <w:rFonts w:asciiTheme="minorHAnsi" w:eastAsiaTheme="minorEastAsia" w:hAnsiTheme="minorHAnsi" w:cstheme="minorBidi"/>
          <w:noProof/>
          <w:szCs w:val="22"/>
        </w:rPr>
      </w:pPr>
      <w:hyperlink w:anchor="_Toc48900082" w:history="1">
        <w:r w:rsidR="0027599D">
          <w:rPr>
            <w:rStyle w:val="afff2"/>
            <w:rFonts w:ascii="宋体" w:hAnsi="宋体"/>
            <w:noProof/>
          </w:rPr>
          <w:t>十五、</w:t>
        </w:r>
        <w:r w:rsidR="0027599D">
          <w:rPr>
            <w:rFonts w:asciiTheme="minorHAnsi" w:eastAsiaTheme="minorEastAsia" w:hAnsiTheme="minorHAnsi" w:cstheme="minorBidi"/>
            <w:noProof/>
            <w:szCs w:val="22"/>
          </w:rPr>
          <w:tab/>
        </w:r>
        <w:r w:rsidR="0027599D">
          <w:rPr>
            <w:rStyle w:val="afff2"/>
            <w:rFonts w:ascii="宋体" w:hAnsi="宋体" w:cs="宋体"/>
            <w:noProof/>
          </w:rPr>
          <w:t>基金的信息披露</w:t>
        </w:r>
        <w:r w:rsidR="0027599D">
          <w:rPr>
            <w:noProof/>
          </w:rPr>
          <w:tab/>
        </w:r>
        <w:r w:rsidR="0027599D">
          <w:rPr>
            <w:noProof/>
          </w:rPr>
          <w:fldChar w:fldCharType="begin"/>
        </w:r>
        <w:r w:rsidR="0027599D">
          <w:rPr>
            <w:noProof/>
          </w:rPr>
          <w:instrText xml:space="preserve"> PAGEREF _Toc48900082 \h </w:instrText>
        </w:r>
        <w:r w:rsidR="0027599D">
          <w:rPr>
            <w:noProof/>
          </w:rPr>
        </w:r>
        <w:r w:rsidR="0027599D">
          <w:rPr>
            <w:noProof/>
          </w:rPr>
          <w:fldChar w:fldCharType="separate"/>
        </w:r>
        <w:r w:rsidR="00756E65">
          <w:rPr>
            <w:noProof/>
          </w:rPr>
          <w:t>60</w:t>
        </w:r>
        <w:r w:rsidR="0027599D">
          <w:rPr>
            <w:noProof/>
          </w:rPr>
          <w:fldChar w:fldCharType="end"/>
        </w:r>
      </w:hyperlink>
    </w:p>
    <w:p w14:paraId="4C6444E0" w14:textId="7219A189" w:rsidR="009C2D86" w:rsidRDefault="00BA18F5">
      <w:pPr>
        <w:pStyle w:val="25"/>
        <w:rPr>
          <w:rFonts w:asciiTheme="minorHAnsi" w:eastAsiaTheme="minorEastAsia" w:hAnsiTheme="minorHAnsi" w:cstheme="minorBidi"/>
          <w:noProof/>
          <w:szCs w:val="22"/>
        </w:rPr>
      </w:pPr>
      <w:hyperlink w:anchor="_Toc48900083" w:history="1">
        <w:r w:rsidR="0027599D">
          <w:rPr>
            <w:rStyle w:val="afff2"/>
            <w:rFonts w:ascii="宋体" w:hAnsi="宋体"/>
            <w:noProof/>
          </w:rPr>
          <w:t>十六、</w:t>
        </w:r>
        <w:r w:rsidR="0027599D">
          <w:rPr>
            <w:rFonts w:asciiTheme="minorHAnsi" w:eastAsiaTheme="minorEastAsia" w:hAnsiTheme="minorHAnsi" w:cstheme="minorBidi"/>
            <w:noProof/>
            <w:szCs w:val="22"/>
          </w:rPr>
          <w:tab/>
        </w:r>
        <w:r w:rsidR="0027599D">
          <w:rPr>
            <w:rStyle w:val="afff2"/>
            <w:rFonts w:ascii="宋体" w:hAnsi="宋体" w:cs="宋体"/>
            <w:noProof/>
          </w:rPr>
          <w:t>侧袋机制</w:t>
        </w:r>
        <w:r w:rsidR="0027599D">
          <w:rPr>
            <w:noProof/>
          </w:rPr>
          <w:tab/>
        </w:r>
        <w:r w:rsidR="0027599D">
          <w:rPr>
            <w:noProof/>
          </w:rPr>
          <w:fldChar w:fldCharType="begin"/>
        </w:r>
        <w:r w:rsidR="0027599D">
          <w:rPr>
            <w:noProof/>
          </w:rPr>
          <w:instrText xml:space="preserve"> PAGEREF _Toc48900083 \h </w:instrText>
        </w:r>
        <w:r w:rsidR="0027599D">
          <w:rPr>
            <w:noProof/>
          </w:rPr>
        </w:r>
        <w:r w:rsidR="0027599D">
          <w:rPr>
            <w:noProof/>
          </w:rPr>
          <w:fldChar w:fldCharType="separate"/>
        </w:r>
        <w:r w:rsidR="00756E65">
          <w:rPr>
            <w:noProof/>
          </w:rPr>
          <w:t>67</w:t>
        </w:r>
        <w:r w:rsidR="0027599D">
          <w:rPr>
            <w:noProof/>
          </w:rPr>
          <w:fldChar w:fldCharType="end"/>
        </w:r>
      </w:hyperlink>
    </w:p>
    <w:p w14:paraId="3DB32176" w14:textId="6C9C9D9F" w:rsidR="009C2D86" w:rsidRDefault="00BA18F5">
      <w:pPr>
        <w:pStyle w:val="25"/>
        <w:rPr>
          <w:rFonts w:asciiTheme="minorHAnsi" w:eastAsiaTheme="minorEastAsia" w:hAnsiTheme="minorHAnsi" w:cstheme="minorBidi"/>
          <w:noProof/>
          <w:szCs w:val="22"/>
        </w:rPr>
      </w:pPr>
      <w:hyperlink w:anchor="_Toc48900084" w:history="1">
        <w:r w:rsidR="0027599D">
          <w:rPr>
            <w:rStyle w:val="afff2"/>
            <w:rFonts w:ascii="宋体" w:hAnsi="宋体"/>
            <w:noProof/>
          </w:rPr>
          <w:t>十七、</w:t>
        </w:r>
        <w:r w:rsidR="0027599D">
          <w:rPr>
            <w:rFonts w:asciiTheme="minorHAnsi" w:eastAsiaTheme="minorEastAsia" w:hAnsiTheme="minorHAnsi" w:cstheme="minorBidi"/>
            <w:noProof/>
            <w:szCs w:val="22"/>
          </w:rPr>
          <w:tab/>
        </w:r>
        <w:r w:rsidR="0027599D">
          <w:rPr>
            <w:rStyle w:val="afff2"/>
            <w:rFonts w:ascii="宋体" w:hAnsi="宋体" w:cs="宋体"/>
            <w:noProof/>
          </w:rPr>
          <w:t>风险揭示</w:t>
        </w:r>
        <w:r w:rsidR="0027599D">
          <w:rPr>
            <w:noProof/>
          </w:rPr>
          <w:tab/>
        </w:r>
        <w:r w:rsidR="0027599D">
          <w:rPr>
            <w:noProof/>
          </w:rPr>
          <w:fldChar w:fldCharType="begin"/>
        </w:r>
        <w:r w:rsidR="0027599D">
          <w:rPr>
            <w:noProof/>
          </w:rPr>
          <w:instrText xml:space="preserve"> PAGEREF _Toc48900084 \h </w:instrText>
        </w:r>
        <w:r w:rsidR="0027599D">
          <w:rPr>
            <w:noProof/>
          </w:rPr>
        </w:r>
        <w:r w:rsidR="0027599D">
          <w:rPr>
            <w:noProof/>
          </w:rPr>
          <w:fldChar w:fldCharType="separate"/>
        </w:r>
        <w:r w:rsidR="00756E65">
          <w:rPr>
            <w:noProof/>
          </w:rPr>
          <w:t>70</w:t>
        </w:r>
        <w:r w:rsidR="0027599D">
          <w:rPr>
            <w:noProof/>
          </w:rPr>
          <w:fldChar w:fldCharType="end"/>
        </w:r>
      </w:hyperlink>
    </w:p>
    <w:p w14:paraId="1C178EC6" w14:textId="1279AE82" w:rsidR="009C2D86" w:rsidRDefault="00BA18F5">
      <w:pPr>
        <w:pStyle w:val="25"/>
        <w:rPr>
          <w:rFonts w:asciiTheme="minorHAnsi" w:eastAsiaTheme="minorEastAsia" w:hAnsiTheme="minorHAnsi" w:cstheme="minorBidi"/>
          <w:noProof/>
          <w:szCs w:val="22"/>
        </w:rPr>
      </w:pPr>
      <w:hyperlink w:anchor="_Toc48900085" w:history="1">
        <w:r w:rsidR="0027599D">
          <w:rPr>
            <w:rStyle w:val="afff2"/>
            <w:rFonts w:ascii="宋体" w:hAnsi="宋体"/>
            <w:noProof/>
          </w:rPr>
          <w:t>十八、</w:t>
        </w:r>
        <w:r w:rsidR="0027599D">
          <w:rPr>
            <w:rFonts w:asciiTheme="minorHAnsi" w:eastAsiaTheme="minorEastAsia" w:hAnsiTheme="minorHAnsi" w:cstheme="minorBidi"/>
            <w:noProof/>
            <w:szCs w:val="22"/>
          </w:rPr>
          <w:tab/>
        </w:r>
        <w:r w:rsidR="0027599D">
          <w:rPr>
            <w:rStyle w:val="afff2"/>
            <w:rFonts w:ascii="宋体" w:hAnsi="宋体" w:cs="宋体"/>
            <w:noProof/>
          </w:rPr>
          <w:t>基金合同的变更、终止和基金财产的清算</w:t>
        </w:r>
        <w:r w:rsidR="0027599D">
          <w:rPr>
            <w:noProof/>
          </w:rPr>
          <w:tab/>
        </w:r>
        <w:r w:rsidR="0027599D">
          <w:rPr>
            <w:noProof/>
          </w:rPr>
          <w:fldChar w:fldCharType="begin"/>
        </w:r>
        <w:r w:rsidR="0027599D">
          <w:rPr>
            <w:noProof/>
          </w:rPr>
          <w:instrText xml:space="preserve"> PAGEREF _Toc48900085 \h </w:instrText>
        </w:r>
        <w:r w:rsidR="0027599D">
          <w:rPr>
            <w:noProof/>
          </w:rPr>
        </w:r>
        <w:r w:rsidR="0027599D">
          <w:rPr>
            <w:noProof/>
          </w:rPr>
          <w:fldChar w:fldCharType="separate"/>
        </w:r>
        <w:r w:rsidR="00756E65">
          <w:rPr>
            <w:noProof/>
          </w:rPr>
          <w:t>78</w:t>
        </w:r>
        <w:r w:rsidR="0027599D">
          <w:rPr>
            <w:noProof/>
          </w:rPr>
          <w:fldChar w:fldCharType="end"/>
        </w:r>
      </w:hyperlink>
    </w:p>
    <w:p w14:paraId="4ECD12C7" w14:textId="51B49966" w:rsidR="009C2D86" w:rsidRDefault="00BA18F5">
      <w:pPr>
        <w:pStyle w:val="25"/>
        <w:rPr>
          <w:rFonts w:asciiTheme="minorHAnsi" w:eastAsiaTheme="minorEastAsia" w:hAnsiTheme="minorHAnsi" w:cstheme="minorBidi"/>
          <w:noProof/>
          <w:szCs w:val="22"/>
        </w:rPr>
      </w:pPr>
      <w:hyperlink w:anchor="_Toc48900086" w:history="1">
        <w:r w:rsidR="0027599D">
          <w:rPr>
            <w:rStyle w:val="afff2"/>
            <w:rFonts w:ascii="宋体" w:hAnsi="宋体"/>
            <w:noProof/>
          </w:rPr>
          <w:t>十九、</w:t>
        </w:r>
        <w:r w:rsidR="0027599D">
          <w:rPr>
            <w:rFonts w:asciiTheme="minorHAnsi" w:eastAsiaTheme="minorEastAsia" w:hAnsiTheme="minorHAnsi" w:cstheme="minorBidi"/>
            <w:noProof/>
            <w:szCs w:val="22"/>
          </w:rPr>
          <w:tab/>
        </w:r>
        <w:r w:rsidR="0027599D">
          <w:rPr>
            <w:rStyle w:val="afff2"/>
            <w:rFonts w:ascii="宋体" w:hAnsi="宋体" w:cs="宋体"/>
            <w:noProof/>
          </w:rPr>
          <w:t>基金合同的内容摘要</w:t>
        </w:r>
        <w:r w:rsidR="0027599D">
          <w:rPr>
            <w:noProof/>
          </w:rPr>
          <w:tab/>
        </w:r>
        <w:r w:rsidR="0027599D">
          <w:rPr>
            <w:noProof/>
          </w:rPr>
          <w:fldChar w:fldCharType="begin"/>
        </w:r>
        <w:r w:rsidR="0027599D">
          <w:rPr>
            <w:noProof/>
          </w:rPr>
          <w:instrText xml:space="preserve"> PAGEREF _Toc48900086 \h </w:instrText>
        </w:r>
        <w:r w:rsidR="0027599D">
          <w:rPr>
            <w:noProof/>
          </w:rPr>
        </w:r>
        <w:r w:rsidR="0027599D">
          <w:rPr>
            <w:noProof/>
          </w:rPr>
          <w:fldChar w:fldCharType="separate"/>
        </w:r>
        <w:r w:rsidR="00756E65">
          <w:rPr>
            <w:noProof/>
          </w:rPr>
          <w:t>80</w:t>
        </w:r>
        <w:r w:rsidR="0027599D">
          <w:rPr>
            <w:noProof/>
          </w:rPr>
          <w:fldChar w:fldCharType="end"/>
        </w:r>
      </w:hyperlink>
    </w:p>
    <w:p w14:paraId="2C5635C2" w14:textId="77E3C793" w:rsidR="009C2D86" w:rsidRDefault="00BA18F5">
      <w:pPr>
        <w:pStyle w:val="25"/>
        <w:rPr>
          <w:rFonts w:asciiTheme="minorHAnsi" w:eastAsiaTheme="minorEastAsia" w:hAnsiTheme="minorHAnsi" w:cstheme="minorBidi"/>
          <w:noProof/>
          <w:szCs w:val="22"/>
        </w:rPr>
      </w:pPr>
      <w:hyperlink w:anchor="_Toc48900087" w:history="1">
        <w:r w:rsidR="0027599D">
          <w:rPr>
            <w:rStyle w:val="afff2"/>
            <w:rFonts w:ascii="宋体" w:hAnsi="宋体"/>
            <w:noProof/>
          </w:rPr>
          <w:t>二十、</w:t>
        </w:r>
        <w:r w:rsidR="0027599D">
          <w:rPr>
            <w:rFonts w:asciiTheme="minorHAnsi" w:eastAsiaTheme="minorEastAsia" w:hAnsiTheme="minorHAnsi" w:cstheme="minorBidi"/>
            <w:noProof/>
            <w:szCs w:val="22"/>
          </w:rPr>
          <w:tab/>
        </w:r>
        <w:r w:rsidR="0027599D">
          <w:rPr>
            <w:rStyle w:val="afff2"/>
            <w:rFonts w:ascii="宋体" w:hAnsi="宋体" w:cs="宋体"/>
            <w:noProof/>
          </w:rPr>
          <w:t>基金托管协议的内容摘要</w:t>
        </w:r>
        <w:r w:rsidR="0027599D">
          <w:rPr>
            <w:noProof/>
          </w:rPr>
          <w:tab/>
        </w:r>
        <w:r w:rsidR="0027599D">
          <w:rPr>
            <w:noProof/>
          </w:rPr>
          <w:fldChar w:fldCharType="begin"/>
        </w:r>
        <w:r w:rsidR="0027599D">
          <w:rPr>
            <w:noProof/>
          </w:rPr>
          <w:instrText xml:space="preserve"> PAGEREF _Toc48900087 \h </w:instrText>
        </w:r>
        <w:r w:rsidR="0027599D">
          <w:rPr>
            <w:noProof/>
          </w:rPr>
        </w:r>
        <w:r w:rsidR="0027599D">
          <w:rPr>
            <w:noProof/>
          </w:rPr>
          <w:fldChar w:fldCharType="separate"/>
        </w:r>
        <w:r w:rsidR="00756E65">
          <w:rPr>
            <w:noProof/>
          </w:rPr>
          <w:t>104</w:t>
        </w:r>
        <w:r w:rsidR="0027599D">
          <w:rPr>
            <w:noProof/>
          </w:rPr>
          <w:fldChar w:fldCharType="end"/>
        </w:r>
      </w:hyperlink>
    </w:p>
    <w:p w14:paraId="025928AD" w14:textId="78DE24EB" w:rsidR="009C2D86" w:rsidRDefault="00BA18F5">
      <w:pPr>
        <w:pStyle w:val="25"/>
        <w:rPr>
          <w:rFonts w:asciiTheme="minorHAnsi" w:eastAsiaTheme="minorEastAsia" w:hAnsiTheme="minorHAnsi" w:cstheme="minorBidi"/>
          <w:noProof/>
          <w:szCs w:val="22"/>
        </w:rPr>
      </w:pPr>
      <w:hyperlink w:anchor="_Toc48900088" w:history="1">
        <w:r w:rsidR="0027599D">
          <w:rPr>
            <w:rStyle w:val="afff2"/>
            <w:rFonts w:ascii="宋体" w:hAnsi="宋体"/>
            <w:noProof/>
          </w:rPr>
          <w:t>二十一、</w:t>
        </w:r>
        <w:r w:rsidR="0027599D">
          <w:rPr>
            <w:rFonts w:asciiTheme="minorHAnsi" w:eastAsiaTheme="minorEastAsia" w:hAnsiTheme="minorHAnsi" w:cstheme="minorBidi"/>
            <w:noProof/>
            <w:szCs w:val="22"/>
          </w:rPr>
          <w:tab/>
        </w:r>
        <w:r w:rsidR="0027599D">
          <w:rPr>
            <w:rStyle w:val="afff2"/>
            <w:rFonts w:ascii="宋体" w:hAnsi="宋体" w:cs="宋体"/>
            <w:noProof/>
          </w:rPr>
          <w:t>基金份额持有人服务</w:t>
        </w:r>
        <w:r w:rsidR="0027599D">
          <w:rPr>
            <w:noProof/>
          </w:rPr>
          <w:tab/>
        </w:r>
        <w:r w:rsidR="0027599D">
          <w:rPr>
            <w:noProof/>
          </w:rPr>
          <w:fldChar w:fldCharType="begin"/>
        </w:r>
        <w:r w:rsidR="0027599D">
          <w:rPr>
            <w:noProof/>
          </w:rPr>
          <w:instrText xml:space="preserve"> PAGEREF _Toc48900088 \h </w:instrText>
        </w:r>
        <w:r w:rsidR="0027599D">
          <w:rPr>
            <w:noProof/>
          </w:rPr>
        </w:r>
        <w:r w:rsidR="0027599D">
          <w:rPr>
            <w:noProof/>
          </w:rPr>
          <w:fldChar w:fldCharType="separate"/>
        </w:r>
        <w:r w:rsidR="00756E65">
          <w:rPr>
            <w:noProof/>
          </w:rPr>
          <w:t>120</w:t>
        </w:r>
        <w:r w:rsidR="0027599D">
          <w:rPr>
            <w:noProof/>
          </w:rPr>
          <w:fldChar w:fldCharType="end"/>
        </w:r>
      </w:hyperlink>
    </w:p>
    <w:p w14:paraId="317A161E" w14:textId="0C8439F5" w:rsidR="009C2D86" w:rsidRDefault="00BA18F5">
      <w:pPr>
        <w:pStyle w:val="25"/>
        <w:rPr>
          <w:rFonts w:asciiTheme="minorHAnsi" w:eastAsiaTheme="minorEastAsia" w:hAnsiTheme="minorHAnsi" w:cstheme="minorBidi"/>
          <w:noProof/>
          <w:szCs w:val="22"/>
        </w:rPr>
      </w:pPr>
      <w:hyperlink w:anchor="_Toc48900089" w:history="1">
        <w:r w:rsidR="0027599D">
          <w:rPr>
            <w:rStyle w:val="afff2"/>
            <w:rFonts w:ascii="宋体" w:hAnsi="宋体"/>
            <w:noProof/>
          </w:rPr>
          <w:t>二十二、</w:t>
        </w:r>
        <w:r w:rsidR="0027599D">
          <w:rPr>
            <w:rFonts w:asciiTheme="minorHAnsi" w:eastAsiaTheme="minorEastAsia" w:hAnsiTheme="minorHAnsi" w:cstheme="minorBidi"/>
            <w:noProof/>
            <w:szCs w:val="22"/>
          </w:rPr>
          <w:tab/>
        </w:r>
        <w:r w:rsidR="0027599D">
          <w:rPr>
            <w:rStyle w:val="afff2"/>
            <w:rFonts w:ascii="宋体" w:hAnsi="宋体" w:cs="宋体"/>
            <w:noProof/>
          </w:rPr>
          <w:t>其它应披露事项</w:t>
        </w:r>
        <w:r w:rsidR="0027599D">
          <w:rPr>
            <w:noProof/>
          </w:rPr>
          <w:tab/>
        </w:r>
        <w:r w:rsidR="0027599D">
          <w:rPr>
            <w:noProof/>
          </w:rPr>
          <w:fldChar w:fldCharType="begin"/>
        </w:r>
        <w:r w:rsidR="0027599D">
          <w:rPr>
            <w:noProof/>
          </w:rPr>
          <w:instrText xml:space="preserve"> PAGEREF _Toc48900089 \h </w:instrText>
        </w:r>
        <w:r w:rsidR="0027599D">
          <w:rPr>
            <w:noProof/>
          </w:rPr>
        </w:r>
        <w:r w:rsidR="0027599D">
          <w:rPr>
            <w:noProof/>
          </w:rPr>
          <w:fldChar w:fldCharType="separate"/>
        </w:r>
        <w:r w:rsidR="00756E65">
          <w:rPr>
            <w:noProof/>
          </w:rPr>
          <w:t>123</w:t>
        </w:r>
        <w:r w:rsidR="0027599D">
          <w:rPr>
            <w:noProof/>
          </w:rPr>
          <w:fldChar w:fldCharType="end"/>
        </w:r>
      </w:hyperlink>
    </w:p>
    <w:p w14:paraId="33AF4941" w14:textId="760324D8" w:rsidR="009C2D86" w:rsidRDefault="00BA18F5">
      <w:pPr>
        <w:pStyle w:val="25"/>
        <w:rPr>
          <w:rFonts w:asciiTheme="minorHAnsi" w:eastAsiaTheme="minorEastAsia" w:hAnsiTheme="minorHAnsi" w:cstheme="minorBidi"/>
          <w:noProof/>
          <w:szCs w:val="22"/>
        </w:rPr>
      </w:pPr>
      <w:hyperlink w:anchor="_Toc48900090" w:history="1">
        <w:r w:rsidR="0027599D">
          <w:rPr>
            <w:rStyle w:val="afff2"/>
            <w:rFonts w:ascii="宋体" w:hAnsi="宋体"/>
            <w:noProof/>
          </w:rPr>
          <w:t>二十三、</w:t>
        </w:r>
        <w:r w:rsidR="0027599D">
          <w:rPr>
            <w:rFonts w:asciiTheme="minorHAnsi" w:eastAsiaTheme="minorEastAsia" w:hAnsiTheme="minorHAnsi" w:cstheme="minorBidi"/>
            <w:noProof/>
            <w:szCs w:val="22"/>
          </w:rPr>
          <w:tab/>
        </w:r>
        <w:r w:rsidR="0027599D">
          <w:rPr>
            <w:rStyle w:val="afff2"/>
            <w:rFonts w:ascii="宋体" w:hAnsi="宋体" w:cs="宋体"/>
            <w:noProof/>
          </w:rPr>
          <w:t>招募说明书存放及其查阅方式</w:t>
        </w:r>
        <w:r w:rsidR="0027599D">
          <w:rPr>
            <w:noProof/>
          </w:rPr>
          <w:tab/>
        </w:r>
        <w:r w:rsidR="0027599D">
          <w:rPr>
            <w:noProof/>
          </w:rPr>
          <w:fldChar w:fldCharType="begin"/>
        </w:r>
        <w:r w:rsidR="0027599D">
          <w:rPr>
            <w:noProof/>
          </w:rPr>
          <w:instrText xml:space="preserve"> PAGEREF _Toc48900090 \h </w:instrText>
        </w:r>
        <w:r w:rsidR="0027599D">
          <w:rPr>
            <w:noProof/>
          </w:rPr>
        </w:r>
        <w:r w:rsidR="0027599D">
          <w:rPr>
            <w:noProof/>
          </w:rPr>
          <w:fldChar w:fldCharType="separate"/>
        </w:r>
        <w:r w:rsidR="00756E65">
          <w:rPr>
            <w:noProof/>
          </w:rPr>
          <w:t>124</w:t>
        </w:r>
        <w:r w:rsidR="0027599D">
          <w:rPr>
            <w:noProof/>
          </w:rPr>
          <w:fldChar w:fldCharType="end"/>
        </w:r>
      </w:hyperlink>
    </w:p>
    <w:p w14:paraId="669A109D" w14:textId="55051BC5" w:rsidR="009C2D86" w:rsidRDefault="00BA18F5">
      <w:pPr>
        <w:pStyle w:val="25"/>
        <w:rPr>
          <w:rFonts w:asciiTheme="minorHAnsi" w:eastAsiaTheme="minorEastAsia" w:hAnsiTheme="minorHAnsi" w:cstheme="minorBidi"/>
          <w:noProof/>
          <w:szCs w:val="22"/>
        </w:rPr>
      </w:pPr>
      <w:hyperlink w:anchor="_Toc48900091" w:history="1">
        <w:r w:rsidR="0027599D">
          <w:rPr>
            <w:rStyle w:val="afff2"/>
            <w:rFonts w:ascii="宋体" w:hAnsi="宋体"/>
            <w:noProof/>
          </w:rPr>
          <w:t>二十四、</w:t>
        </w:r>
        <w:r w:rsidR="0027599D">
          <w:rPr>
            <w:rFonts w:asciiTheme="minorHAnsi" w:eastAsiaTheme="minorEastAsia" w:hAnsiTheme="minorHAnsi" w:cstheme="minorBidi"/>
            <w:noProof/>
            <w:szCs w:val="22"/>
          </w:rPr>
          <w:tab/>
        </w:r>
        <w:r w:rsidR="0027599D">
          <w:rPr>
            <w:rStyle w:val="afff2"/>
            <w:rFonts w:ascii="宋体" w:hAnsi="宋体" w:cs="宋体"/>
            <w:noProof/>
          </w:rPr>
          <w:t>备查文件</w:t>
        </w:r>
        <w:r w:rsidR="0027599D">
          <w:rPr>
            <w:noProof/>
          </w:rPr>
          <w:tab/>
        </w:r>
        <w:r w:rsidR="0027599D">
          <w:rPr>
            <w:noProof/>
          </w:rPr>
          <w:fldChar w:fldCharType="begin"/>
        </w:r>
        <w:r w:rsidR="0027599D">
          <w:rPr>
            <w:noProof/>
          </w:rPr>
          <w:instrText xml:space="preserve"> PAGEREF _Toc48900091 \h </w:instrText>
        </w:r>
        <w:r w:rsidR="0027599D">
          <w:rPr>
            <w:noProof/>
          </w:rPr>
        </w:r>
        <w:r w:rsidR="0027599D">
          <w:rPr>
            <w:noProof/>
          </w:rPr>
          <w:fldChar w:fldCharType="separate"/>
        </w:r>
        <w:r w:rsidR="00756E65">
          <w:rPr>
            <w:noProof/>
          </w:rPr>
          <w:t>125</w:t>
        </w:r>
        <w:r w:rsidR="0027599D">
          <w:rPr>
            <w:noProof/>
          </w:rPr>
          <w:fldChar w:fldCharType="end"/>
        </w:r>
      </w:hyperlink>
    </w:p>
    <w:p w14:paraId="3F7C343F" w14:textId="77777777" w:rsidR="009C2D86" w:rsidRDefault="0027599D">
      <w:pPr>
        <w:rPr>
          <w:rFonts w:cs="Times New Roman"/>
        </w:rPr>
      </w:pPr>
      <w:r>
        <w:fldChar w:fldCharType="end"/>
      </w:r>
    </w:p>
    <w:p w14:paraId="1AED2D3B" w14:textId="77777777" w:rsidR="009C2D86" w:rsidRDefault="009C2D86">
      <w:pPr>
        <w:jc w:val="center"/>
        <w:rPr>
          <w:rFonts w:cs="Times New Roman"/>
          <w:sz w:val="28"/>
          <w:szCs w:val="28"/>
        </w:rPr>
      </w:pPr>
    </w:p>
    <w:p w14:paraId="17ECE9D5" w14:textId="77777777" w:rsidR="009C2D86" w:rsidRDefault="0027599D">
      <w:pPr>
        <w:snapToGrid w:val="0"/>
        <w:spacing w:line="360" w:lineRule="auto"/>
        <w:jc w:val="center"/>
        <w:rPr>
          <w:rFonts w:ascii="宋体" w:cs="Times New Roman"/>
          <w:sz w:val="30"/>
          <w:szCs w:val="30"/>
        </w:rPr>
      </w:pPr>
      <w:r>
        <w:rPr>
          <w:rFonts w:ascii="宋体" w:cs="Times New Roman"/>
          <w:sz w:val="30"/>
          <w:szCs w:val="30"/>
        </w:rPr>
        <w:br w:type="page"/>
      </w:r>
    </w:p>
    <w:p w14:paraId="76D34919" w14:textId="77777777" w:rsidR="009C2D86" w:rsidRDefault="009C2D86">
      <w:pPr>
        <w:widowControl/>
        <w:jc w:val="left"/>
        <w:rPr>
          <w:rFonts w:ascii="宋体" w:cs="Times New Roman"/>
        </w:rPr>
      </w:pPr>
    </w:p>
    <w:p w14:paraId="22A8312E"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5" w:name="_Toc48900068"/>
      <w:bookmarkStart w:id="16" w:name="_Toc360793493"/>
      <w:bookmarkStart w:id="17" w:name="_Toc360794095"/>
      <w:bookmarkStart w:id="18" w:name="_Toc362455178"/>
      <w:bookmarkStart w:id="19" w:name="_Toc360794511"/>
      <w:bookmarkStart w:id="20" w:name="_Toc360794403"/>
      <w:bookmarkStart w:id="21" w:name="_Toc350789211"/>
      <w:bookmarkStart w:id="22" w:name="_Toc360793845"/>
      <w:bookmarkStart w:id="23" w:name="_Toc215629791"/>
      <w:bookmarkStart w:id="24" w:name="_Toc362533450"/>
      <w:bookmarkStart w:id="25" w:name="_Toc79132642"/>
      <w:bookmarkStart w:id="26" w:name="_Toc73936074"/>
      <w:bookmarkStart w:id="27" w:name="_Toc80103054"/>
      <w:bookmarkStart w:id="28" w:name="_Toc10604981"/>
      <w:bookmarkStart w:id="29" w:name="_Toc4917378"/>
      <w:bookmarkStart w:id="30" w:name="_Toc454720091"/>
      <w:r>
        <w:rPr>
          <w:rFonts w:ascii="宋体" w:eastAsia="宋体" w:hAnsi="宋体" w:cs="宋体" w:hint="eastAsia"/>
        </w:rPr>
        <w:t>绪言</w:t>
      </w:r>
      <w:bookmarkEnd w:id="15"/>
      <w:bookmarkEnd w:id="16"/>
      <w:bookmarkEnd w:id="17"/>
      <w:bookmarkEnd w:id="18"/>
      <w:bookmarkEnd w:id="19"/>
      <w:bookmarkEnd w:id="20"/>
      <w:bookmarkEnd w:id="21"/>
      <w:bookmarkEnd w:id="22"/>
      <w:bookmarkEnd w:id="23"/>
      <w:bookmarkEnd w:id="24"/>
    </w:p>
    <w:bookmarkEnd w:id="25"/>
    <w:bookmarkEnd w:id="26"/>
    <w:bookmarkEnd w:id="27"/>
    <w:p w14:paraId="2973772C" w14:textId="77777777" w:rsidR="009C2D86" w:rsidRDefault="009C2D86">
      <w:pPr>
        <w:adjustRightInd w:val="0"/>
        <w:snapToGrid w:val="0"/>
        <w:spacing w:line="360" w:lineRule="auto"/>
        <w:ind w:firstLine="539"/>
        <w:rPr>
          <w:rFonts w:ascii="宋体" w:cs="Times New Roman"/>
          <w:color w:val="000000"/>
        </w:rPr>
      </w:pPr>
    </w:p>
    <w:p w14:paraId="4DAF9512" w14:textId="5A59502E" w:rsidR="009C2D86" w:rsidRDefault="0027599D">
      <w:pPr>
        <w:adjustRightInd w:val="0"/>
        <w:snapToGrid w:val="0"/>
        <w:spacing w:line="360" w:lineRule="auto"/>
        <w:ind w:firstLineChars="200" w:firstLine="420"/>
        <w:rPr>
          <w:rFonts w:ascii="宋体" w:cs="Times New Roman"/>
          <w:color w:val="000000"/>
        </w:rPr>
      </w:pPr>
      <w:r>
        <w:rPr>
          <w:rFonts w:ascii="宋体" w:hAnsi="宋体" w:cs="宋体" w:hint="eastAsia"/>
          <w:color w:val="000000"/>
        </w:rPr>
        <w:t>本招募说明书依据《中华人民共和国民法典》、《中华人民共和国证券法》（以下简称“《证券法》”）、《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开放式证券投资基金流动性风险管理规定》（以下简称“《流动性风险管理规定》”）、《公开募集证券投资基金运作指引第2号——基金中基金指引》、《公开募集证券投资基金运作指引第3号——指数基金指引》（以下简称“《指数基金指引》”）和其他有关法律法规，以及</w:t>
      </w:r>
      <w:r>
        <w:rPr>
          <w:rFonts w:ascii="宋体" w:hAnsi="宋体" w:cs="宋体" w:hint="eastAsia"/>
        </w:rPr>
        <w:t>《</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cs="宋体" w:hint="eastAsia"/>
        </w:rPr>
        <w:t>基金合同</w:t>
      </w:r>
      <w:r>
        <w:rPr>
          <w:rFonts w:ascii="宋体" w:hAnsi="宋体" w:cs="宋体" w:hint="eastAsia"/>
          <w:color w:val="000000"/>
        </w:rPr>
        <w:t>》编写。</w:t>
      </w:r>
    </w:p>
    <w:p w14:paraId="63F6B552" w14:textId="77777777" w:rsidR="009C2D86" w:rsidRDefault="0027599D">
      <w:pPr>
        <w:adjustRightInd w:val="0"/>
        <w:snapToGrid w:val="0"/>
        <w:spacing w:line="360" w:lineRule="auto"/>
        <w:ind w:firstLineChars="200" w:firstLine="420"/>
        <w:rPr>
          <w:rFonts w:ascii="宋体" w:cs="Times New Roman"/>
          <w:color w:val="000000"/>
        </w:rPr>
      </w:pPr>
      <w:r>
        <w:rPr>
          <w:rFonts w:ascii="宋体" w:hAnsi="宋体" w:cs="宋体" w:hint="eastAsia"/>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w:t>
      </w:r>
      <w:r>
        <w:rPr>
          <w:rFonts w:ascii="宋体" w:cs="宋体"/>
        </w:rPr>
        <w:t>，</w:t>
      </w:r>
      <w:r>
        <w:rPr>
          <w:rFonts w:ascii="宋体" w:hAnsi="宋体" w:cs="宋体" w:hint="eastAsia"/>
        </w:rPr>
        <w:t>或对本招募说明书作任何解释或者说明</w:t>
      </w:r>
      <w:r>
        <w:rPr>
          <w:rFonts w:ascii="宋体" w:hAnsi="宋体" w:cs="宋体" w:hint="eastAsia"/>
          <w:color w:val="000000"/>
        </w:rPr>
        <w:t>。</w:t>
      </w:r>
    </w:p>
    <w:p w14:paraId="0A96E635" w14:textId="77777777" w:rsidR="009C2D86" w:rsidRDefault="0027599D">
      <w:pPr>
        <w:adjustRightInd w:val="0"/>
        <w:snapToGrid w:val="0"/>
        <w:spacing w:line="360" w:lineRule="auto"/>
        <w:ind w:firstLineChars="200" w:firstLine="420"/>
        <w:rPr>
          <w:rFonts w:ascii="宋体" w:hAnsi="宋体" w:cs="宋体"/>
          <w:color w:val="000000"/>
        </w:rPr>
      </w:pPr>
      <w:r>
        <w:rPr>
          <w:rFonts w:ascii="宋体" w:hAnsi="宋体" w:cs="宋体" w:hint="eastAsia"/>
        </w:rPr>
        <w:t>本招募说明书根据本基金的基金合同编写，并经中国证监会注册。基金合同是约定基金当事人之间权利、义务的法律文件。基金投资人自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r>
        <w:rPr>
          <w:rFonts w:ascii="宋体" w:hAnsi="宋体" w:cs="宋体" w:hint="eastAsia"/>
          <w:color w:val="000000"/>
        </w:rPr>
        <w:t>。</w:t>
      </w:r>
    </w:p>
    <w:p w14:paraId="5A0A2371" w14:textId="77777777" w:rsidR="009C2D86" w:rsidRDefault="0027599D">
      <w:pPr>
        <w:adjustRightInd w:val="0"/>
        <w:snapToGrid w:val="0"/>
        <w:spacing w:line="360" w:lineRule="auto"/>
        <w:ind w:firstLineChars="200" w:firstLine="420"/>
        <w:rPr>
          <w:rFonts w:ascii="宋体" w:cs="Times New Roman"/>
          <w:color w:val="000000"/>
        </w:rPr>
      </w:pPr>
      <w:r>
        <w:rPr>
          <w:rFonts w:ascii="宋体" w:cs="Times New Roman" w:hint="eastAsia"/>
          <w:color w:val="000000"/>
        </w:rPr>
        <w:t>本基金按照中国法律法规成立并运作，若基金合同、招募说明书的内容与届时有效的法律法规的强制性规定不一致，应当以届时有效的法律法规的规定为准。</w:t>
      </w:r>
    </w:p>
    <w:p w14:paraId="51FE9BFD" w14:textId="77777777" w:rsidR="009C2D86" w:rsidRDefault="009C2D86">
      <w:pPr>
        <w:snapToGrid w:val="0"/>
        <w:spacing w:line="360" w:lineRule="auto"/>
        <w:ind w:firstLineChars="200" w:firstLine="420"/>
        <w:rPr>
          <w:rFonts w:ascii="宋体" w:cs="Times New Roman"/>
          <w:color w:val="000000"/>
        </w:rPr>
      </w:pPr>
    </w:p>
    <w:p w14:paraId="2FB30F01" w14:textId="77777777" w:rsidR="009C2D86" w:rsidRDefault="0027599D">
      <w:pPr>
        <w:pStyle w:val="ab"/>
        <w:snapToGrid w:val="0"/>
        <w:spacing w:line="360" w:lineRule="auto"/>
        <w:ind w:firstLineChars="200"/>
        <w:rPr>
          <w:rFonts w:ascii="宋体"/>
          <w:color w:val="000000"/>
        </w:rPr>
      </w:pPr>
      <w:r>
        <w:rPr>
          <w:rFonts w:ascii="宋体"/>
          <w:color w:val="000000"/>
        </w:rPr>
        <w:br w:type="page"/>
      </w:r>
    </w:p>
    <w:p w14:paraId="035367E4"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31" w:name="_Toc360793494"/>
      <w:bookmarkStart w:id="32" w:name="_Toc360794512"/>
      <w:bookmarkStart w:id="33" w:name="_Toc360794404"/>
      <w:bookmarkStart w:id="34" w:name="_Toc48900069"/>
      <w:bookmarkStart w:id="35" w:name="_Toc362533451"/>
      <w:bookmarkStart w:id="36" w:name="_Toc360793846"/>
      <w:bookmarkStart w:id="37" w:name="_Toc360794096"/>
      <w:bookmarkStart w:id="38" w:name="_Toc362455179"/>
      <w:r>
        <w:rPr>
          <w:rFonts w:ascii="宋体" w:eastAsia="宋体" w:hAnsi="宋体" w:cs="宋体" w:hint="eastAsia"/>
        </w:rPr>
        <w:t>释义</w:t>
      </w:r>
      <w:bookmarkEnd w:id="31"/>
      <w:bookmarkEnd w:id="32"/>
      <w:bookmarkEnd w:id="33"/>
      <w:bookmarkEnd w:id="34"/>
      <w:bookmarkEnd w:id="35"/>
      <w:bookmarkEnd w:id="36"/>
      <w:bookmarkEnd w:id="37"/>
      <w:bookmarkEnd w:id="38"/>
    </w:p>
    <w:p w14:paraId="31C55718" w14:textId="77777777" w:rsidR="009C2D86" w:rsidRDefault="009C2D86">
      <w:pPr>
        <w:snapToGrid w:val="0"/>
        <w:spacing w:line="360" w:lineRule="auto"/>
        <w:ind w:firstLineChars="200" w:firstLine="420"/>
        <w:rPr>
          <w:rFonts w:ascii="宋体" w:cs="Times New Roman"/>
          <w:color w:val="000000"/>
        </w:rPr>
      </w:pPr>
    </w:p>
    <w:p w14:paraId="7AAAEF36" w14:textId="77777777" w:rsidR="009C2D86" w:rsidRDefault="0027599D">
      <w:pPr>
        <w:snapToGrid w:val="0"/>
        <w:spacing w:line="360" w:lineRule="auto"/>
        <w:ind w:firstLineChars="200" w:firstLine="420"/>
        <w:rPr>
          <w:rFonts w:ascii="宋体" w:cs="Times New Roman"/>
        </w:rPr>
      </w:pPr>
      <w:bookmarkStart w:id="39" w:name="_Hlk496537677"/>
      <w:r>
        <w:rPr>
          <w:rFonts w:ascii="宋体" w:hAnsi="宋体" w:cs="宋体" w:hint="eastAsia"/>
        </w:rPr>
        <w:t>在本招募说明书中，除非文意另有所指，下列词语或简称具有如下含义：</w:t>
      </w:r>
    </w:p>
    <w:p w14:paraId="0AA7E401" w14:textId="740D16B7" w:rsidR="009C2D86" w:rsidRDefault="0027599D">
      <w:pPr>
        <w:snapToGrid w:val="0"/>
        <w:spacing w:line="360" w:lineRule="auto"/>
        <w:ind w:firstLineChars="200" w:firstLine="420"/>
        <w:rPr>
          <w:rFonts w:ascii="宋体" w:hAnsi="宋体"/>
          <w:bCs/>
        </w:rPr>
      </w:pPr>
      <w:r>
        <w:rPr>
          <w:rFonts w:ascii="宋体" w:hAnsi="宋体" w:hint="eastAsia"/>
          <w:bCs/>
        </w:rPr>
        <w:t>1、基金或本基金：指</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p>
    <w:p w14:paraId="65E2B7BA" w14:textId="77777777" w:rsidR="009C2D86" w:rsidRDefault="0027599D">
      <w:pPr>
        <w:snapToGrid w:val="0"/>
        <w:spacing w:line="360" w:lineRule="auto"/>
        <w:ind w:firstLineChars="200" w:firstLine="420"/>
        <w:rPr>
          <w:rFonts w:ascii="宋体" w:hAnsi="宋体"/>
          <w:bCs/>
        </w:rPr>
      </w:pPr>
      <w:r>
        <w:rPr>
          <w:rFonts w:ascii="宋体" w:hAnsi="宋体" w:hint="eastAsia"/>
          <w:bCs/>
        </w:rPr>
        <w:t>2、基金管理人：指南方基金管理股份有限公司</w:t>
      </w:r>
    </w:p>
    <w:p w14:paraId="45AF51B5" w14:textId="352D5029" w:rsidR="009C2D86" w:rsidRDefault="0027599D">
      <w:pPr>
        <w:snapToGrid w:val="0"/>
        <w:spacing w:line="360" w:lineRule="auto"/>
        <w:ind w:firstLineChars="200" w:firstLine="420"/>
        <w:rPr>
          <w:rFonts w:ascii="宋体" w:hAnsi="宋体"/>
          <w:bCs/>
        </w:rPr>
      </w:pPr>
      <w:r>
        <w:rPr>
          <w:rFonts w:ascii="宋体" w:hAnsi="宋体" w:hint="eastAsia"/>
          <w:bCs/>
        </w:rPr>
        <w:t>3、基金托管人：指</w:t>
      </w:r>
      <w:r w:rsidR="001A3FE9">
        <w:rPr>
          <w:rFonts w:ascii="宋体" w:hAnsi="宋体" w:hint="eastAsia"/>
          <w:bCs/>
        </w:rPr>
        <w:t>中国建设银行</w:t>
      </w:r>
      <w:r w:rsidR="00434B77">
        <w:rPr>
          <w:rFonts w:ascii="宋体" w:hAnsi="宋体" w:hint="eastAsia"/>
          <w:bCs/>
        </w:rPr>
        <w:t>股份有限公司</w:t>
      </w:r>
    </w:p>
    <w:p w14:paraId="71DE5F3F" w14:textId="2475F5DB" w:rsidR="009C2D86" w:rsidRDefault="0027599D">
      <w:pPr>
        <w:snapToGrid w:val="0"/>
        <w:spacing w:line="360" w:lineRule="auto"/>
        <w:ind w:firstLineChars="200" w:firstLine="420"/>
        <w:rPr>
          <w:rFonts w:ascii="宋体" w:hAnsi="宋体"/>
          <w:bCs/>
        </w:rPr>
      </w:pPr>
      <w:r>
        <w:rPr>
          <w:rFonts w:ascii="宋体" w:hAnsi="宋体" w:hint="eastAsia"/>
          <w:bCs/>
        </w:rPr>
        <w:t>4、基金合同：指《</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hint="eastAsia"/>
          <w:bCs/>
        </w:rPr>
        <w:t>基金合同》及对基金合同的任何有效修订和补充</w:t>
      </w:r>
    </w:p>
    <w:p w14:paraId="7AF8F390" w14:textId="3E975026" w:rsidR="009C2D86" w:rsidRDefault="0027599D">
      <w:pPr>
        <w:snapToGrid w:val="0"/>
        <w:spacing w:line="360" w:lineRule="auto"/>
        <w:ind w:firstLineChars="200" w:firstLine="420"/>
        <w:rPr>
          <w:rFonts w:ascii="宋体" w:hAnsi="宋体"/>
          <w:bCs/>
        </w:rPr>
      </w:pPr>
      <w:r>
        <w:rPr>
          <w:rFonts w:ascii="宋体" w:hAnsi="宋体" w:hint="eastAsia"/>
          <w:bCs/>
        </w:rPr>
        <w:t>5、托管协议：指基金管理人与基金托管人就本基金签订之《</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hint="eastAsia"/>
          <w:bCs/>
        </w:rPr>
        <w:t>托管协议》及对该托管协议的任何有效修订和补充</w:t>
      </w:r>
    </w:p>
    <w:p w14:paraId="3BA4C8EF" w14:textId="3A902F91" w:rsidR="009C2D86" w:rsidRDefault="0027599D">
      <w:pPr>
        <w:snapToGrid w:val="0"/>
        <w:spacing w:line="360" w:lineRule="auto"/>
        <w:ind w:firstLineChars="200" w:firstLine="420"/>
        <w:rPr>
          <w:rFonts w:ascii="宋体" w:hAnsi="宋体"/>
          <w:bCs/>
        </w:rPr>
      </w:pPr>
      <w:r>
        <w:rPr>
          <w:rFonts w:ascii="宋体" w:hAnsi="宋体" w:hint="eastAsia"/>
          <w:bCs/>
        </w:rPr>
        <w:t>6、招募说明书或本招募说明书：指《</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hint="eastAsia"/>
          <w:bCs/>
        </w:rPr>
        <w:t>招募说明书》及其更新</w:t>
      </w:r>
    </w:p>
    <w:p w14:paraId="3BBD48C6" w14:textId="140F6CFA" w:rsidR="009C2D86" w:rsidRDefault="0027599D">
      <w:pPr>
        <w:snapToGrid w:val="0"/>
        <w:spacing w:line="360" w:lineRule="auto"/>
        <w:ind w:firstLineChars="200" w:firstLine="420"/>
        <w:rPr>
          <w:rFonts w:ascii="宋体" w:hAnsi="宋体"/>
          <w:bCs/>
        </w:rPr>
      </w:pPr>
      <w:r>
        <w:rPr>
          <w:rFonts w:ascii="宋体" w:hAnsi="宋体" w:hint="eastAsia"/>
          <w:bCs/>
        </w:rPr>
        <w:t>7、基金产品资料概要：指《</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hint="eastAsia"/>
          <w:bCs/>
        </w:rPr>
        <w:t>基金产品资料概要》及其更新</w:t>
      </w:r>
    </w:p>
    <w:p w14:paraId="679DA680" w14:textId="284AE1EB" w:rsidR="009C2D86" w:rsidRDefault="0027599D">
      <w:pPr>
        <w:snapToGrid w:val="0"/>
        <w:spacing w:line="360" w:lineRule="auto"/>
        <w:ind w:firstLineChars="200" w:firstLine="420"/>
        <w:rPr>
          <w:rFonts w:ascii="宋体" w:hAnsi="宋体"/>
          <w:bCs/>
        </w:rPr>
      </w:pPr>
      <w:r>
        <w:rPr>
          <w:rFonts w:ascii="宋体" w:hAnsi="宋体" w:hint="eastAsia"/>
          <w:bCs/>
        </w:rPr>
        <w:t>8、基金份额发售公告：指《</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hint="eastAsia"/>
          <w:bCs/>
        </w:rPr>
        <w:t>基金份额发售公告》</w:t>
      </w:r>
    </w:p>
    <w:p w14:paraId="26095CC9" w14:textId="77777777" w:rsidR="009C2D86" w:rsidRDefault="0027599D">
      <w:pPr>
        <w:snapToGrid w:val="0"/>
        <w:spacing w:line="360" w:lineRule="auto"/>
        <w:ind w:firstLineChars="200" w:firstLine="420"/>
        <w:rPr>
          <w:rFonts w:ascii="宋体" w:hAnsi="宋体"/>
          <w:bCs/>
        </w:rPr>
      </w:pPr>
      <w:r>
        <w:rPr>
          <w:rFonts w:ascii="宋体" w:hAnsi="宋体" w:hint="eastAsia"/>
          <w:bCs/>
        </w:rPr>
        <w:t>9、法律法规：指中国现行有效并公布实施的法律、行政法规、规范性文件、司法解释、行政规章以及其他对基金合同当事人有约束力的决定、决议、通知等</w:t>
      </w:r>
    </w:p>
    <w:p w14:paraId="50394E28" w14:textId="77777777" w:rsidR="009C2D86" w:rsidRDefault="0027599D">
      <w:pPr>
        <w:snapToGrid w:val="0"/>
        <w:spacing w:line="360" w:lineRule="auto"/>
        <w:ind w:firstLineChars="200" w:firstLine="420"/>
        <w:rPr>
          <w:rFonts w:ascii="宋体" w:hAnsi="宋体"/>
          <w:bCs/>
        </w:rPr>
      </w:pPr>
      <w:r>
        <w:rPr>
          <w:rFonts w:ascii="宋体" w:hAnsi="宋体" w:hint="eastAsia"/>
          <w:bCs/>
        </w:rPr>
        <w:t>10、《证券法》：指1998年12月29日经第九届全国人民代表大会常务委员会第六次会议通过，经2004年8月28日第十届全国人民代表大会常务委员会第十一次会议《关于修改〈中华人民共和国证券法〉的决定》第一次修正，经2005年10月27日第十届全国人民代表大会常务委员会第十八次会议第一次修订，经2013年6月29日第十二届全国人民代表大会常务委员会第三次会议《关于修改〈中华人民共和国文物保护法〉等十二部法律的决定》第二次修正，经2014年8月31日第十二届全国人民代表大会常务委员会第十次会议《关于修改〈中华人民共和国保险法〉等五部法律的决定》第三次修正，并经2019年12月28日第十三届全国人民代表大会常务委员会第十五次会议第二次修订的《中华人民共和国证券法》及颁布机关对其不时做出的修订</w:t>
      </w:r>
    </w:p>
    <w:p w14:paraId="417824C8" w14:textId="77777777" w:rsidR="009C2D86" w:rsidRDefault="0027599D">
      <w:pPr>
        <w:snapToGrid w:val="0"/>
        <w:spacing w:line="360" w:lineRule="auto"/>
        <w:ind w:firstLineChars="200" w:firstLine="420"/>
        <w:rPr>
          <w:rFonts w:ascii="宋体" w:hAnsi="宋体"/>
          <w:bCs/>
        </w:rPr>
      </w:pPr>
      <w:r>
        <w:rPr>
          <w:rFonts w:ascii="宋体" w:hAnsi="宋体" w:hint="eastAsia"/>
          <w:bCs/>
        </w:rPr>
        <w:t>11、《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3927D4BD" w14:textId="77777777" w:rsidR="009C2D86" w:rsidRDefault="0027599D">
      <w:pPr>
        <w:snapToGrid w:val="0"/>
        <w:spacing w:line="360" w:lineRule="auto"/>
        <w:ind w:firstLineChars="200" w:firstLine="420"/>
        <w:rPr>
          <w:rFonts w:ascii="宋体" w:hAnsi="宋体"/>
          <w:bCs/>
        </w:rPr>
      </w:pPr>
      <w:r>
        <w:rPr>
          <w:rFonts w:ascii="宋体" w:hAnsi="宋体" w:hint="eastAsia"/>
          <w:bCs/>
        </w:rPr>
        <w:t>12、《销售办法》：指中国证监会2020年8月28日颁布、同年10月1日实施的《公开募集证券投资基金销售机构监督管理办法》及颁布机关对其不时做出的修订</w:t>
      </w:r>
    </w:p>
    <w:p w14:paraId="48192675" w14:textId="77777777" w:rsidR="009C2D86" w:rsidRDefault="0027599D">
      <w:pPr>
        <w:snapToGrid w:val="0"/>
        <w:spacing w:line="360" w:lineRule="auto"/>
        <w:ind w:firstLineChars="200" w:firstLine="420"/>
        <w:rPr>
          <w:rFonts w:ascii="宋体" w:hAnsi="宋体"/>
          <w:bCs/>
        </w:rPr>
      </w:pPr>
      <w:r>
        <w:rPr>
          <w:rFonts w:ascii="宋体" w:hAnsi="宋体" w:hint="eastAsia"/>
          <w:bCs/>
        </w:rPr>
        <w:t>13、《信息披露办法》：指中国证监会2019年7月26日颁布、同年9月1日实施的，并经2020年3月20日中国证监会《关于修改部分证券期货规章的决定》修正的《公开募集证券投资基金信息披露管理办法》及颁布机关对其不时做出的修订</w:t>
      </w:r>
    </w:p>
    <w:p w14:paraId="07E54181" w14:textId="77777777" w:rsidR="009C2D86" w:rsidRDefault="0027599D">
      <w:pPr>
        <w:snapToGrid w:val="0"/>
        <w:spacing w:line="360" w:lineRule="auto"/>
        <w:ind w:firstLineChars="200" w:firstLine="420"/>
        <w:rPr>
          <w:rFonts w:ascii="宋体" w:hAnsi="宋体"/>
          <w:bCs/>
        </w:rPr>
      </w:pPr>
      <w:r>
        <w:rPr>
          <w:rFonts w:ascii="宋体" w:hAnsi="宋体" w:hint="eastAsia"/>
          <w:bCs/>
        </w:rPr>
        <w:t>14、《运作办法》：指中国证监会2014年7月7日颁布、同年8月8日实施的《公开募集证券投资基金运作管理办法》及颁布机关对其不时做出的修订</w:t>
      </w:r>
    </w:p>
    <w:p w14:paraId="010EB407" w14:textId="77777777" w:rsidR="009C2D86" w:rsidRDefault="0027599D">
      <w:pPr>
        <w:snapToGrid w:val="0"/>
        <w:spacing w:line="360" w:lineRule="auto"/>
        <w:ind w:firstLineChars="200" w:firstLine="420"/>
        <w:rPr>
          <w:rFonts w:ascii="宋体" w:hAnsi="宋体"/>
          <w:bCs/>
        </w:rPr>
      </w:pPr>
      <w:r>
        <w:rPr>
          <w:rFonts w:ascii="宋体" w:hAnsi="宋体" w:hint="eastAsia"/>
          <w:bCs/>
        </w:rPr>
        <w:t>15、《流动性风险管理规定》：指中国证监会2017年8月31日颁布、同年10月1日实施的《公开募集开放式证券投资基金流动性风险管理规定》及颁布机关对其不时做出的修订</w:t>
      </w:r>
    </w:p>
    <w:p w14:paraId="2C1D32EE" w14:textId="77777777" w:rsidR="009C2D86" w:rsidRDefault="0027599D">
      <w:pPr>
        <w:snapToGrid w:val="0"/>
        <w:spacing w:line="360" w:lineRule="auto"/>
        <w:ind w:firstLineChars="200" w:firstLine="420"/>
        <w:rPr>
          <w:rFonts w:ascii="宋体" w:hAnsi="宋体"/>
          <w:bCs/>
        </w:rPr>
      </w:pPr>
      <w:r>
        <w:rPr>
          <w:rFonts w:ascii="宋体" w:hAnsi="宋体" w:hint="eastAsia"/>
          <w:bCs/>
        </w:rPr>
        <w:t>16、《指数基金指引》：指中国证监会2021年1月22日颁布、同年2月1日实施的《公开募集证券投资基金运作指引第3号——指数基金指引》及颁布机关对其不时做出的修订</w:t>
      </w:r>
    </w:p>
    <w:p w14:paraId="7737ABC0" w14:textId="77777777" w:rsidR="009C2D86" w:rsidRDefault="0027599D">
      <w:pPr>
        <w:snapToGrid w:val="0"/>
        <w:spacing w:line="360" w:lineRule="auto"/>
        <w:ind w:firstLineChars="200" w:firstLine="420"/>
        <w:rPr>
          <w:rFonts w:ascii="宋体" w:hAnsi="宋体"/>
          <w:bCs/>
        </w:rPr>
      </w:pPr>
      <w:r>
        <w:rPr>
          <w:rFonts w:ascii="宋体" w:hAnsi="宋体" w:hint="eastAsia"/>
          <w:bCs/>
        </w:rPr>
        <w:t>1</w:t>
      </w:r>
      <w:r>
        <w:rPr>
          <w:rFonts w:ascii="宋体" w:hAnsi="宋体"/>
          <w:bCs/>
        </w:rPr>
        <w:t>7</w:t>
      </w:r>
      <w:r>
        <w:rPr>
          <w:rFonts w:ascii="宋体" w:hAnsi="宋体" w:hint="eastAsia"/>
          <w:bCs/>
        </w:rPr>
        <w:t>、中国证监会：指中国证券监督管理委员会</w:t>
      </w:r>
    </w:p>
    <w:p w14:paraId="2DC4E18B" w14:textId="77777777" w:rsidR="009C2D86" w:rsidRDefault="0027599D">
      <w:pPr>
        <w:snapToGrid w:val="0"/>
        <w:spacing w:line="360" w:lineRule="auto"/>
        <w:ind w:firstLineChars="200" w:firstLine="420"/>
        <w:rPr>
          <w:rFonts w:ascii="宋体" w:hAnsi="宋体"/>
          <w:bCs/>
        </w:rPr>
      </w:pPr>
      <w:r>
        <w:rPr>
          <w:rFonts w:ascii="宋体" w:hAnsi="宋体" w:hint="eastAsia"/>
          <w:bCs/>
        </w:rPr>
        <w:t>1</w:t>
      </w:r>
      <w:r>
        <w:rPr>
          <w:rFonts w:ascii="宋体" w:hAnsi="宋体"/>
          <w:bCs/>
        </w:rPr>
        <w:t>8</w:t>
      </w:r>
      <w:r>
        <w:rPr>
          <w:rFonts w:ascii="宋体" w:hAnsi="宋体" w:hint="eastAsia"/>
          <w:bCs/>
        </w:rPr>
        <w:t>、银行业监督管理机构：指中国人民银行和/或国家金融监督管理总局</w:t>
      </w:r>
    </w:p>
    <w:p w14:paraId="750D6C3B" w14:textId="77777777" w:rsidR="009C2D86" w:rsidRDefault="0027599D">
      <w:pPr>
        <w:snapToGrid w:val="0"/>
        <w:spacing w:line="360" w:lineRule="auto"/>
        <w:ind w:firstLineChars="200" w:firstLine="420"/>
        <w:rPr>
          <w:rFonts w:ascii="宋体" w:hAnsi="宋体"/>
          <w:bCs/>
        </w:rPr>
      </w:pPr>
      <w:r>
        <w:rPr>
          <w:rFonts w:ascii="宋体" w:hAnsi="宋体" w:hint="eastAsia"/>
          <w:bCs/>
        </w:rPr>
        <w:t>1</w:t>
      </w:r>
      <w:r>
        <w:rPr>
          <w:rFonts w:ascii="宋体" w:hAnsi="宋体"/>
          <w:bCs/>
        </w:rPr>
        <w:t>9</w:t>
      </w:r>
      <w:r>
        <w:rPr>
          <w:rFonts w:ascii="宋体" w:hAnsi="宋体" w:hint="eastAsia"/>
          <w:bCs/>
        </w:rPr>
        <w:t>、基金合同当事人：指受基金合同约束，根据基金合同享有权利并承担义务的法律主体，包括基金管理人、基金托管人和基金份额持有人</w:t>
      </w:r>
    </w:p>
    <w:p w14:paraId="1EFE125D" w14:textId="77777777" w:rsidR="009C2D86" w:rsidRDefault="0027599D">
      <w:pPr>
        <w:snapToGrid w:val="0"/>
        <w:spacing w:line="360" w:lineRule="auto"/>
        <w:ind w:firstLineChars="200" w:firstLine="420"/>
        <w:rPr>
          <w:rFonts w:ascii="宋体" w:hAnsi="宋体"/>
          <w:bCs/>
        </w:rPr>
      </w:pPr>
      <w:r>
        <w:rPr>
          <w:rFonts w:ascii="宋体" w:hAnsi="宋体"/>
          <w:bCs/>
        </w:rPr>
        <w:t>20</w:t>
      </w:r>
      <w:r>
        <w:rPr>
          <w:rFonts w:ascii="宋体" w:hAnsi="宋体" w:hint="eastAsia"/>
          <w:bCs/>
        </w:rPr>
        <w:t>、个人投资者：指依据有关法律法规规定可投资于证券投资基金的自然人</w:t>
      </w:r>
    </w:p>
    <w:p w14:paraId="1413483D"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1</w:t>
      </w:r>
      <w:r>
        <w:rPr>
          <w:rFonts w:ascii="宋体" w:hAnsi="宋体" w:hint="eastAsia"/>
          <w:bCs/>
        </w:rPr>
        <w:t>、机构投资者：指依法可以投资证券投资基金的、在中华人民共和国境内合法登记并存续或经有关政府部门批准设立并存续的企业法人、事业法人、社会团体或其他组织</w:t>
      </w:r>
    </w:p>
    <w:p w14:paraId="42C70674"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2</w:t>
      </w:r>
      <w:r>
        <w:rPr>
          <w:rFonts w:ascii="宋体" w:hAnsi="宋体" w:hint="eastAsia"/>
          <w:bCs/>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684F761E"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3</w:t>
      </w:r>
      <w:r>
        <w:rPr>
          <w:rFonts w:ascii="宋体" w:hAnsi="宋体" w:hint="eastAsia"/>
          <w:bCs/>
        </w:rPr>
        <w:t>、投资人、投资者：指个人投资者、机构投资者、合格境外投资者以及法律法规或中国证监会允许购买证券投资基金的其他投资人的合称</w:t>
      </w:r>
    </w:p>
    <w:p w14:paraId="4B733EE7"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4</w:t>
      </w:r>
      <w:r>
        <w:rPr>
          <w:rFonts w:ascii="宋体" w:hAnsi="宋体" w:hint="eastAsia"/>
          <w:bCs/>
        </w:rPr>
        <w:t>、基金份额持有人：指依基金合同和招募说明书合法取得基金份额的投资人</w:t>
      </w:r>
    </w:p>
    <w:p w14:paraId="1F41143D"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5</w:t>
      </w:r>
      <w:r>
        <w:rPr>
          <w:rFonts w:ascii="宋体" w:hAnsi="宋体" w:hint="eastAsia"/>
          <w:bCs/>
        </w:rPr>
        <w:t>、交易型开放式证券投资基金：指《中国证券登记结算有限责任公司关于交易所交易型开放式证券投资基金登记结算业务实施细则》定义的“交易型开放式证券投资基金”，简称ETF</w:t>
      </w:r>
    </w:p>
    <w:p w14:paraId="1EB2265A"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6</w:t>
      </w:r>
      <w:r>
        <w:rPr>
          <w:rFonts w:ascii="宋体" w:hAnsi="宋体" w:hint="eastAsia"/>
          <w:bCs/>
        </w:rPr>
        <w:t>、ETF联接基金：指将其绝大部分基金财产投资于跟踪同一标的指数的ETF（以下简称目标ETF），紧密跟踪标的指数表现，追求跟踪偏离度和跟踪误差最小化，采用开放式运作方式的基金，简称联接基金</w:t>
      </w:r>
    </w:p>
    <w:p w14:paraId="33761B65"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7</w:t>
      </w:r>
      <w:r>
        <w:rPr>
          <w:rFonts w:ascii="宋体" w:hAnsi="宋体" w:hint="eastAsia"/>
          <w:bCs/>
        </w:rPr>
        <w:t>、基金销售业务：指基金管理人或销售机构宣传推介基金，发售基金份额，办理基金份额的申购、赎回、转换、转托管及定投等业务</w:t>
      </w:r>
    </w:p>
    <w:p w14:paraId="5505BD38"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8</w:t>
      </w:r>
      <w:r>
        <w:rPr>
          <w:rFonts w:ascii="宋体" w:hAnsi="宋体" w:hint="eastAsia"/>
          <w:bCs/>
        </w:rPr>
        <w:t>、销售机构：指南方基金管理股份有限公司以及符合《销售办法》和中国证监会规定的其他条件，取得基金销售业务资格并与基金管理人签订了基金销售服务协议，办理基金销售业务的机构</w:t>
      </w:r>
    </w:p>
    <w:p w14:paraId="5838EAC7" w14:textId="77777777" w:rsidR="009C2D86" w:rsidRDefault="0027599D">
      <w:pPr>
        <w:snapToGrid w:val="0"/>
        <w:spacing w:line="360" w:lineRule="auto"/>
        <w:ind w:firstLineChars="200" w:firstLine="420"/>
        <w:rPr>
          <w:rFonts w:ascii="宋体" w:hAnsi="宋体"/>
          <w:bCs/>
        </w:rPr>
      </w:pPr>
      <w:r>
        <w:rPr>
          <w:rFonts w:ascii="宋体" w:hAnsi="宋体" w:hint="eastAsia"/>
          <w:bCs/>
        </w:rPr>
        <w:t>2</w:t>
      </w:r>
      <w:r>
        <w:rPr>
          <w:rFonts w:ascii="宋体" w:hAnsi="宋体"/>
          <w:bCs/>
        </w:rPr>
        <w:t>9</w:t>
      </w:r>
      <w:r>
        <w:rPr>
          <w:rFonts w:ascii="宋体" w:hAnsi="宋体" w:hint="eastAsia"/>
          <w:bCs/>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1A93C18B" w14:textId="77777777" w:rsidR="009C2D86" w:rsidRDefault="0027599D">
      <w:pPr>
        <w:snapToGrid w:val="0"/>
        <w:spacing w:line="360" w:lineRule="auto"/>
        <w:ind w:firstLineChars="200" w:firstLine="420"/>
        <w:rPr>
          <w:rFonts w:ascii="宋体" w:hAnsi="宋体"/>
          <w:bCs/>
        </w:rPr>
      </w:pPr>
      <w:r>
        <w:rPr>
          <w:rFonts w:ascii="宋体" w:hAnsi="宋体"/>
          <w:bCs/>
        </w:rPr>
        <w:t>30</w:t>
      </w:r>
      <w:r>
        <w:rPr>
          <w:rFonts w:ascii="宋体" w:hAnsi="宋体" w:hint="eastAsia"/>
          <w:bCs/>
        </w:rPr>
        <w:t>、登记机构：指办理登记业务的机构。基金的登记机构为南方基金管理股份有限公司或接受南方基金管理股份有限公司委托代为办理登记业务的机构，本基金的登记机构为南方基金管理股份有限公司</w:t>
      </w:r>
    </w:p>
    <w:p w14:paraId="31749E87"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1</w:t>
      </w:r>
      <w:r>
        <w:rPr>
          <w:rFonts w:ascii="宋体" w:hAnsi="宋体" w:hint="eastAsia"/>
          <w:bCs/>
        </w:rPr>
        <w:t>、基金账户：指登记机构为投资人开立的、记录其持有的、基金管理人所管理的基金份额余额及其变动情况的账户</w:t>
      </w:r>
    </w:p>
    <w:p w14:paraId="61F28140"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2</w:t>
      </w:r>
      <w:r>
        <w:rPr>
          <w:rFonts w:ascii="宋体" w:hAnsi="宋体" w:hint="eastAsia"/>
          <w:bCs/>
        </w:rPr>
        <w:t>、基金交易账户：指销售机构为投资人开立的、记录投资人通过该销售机构办理基金业务而引起的基金份额变动及结余情况的账户</w:t>
      </w:r>
    </w:p>
    <w:p w14:paraId="2F5556C8"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3</w:t>
      </w:r>
      <w:r>
        <w:rPr>
          <w:rFonts w:ascii="宋体" w:hAnsi="宋体" w:hint="eastAsia"/>
          <w:bCs/>
        </w:rPr>
        <w:t>、基金合同生效日：指基金募集达到法律法规规定及基金合同规定的条件，基金管理人向中国证监会办理基金备案手续完毕，并获得中国证监会书面确认的日期</w:t>
      </w:r>
    </w:p>
    <w:p w14:paraId="77EF0B06"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4</w:t>
      </w:r>
      <w:r>
        <w:rPr>
          <w:rFonts w:ascii="宋体" w:hAnsi="宋体" w:hint="eastAsia"/>
          <w:bCs/>
        </w:rPr>
        <w:t>、基金合同终止日：指基金合同规定的基金合同终止事由出现后，基金财产清算完毕，清算结果报中国证监会备案并予以公告的日期</w:t>
      </w:r>
    </w:p>
    <w:p w14:paraId="2886D340"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5</w:t>
      </w:r>
      <w:r>
        <w:rPr>
          <w:rFonts w:ascii="宋体" w:hAnsi="宋体" w:hint="eastAsia"/>
          <w:bCs/>
        </w:rPr>
        <w:t>、基金募集期：指自基金份额发售之日起至发售结束之日止的期间，最长不得超过3个月</w:t>
      </w:r>
    </w:p>
    <w:p w14:paraId="576311A5"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6</w:t>
      </w:r>
      <w:r>
        <w:rPr>
          <w:rFonts w:ascii="宋体" w:hAnsi="宋体" w:hint="eastAsia"/>
          <w:bCs/>
        </w:rPr>
        <w:t>、存续期：指基金合同生效至终止之间的不定期期限</w:t>
      </w:r>
    </w:p>
    <w:p w14:paraId="0EA8C727"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7</w:t>
      </w:r>
      <w:r>
        <w:rPr>
          <w:rFonts w:ascii="宋体" w:hAnsi="宋体" w:hint="eastAsia"/>
          <w:bCs/>
        </w:rPr>
        <w:t>、工作日：指深圳证券交易所的正常交易日</w:t>
      </w:r>
    </w:p>
    <w:p w14:paraId="7BECDF55" w14:textId="77777777"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8</w:t>
      </w:r>
      <w:r>
        <w:rPr>
          <w:rFonts w:ascii="宋体" w:hAnsi="宋体" w:hint="eastAsia"/>
          <w:bCs/>
        </w:rPr>
        <w:t>、T日：指销售机构在规定时间受理投资人申购、赎回或其他业务申请的开放日</w:t>
      </w:r>
    </w:p>
    <w:p w14:paraId="4940BA9C" w14:textId="3E0097AB" w:rsidR="009C2D86" w:rsidRDefault="0027599D">
      <w:pPr>
        <w:snapToGrid w:val="0"/>
        <w:spacing w:line="360" w:lineRule="auto"/>
        <w:ind w:firstLineChars="200" w:firstLine="420"/>
        <w:rPr>
          <w:rFonts w:ascii="宋体" w:hAnsi="宋体"/>
          <w:bCs/>
        </w:rPr>
      </w:pPr>
      <w:r>
        <w:rPr>
          <w:rFonts w:ascii="宋体" w:hAnsi="宋体" w:hint="eastAsia"/>
          <w:bCs/>
        </w:rPr>
        <w:t>3</w:t>
      </w:r>
      <w:r>
        <w:rPr>
          <w:rFonts w:ascii="宋体" w:hAnsi="宋体"/>
          <w:bCs/>
        </w:rPr>
        <w:t>9</w:t>
      </w:r>
      <w:r>
        <w:rPr>
          <w:rFonts w:ascii="宋体" w:hAnsi="宋体" w:hint="eastAsia"/>
          <w:bCs/>
        </w:rPr>
        <w:t>、T+n日：指自T日起第n个工作日(不包含T日)，n为自然数</w:t>
      </w:r>
    </w:p>
    <w:p w14:paraId="5343E0E4" w14:textId="77777777" w:rsidR="009C2D86" w:rsidRDefault="0027599D">
      <w:pPr>
        <w:snapToGrid w:val="0"/>
        <w:spacing w:line="360" w:lineRule="auto"/>
        <w:ind w:firstLineChars="200" w:firstLine="420"/>
        <w:rPr>
          <w:rFonts w:ascii="宋体" w:hAnsi="宋体"/>
          <w:bCs/>
        </w:rPr>
      </w:pPr>
      <w:r>
        <w:rPr>
          <w:rFonts w:ascii="宋体" w:hAnsi="宋体"/>
          <w:bCs/>
        </w:rPr>
        <w:t>40</w:t>
      </w:r>
      <w:r>
        <w:rPr>
          <w:rFonts w:ascii="宋体" w:hAnsi="宋体" w:hint="eastAsia"/>
          <w:bCs/>
        </w:rPr>
        <w:t>、开放日：指为投资人办理基金份额申购、赎回或其他业务的工作日</w:t>
      </w:r>
    </w:p>
    <w:p w14:paraId="6E176C15"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1</w:t>
      </w:r>
      <w:r>
        <w:rPr>
          <w:rFonts w:ascii="宋体" w:hAnsi="宋体" w:hint="eastAsia"/>
          <w:bCs/>
        </w:rPr>
        <w:t>、开放时间：指开放日基金接受申购、赎回或其他交易的时间段</w:t>
      </w:r>
    </w:p>
    <w:p w14:paraId="139A58FE"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2</w:t>
      </w:r>
      <w:r>
        <w:rPr>
          <w:rFonts w:ascii="宋体" w:hAnsi="宋体" w:hint="eastAsia"/>
          <w:bCs/>
        </w:rPr>
        <w:t>、《业务规则》：指《南方基金管理股份有限公司开放式基金业务规则》，是规范基金管理人所管理的开放式证券投资基金登记方面的业务规则，由基金管理人和投资人共同遵守</w:t>
      </w:r>
    </w:p>
    <w:p w14:paraId="2354C963"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3</w:t>
      </w:r>
      <w:r>
        <w:rPr>
          <w:rFonts w:ascii="宋体" w:hAnsi="宋体" w:hint="eastAsia"/>
          <w:bCs/>
        </w:rPr>
        <w:t>、认购：指在基金募集期内，投资人根据基金合同、招募说明书和相关公告的规定申请购买基金份额的行为</w:t>
      </w:r>
    </w:p>
    <w:p w14:paraId="06BEAEE3"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4</w:t>
      </w:r>
      <w:r>
        <w:rPr>
          <w:rFonts w:ascii="宋体" w:hAnsi="宋体" w:hint="eastAsia"/>
          <w:bCs/>
        </w:rPr>
        <w:t>、申购：指基金合同生效后，投资人根据基金合同、招募说明书和相关公告的规定申请购买基金份额的行为</w:t>
      </w:r>
    </w:p>
    <w:p w14:paraId="5C47FEB9"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5</w:t>
      </w:r>
      <w:r>
        <w:rPr>
          <w:rFonts w:ascii="宋体" w:hAnsi="宋体" w:hint="eastAsia"/>
          <w:bCs/>
        </w:rPr>
        <w:t>、赎回：指基金合同生效后，基金份额持有人按基金合同、招募说明书和相关公告规定的条件要求将基金份额兑换为现金的行为</w:t>
      </w:r>
    </w:p>
    <w:p w14:paraId="5103EB41"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6</w:t>
      </w:r>
      <w:r>
        <w:rPr>
          <w:rFonts w:ascii="宋体" w:hAnsi="宋体" w:hint="eastAsia"/>
          <w:bCs/>
        </w:rPr>
        <w:t>、基金转换：指基金份额持有人按照基金合同和基金管理人届时有效公告规定的条件，申请将其持有基金管理人管理的、某一基金的基金份额转换为基金管理人管理的其他基金基金份额的行为</w:t>
      </w:r>
    </w:p>
    <w:p w14:paraId="1E64F39B"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7</w:t>
      </w:r>
      <w:r>
        <w:rPr>
          <w:rFonts w:ascii="宋体" w:hAnsi="宋体" w:hint="eastAsia"/>
          <w:bCs/>
        </w:rPr>
        <w:t>、转托管：指基金份额持有人在本基金的不同销售机构之间实施的变更所持基金份额销售机构的操作</w:t>
      </w:r>
    </w:p>
    <w:p w14:paraId="21E256BB"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8</w:t>
      </w:r>
      <w:r>
        <w:rPr>
          <w:rFonts w:ascii="宋体" w:hAnsi="宋体" w:hint="eastAsia"/>
          <w:bCs/>
        </w:rPr>
        <w:t>、定投计划：指投资人通过有关销售机构提出申请，约定每期申购日、扣款金额及扣款方式，由销售机构于每期约定扣款日在投资人指定银行账户内自动完成扣款及受理基金申购申请的一种投资方式</w:t>
      </w:r>
    </w:p>
    <w:p w14:paraId="0325FA1C" w14:textId="77777777" w:rsidR="009C2D86" w:rsidRDefault="0027599D">
      <w:pPr>
        <w:snapToGrid w:val="0"/>
        <w:spacing w:line="360" w:lineRule="auto"/>
        <w:ind w:firstLineChars="200" w:firstLine="420"/>
        <w:rPr>
          <w:rFonts w:ascii="宋体" w:hAnsi="宋体"/>
          <w:bCs/>
        </w:rPr>
      </w:pPr>
      <w:r>
        <w:rPr>
          <w:rFonts w:ascii="宋体" w:hAnsi="宋体" w:hint="eastAsia"/>
          <w:bCs/>
        </w:rPr>
        <w:t>4</w:t>
      </w:r>
      <w:r>
        <w:rPr>
          <w:rFonts w:ascii="宋体" w:hAnsi="宋体"/>
          <w:bCs/>
        </w:rPr>
        <w:t>9</w:t>
      </w:r>
      <w:r>
        <w:rPr>
          <w:rFonts w:ascii="宋体" w:hAnsi="宋体" w:hint="eastAsia"/>
          <w:bCs/>
        </w:rPr>
        <w:t>、巨额赎回：指本基金单个开放日，基金净赎回申请(赎回申请份额总数加上基金转换中转出申请份额总数后扣除申购申请份额总数及基金转换中转入申请份额总数后的余额)超过上一开放日基金总份额的10%</w:t>
      </w:r>
    </w:p>
    <w:p w14:paraId="62F8C429" w14:textId="77777777" w:rsidR="009C2D86" w:rsidRDefault="0027599D">
      <w:pPr>
        <w:snapToGrid w:val="0"/>
        <w:spacing w:line="360" w:lineRule="auto"/>
        <w:ind w:firstLineChars="200" w:firstLine="420"/>
        <w:rPr>
          <w:rFonts w:ascii="宋体" w:hAnsi="宋体"/>
          <w:bCs/>
        </w:rPr>
      </w:pPr>
      <w:r>
        <w:rPr>
          <w:rFonts w:ascii="宋体" w:hAnsi="宋体"/>
          <w:bCs/>
        </w:rPr>
        <w:t>50</w:t>
      </w:r>
      <w:r>
        <w:rPr>
          <w:rFonts w:ascii="宋体" w:hAnsi="宋体" w:hint="eastAsia"/>
          <w:bCs/>
        </w:rPr>
        <w:t>、元：指人民币元</w:t>
      </w:r>
    </w:p>
    <w:p w14:paraId="7C8A3761"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1</w:t>
      </w:r>
      <w:r>
        <w:rPr>
          <w:rFonts w:ascii="宋体" w:hAnsi="宋体" w:hint="eastAsia"/>
          <w:bCs/>
        </w:rPr>
        <w:t>、基金利润：指基金利息收入、投资收益、公允价值变动收益和其他收入扣除相关费用后的余额</w:t>
      </w:r>
    </w:p>
    <w:p w14:paraId="5D7B76F4"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2</w:t>
      </w:r>
      <w:r>
        <w:rPr>
          <w:rFonts w:ascii="宋体" w:hAnsi="宋体" w:hint="eastAsia"/>
          <w:bCs/>
        </w:rPr>
        <w:t>、基金资产总值：指基金拥有的目标ETF基金份额、各类有价证券及票据价值、银行存款本息、基金应收申购款及其他资产的价值总和</w:t>
      </w:r>
    </w:p>
    <w:p w14:paraId="648F4C13"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3</w:t>
      </w:r>
      <w:r>
        <w:rPr>
          <w:rFonts w:ascii="宋体" w:hAnsi="宋体" w:hint="eastAsia"/>
          <w:bCs/>
        </w:rPr>
        <w:t>、基金资产净值：指基金资产总值减去基金负债后的价值</w:t>
      </w:r>
    </w:p>
    <w:p w14:paraId="68666225"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4</w:t>
      </w:r>
      <w:r>
        <w:rPr>
          <w:rFonts w:ascii="宋体" w:hAnsi="宋体" w:hint="eastAsia"/>
          <w:bCs/>
        </w:rPr>
        <w:t>、基金份额净值：指计算日基金资产净值除以计算日基金份额总数</w:t>
      </w:r>
    </w:p>
    <w:p w14:paraId="3AD01F33"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5</w:t>
      </w:r>
      <w:r>
        <w:rPr>
          <w:rFonts w:ascii="宋体" w:hAnsi="宋体" w:hint="eastAsia"/>
          <w:bCs/>
        </w:rPr>
        <w:t>、基金资产估值：指计算评估基金资产和负债的价值，以确定基金资产净值和基金份额净值的过程</w:t>
      </w:r>
    </w:p>
    <w:p w14:paraId="5D49C7BC"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6</w:t>
      </w:r>
      <w:r>
        <w:rPr>
          <w:rFonts w:ascii="宋体" w:hAnsi="宋体" w:hint="eastAsia"/>
          <w:bCs/>
        </w:rPr>
        <w:t>、规定媒介：指符合中国证监会规定条件的用以进行信息披露的全国性报刊、《信息披露办法》规定的互联网网站（包括基金管理人网站、基金托管人网站、中国证监会基金电子披露网站）等媒介</w:t>
      </w:r>
    </w:p>
    <w:p w14:paraId="728059D3"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7</w:t>
      </w:r>
      <w:r>
        <w:rPr>
          <w:rFonts w:ascii="宋体" w:hAnsi="宋体" w:hint="eastAsia"/>
          <w:bCs/>
        </w:rPr>
        <w:t>、销售服务费：指从基金财产中计提的，用于本基金市场推广、销售以及基金份额持有人服务的费用</w:t>
      </w:r>
    </w:p>
    <w:p w14:paraId="4102EE63"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8</w:t>
      </w:r>
      <w:r>
        <w:rPr>
          <w:rFonts w:ascii="宋体" w:hAnsi="宋体" w:hint="eastAsia"/>
          <w:bCs/>
        </w:rPr>
        <w:t>、A类基金份额：指在投资人认购/申购时收取前端认购/申购费用并在赎回时根据</w:t>
      </w:r>
      <w:r>
        <w:rPr>
          <w:rFonts w:ascii="宋体" w:hAnsi="宋体"/>
          <w:bCs/>
        </w:rPr>
        <w:t>持有期限</w:t>
      </w:r>
      <w:r>
        <w:rPr>
          <w:rFonts w:ascii="宋体" w:hAnsi="宋体" w:hint="eastAsia"/>
          <w:bCs/>
        </w:rPr>
        <w:t>收取赎回费用，且不从本类别基金资产净值中计提销售服务费的基金份额</w:t>
      </w:r>
    </w:p>
    <w:p w14:paraId="288013D3" w14:textId="77777777" w:rsidR="009C2D86" w:rsidRDefault="0027599D">
      <w:pPr>
        <w:snapToGrid w:val="0"/>
        <w:spacing w:line="360" w:lineRule="auto"/>
        <w:ind w:firstLineChars="200" w:firstLine="420"/>
        <w:rPr>
          <w:rFonts w:ascii="宋体" w:hAnsi="宋体"/>
          <w:bCs/>
        </w:rPr>
      </w:pPr>
      <w:r>
        <w:rPr>
          <w:rFonts w:ascii="宋体" w:hAnsi="宋体" w:hint="eastAsia"/>
          <w:bCs/>
        </w:rPr>
        <w:t>5</w:t>
      </w:r>
      <w:r>
        <w:rPr>
          <w:rFonts w:ascii="宋体" w:hAnsi="宋体"/>
          <w:bCs/>
        </w:rPr>
        <w:t>9</w:t>
      </w:r>
      <w:r>
        <w:rPr>
          <w:rFonts w:ascii="宋体" w:hAnsi="宋体" w:hint="eastAsia"/>
          <w:bCs/>
        </w:rPr>
        <w:t>、C类基金份额：指从本类别基金资产净值中计提销售服务费，不收取认购/申购费用并在赎回时根据</w:t>
      </w:r>
      <w:r>
        <w:rPr>
          <w:rFonts w:ascii="宋体" w:hAnsi="宋体"/>
          <w:bCs/>
        </w:rPr>
        <w:t>持有期限</w:t>
      </w:r>
      <w:r>
        <w:rPr>
          <w:rFonts w:ascii="宋体" w:hAnsi="宋体" w:hint="eastAsia"/>
          <w:bCs/>
        </w:rPr>
        <w:t>收取赎回费用的基金份额</w:t>
      </w:r>
    </w:p>
    <w:p w14:paraId="5485408C" w14:textId="77777777" w:rsidR="009C2D86" w:rsidRDefault="0027599D">
      <w:pPr>
        <w:snapToGrid w:val="0"/>
        <w:spacing w:line="360" w:lineRule="auto"/>
        <w:ind w:firstLineChars="200" w:firstLine="420"/>
        <w:rPr>
          <w:rFonts w:ascii="宋体" w:hAnsi="宋体"/>
          <w:bCs/>
        </w:rPr>
      </w:pPr>
      <w:r>
        <w:rPr>
          <w:rFonts w:ascii="宋体" w:hAnsi="宋体"/>
          <w:bCs/>
        </w:rPr>
        <w:t>60</w:t>
      </w:r>
      <w:r>
        <w:rPr>
          <w:rFonts w:ascii="宋体" w:hAnsi="宋体" w:hint="eastAsia"/>
          <w:bCs/>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但法律法规或中国证监会另有规定的，从其规定</w:t>
      </w:r>
    </w:p>
    <w:p w14:paraId="170A0BDC" w14:textId="77777777" w:rsidR="009C2D86" w:rsidRDefault="0027599D">
      <w:pPr>
        <w:snapToGrid w:val="0"/>
        <w:spacing w:line="360" w:lineRule="auto"/>
        <w:ind w:firstLineChars="200" w:firstLine="420"/>
        <w:rPr>
          <w:rFonts w:ascii="宋体" w:hAnsi="宋体"/>
          <w:bCs/>
        </w:rPr>
      </w:pPr>
      <w:r>
        <w:rPr>
          <w:rFonts w:ascii="宋体" w:hAnsi="宋体" w:hint="eastAsia"/>
          <w:bCs/>
        </w:rPr>
        <w:t>6</w:t>
      </w:r>
      <w:r>
        <w:rPr>
          <w:rFonts w:ascii="宋体" w:hAnsi="宋体"/>
          <w:bCs/>
        </w:rPr>
        <w:t>1</w:t>
      </w:r>
      <w:r>
        <w:rPr>
          <w:rFonts w:ascii="宋体" w:hAnsi="宋体" w:hint="eastAsia"/>
          <w:bCs/>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7775B7F5" w14:textId="77777777" w:rsidR="009C2D86" w:rsidRDefault="0027599D">
      <w:pPr>
        <w:snapToGrid w:val="0"/>
        <w:spacing w:line="360" w:lineRule="auto"/>
        <w:ind w:firstLineChars="200" w:firstLine="420"/>
        <w:rPr>
          <w:rFonts w:ascii="宋体" w:hAnsi="宋体"/>
          <w:bCs/>
        </w:rPr>
      </w:pPr>
      <w:r>
        <w:rPr>
          <w:rFonts w:ascii="宋体" w:hAnsi="宋体" w:hint="eastAsia"/>
          <w:bCs/>
        </w:rPr>
        <w:t>6</w:t>
      </w:r>
      <w:r>
        <w:rPr>
          <w:rFonts w:ascii="宋体" w:hAnsi="宋体"/>
          <w:bCs/>
        </w:rPr>
        <w:t>2</w:t>
      </w:r>
      <w:r>
        <w:rPr>
          <w:rFonts w:ascii="宋体" w:hAnsi="宋体" w:hint="eastAsia"/>
          <w:bCs/>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7A1F2551" w14:textId="77777777" w:rsidR="009C2D86" w:rsidRDefault="0027599D">
      <w:pPr>
        <w:snapToGrid w:val="0"/>
        <w:spacing w:line="360" w:lineRule="auto"/>
        <w:ind w:firstLineChars="200" w:firstLine="420"/>
        <w:rPr>
          <w:rFonts w:ascii="宋体" w:hAnsi="宋体"/>
          <w:bCs/>
        </w:rPr>
      </w:pPr>
      <w:r>
        <w:rPr>
          <w:rFonts w:ascii="宋体" w:hAnsi="宋体" w:hint="eastAsia"/>
          <w:bCs/>
        </w:rPr>
        <w:t>6</w:t>
      </w:r>
      <w:r>
        <w:rPr>
          <w:rFonts w:ascii="宋体" w:hAnsi="宋体"/>
          <w:bCs/>
        </w:rPr>
        <w:t>3</w:t>
      </w:r>
      <w:r>
        <w:rPr>
          <w:rFonts w:ascii="宋体" w:hAnsi="宋体" w:hint="eastAsia"/>
          <w:bCs/>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17E7833F" w14:textId="77777777" w:rsidR="009C2D86" w:rsidRDefault="0027599D">
      <w:pPr>
        <w:snapToGrid w:val="0"/>
        <w:spacing w:line="360" w:lineRule="auto"/>
        <w:ind w:firstLineChars="200" w:firstLine="420"/>
        <w:rPr>
          <w:rFonts w:ascii="宋体" w:hAnsi="宋体"/>
          <w:bCs/>
        </w:rPr>
      </w:pPr>
      <w:r>
        <w:rPr>
          <w:rFonts w:ascii="宋体" w:hAnsi="宋体" w:hint="eastAsia"/>
          <w:bCs/>
        </w:rPr>
        <w:t>6</w:t>
      </w:r>
      <w:r>
        <w:rPr>
          <w:rFonts w:ascii="宋体" w:hAnsi="宋体"/>
          <w:bCs/>
        </w:rPr>
        <w:t>4</w:t>
      </w:r>
      <w:r>
        <w:rPr>
          <w:rFonts w:ascii="宋体" w:hAnsi="宋体" w:hint="eastAsia"/>
          <w:bCs/>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7A2D43E" w14:textId="77777777" w:rsidR="009C2D86" w:rsidRDefault="0027599D">
      <w:pPr>
        <w:snapToGrid w:val="0"/>
        <w:spacing w:line="360" w:lineRule="auto"/>
        <w:ind w:firstLineChars="200" w:firstLine="420"/>
        <w:rPr>
          <w:rFonts w:ascii="宋体" w:hAnsi="宋体"/>
          <w:bCs/>
        </w:rPr>
      </w:pPr>
      <w:r>
        <w:rPr>
          <w:rFonts w:ascii="宋体" w:hAnsi="宋体" w:hint="eastAsia"/>
          <w:bCs/>
        </w:rPr>
        <w:t>6</w:t>
      </w:r>
      <w:r>
        <w:rPr>
          <w:rFonts w:ascii="宋体" w:hAnsi="宋体"/>
          <w:bCs/>
        </w:rPr>
        <w:t>5</w:t>
      </w:r>
      <w:r>
        <w:rPr>
          <w:rFonts w:ascii="宋体" w:hAnsi="宋体" w:hint="eastAsia"/>
          <w:bCs/>
        </w:rPr>
        <w:t>、不可抗力：指基金合同当事人不能预见、不能避免且不能克服的客观事件</w:t>
      </w:r>
    </w:p>
    <w:p w14:paraId="2CB50586" w14:textId="63CB6F65" w:rsidR="009C2D86" w:rsidRDefault="0027599D">
      <w:pPr>
        <w:snapToGrid w:val="0"/>
        <w:spacing w:line="360" w:lineRule="auto"/>
        <w:ind w:firstLineChars="200" w:firstLine="420"/>
        <w:rPr>
          <w:rFonts w:ascii="宋体" w:hAnsi="宋体"/>
          <w:bCs/>
        </w:rPr>
      </w:pPr>
      <w:r>
        <w:rPr>
          <w:rFonts w:ascii="宋体" w:hAnsi="宋体" w:hint="eastAsia"/>
          <w:bCs/>
        </w:rPr>
        <w:t>6</w:t>
      </w:r>
      <w:r>
        <w:rPr>
          <w:rFonts w:ascii="宋体" w:hAnsi="宋体"/>
          <w:bCs/>
        </w:rPr>
        <w:t>6</w:t>
      </w:r>
      <w:r>
        <w:rPr>
          <w:rFonts w:ascii="宋体" w:hAnsi="宋体" w:hint="eastAsia"/>
          <w:bCs/>
        </w:rPr>
        <w:t>、标的指数：指</w:t>
      </w:r>
      <w:r w:rsidR="001A3FE9">
        <w:rPr>
          <w:rFonts w:ascii="宋体" w:hAnsi="宋体" w:hint="eastAsia"/>
          <w:bCs/>
        </w:rPr>
        <w:t>创业板人工智能</w:t>
      </w:r>
      <w:r>
        <w:rPr>
          <w:rFonts w:ascii="宋体" w:hAnsi="宋体" w:hint="eastAsia"/>
          <w:bCs/>
        </w:rPr>
        <w:t>指数。</w:t>
      </w:r>
    </w:p>
    <w:p w14:paraId="37A1A598" w14:textId="77777777" w:rsidR="009C2D86" w:rsidRPr="000C04DE" w:rsidRDefault="009C2D86">
      <w:pPr>
        <w:snapToGrid w:val="0"/>
        <w:spacing w:line="360" w:lineRule="auto"/>
        <w:ind w:firstLineChars="200" w:firstLine="420"/>
        <w:rPr>
          <w:rFonts w:ascii="宋体" w:hAnsi="宋体"/>
          <w:bCs/>
        </w:rPr>
      </w:pPr>
    </w:p>
    <w:p w14:paraId="4F5A8FBC" w14:textId="77777777" w:rsidR="009C2D86" w:rsidRDefault="0027599D">
      <w:pPr>
        <w:snapToGrid w:val="0"/>
        <w:spacing w:line="360" w:lineRule="auto"/>
        <w:ind w:firstLineChars="200" w:firstLine="420"/>
        <w:rPr>
          <w:rFonts w:ascii="宋体" w:hAnsi="宋体"/>
          <w:bCs/>
        </w:rPr>
      </w:pPr>
      <w:r>
        <w:rPr>
          <w:rFonts w:ascii="宋体" w:hAnsi="宋体" w:hint="eastAsia"/>
          <w:bCs/>
        </w:rPr>
        <w:t>以上释义中涉及法律法规、业务规则的内容，法律法规、业务规则修订后，如适用本基金，相关内容以修订后法律法规、业务规则为准。</w:t>
      </w:r>
    </w:p>
    <w:p w14:paraId="6048FF21" w14:textId="77777777" w:rsidR="009C2D86" w:rsidRDefault="009C2D86">
      <w:pPr>
        <w:snapToGrid w:val="0"/>
        <w:spacing w:line="360" w:lineRule="auto"/>
        <w:ind w:firstLineChars="200" w:firstLine="420"/>
        <w:rPr>
          <w:rFonts w:ascii="宋体" w:hAnsi="宋体"/>
          <w:bCs/>
        </w:rPr>
      </w:pPr>
    </w:p>
    <w:bookmarkEnd w:id="39"/>
    <w:p w14:paraId="6B707B0A" w14:textId="77777777" w:rsidR="009C2D86" w:rsidRDefault="0027599D">
      <w:pPr>
        <w:autoSpaceDE w:val="0"/>
        <w:autoSpaceDN w:val="0"/>
        <w:adjustRightInd w:val="0"/>
        <w:snapToGrid w:val="0"/>
        <w:spacing w:line="360" w:lineRule="auto"/>
        <w:ind w:leftChars="200" w:left="2730" w:hangingChars="1100" w:hanging="2310"/>
        <w:rPr>
          <w:rFonts w:ascii="宋体" w:cs="Times New Roman"/>
          <w:color w:val="000000"/>
          <w:kern w:val="0"/>
        </w:rPr>
      </w:pPr>
      <w:r>
        <w:rPr>
          <w:rFonts w:ascii="宋体" w:cs="Times New Roman"/>
          <w:color w:val="000000"/>
          <w:kern w:val="0"/>
        </w:rPr>
        <w:br w:type="page"/>
      </w:r>
    </w:p>
    <w:p w14:paraId="552D179B"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40" w:name="_Toc362455180"/>
      <w:bookmarkStart w:id="41" w:name="_Toc48900070"/>
      <w:bookmarkStart w:id="42" w:name="_Toc360794405"/>
      <w:bookmarkStart w:id="43" w:name="_Toc362533452"/>
      <w:bookmarkStart w:id="44" w:name="_Toc360793495"/>
      <w:bookmarkStart w:id="45" w:name="_Toc360793847"/>
      <w:bookmarkStart w:id="46" w:name="_Toc360794513"/>
      <w:bookmarkStart w:id="47" w:name="_Toc360794097"/>
      <w:r>
        <w:rPr>
          <w:rFonts w:ascii="宋体" w:eastAsia="宋体" w:hAnsi="宋体" w:cs="宋体" w:hint="eastAsia"/>
        </w:rPr>
        <w:t>基金管理人</w:t>
      </w:r>
      <w:bookmarkEnd w:id="40"/>
      <w:bookmarkEnd w:id="41"/>
      <w:bookmarkEnd w:id="42"/>
      <w:bookmarkEnd w:id="43"/>
      <w:bookmarkEnd w:id="44"/>
      <w:bookmarkEnd w:id="45"/>
      <w:bookmarkEnd w:id="46"/>
      <w:bookmarkEnd w:id="47"/>
    </w:p>
    <w:p w14:paraId="3DEF8195" w14:textId="77777777" w:rsidR="009C2D86" w:rsidRDefault="009C2D86">
      <w:pPr>
        <w:adjustRightInd w:val="0"/>
        <w:snapToGrid w:val="0"/>
        <w:spacing w:line="360" w:lineRule="auto"/>
        <w:rPr>
          <w:rFonts w:ascii="宋体" w:cs="Times New Roman"/>
          <w:b/>
          <w:bCs/>
          <w:color w:val="000000"/>
        </w:rPr>
      </w:pPr>
    </w:p>
    <w:p w14:paraId="284AF6A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一、基金管理人概况</w:t>
      </w:r>
    </w:p>
    <w:p w14:paraId="48B89C4A"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名称：南方基金管理股份有限公司</w:t>
      </w:r>
    </w:p>
    <w:p w14:paraId="6D50AF00"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住所及办公地址：深圳市福田区莲花街道益田路5999号基金大厦32-42楼</w:t>
      </w:r>
    </w:p>
    <w:p w14:paraId="4B569753"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成立时间：1998年3月6日</w:t>
      </w:r>
    </w:p>
    <w:p w14:paraId="53F81C99"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法定代表人：周易</w:t>
      </w:r>
    </w:p>
    <w:p w14:paraId="706E046D"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注册资本：3.6172亿元人民币</w:t>
      </w:r>
    </w:p>
    <w:p w14:paraId="47ACCA8D"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电话：（0755）82763888</w:t>
      </w:r>
    </w:p>
    <w:p w14:paraId="4AE34DED"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传真：（0755）82763889</w:t>
      </w:r>
    </w:p>
    <w:p w14:paraId="0D315A9D"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联系人：鲍文革</w:t>
      </w:r>
    </w:p>
    <w:p w14:paraId="396DE086"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bCs/>
          <w:szCs w:val="24"/>
        </w:rPr>
        <w:t xml:space="preserve"> </w:t>
      </w:r>
    </w:p>
    <w:p w14:paraId="474B43F4"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1998年，南方基金管理有限公司经中国证监会证监基字[1998]4号文批准，由南方证券有限公司、厦门国际信托投资公司、广西信托投资公司共同发起设立。2000年，经中国证监会证监基金字[2000]78号文批准进行了增资扩股，注册资本达到1亿元人民币。2005年，经中国证监会证监基金字[2005]201号文批准进行增资扩股，注册资本增至1.5亿元人民币。2014年公司进行增资扩股，注册资本金增至3亿元人民币。</w:t>
      </w:r>
    </w:p>
    <w:p w14:paraId="2D7AC83A"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2018年1月，公司整体变更设立为南方基金管理股份有限公司 , 注册资本金3亿元人民币。</w:t>
      </w:r>
    </w:p>
    <w:p w14:paraId="45387E06" w14:textId="5A6011B7" w:rsidR="0032491F"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2019年7月30日，公司注册资本增至3.6172亿元。2021年10月19日，公司股权结构调整为华泰证券股份有限公司41.16%、深圳市投资控股有限公司27.44%、厦门国际信托有限公司13.72%、兴业证券股份有限公司9.15%、厦门合泽吉企业管理合伙企业（有限合伙）1.72%、厦门合泽祥企业管理合伙企业（有限合伙）2.24%、厦门合泽益企业管理合伙企业（有限合伙）2.25%、厦门合泽盈企业管理合伙企业（有限合伙）2.32%。</w:t>
      </w:r>
    </w:p>
    <w:p w14:paraId="18452266" w14:textId="77777777" w:rsidR="009C2D86" w:rsidRDefault="009C2D86">
      <w:pPr>
        <w:tabs>
          <w:tab w:val="left" w:pos="2160"/>
        </w:tabs>
        <w:adjustRightInd w:val="0"/>
        <w:snapToGrid w:val="0"/>
        <w:spacing w:line="360" w:lineRule="auto"/>
        <w:ind w:firstLineChars="200" w:firstLine="420"/>
        <w:rPr>
          <w:rFonts w:ascii="宋体" w:hAnsi="宋体" w:cs="Times New Roman"/>
          <w:bCs/>
          <w:szCs w:val="24"/>
        </w:rPr>
      </w:pPr>
    </w:p>
    <w:p w14:paraId="2F45636B"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二、主要人员情况</w:t>
      </w:r>
    </w:p>
    <w:p w14:paraId="1403DAD6"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1、董事会成员</w:t>
      </w:r>
    </w:p>
    <w:p w14:paraId="5931C87A" w14:textId="1BD8F25F"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周易先生，工学学士，中国籍。曾任江苏贝尔通信系统有限公司董事长，南京欣网视讯科技股份有限公司董事长，华泰证券党委副书记、总裁、党委书记、董事长、党委委员。现任华泰证券股份有限公司首席执行官、执行委员会主任、董事，南方基金管理股份有限公司董事长，南方东英资产管理有限公司董事长，华泰金融控股（香港）有限公司董事，</w:t>
      </w:r>
      <w:r w:rsidRPr="00756E65">
        <w:rPr>
          <w:rFonts w:ascii="宋体" w:hAnsi="宋体" w:cs="Times New Roman"/>
          <w:bCs/>
          <w:szCs w:val="24"/>
        </w:rPr>
        <w:t>Huatai Securities (Singapore) Pte. Limited</w:t>
      </w:r>
      <w:r w:rsidRPr="00756E65">
        <w:rPr>
          <w:rFonts w:ascii="宋体" w:hAnsi="宋体" w:cs="Times New Roman" w:hint="eastAsia"/>
          <w:bCs/>
          <w:szCs w:val="24"/>
        </w:rPr>
        <w:t>董事。</w:t>
      </w:r>
    </w:p>
    <w:p w14:paraId="65E4E0A3"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张辉先生，管理学博士，中国籍。曾任华泰证券资产管理总部高级经理、南通姚港路营业部副总经理、上海瑞金一路营业部总经理、证券投资部副总经理、综合事务部总经理、人力资源部总经理、党委组织部部长。现任华泰证券股份有限公司执行委员会委员、董事会秘书、党委委员，南方基金管理股份有限公司董事。</w:t>
      </w:r>
    </w:p>
    <w:p w14:paraId="188AB1C5"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陈莉女士，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1BD2A344"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杜秀峰先生，经济学、经济法学研究生毕业，中国籍。曾任广东省深圳市监察局政策法规处副主任科员、办公室主任科员，深圳市国资委监督稽查处副处长，深圳市国有资产监督管理局监督稽查处副处长、办公室（信访室）副主任、企业领导人员管理处副处长，深圳市人民政府国有资产监督管理委员会企业领导人员管理处副处长、处长，深圳市投资控股有限公司党委委员、副总经理。现任深圳市投资控股有限公司党委副书记、董事，兼任深圳市高新投集团有限公司董事，中国南山开发（集团）股份有限公司副董事长，深圳清华大学研究院理事、秘书长，深圳市赤湾产业发展有限公司副董事长，南方基金管理股份有限公司董事。</w:t>
      </w:r>
    </w:p>
    <w:p w14:paraId="7ACE333A"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李平先生，工商管理硕士，中国籍。曾任深圳市城市建设开发（集团）有限公司办公室、董办主管，深圳市投资控股有限公司办公室高级主管、企业三部高级主管、金融发展部副部长。现任深圳市投资控股有限公司金融发展部部长，兼任深圳市高新投集团有限公司董事，深圳市高新投融资担保有限公司董事，深圳市城市建设开发（集团）有限公司董事，深圳市投控资本有限公司董事，深圳市投控东海投资有限公司董事，招商局仁和人寿保险股份有限公司监事，金融稳定发展研究院理事，深圳市鹏联投资有限公司执行董事、总经理，深圳市投控联投有限公司执行董事、总经理，南方基金管理股份有限公司董事。</w:t>
      </w:r>
    </w:p>
    <w:p w14:paraId="53903BDE"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陈明雅女士，管理学学士，注册会计师，中国籍。曾任厦门国际信托有限公司财务部副总经理、财务部总经理、投资发展部总经理，现任厦门国际信托有限公司财务总监、财务部总经理，南方基金管理股份有限公司董事。</w:t>
      </w:r>
    </w:p>
    <w:p w14:paraId="5F55A0F8"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王斌先生，医学博士，中国籍。曾任安徽泗县人民医院临床医生，瑞金医院感染科临床医生，兴业证券研究所医药行业研究员、总经理助理、副总监、副总经理（主持工作）、总经理。现任兴业证券总裁助理、经济与金融研究院院长、兴证智库主任，南方基金管理股份有限公司董事。</w:t>
      </w:r>
    </w:p>
    <w:p w14:paraId="730D2474"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杨小松先生，经济学硕士，中国注册会计师，中国籍，无境外永久居留权。曾在德勤国际会计师行、光大银行证券部、中国证监会等机构任职，曾任南方基金督察长。现任南方基金管理股份有限公司董事、总经理、首席信息官，南方东英资产管理有限公司董事。</w:t>
      </w:r>
    </w:p>
    <w:p w14:paraId="5A3C7897"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李心丹先生，金融学博士，国务院特殊津贴专家，教育部长江学者特聘教授，中国籍。曾任东南大学经济管理学院教授，南京大学工程管理学院院长。现任南京大学新金融研究院院长、金融工程研究中心主任，南京大学教授、博士生导师，中国金融学年会常务理事、秘书长，江苏省资本市场研究会荣誉会长，江苏银行独立董事，汇丰银行（中国）独立董事，东吴证券股份有限公司独立董事，上海证券交易所科创板制度评估专家委员会主任，南方基金管理股份有限公司独立董事。</w:t>
      </w:r>
    </w:p>
    <w:p w14:paraId="5CEB1BD6"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张忠先生，法学硕士，中国籍。曾任北京市人民政府公务员。现任北京市中伦律师事务所一级合伙人、资本市场业务负责人、证券业务内核负责人，中国东方红卫星股份有限公司独立董事，中国重汽（香港）有限公司独立非执行董事，协和新能源（香港）有限公司独立非执行董事，南方基金管理股份有限公司独立董事。</w:t>
      </w:r>
    </w:p>
    <w:p w14:paraId="4297B88F"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林斌先生，会计学博士，澳大利亚资深注册会计师，中国籍。曾任中山大学管理学院会计学系主任，MPAcc教育中心主任，广东省审计学会副会长，广东省资产评估协会副会长，广东省内部审计协会副会长。现任广东省总工会经审会常委，广东管理会计师协会会长，广东省内部控制协会副会长，长城证券股份有限公司独立董事，中船海洋与防务装备股份有限公司独立董事，南方基金管理股份有限公司独立董事。</w:t>
      </w:r>
    </w:p>
    <w:p w14:paraId="51901B4B"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郑建彪先生，经济学硕士，高级工商管理硕士，中国注册会计师，中国籍。曾任北京市财政局干部，深圳蛇口中华会计师事务所经理，京都会计师事务所副主任，北京注册会计师协会副会长。现任致同会计师事务所（特殊普通合伙）合伙人，全国工商联并购公会监事长，中国上市公司协会财务总监委员会副主任、并购融资委员会委员，南方基金管理股份有限公司独立董事。</w:t>
      </w:r>
    </w:p>
    <w:p w14:paraId="6F1ABBD4" w14:textId="2073E1D1" w:rsidR="00232953"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徐浩萍女士，会计学博士，中国籍。曾任职江苏省丝绸进出口股份有限公司、南京环球杰必克有限责任公司、南京国电南自股份有限公司，复旦大学教师。现任复旦大学管理学院副教授，无锡林泰克斯新材料科技股份有限公司独立董事，苏州海光芯创光电科技股份有限公司独立董事，苏州汇科技术股份有限公司独立董事，南方基金管理股份有限公司独立董事。</w:t>
      </w:r>
    </w:p>
    <w:p w14:paraId="1B78BDB2"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2、监事会成员</w:t>
      </w:r>
    </w:p>
    <w:p w14:paraId="64086886"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孙明辉先生，经济学硕士，高级会计师，中国籍。曾任职深圳能源财务有限公司、深圳能源集团股份有限公司财务管理部，曾任深圳市投资控股有限公司财务部高级主管、董事会办公室高级主管、财务部（结算中心）副部长、部长。现任深圳市投资控股有限公司总会计师，兼任国泰海通证券股份有限公司董事，国任财产保险股份有限公司董事，深圳资产管理有限公司董事，深圳投控国际资本控股有限公司董事，深圳市城市建设开发（集团）有限公司董事，深圳市特发集团有限公司董事，南方基金管理股份有限公司监事会主席。</w:t>
      </w:r>
    </w:p>
    <w:p w14:paraId="319EB865"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费扬文先生，经济学博士，中国籍。曾任华泰证券固定收益部副总经理、资金运营部副总经理、资金运营部总经理、浙江分公司总经理。现任华泰证券股份有限公司执行委员会主任助理、深圳分公司总经理，南方基金管理股份有限公司监事。</w:t>
      </w:r>
    </w:p>
    <w:p w14:paraId="3114BAC2"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蔡云霖先生，企业管理专业学士，中级会计师，中国籍。曾任职天同证券厦门中心营业部、厦门市商业银行，曾任中国民生银行厦门分行投资银行部投资银行中心副经理、金融市场部理财及资产管理中心总经理、机构金融一部总经理助理，厦门市融资担保有限公司投资发展部总经理。现任厦门国际信托有限公司党委委员、总经理助理、投资研究部总经理，南方基金管理股份有限公司监事。</w:t>
      </w:r>
    </w:p>
    <w:p w14:paraId="034D6392"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郑可栋先生，经济学硕士，中国籍。曾任国泰君安证券网络金融部高级策划经理，兴业证券战略发展部经营计划与绩效分析经理、私财委科技金融部规划发展负责人、经纪业务总部投顾平台运营处总监和理财规划处总监、财富管理部总经理助理、数智金融部副总经理。现任兴业证券财富管理部副总经理，南方基金管理股份有限公司监事。</w:t>
      </w:r>
    </w:p>
    <w:p w14:paraId="4AF18944"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陆文清先生，工商管理硕士，特许金融分析师（CFA），中国籍，无境外永久居留权。曾在东联融资租赁有限公司任职，曾任南方基金合肥理财中心职员、客户关系部资深经理、合肥理财中心总经理。现任南方基金管理股份有限公司职工监事、客户关系部总经理兼合肥分公司总经理。</w:t>
      </w:r>
    </w:p>
    <w:p w14:paraId="2F2BDC82"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徐刚先生，工商管理硕士，中国籍，无境外永久居留权。曾任深圳中期期货经纪公司交易部员工、项目经理，曾任南方基金上海分公司职员、机构业务部职员、养老金业务部主管，上海分公司副总监、业务董事，养老金业务部执行董事等职务。现任南方基金管理股份有限公司职工监事、上海分公司执行董事。</w:t>
      </w:r>
    </w:p>
    <w:p w14:paraId="40B739CC"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高嘉骏先生，金融学学士，中国籍，无境外永久居留权。曾在中国人寿保险湖南省分公司、东风日产汽车金融有限公司、万家基金管理有限公司等公司任职，曾任南方基金广州营销中心职员、深圳分公司董事。现任南方基金管理股份有限公司职工监事、机构服务部副总经理（主持工作）。</w:t>
      </w:r>
    </w:p>
    <w:p w14:paraId="55885A12" w14:textId="50312764" w:rsidR="00232953"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王益平女士，金融学硕士，特许公认会计师，金融风险管理师，中国籍，无境外永久居留权。曾在沃尔玛中国有限公司、安永华明会计师事务所等公司任职，曾任南方基金运作保障部职员。现任南方基金管理股份有限公司职工监事、运作保障部业务董事。</w:t>
      </w:r>
    </w:p>
    <w:p w14:paraId="24D1FF2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3、公司高级管理人员</w:t>
      </w:r>
    </w:p>
    <w:p w14:paraId="400B5B8C"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杨小松先生，总经理、首席信息官，经济学硕士，中国注册会计师，中国籍，无境外永久居留权。曾在德勤国际会计师行、光大银行证券部、中国证监会等机构任职，曾任南方基金督察长。现任南方基金管理股份有限公司董事、总经理、首席信息官，南方东英资产管理有限公司董事。</w:t>
      </w:r>
    </w:p>
    <w:p w14:paraId="0EC3ED25"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陈莉女士，副总经理，法学硕士，中国籍，无境外永久居留权。曾任华泰证券研究员、证券营业部总经理、研究所副所长、研究所所长、执行委员会主任助理等职务。现任南方基金管理股份有限公司董事、党委书记、副总经理，南方东英资产管理有限公司董事。</w:t>
      </w:r>
    </w:p>
    <w:p w14:paraId="0D6D4B68"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俞文宏先生，副总经理、董事会秘书，工商管理硕士，经济师，中国籍，无境外永久居留权。曾在江苏国信集团任职，曾任南方资本管理有限公司董事长、总经理，深圳南方股权投资基金管理有限公司董事长等职务。现任南方基金管理股份有限公司副总经理、董事会秘书。</w:t>
      </w:r>
    </w:p>
    <w:p w14:paraId="34F299A4"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李海鹏先生，副总经理，工商管理硕士，特许金融分析师（CFA），中国籍，无境外永久居留权。曾任美国AXA Fin ancial 公司投资部高级分析师，南方基金高级研究员、基金经理助理、基金经理、全国社保及国际业务部执行总监、全国社保业务部总监、固定收益部总监、总裁助理兼固定收益投资总监，南方东英资产管理有限公司董事等职务。现任南方基金管理股份有限公司副总经理、首席投资官（固定收益）。</w:t>
      </w:r>
    </w:p>
    <w:p w14:paraId="59FCFFA5"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鲍文革先生，督察长，经济学硕士，中国籍，无境外永久居留权。曾任财政部中华会计师事务所审计师，南方证券有限公司投行部及计划财务部总经理助理，南方基金运作保障部总监、公司监事、财务负责人、总裁助理等职务。现任南方基金管理股份有限公司督察长，南方资本管理有限公司董事。</w:t>
      </w:r>
    </w:p>
    <w:p w14:paraId="59E83954"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蔡忠评先生，财务负责人，经济学硕士，中国注册会计师、特许公认会计师公会资深会员（FCCA），中国籍，无境外永久居留权。曾任中南财经大学助教，招商局蛇口工业区总会计师室会计，国信证券有限责任公司资金财务部高级经理，普华永道会计师事务所高级审计师，国投瑞银基金管理有限公司财务部总监等职务。现任南方基金管理股份有限公司财务负责人兼财务部总经理，南方东英资产管理有限公司董事，南方资本管理有限公司监事，深圳南方股权投资基金管理有限公司董事。</w:t>
      </w:r>
    </w:p>
    <w:p w14:paraId="3CEC23EE"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孙鲁闽先生，副总经理，会计商学、基金管理商学硕士，中国籍，无境外永久居留权。曾任厦门国际银行福州分行电脑部主管，南方基金研究员、投资经理、基金经理、投资部副总监等职务。现任南方基金管理股份有限公司副总经理、联席首席投资官、基金经理兼任私募资管计划投资经理。</w:t>
      </w:r>
    </w:p>
    <w:p w14:paraId="4A2B4830" w14:textId="77777777" w:rsidR="00756E65" w:rsidRPr="00756E65"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侯利鹏先生，副总经理，工商管理硕士，中国籍，无境外永久居留权。曾任沈阳财政证券公司交易部经理、客户服务部经理，中融基金管理有限公司副总经理，南方基金零售服务部总经理、公司总经理助理、首席市场官等职务。现任南方基金管理股份有限公司副总经理兼北京分公司总经理。</w:t>
      </w:r>
    </w:p>
    <w:p w14:paraId="06AC8A8F" w14:textId="797D3466" w:rsidR="00232953" w:rsidRDefault="00756E65" w:rsidP="00756E65">
      <w:pPr>
        <w:tabs>
          <w:tab w:val="left" w:pos="2160"/>
        </w:tabs>
        <w:adjustRightInd w:val="0"/>
        <w:snapToGrid w:val="0"/>
        <w:spacing w:line="360" w:lineRule="auto"/>
        <w:ind w:firstLineChars="200" w:firstLine="420"/>
        <w:rPr>
          <w:rFonts w:ascii="宋体" w:hAnsi="宋体" w:cs="Times New Roman"/>
          <w:bCs/>
          <w:szCs w:val="24"/>
        </w:rPr>
      </w:pPr>
      <w:r w:rsidRPr="00756E65">
        <w:rPr>
          <w:rFonts w:ascii="宋体" w:hAnsi="宋体" w:cs="Times New Roman" w:hint="eastAsia"/>
          <w:bCs/>
          <w:szCs w:val="24"/>
        </w:rPr>
        <w:t>茅炜先生，副总经理，经济学学士，中国籍，无境外永久居留权。曾任东方人寿保险股份有限公司保险精算员，生命人寿保险股份有限公司保险精算员，国金证券股份有限公司研究员，南方基金研究员、投资经理、基金经理、研究部负责人、权益研究部总经理、权益投资部总经理等职务。现任南方基金管理股份有限公司副总经理、首席投资官（权益）。</w:t>
      </w:r>
    </w:p>
    <w:p w14:paraId="02560F37"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4、基金经理</w:t>
      </w:r>
    </w:p>
    <w:p w14:paraId="60BE8B66" w14:textId="7DD5E739" w:rsidR="00BA0249" w:rsidRDefault="0027599D" w:rsidP="00BA0249">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本基金的基金经理为</w:t>
      </w:r>
      <w:r w:rsidR="00D11F3A">
        <w:rPr>
          <w:rFonts w:ascii="宋体" w:hAnsi="宋体" w:cs="Times New Roman" w:hint="eastAsia"/>
          <w:bCs/>
          <w:szCs w:val="24"/>
        </w:rPr>
        <w:t>潘水洋</w:t>
      </w:r>
      <w:r>
        <w:rPr>
          <w:rFonts w:ascii="宋体" w:hAnsi="宋体" w:cs="Times New Roman" w:hint="eastAsia"/>
          <w:bCs/>
          <w:szCs w:val="24"/>
        </w:rPr>
        <w:t>。</w:t>
      </w:r>
    </w:p>
    <w:p w14:paraId="3A925A0B" w14:textId="172B0139" w:rsidR="009C2D86" w:rsidRDefault="00D11F3A" w:rsidP="00D11F3A">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潘水洋</w:t>
      </w:r>
      <w:r w:rsidR="00BA0249" w:rsidRPr="00BA0249">
        <w:rPr>
          <w:rFonts w:ascii="宋体" w:hAnsi="宋体" w:cs="Times New Roman" w:hint="eastAsia"/>
          <w:bCs/>
          <w:szCs w:val="24"/>
        </w:rPr>
        <w:t>先生，</w:t>
      </w:r>
      <w:r w:rsidR="00C76AAA" w:rsidRPr="00C76AAA">
        <w:rPr>
          <w:rFonts w:ascii="宋体" w:hAnsi="宋体" w:cs="Times New Roman" w:hint="eastAsia"/>
          <w:bCs/>
          <w:szCs w:val="24"/>
        </w:rPr>
        <w:t>北京大学金融学专业博士，具有基金从业资格。曾就职于深圳迈瑞生物医疗电子股份有限公司，任系统研究员。2017年7月加入南方基金，历任数量化投资部量化研究员、宏观策略部策略研究员、指数投资部研究员；2021年6月4日至2024年3月7日，任投资经理；2024年7月5日至2025年7月25日，任南方基金南方东英沙特阿拉伯ETF（QDII）基金经理；2024年3月7日至今，任南方中证全指计算机ETF基金经理；2024年3月13日至今，任南方中证机器人ETF发起联接（原：南方中证机器人指数发起）基金经理；2024年6月26日至今，任南方中证国新港股通央企红利ETF基金经理；2024年7月23日至今，任南方中证全指计算机ETF发起联接基金经理；2024年9月3日至今，任南方中证全指汽车指数发起基金经理；2024年9月12日至今，任南方中证国新港股通央企红利ETF发起联接基金经理；2024年12月30日至今，任南方上证180ETF基金经理；2025年1月20日至今，任南方上证180ETF发起联接（原：南方上证180指数发起）基金经理；2025年2月26日至今，任南方上证科创板综合ETF基金经理；2025年4月8日至今，任南方上证科创板综合ETF联接基金经理；2025年4月23日至今，任南方创业板人工智能ETF、南方中证全指自由现金流ETF基金经理；2025年7月24日至今，任南方中证机器人ETF基金经理。</w:t>
      </w:r>
    </w:p>
    <w:p w14:paraId="42FF65F0"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5、投资决策委员会成员</w:t>
      </w:r>
    </w:p>
    <w:p w14:paraId="5AF685FF" w14:textId="4DD9166F" w:rsidR="009C2D86" w:rsidRDefault="00C76AAA">
      <w:pPr>
        <w:tabs>
          <w:tab w:val="left" w:pos="2160"/>
        </w:tabs>
        <w:adjustRightInd w:val="0"/>
        <w:snapToGrid w:val="0"/>
        <w:spacing w:line="360" w:lineRule="auto"/>
        <w:ind w:firstLineChars="200" w:firstLine="420"/>
        <w:rPr>
          <w:rFonts w:ascii="宋体" w:hAnsi="宋体" w:cs="Times New Roman"/>
          <w:bCs/>
          <w:szCs w:val="24"/>
        </w:rPr>
      </w:pPr>
      <w:r w:rsidRPr="00C76AAA">
        <w:rPr>
          <w:rFonts w:ascii="宋体" w:hAnsi="宋体" w:cs="Times New Roman" w:hint="eastAsia"/>
          <w:bCs/>
          <w:szCs w:val="24"/>
        </w:rPr>
        <w:t>南方基金管理股份有限公司副总经理兼首席投资官（固定收益）李海鹏先生，副总经理兼联席首席投资官孙鲁闽先生，副总经理兼首席投资官（权益）茅炜先生，指数投资部部门负责人罗文杰女士，现金及债券指数投资部部门负责人夏晨曦先生，固定收益投资部部门负责人李璇女士，混合资产投资部部门负责人林乐峰先生，固定收益研究部部门负责人陶铄先生，交易管理部部门负责人王珂女士，宏观策略部联席部门负责人兼数量化投资部部门负责人唐小东先生，风险管理部部门负责人严旺光先生，权益投资部部门负责人张延闽先生，国际业务部部门负责人恽雷先生，权益研究部部门负责人郑诗韵女士，基金经理李健女士。</w:t>
      </w:r>
    </w:p>
    <w:p w14:paraId="3E7F715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6、上述人员之间不存在近亲属关系。</w:t>
      </w:r>
    </w:p>
    <w:p w14:paraId="3A2CBB93" w14:textId="77777777" w:rsidR="009C2D86" w:rsidRDefault="009C2D86">
      <w:pPr>
        <w:tabs>
          <w:tab w:val="left" w:pos="2160"/>
        </w:tabs>
        <w:adjustRightInd w:val="0"/>
        <w:snapToGrid w:val="0"/>
        <w:spacing w:line="360" w:lineRule="auto"/>
        <w:ind w:firstLineChars="200" w:firstLine="420"/>
        <w:rPr>
          <w:rFonts w:ascii="宋体" w:hAnsi="宋体" w:cs="Times New Roman"/>
          <w:bCs/>
          <w:szCs w:val="24"/>
        </w:rPr>
      </w:pPr>
    </w:p>
    <w:p w14:paraId="6124D87B"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三、基金管理人的职责</w:t>
      </w:r>
    </w:p>
    <w:p w14:paraId="5D91DDF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（1）依法募集资金，办理或者委托经中国证监会认定的其他机构代为办理基金份额的发售、申购、赎回和登记事宜；</w:t>
      </w:r>
    </w:p>
    <w:p w14:paraId="3FFD5387"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（2）办理基金备案手续；</w:t>
      </w:r>
    </w:p>
    <w:p w14:paraId="747A331D"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（3）对所管理的不同基金财产分别管理、分别记账，进行证券投资；</w:t>
      </w:r>
    </w:p>
    <w:p w14:paraId="0F07CDE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（4）按照基金合同的约定确定基金收益分配方案，及时向基金份额持有人分配收益；</w:t>
      </w:r>
    </w:p>
    <w:p w14:paraId="39730630"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（5）进行基金会计核算并编制基金财务会计报告；</w:t>
      </w:r>
    </w:p>
    <w:p w14:paraId="0CC12F2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（6）编制季度报告、中期报告和年度报告；</w:t>
      </w:r>
    </w:p>
    <w:p w14:paraId="6A3B1BE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（7）计算并披露基金净值信息，确定基金份额申购、赎回价格；</w:t>
      </w:r>
    </w:p>
    <w:p w14:paraId="78AB1961"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（8）办理与基金财产管理业务活动有关的信息披露事项；</w:t>
      </w:r>
    </w:p>
    <w:p w14:paraId="56F9869D"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（9）按照规定召集基金份额持有人大会；</w:t>
      </w:r>
    </w:p>
    <w:p w14:paraId="3DAE0FE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（10）保存基金财产管理业务活动的记录、账册、报表和其他相关资料；</w:t>
      </w:r>
    </w:p>
    <w:p w14:paraId="59A5B73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（11）以基金管理人名义，代表基金份额持有人利益行使诉讼权利或者实施其他法律行为；</w:t>
      </w:r>
    </w:p>
    <w:p w14:paraId="4573653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（12）法律法规及中国证监会规定的和基金合同约定的其他职责。</w:t>
      </w:r>
    </w:p>
    <w:p w14:paraId="76FEE8D0"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bCs/>
          <w:szCs w:val="24"/>
        </w:rPr>
        <w:t xml:space="preserve"> </w:t>
      </w:r>
    </w:p>
    <w:p w14:paraId="2C365ABE"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四、基金管理人关于遵守法律法规的承诺</w:t>
      </w:r>
    </w:p>
    <w:p w14:paraId="3C43E325"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1、基金管理人承诺遵守《基金法》及其他相关法律法规的规定，建立健全的内部控制制度，采取有效措施，防止违反《基金法》及其他相关法律法规行为的发生。</w:t>
      </w:r>
    </w:p>
    <w:p w14:paraId="136DDE2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2、基金管理人承诺不从事下列行为：</w:t>
      </w:r>
    </w:p>
    <w:p w14:paraId="78F06497"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（1）将基金管理人固有财产或者他人财产混同于基金财产从事证券投资；</w:t>
      </w:r>
    </w:p>
    <w:p w14:paraId="395000A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（2）不公平地对待管理的不同基金财产；</w:t>
      </w:r>
    </w:p>
    <w:p w14:paraId="4D369E3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（3）利用基金财产或者职务之便为基金份额持有人以外的人牟取利益；</w:t>
      </w:r>
    </w:p>
    <w:p w14:paraId="4360E572"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（4）向基金份额持有人违规承诺收益或者承担损失；</w:t>
      </w:r>
    </w:p>
    <w:p w14:paraId="774F201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（5）侵占、挪用基金财产；</w:t>
      </w:r>
    </w:p>
    <w:p w14:paraId="318F6F8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（6）泄露因职务便利获取的未公开信息、利用该信息从事或者明示、暗示他人从事相关的交易活动；</w:t>
      </w:r>
    </w:p>
    <w:p w14:paraId="66B70920"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（7）玩忽职守，不按照规定履行职责；</w:t>
      </w:r>
    </w:p>
    <w:p w14:paraId="16E6047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（8）法律、行政法规和中国证监会规定禁止的其他行为。</w:t>
      </w:r>
    </w:p>
    <w:p w14:paraId="11461C0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bCs/>
          <w:szCs w:val="24"/>
        </w:rPr>
        <w:t xml:space="preserve"> </w:t>
      </w:r>
    </w:p>
    <w:p w14:paraId="49AE075E"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五、基金管理人关于禁止性行为的承诺</w:t>
      </w:r>
    </w:p>
    <w:p w14:paraId="345D7E49"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为维护基金份额持有人的合法权益，本基金禁止从事下列行为：</w:t>
      </w:r>
    </w:p>
    <w:p w14:paraId="01C287E5"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（1）承销证券；</w:t>
      </w:r>
    </w:p>
    <w:p w14:paraId="1EE419B6"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（2）违反规定向他人贷款或者提供担保；</w:t>
      </w:r>
    </w:p>
    <w:p w14:paraId="2FBB137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（3）从事承担无限责任的投资；</w:t>
      </w:r>
    </w:p>
    <w:p w14:paraId="36E69D7D"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（4）买卖除目标ETF以外的其他基金份额，但是中国证监会另有规定的除外；</w:t>
      </w:r>
    </w:p>
    <w:p w14:paraId="4834956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（5）向其基金管理人、基金托管人出资；</w:t>
      </w:r>
    </w:p>
    <w:p w14:paraId="24549E2F"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（6）从事内幕交易、操纵证券交易价格及其他不正当的证券交易活动；</w:t>
      </w:r>
    </w:p>
    <w:p w14:paraId="5D453E06"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（7）法律、行政法规和中国证监会规定禁止的其他活动。</w:t>
      </w:r>
    </w:p>
    <w:p w14:paraId="44695AE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8D1FB69"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法律、行政法规或监管部门取消或变更上述限制，如适用于本基金</w:t>
      </w:r>
      <w:r>
        <w:rPr>
          <w:rFonts w:ascii="宋体" w:hAnsi="宋体" w:cs="宋体" w:hint="eastAsia"/>
          <w:bCs/>
          <w:color w:val="000000"/>
        </w:rPr>
        <w:t>，基金管理人在履行适当程序后</w:t>
      </w:r>
      <w:r>
        <w:rPr>
          <w:rFonts w:ascii="宋体" w:hAnsi="宋体" w:cs="Times New Roman" w:hint="eastAsia"/>
          <w:bCs/>
          <w:szCs w:val="24"/>
        </w:rPr>
        <w:t>，则本基金投资不再受相关限制或按变更后的规定执行。</w:t>
      </w:r>
    </w:p>
    <w:p w14:paraId="4AA69F4B"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bCs/>
          <w:szCs w:val="24"/>
        </w:rPr>
        <w:t xml:space="preserve"> </w:t>
      </w:r>
    </w:p>
    <w:p w14:paraId="7539EA44"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六、基金经理承诺</w:t>
      </w:r>
    </w:p>
    <w:p w14:paraId="49DD33BB"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1、依照有关法律、法规和基金合同的规定，本着勤勉尽责的原则为基金份额持有人谋取最大利益；</w:t>
      </w:r>
    </w:p>
    <w:p w14:paraId="46165EAE"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2、不能利用职务之便为自己、受雇人或基金份额持有人以外的人谋取利益；</w:t>
      </w:r>
    </w:p>
    <w:p w14:paraId="633B1991"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3、不泄露在任职期间知悉的有关证券、基金的商业秘密，尚未依法公开的基金投资内容、基金投资计划等信息，或利用该信息从事或者明示、暗示他人从事相关的交易活动；</w:t>
      </w:r>
    </w:p>
    <w:p w14:paraId="6D50C024"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4、不以任何形式为其他组织或个人进行证券交易。</w:t>
      </w:r>
    </w:p>
    <w:p w14:paraId="4DE81791"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bCs/>
          <w:szCs w:val="24"/>
        </w:rPr>
        <w:t xml:space="preserve"> </w:t>
      </w:r>
    </w:p>
    <w:p w14:paraId="5BDD047E"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七、基金管理人的内部控制制度</w:t>
      </w:r>
    </w:p>
    <w:p w14:paraId="4902486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1、内部控制制度概述</w:t>
      </w:r>
    </w:p>
    <w:p w14:paraId="77A0E0E6"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为了保证公司规范运作，有效地防范和化解管理风险、经营风险以及操作风险，确保基金财务和公司财务以及其他信息真实、准确、完整，从而最大程度地保护基金份额持有人的利益，本基金管理人建立了科学合理、控制严密、运行高效的内部控制制度。</w:t>
      </w:r>
    </w:p>
    <w:p w14:paraId="71E0C1F3"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内部控制制度是指公司为实现内部控制目标而建立的一系列组织机制、管理方法、操作程序与控制措施的总称。内部控制制度由内部控制大纲、基本管理制度、部门业务规章等组成。</w:t>
      </w:r>
    </w:p>
    <w:p w14:paraId="567D84C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公司内部控制大纲是对公司章程规定的内控原则的细化和展开，是对各项基本管理制度的总揽和指导，内部控制大纲明确了内控目标、内控原则、控制环境、内控措施等内容。</w:t>
      </w:r>
    </w:p>
    <w:p w14:paraId="285BD016"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基本管理制度包括内部会计控制制度、风险控制制度、投资管理制度、监察稽核制度、基金会计制度、信息披露制度、信息技术管理制度、资料档案管理制度、业绩评估考核制度和紧急应变制度等。</w:t>
      </w:r>
    </w:p>
    <w:p w14:paraId="654AB741"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部门业务规章是在基本管理制度的基础上，对各部门的主要职责、岗位设置、岗位责任、操作守则等的具体说明。</w:t>
      </w:r>
    </w:p>
    <w:p w14:paraId="7E651B97"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2、内部控制原则</w:t>
      </w:r>
    </w:p>
    <w:p w14:paraId="07E06E0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健全性原则。内部控制机制必须覆盖公司的各项业务、各个部门或机构和各级人员，并涵盖到决策、执行、监督、反馈等各个运作环节。</w:t>
      </w:r>
    </w:p>
    <w:p w14:paraId="47EA249D"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有效性原则。通过科学的内控手段和方法，建立合理的内控程序，维护内控制度的有效执行。</w:t>
      </w:r>
    </w:p>
    <w:p w14:paraId="7C8B709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 xml:space="preserve"> 独立性原则。公司各机构、部门和岗位在职能上应当保持相对独立，公司基金资产、自有资产、其他资产的运作应当分离。</w:t>
      </w:r>
    </w:p>
    <w:p w14:paraId="0C6BAE6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相互制约原则。公司内部部门和岗位的设置必须权责分明、相互制衡，并通过切实可行的措施来实行。</w:t>
      </w:r>
    </w:p>
    <w:p w14:paraId="1A0F1D0F"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成本效益原则。公司应充分发挥各机构、各部门及各级员工的工作积极性，运用科学化的方法尽量降低经营运作成本，提高经济效益，以合理的控制成本达到最佳的内部控制效果。</w:t>
      </w:r>
    </w:p>
    <w:p w14:paraId="50DA884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3、主要内部控制制度</w:t>
      </w:r>
    </w:p>
    <w:p w14:paraId="6AAB4F6E"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（1）内部会计控制制度</w:t>
      </w:r>
    </w:p>
    <w:p w14:paraId="491312E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公司依据《中华人民共和国会计法》等国家有关法律、法规制订了基金会计制度、公司财务会计制度、会计工作操作流程和会计岗位职责，并针对各个风险控制点建立严密的会计系统控制。</w:t>
      </w:r>
    </w:p>
    <w:p w14:paraId="7BC980AF"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内部会计控制制度包括凭证制度、复核制度、账务处理程序、基金估值制度和程序、基金财务清算制度和程序、成本控制制度、财务收支审批制度和费用报销管理办法、财产登记保管和实物资产盘点制度、会计档案保管和财务交接制度等。</w:t>
      </w:r>
    </w:p>
    <w:p w14:paraId="7C5AA611"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（2）风险管理控制制度</w:t>
      </w:r>
    </w:p>
    <w:p w14:paraId="3CA1DAFA"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风险控制制度由风险控制委员会组织各部门制定，风险控制制度由风险控制的机构设置、风险控制的程序、风险控制的具体制度、风险控制制度执行情况的监督等部分组成。</w:t>
      </w:r>
    </w:p>
    <w:p w14:paraId="285A8BF4"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风险控制的具体制度主要包括投资风险管理制度、交易风险管理制度、财务风险控制制度、信息技术系统风险控制制度以及岗位分离制度、防火墙制度、反馈制度、保密制度等程序性风险管理制度。</w:t>
      </w:r>
    </w:p>
    <w:p w14:paraId="34B7CF08"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（3）监察稽核制度</w:t>
      </w:r>
    </w:p>
    <w:p w14:paraId="0A8E3303"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公司设立督察长，负责监督检查基金和公司运作的合法合规情况及公司内部风险控制情况。督察长由总经理提名，董事会聘任，并经全体独立董事同意。</w:t>
      </w:r>
    </w:p>
    <w:p w14:paraId="0C47AA0C"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督察长负责组织指导公司监察稽核工作。除应当回避的情况外，督察长享有充分的知情权和独立的调查权。督察长根据履行职责的需要，有权参加或者列席公司董事会以及公司业务、投资决策、风险管理等相关会议，有权调阅公司相关文件、档案。督察长应当定期或者不定期向全体董事报送工作报告，并在董事会及董事会下设的相关专门委员会定期会议上报告基金及公司运作的合法合规情况及公司内部风险控制情况。</w:t>
      </w:r>
    </w:p>
    <w:p w14:paraId="34534B6D"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公司设立监察稽核部门，具体执行监察稽核工作。公司配备了充足合格的监察稽核人员，明确规定了监察稽核部门及内部各岗位的职责和工作流程。</w:t>
      </w:r>
    </w:p>
    <w:p w14:paraId="7A816FDB" w14:textId="77777777" w:rsidR="009C2D86" w:rsidRDefault="0027599D">
      <w:pPr>
        <w:tabs>
          <w:tab w:val="left" w:pos="2160"/>
        </w:tabs>
        <w:adjustRightInd w:val="0"/>
        <w:snapToGrid w:val="0"/>
        <w:spacing w:line="360" w:lineRule="auto"/>
        <w:ind w:firstLineChars="200" w:firstLine="420"/>
        <w:rPr>
          <w:rFonts w:ascii="宋体" w:hAnsi="宋体" w:cs="Times New Roman"/>
          <w:bCs/>
          <w:szCs w:val="24"/>
        </w:rPr>
      </w:pPr>
      <w:r>
        <w:rPr>
          <w:rFonts w:ascii="宋体" w:hAnsi="宋体" w:cs="Times New Roman" w:hint="eastAsia"/>
          <w:bCs/>
          <w:szCs w:val="24"/>
        </w:rPr>
        <w:t>监察稽核制度包括内部稽核管理办法、内部稽核工作准则等。通过这些制度的建立，检查公司各业务部门和人员遵守有关法律、法规和规章的情况；检查公司各业务部门和人员执行公司内部控制制度、各项管理制度和业务规章的情况。</w:t>
      </w:r>
    </w:p>
    <w:p w14:paraId="52AD2DE7" w14:textId="1B8D86F7" w:rsidR="00C83096" w:rsidRDefault="00C83096">
      <w:pPr>
        <w:widowControl/>
        <w:jc w:val="left"/>
        <w:rPr>
          <w:rFonts w:ascii="宋体" w:hAnsi="宋体" w:cs="宋体"/>
          <w:color w:val="000000"/>
        </w:rPr>
      </w:pPr>
      <w:r>
        <w:rPr>
          <w:rFonts w:ascii="宋体" w:hAnsi="宋体" w:cs="宋体"/>
          <w:color w:val="000000"/>
        </w:rPr>
        <w:br w:type="page"/>
      </w:r>
    </w:p>
    <w:p w14:paraId="58C6CECF" w14:textId="6F6BDD33"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48" w:name="_Toc362455181"/>
      <w:bookmarkStart w:id="49" w:name="_Toc360794406"/>
      <w:bookmarkStart w:id="50" w:name="_Toc360794514"/>
      <w:bookmarkStart w:id="51" w:name="_Toc362533453"/>
      <w:bookmarkStart w:id="52" w:name="_Toc360793848"/>
      <w:bookmarkStart w:id="53" w:name="_Toc360793496"/>
      <w:bookmarkStart w:id="54" w:name="_Toc48900071"/>
      <w:bookmarkStart w:id="55" w:name="_Toc360794098"/>
      <w:r>
        <w:rPr>
          <w:rFonts w:ascii="宋体" w:eastAsia="宋体" w:hAnsi="宋体" w:cs="宋体" w:hint="eastAsia"/>
        </w:rPr>
        <w:t>基金托管人</w:t>
      </w:r>
      <w:bookmarkEnd w:id="48"/>
      <w:bookmarkEnd w:id="49"/>
      <w:bookmarkEnd w:id="50"/>
      <w:bookmarkEnd w:id="51"/>
      <w:bookmarkEnd w:id="52"/>
      <w:bookmarkEnd w:id="53"/>
      <w:bookmarkEnd w:id="54"/>
      <w:bookmarkEnd w:id="55"/>
    </w:p>
    <w:p w14:paraId="5DF8B782" w14:textId="77777777" w:rsidR="009C2D86" w:rsidRDefault="009C2D86">
      <w:pPr>
        <w:tabs>
          <w:tab w:val="left" w:pos="2160"/>
        </w:tabs>
        <w:adjustRightInd w:val="0"/>
        <w:snapToGrid w:val="0"/>
        <w:spacing w:line="360" w:lineRule="auto"/>
        <w:ind w:firstLineChars="200" w:firstLine="420"/>
        <w:rPr>
          <w:rFonts w:ascii="宋体" w:cs="Times New Roman"/>
          <w:color w:val="000000"/>
        </w:rPr>
      </w:pPr>
    </w:p>
    <w:p w14:paraId="3DB2443B" w14:textId="77777777" w:rsidR="00590455" w:rsidRPr="00590455" w:rsidRDefault="00590455" w:rsidP="00590455">
      <w:pPr>
        <w:tabs>
          <w:tab w:val="left" w:pos="2160"/>
        </w:tabs>
        <w:adjustRightInd w:val="0"/>
        <w:snapToGrid w:val="0"/>
        <w:spacing w:line="360" w:lineRule="auto"/>
        <w:ind w:firstLineChars="200" w:firstLine="420"/>
        <w:rPr>
          <w:rFonts w:ascii="宋体" w:hAnsi="宋体"/>
          <w:bCs/>
        </w:rPr>
      </w:pPr>
      <w:r w:rsidRPr="00590455">
        <w:rPr>
          <w:rFonts w:ascii="宋体" w:hAnsi="宋体" w:hint="eastAsia"/>
          <w:bCs/>
        </w:rPr>
        <w:t>一、基金托管人概况</w:t>
      </w:r>
    </w:p>
    <w:p w14:paraId="7AF05323" w14:textId="567D29F1" w:rsidR="00590455" w:rsidRPr="00590455" w:rsidRDefault="00D17E09" w:rsidP="00590455">
      <w:pPr>
        <w:tabs>
          <w:tab w:val="left" w:pos="2160"/>
        </w:tabs>
        <w:adjustRightInd w:val="0"/>
        <w:snapToGrid w:val="0"/>
        <w:spacing w:line="360" w:lineRule="auto"/>
        <w:ind w:firstLineChars="200" w:firstLine="420"/>
        <w:rPr>
          <w:rFonts w:ascii="宋体" w:hAnsi="宋体"/>
          <w:bCs/>
        </w:rPr>
      </w:pPr>
      <w:r>
        <w:rPr>
          <w:rFonts w:ascii="宋体" w:hAnsi="宋体" w:hint="eastAsia"/>
          <w:bCs/>
        </w:rPr>
        <w:t>（一）</w:t>
      </w:r>
      <w:r w:rsidR="00590455" w:rsidRPr="00590455">
        <w:rPr>
          <w:rFonts w:ascii="宋体" w:hAnsi="宋体" w:hint="eastAsia"/>
          <w:bCs/>
        </w:rPr>
        <w:t>基本情况</w:t>
      </w:r>
    </w:p>
    <w:p w14:paraId="450ED3D6" w14:textId="6FBF5650"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名称：中国建设银行股份有限公司(简称：中国建设银行)</w:t>
      </w:r>
    </w:p>
    <w:p w14:paraId="64E19008"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住所：北京市西城区金融大街25号</w:t>
      </w:r>
    </w:p>
    <w:p w14:paraId="3C5F7433"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办公地址：北京市西城区闹市口大街1号院1号楼</w:t>
      </w:r>
    </w:p>
    <w:p w14:paraId="34F99495"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法定代表人：张金良</w:t>
      </w:r>
    </w:p>
    <w:p w14:paraId="65C5D99D"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成立时间：2004年09月17日</w:t>
      </w:r>
    </w:p>
    <w:p w14:paraId="723A52CB"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组织形式：股份有限公司</w:t>
      </w:r>
    </w:p>
    <w:p w14:paraId="42873221"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注册资本：贰仟伍佰亿壹仟零玖拾柒万柒仟肆佰捌拾陆元整</w:t>
      </w:r>
    </w:p>
    <w:p w14:paraId="579AE38B"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存续期间：持续经营</w:t>
      </w:r>
    </w:p>
    <w:p w14:paraId="6C18373E"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基金托管资格批文及文号：中国证监会证监基字[1998]12号</w:t>
      </w:r>
    </w:p>
    <w:p w14:paraId="780C2701" w14:textId="77777777" w:rsidR="00E06B97" w:rsidRPr="00E06B97" w:rsidRDefault="00E06B97" w:rsidP="00E06B97">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E06B97">
        <w:rPr>
          <w:rFonts w:ascii="宋体" w:hAnsi="宋体" w:cs="Times New Roman" w:hint="eastAsia"/>
          <w:color w:val="222222"/>
          <w:kern w:val="0"/>
          <w:lang w:val="x-none" w:eastAsia="x-none"/>
        </w:rPr>
        <w:t>联系人：王小飞</w:t>
      </w:r>
    </w:p>
    <w:p w14:paraId="32FECF7D" w14:textId="2436E940" w:rsidR="00590455" w:rsidRPr="00590455" w:rsidRDefault="00E06B97" w:rsidP="00590455">
      <w:pPr>
        <w:tabs>
          <w:tab w:val="left" w:pos="2160"/>
        </w:tabs>
        <w:adjustRightInd w:val="0"/>
        <w:snapToGrid w:val="0"/>
        <w:spacing w:line="360" w:lineRule="auto"/>
        <w:ind w:firstLineChars="200" w:firstLine="420"/>
        <w:rPr>
          <w:rFonts w:ascii="宋体" w:hAnsi="宋体"/>
          <w:bCs/>
        </w:rPr>
      </w:pPr>
      <w:r w:rsidRPr="00E06B97">
        <w:rPr>
          <w:rFonts w:ascii="Times New Roman" w:hAnsi="Times New Roman" w:cs="Times New Roman" w:hint="eastAsia"/>
          <w:szCs w:val="24"/>
        </w:rPr>
        <w:t>联系电话：</w:t>
      </w:r>
      <w:r w:rsidRPr="00E06B97">
        <w:rPr>
          <w:rFonts w:ascii="Times New Roman" w:hAnsi="Times New Roman" w:cs="Times New Roman" w:hint="eastAsia"/>
          <w:szCs w:val="24"/>
        </w:rPr>
        <w:t>(021)6063 7103</w:t>
      </w:r>
    </w:p>
    <w:p w14:paraId="18B139C7"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（二）主要人员情况</w:t>
      </w:r>
    </w:p>
    <w:p w14:paraId="6202524B"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中国建设银行总行设资产托管业务部，下设综合处、基金业务处、证券保险业务处、理财信托业务处、全球业务处、养老金业务处、新兴业务处、客户服务与业务协同处、运营管理处、跨境与外包管理处、托管应用系统支持处、内控合规处等12个职能处室，在北京、上海、合肥设有托管运营中心，共有员工300余人。自2007年起，托管部连续聘请外部会计师事务所对托管业务进行内部控制审计，并已经成为常规化的内控工作手段。</w:t>
      </w:r>
    </w:p>
    <w:p w14:paraId="0E1C00A2"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（三）基金托管业务经营情况</w:t>
      </w:r>
    </w:p>
    <w:p w14:paraId="63510437" w14:textId="476556EC"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作为国内首批开办证券投资基金托管业务的商业银行，中国建设银行一直秉持“以客户为中心”的经营理念，不断加强风险管理和内部控制，严格履行托管人的各项职责，切实维护资产持有人的合法权益，为资产委托人提供高质量的托管服务。经过多年稳步发展，中国建设银行托管资产规模不断扩大，托管业务品种不断增加，已形成包括证券投资基金、社保基金、保险资金、基本养老个人账户、(R)QFII、(R)QDII、企业年金、存托业务等产品在内的托管业务体系，是目前国内托管业务品种最齐全的商业银行之一。</w:t>
      </w:r>
      <w:r w:rsidR="00B44442" w:rsidRPr="00B44442">
        <w:rPr>
          <w:rFonts w:ascii="宋体" w:hAnsi="宋体" w:cs="Times New Roman" w:hint="eastAsia"/>
          <w:color w:val="222222"/>
          <w:kern w:val="0"/>
          <w:lang w:val="x-none" w:eastAsia="x-none"/>
        </w:rPr>
        <w:t>截至2024年末，中国建设银行已托管1405只证券投资基金。</w:t>
      </w:r>
      <w:r w:rsidRPr="00D17E09">
        <w:rPr>
          <w:rFonts w:ascii="宋体" w:hAnsi="宋体" w:cs="Times New Roman" w:hint="eastAsia"/>
          <w:color w:val="222222"/>
          <w:kern w:val="0"/>
          <w:lang w:val="x-none" w:eastAsia="x-none"/>
        </w:rPr>
        <w:t>中国建设银行专业高效的托管服务能力和业务水平，赢得了业内的高度认同。中国建设银行多次被《全球托管人》、 《财资》、《环球金融》杂志及《中国基金报》评选为“最佳托管银行”、连续多年荣获中央国债登记结算有限责任公司（中债）“优秀资产托管机构”、银行间市场清算所股份有限公司（上清所）“优秀托管银行”奖项、并先后荣获《亚洲银行家》颁发的2017年度“最佳托管系统实施奖”、2019年度“中国年度托管业务科技实施奖”、2021年度“中国最佳数字化资产托管银行”、以及 2020及2022年度“中国年度托管银行（大型银行）”奖项。2022年度，荣获《环球金融》 “中国最佳次托管银行”，并作为唯一中资银行获得《财资》“中国最佳QFI托管银行”奖项。2023年度，荣获中国基金报“公募基金25年最佳基金托管银行”奖项。</w:t>
      </w:r>
      <w:r w:rsidR="00B44442" w:rsidRPr="00B44442">
        <w:rPr>
          <w:rFonts w:ascii="宋体" w:hAnsi="宋体" w:cs="Times New Roman" w:hint="eastAsia"/>
          <w:color w:val="222222"/>
          <w:kern w:val="0"/>
          <w:lang w:val="x-none" w:eastAsia="x-none"/>
        </w:rPr>
        <w:t>2024年度，荣获《中国基金报》“优秀ETF托管人”、《中国证券报》“ETF金牛生态圈卓越托管机构（银行）”、《环球金融》“中国最佳次托管人”等奖项。</w:t>
      </w:r>
    </w:p>
    <w:p w14:paraId="361BA91E"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二、基金托管人的内部控制制度</w:t>
      </w:r>
    </w:p>
    <w:p w14:paraId="5E33B665"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（一）内部控制目标</w:t>
      </w:r>
    </w:p>
    <w:p w14:paraId="00E91A03"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作为基金托管人，中国建设银行严格遵守国家有关托管业务的法律法规、行业监管规章和本行内有关管理规定，守法经营、规范运作、严格检查，确保业务的稳健运行，保证基金财产的安全完整，确保有关信息的真实、准确、完整、及时，保护基金份额持有人的合法权益。</w:t>
      </w:r>
    </w:p>
    <w:p w14:paraId="099785FD"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（二）内部控制组织结构</w:t>
      </w:r>
    </w:p>
    <w:p w14:paraId="14FBE46D"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中国建设银行设有风险内控管理委员会，负责全行风险管理与内部控制工作，对托管业务风险管理和内部控制的有效性进行指导。资产托管业务部配备了专职内控合规人员负责托管业务的内控合规工作，具有独立行使内控合规工作职权和能力。</w:t>
      </w:r>
    </w:p>
    <w:p w14:paraId="1E76DA57"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（三）内部控制制度及措施</w:t>
      </w:r>
    </w:p>
    <w:p w14:paraId="50A3084B"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资产托管业务部具备系统、完善的制度控制体系，建立了管理制度、控制制度、岗位职责、业务操作流程，可以保证托管业务的规范操作和顺利进行；业务人员具备从业资格；业务管理严格实行复核、审核、检查制度，授权工作实行集中控制，业务印章按规程保管、存放、使用，账户资料严格保管，制约机制严格有效；业务操作区专门设置，封闭管理，实施音像监控；业务信息由专职信息披露人负责，防止泄密；业务实现自动化操作，防止人为事故的发生，技术系统完整、独立。</w:t>
      </w:r>
    </w:p>
    <w:p w14:paraId="19820EC9"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三、基金托管人对基金管理人运作基金进行监督的方法和程序</w:t>
      </w:r>
    </w:p>
    <w:p w14:paraId="2D7DF59C"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（一）监督方法</w:t>
      </w:r>
    </w:p>
    <w:p w14:paraId="54442B2D"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依照《基金法》及其配套法规和基金合同的约定，监督所托管基金的投资运作。利用自行开发的“新一代托管应用监督子系统”，严格按照现行法律法规以及基金合同规定，对基金管理人运作基金的投资比例、投资范围、投资组合等情况进行监督。在日常为基金投资运作所提供的基金清算和核算服务环节中，对基金管理人发送的投资指令、基金管理人对各基金费用的提取与开支情况进行检查监督。</w:t>
      </w:r>
    </w:p>
    <w:p w14:paraId="56393E74"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（二）监督流程</w:t>
      </w:r>
    </w:p>
    <w:p w14:paraId="6D1DD190"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1.每工作日按时通过新一代托管应用监督子系统，对各基金投资运作比例控制等情况进行监控，如发现投资异常情况，向基金管理人进行风险提示，与基金管理人进行情况核实，督促其纠正，如有重大异常事项及时报告中国证监会。</w:t>
      </w:r>
    </w:p>
    <w:p w14:paraId="2BFD70F5" w14:textId="77777777" w:rsidR="00D17E09" w:rsidRPr="00D17E09" w:rsidRDefault="00D17E09" w:rsidP="00D17E09">
      <w:pPr>
        <w:widowControl/>
        <w:shd w:val="clear" w:color="auto" w:fill="FFFFFF"/>
        <w:snapToGrid w:val="0"/>
        <w:spacing w:line="360" w:lineRule="auto"/>
        <w:ind w:firstLineChars="200" w:firstLine="420"/>
        <w:rPr>
          <w:rFonts w:ascii="宋体" w:hAnsi="宋体" w:cs="Times New Roman"/>
          <w:color w:val="222222"/>
          <w:kern w:val="0"/>
          <w:lang w:val="x-none" w:eastAsia="x-none"/>
        </w:rPr>
      </w:pPr>
      <w:r w:rsidRPr="00D17E09">
        <w:rPr>
          <w:rFonts w:ascii="宋体" w:hAnsi="宋体" w:cs="Times New Roman" w:hint="eastAsia"/>
          <w:color w:val="222222"/>
          <w:kern w:val="0"/>
          <w:lang w:val="x-none" w:eastAsia="x-none"/>
        </w:rPr>
        <w:t>2.收到基金管理人的划款指令后，对指令要素等内容进行核查。</w:t>
      </w:r>
    </w:p>
    <w:p w14:paraId="269CBD57" w14:textId="3295990A" w:rsidR="00590455" w:rsidRDefault="00D17E09" w:rsidP="00590455">
      <w:pPr>
        <w:tabs>
          <w:tab w:val="left" w:pos="2160"/>
        </w:tabs>
        <w:adjustRightInd w:val="0"/>
        <w:snapToGrid w:val="0"/>
        <w:spacing w:line="360" w:lineRule="auto"/>
        <w:ind w:firstLineChars="200" w:firstLine="420"/>
        <w:rPr>
          <w:rFonts w:ascii="宋体" w:hAnsi="宋体"/>
          <w:bCs/>
        </w:rPr>
      </w:pPr>
      <w:r w:rsidRPr="00D17E09">
        <w:rPr>
          <w:rFonts w:ascii="Times New Roman" w:hAnsi="Times New Roman" w:cs="Times New Roman" w:hint="eastAsia"/>
          <w:szCs w:val="24"/>
        </w:rPr>
        <w:t>3.</w:t>
      </w:r>
      <w:r w:rsidRPr="00D17E09">
        <w:rPr>
          <w:rFonts w:ascii="Times New Roman" w:hAnsi="Times New Roman" w:cs="Times New Roman" w:hint="eastAsia"/>
          <w:szCs w:val="24"/>
        </w:rPr>
        <w:t>通过技术或非技术手段发现基金涉嫌违规交易，电话或书面要求基金管理人进行解释或举证，如有必要将及时报告中国证监会。</w:t>
      </w:r>
    </w:p>
    <w:p w14:paraId="170F20CA" w14:textId="77777777" w:rsidR="009C2D86" w:rsidRDefault="0027599D">
      <w:pPr>
        <w:widowControl/>
        <w:jc w:val="left"/>
        <w:rPr>
          <w:rFonts w:ascii="宋体" w:cs="Times New Roman"/>
          <w:color w:val="000000"/>
          <w:kern w:val="0"/>
        </w:rPr>
      </w:pPr>
      <w:r>
        <w:rPr>
          <w:rFonts w:ascii="宋体" w:cs="Times New Roman"/>
          <w:color w:val="000000"/>
          <w:kern w:val="0"/>
        </w:rPr>
        <w:br w:type="page"/>
      </w:r>
    </w:p>
    <w:p w14:paraId="3A699B7B" w14:textId="77777777" w:rsidR="009C2D86" w:rsidRDefault="009C2D86">
      <w:pPr>
        <w:widowControl/>
        <w:jc w:val="left"/>
        <w:rPr>
          <w:rFonts w:ascii="宋体" w:cs="Times New Roman"/>
          <w:color w:val="000000"/>
          <w:kern w:val="0"/>
        </w:rPr>
      </w:pPr>
    </w:p>
    <w:p w14:paraId="007E9D12" w14:textId="77777777" w:rsidR="009C2D86" w:rsidRDefault="009C2D86">
      <w:pPr>
        <w:adjustRightInd w:val="0"/>
        <w:snapToGrid w:val="0"/>
        <w:spacing w:line="360" w:lineRule="auto"/>
        <w:ind w:firstLineChars="200" w:firstLine="420"/>
        <w:rPr>
          <w:rFonts w:ascii="宋体" w:cs="Times New Roman"/>
          <w:color w:val="000000"/>
          <w:kern w:val="0"/>
        </w:rPr>
      </w:pPr>
    </w:p>
    <w:p w14:paraId="145C77C9"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56" w:name="_Toc360793849"/>
      <w:bookmarkStart w:id="57" w:name="_Toc360794099"/>
      <w:bookmarkStart w:id="58" w:name="_Toc362455182"/>
      <w:bookmarkStart w:id="59" w:name="_Toc360794515"/>
      <w:bookmarkStart w:id="60" w:name="_Toc48900072"/>
      <w:bookmarkStart w:id="61" w:name="_Toc362533454"/>
      <w:bookmarkStart w:id="62" w:name="_Toc360793497"/>
      <w:bookmarkStart w:id="63" w:name="_Toc360794407"/>
      <w:r>
        <w:rPr>
          <w:rFonts w:ascii="宋体" w:eastAsia="宋体" w:hAnsi="宋体" w:cs="宋体" w:hint="eastAsia"/>
        </w:rPr>
        <w:t>相关服务机构</w:t>
      </w:r>
      <w:bookmarkEnd w:id="56"/>
      <w:bookmarkEnd w:id="57"/>
      <w:bookmarkEnd w:id="58"/>
      <w:bookmarkEnd w:id="59"/>
      <w:bookmarkEnd w:id="60"/>
      <w:bookmarkEnd w:id="61"/>
      <w:bookmarkEnd w:id="62"/>
      <w:bookmarkEnd w:id="63"/>
    </w:p>
    <w:p w14:paraId="3A6C0EFF" w14:textId="77777777" w:rsidR="009C2D86" w:rsidRDefault="009C2D86">
      <w:pPr>
        <w:autoSpaceDE w:val="0"/>
        <w:autoSpaceDN w:val="0"/>
        <w:adjustRightInd w:val="0"/>
        <w:snapToGrid w:val="0"/>
        <w:spacing w:line="360" w:lineRule="auto"/>
        <w:ind w:firstLine="420"/>
        <w:rPr>
          <w:rFonts w:ascii="宋体" w:cs="Times New Roman"/>
          <w:b/>
          <w:bCs/>
          <w:color w:val="000000"/>
          <w:kern w:val="0"/>
        </w:rPr>
      </w:pPr>
    </w:p>
    <w:p w14:paraId="5E881BB9" w14:textId="77777777" w:rsidR="009C2D86" w:rsidRDefault="0027599D">
      <w:pPr>
        <w:autoSpaceDE w:val="0"/>
        <w:autoSpaceDN w:val="0"/>
        <w:adjustRightInd w:val="0"/>
        <w:snapToGrid w:val="0"/>
        <w:spacing w:line="360" w:lineRule="auto"/>
        <w:ind w:firstLine="420"/>
        <w:rPr>
          <w:rFonts w:ascii="宋体" w:cs="Times New Roman"/>
          <w:bCs/>
          <w:color w:val="000000"/>
          <w:kern w:val="0"/>
        </w:rPr>
      </w:pPr>
      <w:r>
        <w:rPr>
          <w:rFonts w:ascii="宋体" w:hAnsi="宋体" w:cs="宋体" w:hint="eastAsia"/>
          <w:bCs/>
          <w:color w:val="000000"/>
          <w:kern w:val="0"/>
        </w:rPr>
        <w:t>一、销售机构</w:t>
      </w:r>
    </w:p>
    <w:p w14:paraId="269C6A84" w14:textId="77777777" w:rsidR="009C2D86" w:rsidRDefault="0027599D">
      <w:pPr>
        <w:tabs>
          <w:tab w:val="left" w:pos="840"/>
        </w:tabs>
        <w:adjustRightInd w:val="0"/>
        <w:snapToGrid w:val="0"/>
        <w:spacing w:line="360" w:lineRule="auto"/>
        <w:ind w:firstLineChars="200" w:firstLine="420"/>
        <w:rPr>
          <w:rFonts w:hAnsi="宋体" w:cs="宋体"/>
          <w:color w:val="000000"/>
        </w:rPr>
      </w:pPr>
      <w:r>
        <w:rPr>
          <w:rFonts w:ascii="宋体" w:hAnsi="宋体" w:cs="宋体" w:hint="eastAsia"/>
          <w:color w:val="000000"/>
        </w:rPr>
        <w:t>销售机构情况详见基金份额发售公告及基金管理人网站。</w:t>
      </w:r>
    </w:p>
    <w:p w14:paraId="59AF096B" w14:textId="77777777" w:rsidR="009C2D86" w:rsidRDefault="009C2D86">
      <w:pPr>
        <w:snapToGrid w:val="0"/>
        <w:spacing w:line="360" w:lineRule="auto"/>
        <w:rPr>
          <w:rFonts w:ascii="宋体" w:cs="Times New Roman"/>
        </w:rPr>
      </w:pPr>
    </w:p>
    <w:p w14:paraId="2B0921F1" w14:textId="77777777" w:rsidR="009C2D86" w:rsidRDefault="0027599D">
      <w:pPr>
        <w:autoSpaceDE w:val="0"/>
        <w:autoSpaceDN w:val="0"/>
        <w:adjustRightInd w:val="0"/>
        <w:snapToGrid w:val="0"/>
        <w:spacing w:line="360" w:lineRule="auto"/>
        <w:ind w:firstLine="420"/>
        <w:rPr>
          <w:rFonts w:ascii="宋体" w:cs="Times New Roman"/>
          <w:bCs/>
          <w:color w:val="000000"/>
          <w:kern w:val="0"/>
        </w:rPr>
      </w:pPr>
      <w:r>
        <w:rPr>
          <w:rFonts w:ascii="宋体" w:hAnsi="宋体" w:cs="宋体" w:hint="eastAsia"/>
          <w:bCs/>
          <w:color w:val="000000"/>
          <w:kern w:val="0"/>
        </w:rPr>
        <w:t>二、登记机构</w:t>
      </w:r>
    </w:p>
    <w:p w14:paraId="1867ECC0" w14:textId="77777777" w:rsidR="009C2D86" w:rsidRDefault="0027599D">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名称：南方基金管理股份有限公司</w:t>
      </w:r>
    </w:p>
    <w:p w14:paraId="65F23F30" w14:textId="77777777" w:rsidR="009C2D86" w:rsidRDefault="0027599D">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住所及办公地址：深圳市福田区莲花街道益田路5999号基金大厦32-42楼</w:t>
      </w:r>
    </w:p>
    <w:p w14:paraId="196F128B" w14:textId="77777777" w:rsidR="009C2D86" w:rsidRDefault="0027599D">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法定代表人：周易</w:t>
      </w:r>
    </w:p>
    <w:p w14:paraId="55272CDF" w14:textId="77777777" w:rsidR="009C2D86" w:rsidRDefault="0027599D">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电话：4008898899</w:t>
      </w:r>
    </w:p>
    <w:p w14:paraId="5AF140B3" w14:textId="77777777" w:rsidR="009C2D86" w:rsidRDefault="0027599D">
      <w:pPr>
        <w:adjustRightInd w:val="0"/>
        <w:snapToGrid w:val="0"/>
        <w:spacing w:line="360" w:lineRule="auto"/>
        <w:ind w:firstLineChars="200" w:firstLine="420"/>
        <w:rPr>
          <w:rFonts w:ascii="宋体" w:cs="Times New Roman"/>
          <w:color w:val="000000"/>
          <w:kern w:val="0"/>
        </w:rPr>
      </w:pPr>
      <w:r>
        <w:rPr>
          <w:rFonts w:ascii="宋体" w:cs="Times New Roman" w:hint="eastAsia"/>
          <w:color w:val="000000"/>
          <w:kern w:val="0"/>
        </w:rPr>
        <w:t>联系人：古和鹏</w:t>
      </w:r>
    </w:p>
    <w:p w14:paraId="744BFD1F" w14:textId="77777777" w:rsidR="009C2D86" w:rsidRDefault="009C2D86">
      <w:pPr>
        <w:tabs>
          <w:tab w:val="left" w:pos="840"/>
        </w:tabs>
        <w:adjustRightInd w:val="0"/>
        <w:snapToGrid w:val="0"/>
        <w:spacing w:line="360" w:lineRule="auto"/>
        <w:ind w:firstLineChars="200" w:firstLine="420"/>
        <w:rPr>
          <w:rFonts w:ascii="宋体" w:cs="Times New Roman"/>
          <w:color w:val="000000"/>
        </w:rPr>
      </w:pPr>
    </w:p>
    <w:p w14:paraId="223A9642"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三、出具法律意见书的律师事务所</w:t>
      </w:r>
    </w:p>
    <w:p w14:paraId="3CA32F87"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名称：上海市通力律师事务所</w:t>
      </w:r>
    </w:p>
    <w:p w14:paraId="5B6327CE"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注册地址：上海市银城中路68号时代金融中心19楼</w:t>
      </w:r>
    </w:p>
    <w:p w14:paraId="05FAFAE8"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负责人：韩炯</w:t>
      </w:r>
    </w:p>
    <w:p w14:paraId="08784D6F"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联系人：丁媛</w:t>
      </w:r>
    </w:p>
    <w:p w14:paraId="0A3F42D1"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电话: (86 21) 3135 8666</w:t>
      </w:r>
    </w:p>
    <w:p w14:paraId="37F2F4D6"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传真: (86 21) 3135 8600</w:t>
      </w:r>
    </w:p>
    <w:p w14:paraId="7EA79652"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经办律师：黎明、丁媛</w:t>
      </w:r>
    </w:p>
    <w:p w14:paraId="7E3ECD28" w14:textId="77777777" w:rsidR="009C2D86" w:rsidRDefault="009C2D86">
      <w:pPr>
        <w:tabs>
          <w:tab w:val="left" w:pos="840"/>
        </w:tabs>
        <w:adjustRightInd w:val="0"/>
        <w:snapToGrid w:val="0"/>
        <w:spacing w:line="360" w:lineRule="auto"/>
        <w:ind w:firstLineChars="200" w:firstLine="420"/>
        <w:rPr>
          <w:rFonts w:ascii="宋体" w:hAnsi="宋体" w:cs="宋体"/>
          <w:bCs/>
          <w:color w:val="000000"/>
        </w:rPr>
      </w:pPr>
    </w:p>
    <w:p w14:paraId="4A518406"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四、审计基金财产的会计师事务所</w:t>
      </w:r>
    </w:p>
    <w:p w14:paraId="7D256E4A"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名称：安永华明会计师事务所（特殊普通合伙）</w:t>
      </w:r>
    </w:p>
    <w:p w14:paraId="200516E7"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住所：北京市东城区东长安街1号东方广场安永大楼17层</w:t>
      </w:r>
    </w:p>
    <w:p w14:paraId="7E4C65DE"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办公地址：北京市东城区东长安街1号东方广场安永大楼17层</w:t>
      </w:r>
    </w:p>
    <w:p w14:paraId="53ED0091"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执行事务合伙人：毛鞍宁</w:t>
      </w:r>
    </w:p>
    <w:p w14:paraId="463B8B86"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电话：（010）58153000、（0755）25028288</w:t>
      </w:r>
    </w:p>
    <w:p w14:paraId="75646D24"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传真：（010）85188298、（0755）25026188</w:t>
      </w:r>
    </w:p>
    <w:p w14:paraId="28BBF9A3" w14:textId="77777777" w:rsidR="005F3BE1" w:rsidRPr="005F3BE1" w:rsidRDefault="005F3BE1" w:rsidP="005F3BE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签章注册会计师：高鹤、邓雯</w:t>
      </w:r>
    </w:p>
    <w:p w14:paraId="0353F92E" w14:textId="2552D6FE" w:rsidR="004E3C71" w:rsidRDefault="005F3BE1" w:rsidP="004E3C71">
      <w:pPr>
        <w:tabs>
          <w:tab w:val="left" w:pos="840"/>
        </w:tabs>
        <w:adjustRightInd w:val="0"/>
        <w:snapToGrid w:val="0"/>
        <w:spacing w:line="360" w:lineRule="auto"/>
        <w:ind w:firstLineChars="200" w:firstLine="420"/>
        <w:rPr>
          <w:rFonts w:ascii="宋体" w:cs="Times New Roman"/>
          <w:color w:val="000000"/>
        </w:rPr>
      </w:pPr>
      <w:r w:rsidRPr="005F3BE1">
        <w:rPr>
          <w:rFonts w:ascii="宋体" w:cs="Times New Roman" w:hint="eastAsia"/>
          <w:color w:val="000000"/>
        </w:rPr>
        <w:t>联系人：高鹤</w:t>
      </w:r>
    </w:p>
    <w:p w14:paraId="3D29BCFF" w14:textId="41C6EE17" w:rsidR="009C2D86" w:rsidRDefault="0027599D" w:rsidP="0009684D">
      <w:pPr>
        <w:tabs>
          <w:tab w:val="left" w:pos="840"/>
        </w:tabs>
        <w:adjustRightInd w:val="0"/>
        <w:snapToGrid w:val="0"/>
        <w:spacing w:line="360" w:lineRule="auto"/>
        <w:ind w:firstLineChars="200" w:firstLine="420"/>
        <w:rPr>
          <w:rFonts w:ascii="宋体" w:cs="Times New Roman"/>
        </w:rPr>
      </w:pPr>
      <w:r>
        <w:rPr>
          <w:rFonts w:ascii="宋体" w:cs="Times New Roman"/>
          <w:color w:val="000000"/>
        </w:rPr>
        <w:br w:type="page"/>
      </w:r>
    </w:p>
    <w:p w14:paraId="05446984"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64" w:name="_Toc360794100"/>
      <w:bookmarkStart w:id="65" w:name="_Toc48900073"/>
      <w:bookmarkStart w:id="66" w:name="_Toc360794516"/>
      <w:bookmarkStart w:id="67" w:name="_Toc360794408"/>
      <w:bookmarkStart w:id="68" w:name="_Toc360793498"/>
      <w:bookmarkStart w:id="69" w:name="_Toc362455183"/>
      <w:bookmarkStart w:id="70" w:name="_Toc362533455"/>
      <w:bookmarkStart w:id="71" w:name="_Toc360793850"/>
      <w:r>
        <w:rPr>
          <w:rFonts w:ascii="宋体" w:eastAsia="宋体" w:hAnsi="宋体" w:cs="宋体" w:hint="eastAsia"/>
        </w:rPr>
        <w:t>基金募集</w:t>
      </w:r>
      <w:bookmarkEnd w:id="64"/>
      <w:bookmarkEnd w:id="65"/>
      <w:bookmarkEnd w:id="66"/>
      <w:bookmarkEnd w:id="67"/>
      <w:bookmarkEnd w:id="68"/>
      <w:bookmarkEnd w:id="69"/>
      <w:bookmarkEnd w:id="70"/>
      <w:bookmarkEnd w:id="71"/>
    </w:p>
    <w:p w14:paraId="2C90AF7E" w14:textId="77777777" w:rsidR="009C2D86" w:rsidRDefault="009C2D86">
      <w:pPr>
        <w:pStyle w:val="34"/>
        <w:snapToGrid w:val="0"/>
        <w:spacing w:line="360" w:lineRule="auto"/>
        <w:ind w:firstLineChars="200" w:firstLine="420"/>
        <w:rPr>
          <w:rFonts w:hAnsi="宋体" w:cs="Times New Roman"/>
          <w:sz w:val="21"/>
          <w:szCs w:val="21"/>
        </w:rPr>
      </w:pPr>
    </w:p>
    <w:p w14:paraId="45A933A3" w14:textId="6BD3031A" w:rsidR="009C2D86" w:rsidRDefault="0027599D">
      <w:pPr>
        <w:pStyle w:val="34"/>
        <w:snapToGrid w:val="0"/>
        <w:spacing w:line="360" w:lineRule="auto"/>
        <w:ind w:firstLineChars="200" w:firstLine="420"/>
        <w:rPr>
          <w:rFonts w:hAnsi="宋体" w:cs="Times New Roman"/>
          <w:sz w:val="21"/>
          <w:szCs w:val="21"/>
        </w:rPr>
      </w:pPr>
      <w:bookmarkStart w:id="72" w:name="_Hlk496537711"/>
      <w:r>
        <w:rPr>
          <w:rFonts w:hAnsi="宋体" w:hint="eastAsia"/>
          <w:sz w:val="21"/>
          <w:szCs w:val="21"/>
        </w:rPr>
        <w:t>本基金由基金管理人依照《基金法》、《运作办法》、《销售办法》、基金合同及其他有关规定，并经中国证监会</w:t>
      </w:r>
      <w:r w:rsidR="002A545A">
        <w:rPr>
          <w:rFonts w:hAnsi="宋体"/>
          <w:sz w:val="21"/>
          <w:szCs w:val="21"/>
        </w:rPr>
        <w:t>202</w:t>
      </w:r>
      <w:r w:rsidR="00DB6E41">
        <w:rPr>
          <w:rFonts w:hAnsi="宋体" w:hint="eastAsia"/>
          <w:sz w:val="21"/>
          <w:szCs w:val="21"/>
        </w:rPr>
        <w:t>5</w:t>
      </w:r>
      <w:r>
        <w:rPr>
          <w:rFonts w:hAnsi="宋体"/>
          <w:sz w:val="21"/>
          <w:szCs w:val="21"/>
        </w:rPr>
        <w:t>年</w:t>
      </w:r>
      <w:r w:rsidR="00DB6E41">
        <w:rPr>
          <w:rFonts w:hAnsi="宋体" w:hint="eastAsia"/>
          <w:sz w:val="21"/>
          <w:szCs w:val="21"/>
        </w:rPr>
        <w:t>6</w:t>
      </w:r>
      <w:r>
        <w:rPr>
          <w:rFonts w:hAnsi="宋体"/>
          <w:sz w:val="21"/>
          <w:szCs w:val="21"/>
        </w:rPr>
        <w:t>月</w:t>
      </w:r>
      <w:r w:rsidR="00DB6E41">
        <w:rPr>
          <w:rFonts w:hAnsi="宋体" w:hint="eastAsia"/>
          <w:sz w:val="21"/>
          <w:szCs w:val="21"/>
        </w:rPr>
        <w:t>6</w:t>
      </w:r>
      <w:r>
        <w:rPr>
          <w:rFonts w:hAnsi="宋体"/>
          <w:sz w:val="21"/>
          <w:szCs w:val="21"/>
        </w:rPr>
        <w:t>日证监许可〔202</w:t>
      </w:r>
      <w:r w:rsidR="00DB6E41">
        <w:rPr>
          <w:rFonts w:hAnsi="宋体" w:hint="eastAsia"/>
          <w:sz w:val="21"/>
          <w:szCs w:val="21"/>
        </w:rPr>
        <w:t>5</w:t>
      </w:r>
      <w:r>
        <w:rPr>
          <w:rFonts w:hAnsi="宋体"/>
          <w:sz w:val="21"/>
          <w:szCs w:val="21"/>
        </w:rPr>
        <w:t>〕</w:t>
      </w:r>
      <w:r w:rsidR="00DB6E41">
        <w:rPr>
          <w:rFonts w:hAnsi="宋体" w:hint="eastAsia"/>
          <w:sz w:val="21"/>
          <w:szCs w:val="21"/>
        </w:rPr>
        <w:t>1186</w:t>
      </w:r>
      <w:r>
        <w:rPr>
          <w:rFonts w:hAnsi="宋体"/>
          <w:sz w:val="21"/>
          <w:szCs w:val="21"/>
        </w:rPr>
        <w:t>号文</w:t>
      </w:r>
      <w:r>
        <w:rPr>
          <w:rFonts w:hAnsi="宋体" w:hint="eastAsia"/>
          <w:sz w:val="21"/>
          <w:szCs w:val="21"/>
        </w:rPr>
        <w:t>注册募集。</w:t>
      </w:r>
    </w:p>
    <w:p w14:paraId="072EDD45" w14:textId="77777777" w:rsidR="009C2D86" w:rsidRDefault="0027599D">
      <w:pPr>
        <w:snapToGrid w:val="0"/>
        <w:spacing w:line="360" w:lineRule="auto"/>
        <w:ind w:firstLineChars="200" w:firstLine="420"/>
        <w:rPr>
          <w:rFonts w:ascii="宋体" w:hAnsi="宋体" w:cs="宋体"/>
          <w:color w:val="000000"/>
        </w:rPr>
      </w:pPr>
      <w:r>
        <w:rPr>
          <w:rFonts w:ascii="宋体" w:hAnsi="宋体" w:cs="宋体" w:hint="eastAsia"/>
        </w:rPr>
        <w:t>本基金的</w:t>
      </w:r>
      <w:r>
        <w:rPr>
          <w:rFonts w:ascii="宋体" w:hAnsi="宋体" w:cs="宋体"/>
        </w:rPr>
        <w:t>类别</w:t>
      </w:r>
      <w:r>
        <w:rPr>
          <w:rFonts w:ascii="宋体" w:hAnsi="宋体" w:cs="宋体" w:hint="eastAsia"/>
        </w:rPr>
        <w:t>为ETF联接</w:t>
      </w:r>
      <w:r>
        <w:rPr>
          <w:rFonts w:ascii="宋体" w:hAnsi="宋体" w:cs="宋体"/>
        </w:rPr>
        <w:t>基金</w:t>
      </w:r>
      <w:r>
        <w:rPr>
          <w:rFonts w:ascii="宋体" w:hAnsi="宋体" w:cs="宋体" w:hint="eastAsia"/>
        </w:rPr>
        <w:t>，运作方式</w:t>
      </w:r>
      <w:r>
        <w:rPr>
          <w:rFonts w:ascii="宋体" w:hAnsi="宋体" w:cs="宋体"/>
        </w:rPr>
        <w:t>为</w:t>
      </w:r>
      <w:r>
        <w:rPr>
          <w:rFonts w:ascii="宋体" w:hAnsi="宋体" w:cs="宋体" w:hint="eastAsia"/>
        </w:rPr>
        <w:t>契约型开放式，基金存续期限为不定期</w:t>
      </w:r>
      <w:r>
        <w:rPr>
          <w:rFonts w:ascii="宋体" w:hAnsi="宋体" w:cs="宋体" w:hint="eastAsia"/>
          <w:color w:val="000000"/>
        </w:rPr>
        <w:t>。</w:t>
      </w:r>
    </w:p>
    <w:p w14:paraId="2BEB4682" w14:textId="77777777" w:rsidR="009C2D86" w:rsidRDefault="009C2D86">
      <w:pPr>
        <w:snapToGrid w:val="0"/>
        <w:spacing w:line="360" w:lineRule="auto"/>
        <w:ind w:firstLineChars="200" w:firstLine="420"/>
        <w:rPr>
          <w:rFonts w:ascii="宋体" w:cs="Times New Roman"/>
          <w:color w:val="000000"/>
        </w:rPr>
      </w:pPr>
    </w:p>
    <w:p w14:paraId="7BFCA3AB"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一、募集期</w:t>
      </w:r>
    </w:p>
    <w:p w14:paraId="261FCB09"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自基金份额发售之日起最长不得超过</w:t>
      </w:r>
      <w:r>
        <w:rPr>
          <w:rFonts w:hAnsi="宋体"/>
          <w:sz w:val="21"/>
          <w:szCs w:val="21"/>
        </w:rPr>
        <w:t>3</w:t>
      </w:r>
      <w:r>
        <w:rPr>
          <w:rFonts w:hAnsi="宋体" w:hint="eastAsia"/>
          <w:sz w:val="21"/>
          <w:szCs w:val="21"/>
        </w:rPr>
        <w:t>个月，具体发售时间见基金份额发售公告。</w:t>
      </w:r>
    </w:p>
    <w:p w14:paraId="2CBCF21C" w14:textId="77777777" w:rsidR="009C2D86" w:rsidRDefault="009C2D86">
      <w:pPr>
        <w:pStyle w:val="34"/>
        <w:snapToGrid w:val="0"/>
        <w:spacing w:line="360" w:lineRule="auto"/>
        <w:ind w:firstLineChars="200" w:firstLine="420"/>
        <w:rPr>
          <w:rFonts w:hAnsi="宋体" w:cs="Times New Roman"/>
          <w:sz w:val="21"/>
          <w:szCs w:val="21"/>
        </w:rPr>
      </w:pPr>
    </w:p>
    <w:p w14:paraId="67A0EDD7"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二、发售对象</w:t>
      </w:r>
    </w:p>
    <w:p w14:paraId="23D150DC"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符合法律法规规定的可投资于证券投资基金的个人投资者、机构投资者、合格境外投资者以及法律法规或中国证监会允许购买证券投资基金的其他投资人。</w:t>
      </w:r>
    </w:p>
    <w:p w14:paraId="3017D626" w14:textId="77777777" w:rsidR="009C2D86" w:rsidRDefault="009C2D86">
      <w:pPr>
        <w:pStyle w:val="34"/>
        <w:snapToGrid w:val="0"/>
        <w:spacing w:line="360" w:lineRule="auto"/>
        <w:ind w:firstLineChars="200" w:firstLine="420"/>
        <w:rPr>
          <w:rFonts w:hAnsi="宋体" w:cs="Times New Roman"/>
          <w:sz w:val="21"/>
          <w:szCs w:val="21"/>
        </w:rPr>
      </w:pPr>
    </w:p>
    <w:p w14:paraId="1D7F3B8F"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三、发售方式和销售渠道</w:t>
      </w:r>
    </w:p>
    <w:p w14:paraId="351CA8ED"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本基金将通过各销售机构的基金销售网点或按基金管理人、销售机构提供的其他方式公开发售，各销售机构的具体名单见基金份额发售公告以及基金管理人网站。基金管理人可根据情况变更或增减销售机构。</w:t>
      </w:r>
    </w:p>
    <w:p w14:paraId="27896CFB" w14:textId="77777777" w:rsidR="009C2D86" w:rsidRDefault="0027599D">
      <w:pPr>
        <w:pStyle w:val="af5"/>
        <w:snapToGrid w:val="0"/>
        <w:spacing w:line="360" w:lineRule="auto"/>
        <w:ind w:firstLineChars="200" w:firstLine="420"/>
        <w:rPr>
          <w:rFonts w:hAnsi="宋体" w:cs="Times New Roman"/>
        </w:rPr>
      </w:pPr>
      <w:r>
        <w:rPr>
          <w:rFonts w:hAnsi="宋体" w:hint="eastAsia"/>
        </w:rPr>
        <w:t>本基金认购采取全额缴款认购的方式。若资金未全额到账则认购无效，基金管理人将认购无效的款项退回。基金投资人在募集期内可多次认购，认购一经确认不得撤销。</w:t>
      </w:r>
    </w:p>
    <w:p w14:paraId="5E26ADB4" w14:textId="77777777" w:rsidR="009C2D86" w:rsidRDefault="0027599D">
      <w:pPr>
        <w:pStyle w:val="af5"/>
        <w:snapToGrid w:val="0"/>
        <w:spacing w:line="360" w:lineRule="auto"/>
        <w:ind w:firstLineChars="200" w:firstLine="420"/>
        <w:rPr>
          <w:rFonts w:hAnsi="宋体" w:cs="Times New Roman"/>
        </w:rPr>
      </w:pPr>
      <w:r>
        <w:rPr>
          <w:rFonts w:hAnsi="宋体" w:hint="eastAsia"/>
        </w:rPr>
        <w:t>基金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0CE2A809" w14:textId="77777777" w:rsidR="009C2D86" w:rsidRDefault="0027599D">
      <w:pPr>
        <w:pStyle w:val="af5"/>
        <w:snapToGrid w:val="0"/>
        <w:spacing w:line="360" w:lineRule="auto"/>
        <w:ind w:firstLineChars="200" w:firstLine="420"/>
        <w:rPr>
          <w:rFonts w:hAnsi="宋体"/>
        </w:rPr>
      </w:pPr>
      <w:r>
        <w:rPr>
          <w:rFonts w:hAnsi="宋体" w:hint="eastAsia"/>
        </w:rPr>
        <w:t>本基金认购的申请方式为书面申请或各销售机构规定的其他方式</w:t>
      </w:r>
      <w:bookmarkStart w:id="73" w:name="OLE_LINK275"/>
      <w:r>
        <w:rPr>
          <w:rFonts w:hAnsi="宋体" w:hint="eastAsia"/>
        </w:rPr>
        <w:t>，认购本基金所应提交的文件和具体办理手续详见本基金的基金份额发售公告或基金销售机构的相关业务办理规则。</w:t>
      </w:r>
    </w:p>
    <w:p w14:paraId="6E552C58" w14:textId="2B7D8B95" w:rsidR="009C2D86" w:rsidRDefault="0027599D">
      <w:pPr>
        <w:pStyle w:val="af5"/>
        <w:snapToGrid w:val="0"/>
        <w:spacing w:line="360" w:lineRule="auto"/>
        <w:ind w:firstLineChars="200" w:firstLine="420"/>
        <w:rPr>
          <w:rFonts w:hAnsi="宋体"/>
        </w:rPr>
      </w:pPr>
      <w:r>
        <w:rPr>
          <w:rFonts w:hAnsi="宋体" w:hint="eastAsia"/>
        </w:rPr>
        <w:t>投资人认购本基金</w:t>
      </w:r>
      <w:r w:rsidR="00A704E5">
        <w:rPr>
          <w:rFonts w:hAnsi="宋体" w:hint="eastAsia"/>
        </w:rPr>
        <w:t>基金</w:t>
      </w:r>
      <w:r>
        <w:rPr>
          <w:rFonts w:hAnsi="宋体" w:hint="eastAsia"/>
        </w:rPr>
        <w:t>份额的具体业务办理时间由基金管理人和基金销售机构确定，请参见本基金的基金份额发售公告或基金销售机构的相关公告。</w:t>
      </w:r>
    </w:p>
    <w:bookmarkEnd w:id="73"/>
    <w:p w14:paraId="54932C52"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本基金基金份额发售面值为人民币</w:t>
      </w:r>
      <w:r>
        <w:rPr>
          <w:rFonts w:hAnsi="宋体"/>
          <w:sz w:val="21"/>
          <w:szCs w:val="21"/>
        </w:rPr>
        <w:t>1.00</w:t>
      </w:r>
      <w:r>
        <w:rPr>
          <w:rFonts w:hAnsi="宋体" w:hint="eastAsia"/>
          <w:sz w:val="21"/>
          <w:szCs w:val="21"/>
        </w:rPr>
        <w:t>元，按面值发售。</w:t>
      </w:r>
    </w:p>
    <w:p w14:paraId="2D182579"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当日（</w:t>
      </w:r>
      <w:r>
        <w:rPr>
          <w:rFonts w:hAnsi="宋体"/>
          <w:sz w:val="21"/>
          <w:szCs w:val="21"/>
        </w:rPr>
        <w:t>T</w:t>
      </w:r>
      <w:r>
        <w:rPr>
          <w:rFonts w:hAnsi="宋体" w:hint="eastAsia"/>
          <w:sz w:val="21"/>
          <w:szCs w:val="21"/>
        </w:rPr>
        <w:t>日）在规定时间内提交的申请，投资人通常可在</w:t>
      </w:r>
      <w:r>
        <w:rPr>
          <w:rFonts w:hAnsi="宋体"/>
          <w:sz w:val="21"/>
          <w:szCs w:val="21"/>
        </w:rPr>
        <w:t>T+2</w:t>
      </w:r>
      <w:r>
        <w:rPr>
          <w:rFonts w:hAnsi="宋体" w:hint="eastAsia"/>
          <w:sz w:val="21"/>
          <w:szCs w:val="21"/>
        </w:rPr>
        <w:t>日到网点查询交易情况，在募集截止日后</w:t>
      </w:r>
      <w:r>
        <w:rPr>
          <w:rFonts w:hAnsi="宋体"/>
          <w:sz w:val="21"/>
          <w:szCs w:val="21"/>
        </w:rPr>
        <w:t>3</w:t>
      </w:r>
      <w:r>
        <w:rPr>
          <w:rFonts w:hAnsi="宋体" w:hint="eastAsia"/>
          <w:sz w:val="21"/>
          <w:szCs w:val="21"/>
        </w:rPr>
        <w:t>个工作日内可以到网点打印交易确认书。</w:t>
      </w:r>
    </w:p>
    <w:p w14:paraId="12626B13" w14:textId="77777777" w:rsidR="009C2D86" w:rsidRDefault="009C2D86">
      <w:pPr>
        <w:pStyle w:val="34"/>
        <w:snapToGrid w:val="0"/>
        <w:spacing w:line="360" w:lineRule="auto"/>
        <w:ind w:firstLineChars="200" w:firstLine="420"/>
        <w:rPr>
          <w:rFonts w:hAnsi="宋体" w:cs="Times New Roman"/>
          <w:sz w:val="21"/>
          <w:szCs w:val="21"/>
        </w:rPr>
      </w:pPr>
    </w:p>
    <w:p w14:paraId="64B282C1" w14:textId="77777777" w:rsidR="009C2D86" w:rsidRDefault="0027599D">
      <w:pPr>
        <w:autoSpaceDE w:val="0"/>
        <w:autoSpaceDN w:val="0"/>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四、募集规模上限</w:t>
      </w:r>
    </w:p>
    <w:p w14:paraId="2F4F1190" w14:textId="77777777" w:rsidR="009C2D86" w:rsidRDefault="0027599D">
      <w:pPr>
        <w:autoSpaceDE w:val="0"/>
        <w:autoSpaceDN w:val="0"/>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本基金可设置募集规模上限，具体募集上限及规模控制的方案详见基金份额发售公告或其他公告。若本基金设置募集规模上限，基金合同生效后不受此募集规模的限制。</w:t>
      </w:r>
    </w:p>
    <w:p w14:paraId="076186ED" w14:textId="77777777" w:rsidR="009C2D86" w:rsidRDefault="009C2D86">
      <w:pPr>
        <w:autoSpaceDE w:val="0"/>
        <w:autoSpaceDN w:val="0"/>
        <w:adjustRightInd w:val="0"/>
        <w:snapToGrid w:val="0"/>
        <w:spacing w:line="360" w:lineRule="auto"/>
        <w:ind w:firstLineChars="200" w:firstLine="420"/>
        <w:rPr>
          <w:rFonts w:ascii="宋体" w:hAnsi="宋体" w:cs="宋体"/>
          <w:bCs/>
          <w:color w:val="000000"/>
        </w:rPr>
      </w:pPr>
    </w:p>
    <w:p w14:paraId="4381DBC2" w14:textId="77777777" w:rsidR="009C2D86" w:rsidRDefault="0027599D">
      <w:pPr>
        <w:autoSpaceDE w:val="0"/>
        <w:autoSpaceDN w:val="0"/>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五、基金份额的类别</w:t>
      </w:r>
    </w:p>
    <w:p w14:paraId="67D87B04"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本基金根据认购</w:t>
      </w:r>
      <w:r>
        <w:rPr>
          <w:rFonts w:ascii="宋体" w:hAnsi="宋体" w:cs="宋体"/>
          <w:bCs/>
          <w:color w:val="000000"/>
        </w:rPr>
        <w:t>/申购费用、销售服务费收取方式的不同，将基金份额分为不同的类别。在投资人认购/申购时收取前端认购/申购费用</w:t>
      </w:r>
      <w:r>
        <w:rPr>
          <w:rFonts w:ascii="宋体" w:hAnsi="宋体" w:cs="宋体" w:hint="eastAsia"/>
          <w:bCs/>
          <w:color w:val="000000"/>
        </w:rPr>
        <w:t>并在赎回时根据</w:t>
      </w:r>
      <w:r>
        <w:rPr>
          <w:rFonts w:ascii="宋体" w:hAnsi="宋体" w:cs="宋体"/>
          <w:bCs/>
          <w:color w:val="000000"/>
        </w:rPr>
        <w:t>持有期限</w:t>
      </w:r>
      <w:r>
        <w:rPr>
          <w:rFonts w:ascii="宋体" w:hAnsi="宋体" w:cs="宋体" w:hint="eastAsia"/>
          <w:bCs/>
          <w:color w:val="000000"/>
        </w:rPr>
        <w:t>收取赎回费用</w:t>
      </w:r>
      <w:r>
        <w:rPr>
          <w:rFonts w:ascii="宋体" w:hAnsi="宋体" w:cs="宋体"/>
          <w:bCs/>
          <w:color w:val="000000"/>
        </w:rPr>
        <w:t>、</w:t>
      </w:r>
      <w:r>
        <w:rPr>
          <w:rFonts w:ascii="宋体" w:hAnsi="宋体" w:cs="宋体" w:hint="eastAsia"/>
          <w:bCs/>
          <w:color w:val="000000"/>
        </w:rPr>
        <w:t>且不</w:t>
      </w:r>
      <w:r>
        <w:rPr>
          <w:rFonts w:ascii="宋体" w:hAnsi="宋体" w:cs="宋体"/>
          <w:bCs/>
          <w:color w:val="000000"/>
        </w:rPr>
        <w:t>从本类别基金资产</w:t>
      </w:r>
      <w:r>
        <w:rPr>
          <w:rFonts w:ascii="宋体" w:hAnsi="宋体" w:cs="宋体" w:hint="eastAsia"/>
          <w:bCs/>
          <w:color w:val="000000"/>
        </w:rPr>
        <w:t>净值</w:t>
      </w:r>
      <w:r>
        <w:rPr>
          <w:rFonts w:ascii="宋体" w:hAnsi="宋体" w:cs="宋体"/>
          <w:bCs/>
          <w:color w:val="000000"/>
        </w:rPr>
        <w:t>中计</w:t>
      </w:r>
      <w:r>
        <w:rPr>
          <w:rFonts w:ascii="宋体" w:hAnsi="宋体" w:cs="宋体" w:hint="eastAsia"/>
          <w:bCs/>
          <w:color w:val="000000"/>
        </w:rPr>
        <w:t>提销售服务费的基金份额，称为</w:t>
      </w:r>
      <w:r>
        <w:rPr>
          <w:rFonts w:ascii="宋体" w:hAnsi="宋体" w:cs="宋体"/>
          <w:bCs/>
          <w:color w:val="000000"/>
        </w:rPr>
        <w:t>A类基金份额；从本类别基金资产</w:t>
      </w:r>
      <w:r>
        <w:rPr>
          <w:rFonts w:ascii="宋体" w:hAnsi="宋体" w:cs="宋体" w:hint="eastAsia"/>
          <w:bCs/>
          <w:color w:val="000000"/>
        </w:rPr>
        <w:t>净值</w:t>
      </w:r>
      <w:r>
        <w:rPr>
          <w:rFonts w:ascii="宋体" w:hAnsi="宋体" w:cs="宋体"/>
          <w:bCs/>
          <w:color w:val="000000"/>
        </w:rPr>
        <w:t>中计</w:t>
      </w:r>
      <w:r>
        <w:rPr>
          <w:rFonts w:ascii="宋体" w:hAnsi="宋体" w:cs="宋体" w:hint="eastAsia"/>
          <w:bCs/>
          <w:color w:val="000000"/>
        </w:rPr>
        <w:t>提销售服务费、不收取认购</w:t>
      </w:r>
      <w:r>
        <w:rPr>
          <w:rFonts w:ascii="宋体" w:hAnsi="宋体" w:cs="宋体"/>
          <w:bCs/>
          <w:color w:val="000000"/>
        </w:rPr>
        <w:t>/申购费用</w:t>
      </w:r>
      <w:r>
        <w:rPr>
          <w:rFonts w:ascii="宋体" w:hAnsi="宋体" w:cs="宋体" w:hint="eastAsia"/>
          <w:bCs/>
          <w:color w:val="000000"/>
        </w:rPr>
        <w:t>并在赎回时根据</w:t>
      </w:r>
      <w:r>
        <w:rPr>
          <w:rFonts w:ascii="宋体" w:hAnsi="宋体" w:cs="宋体"/>
          <w:bCs/>
          <w:color w:val="000000"/>
        </w:rPr>
        <w:t>持有期限</w:t>
      </w:r>
      <w:r>
        <w:rPr>
          <w:rFonts w:ascii="宋体" w:hAnsi="宋体" w:cs="宋体" w:hint="eastAsia"/>
          <w:bCs/>
          <w:color w:val="000000"/>
        </w:rPr>
        <w:t>收取赎回费用的</w:t>
      </w:r>
      <w:r>
        <w:rPr>
          <w:rFonts w:ascii="宋体" w:hAnsi="宋体" w:cs="宋体"/>
          <w:bCs/>
          <w:color w:val="000000"/>
        </w:rPr>
        <w:t>基金份额，称为C类基金份额。</w:t>
      </w:r>
    </w:p>
    <w:p w14:paraId="76F4249D"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本基金</w:t>
      </w:r>
      <w:r>
        <w:rPr>
          <w:rFonts w:ascii="宋体" w:hAnsi="宋体" w:cs="宋体"/>
          <w:bCs/>
          <w:color w:val="000000"/>
        </w:rPr>
        <w:t>A类和C类基金份额分别设置代码。由于基金费用的不同，本基金A类基金份额和C类基金份额将分别计算基金份额净值，计算公式为计算日各类别基金资产净值除以计算日发售在外的该类别基金份额总数。</w:t>
      </w:r>
    </w:p>
    <w:p w14:paraId="0F2D84EA"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在不违反法律法规、基金合同的规定以及对基金份额持有人利益无实质性不利影响的情况下，经与基金托管人协商一致，基金管理人可增加、减少或调整基金份额类别设置、停止现有基金份额类别的销售、对基金份额分类办法及规则进行调整，并在调整实施之日前</w:t>
      </w:r>
      <w:r>
        <w:rPr>
          <w:rFonts w:ascii="宋体" w:hAnsi="宋体" w:cs="宋体"/>
          <w:bCs/>
          <w:color w:val="000000"/>
        </w:rPr>
        <w:t>依照《信息披露办法》的有关规定在规定媒介上公告</w:t>
      </w:r>
      <w:r>
        <w:rPr>
          <w:rFonts w:ascii="宋体" w:hAnsi="宋体" w:cs="宋体" w:hint="eastAsia"/>
          <w:bCs/>
          <w:color w:val="000000"/>
        </w:rPr>
        <w:t>，不需要召开基金份额持有人大会。</w:t>
      </w:r>
    </w:p>
    <w:p w14:paraId="6050AB72" w14:textId="77777777" w:rsidR="009C2D86" w:rsidRDefault="009C2D86">
      <w:pPr>
        <w:tabs>
          <w:tab w:val="left" w:pos="840"/>
        </w:tabs>
        <w:adjustRightInd w:val="0"/>
        <w:snapToGrid w:val="0"/>
        <w:spacing w:line="360" w:lineRule="auto"/>
        <w:ind w:firstLineChars="200" w:firstLine="420"/>
        <w:rPr>
          <w:rFonts w:ascii="宋体" w:hAnsi="宋体" w:cs="宋体"/>
          <w:bCs/>
          <w:color w:val="000000"/>
        </w:rPr>
      </w:pPr>
    </w:p>
    <w:p w14:paraId="11CE1539" w14:textId="77777777" w:rsidR="009C2D86" w:rsidRDefault="0027599D">
      <w:pPr>
        <w:tabs>
          <w:tab w:val="left" w:pos="840"/>
        </w:tabs>
        <w:adjustRightInd w:val="0"/>
        <w:snapToGrid w:val="0"/>
        <w:spacing w:line="360" w:lineRule="auto"/>
        <w:ind w:firstLineChars="200" w:firstLine="420"/>
        <w:rPr>
          <w:rFonts w:ascii="宋体" w:hAnsi="宋体" w:cs="宋体"/>
          <w:bCs/>
          <w:color w:val="000000"/>
        </w:rPr>
      </w:pPr>
      <w:r>
        <w:rPr>
          <w:rFonts w:ascii="宋体" w:hAnsi="宋体" w:cs="宋体" w:hint="eastAsia"/>
          <w:bCs/>
          <w:color w:val="000000"/>
        </w:rPr>
        <w:t>六、认购费用</w:t>
      </w:r>
    </w:p>
    <w:p w14:paraId="2A10F942" w14:textId="77777777" w:rsidR="009C2D86" w:rsidRDefault="0027599D">
      <w:pPr>
        <w:pStyle w:val="af5"/>
        <w:snapToGrid w:val="0"/>
        <w:spacing w:line="360" w:lineRule="auto"/>
        <w:ind w:firstLineChars="200" w:firstLine="420"/>
        <w:rPr>
          <w:rFonts w:hAnsi="宋体" w:cs="Times New Roman"/>
        </w:rPr>
      </w:pPr>
      <w:r>
        <w:rPr>
          <w:rFonts w:hAnsi="宋体"/>
        </w:rPr>
        <w:t>1</w:t>
      </w:r>
      <w:r>
        <w:rPr>
          <w:rFonts w:hAnsi="宋体" w:hint="eastAsia"/>
        </w:rPr>
        <w:t>、对于认购本基金A类基金份额的投资人，认购费率最高不高于</w:t>
      </w:r>
      <w:r>
        <w:rPr>
          <w:rFonts w:hAnsi="宋体"/>
        </w:rPr>
        <w:t>1.0</w:t>
      </w:r>
      <w:r>
        <w:rPr>
          <w:rFonts w:hAnsi="宋体" w:hint="eastAsia"/>
        </w:rPr>
        <w:t>%,且随认购金额的增加而递减，如下表所示：</w:t>
      </w:r>
    </w:p>
    <w:tbl>
      <w:tblPr>
        <w:tblW w:w="7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4019"/>
      </w:tblGrid>
      <w:tr w:rsidR="009C2D86" w14:paraId="7A585614"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683732BD"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认购金额（M）</w:t>
            </w:r>
          </w:p>
        </w:tc>
        <w:tc>
          <w:tcPr>
            <w:tcW w:w="2693" w:type="dxa"/>
            <w:tcBorders>
              <w:top w:val="single" w:sz="4" w:space="0" w:color="auto"/>
              <w:left w:val="single" w:sz="4" w:space="0" w:color="auto"/>
              <w:bottom w:val="single" w:sz="4" w:space="0" w:color="auto"/>
              <w:right w:val="single" w:sz="4" w:space="0" w:color="auto"/>
            </w:tcBorders>
            <w:vAlign w:val="center"/>
          </w:tcPr>
          <w:p w14:paraId="28A26DBB"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认购费率</w:t>
            </w:r>
          </w:p>
        </w:tc>
      </w:tr>
      <w:tr w:rsidR="009C2D86" w14:paraId="34721975"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29EB317B"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M＜100万</w:t>
            </w:r>
          </w:p>
        </w:tc>
        <w:tc>
          <w:tcPr>
            <w:tcW w:w="2693" w:type="dxa"/>
            <w:tcBorders>
              <w:top w:val="single" w:sz="4" w:space="0" w:color="auto"/>
              <w:left w:val="single" w:sz="4" w:space="0" w:color="auto"/>
              <w:bottom w:val="single" w:sz="4" w:space="0" w:color="auto"/>
              <w:right w:val="single" w:sz="4" w:space="0" w:color="auto"/>
            </w:tcBorders>
            <w:vAlign w:val="center"/>
          </w:tcPr>
          <w:p w14:paraId="3ED60B08"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1.0%</w:t>
            </w:r>
          </w:p>
        </w:tc>
      </w:tr>
      <w:tr w:rsidR="009C2D86" w14:paraId="738F036F"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18477865"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100万≤M＜200万</w:t>
            </w:r>
          </w:p>
        </w:tc>
        <w:tc>
          <w:tcPr>
            <w:tcW w:w="2693" w:type="dxa"/>
            <w:tcBorders>
              <w:top w:val="single" w:sz="4" w:space="0" w:color="auto"/>
              <w:left w:val="single" w:sz="4" w:space="0" w:color="auto"/>
              <w:bottom w:val="single" w:sz="4" w:space="0" w:color="auto"/>
              <w:right w:val="single" w:sz="4" w:space="0" w:color="auto"/>
            </w:tcBorders>
            <w:vAlign w:val="center"/>
          </w:tcPr>
          <w:p w14:paraId="08E27AD5"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0.6%</w:t>
            </w:r>
          </w:p>
        </w:tc>
      </w:tr>
      <w:tr w:rsidR="009C2D86" w14:paraId="3E9779E8"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5083B328"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200万≤M＜500万</w:t>
            </w:r>
          </w:p>
        </w:tc>
        <w:tc>
          <w:tcPr>
            <w:tcW w:w="2693" w:type="dxa"/>
            <w:tcBorders>
              <w:top w:val="single" w:sz="4" w:space="0" w:color="auto"/>
              <w:left w:val="single" w:sz="4" w:space="0" w:color="auto"/>
              <w:bottom w:val="single" w:sz="4" w:space="0" w:color="auto"/>
              <w:right w:val="single" w:sz="4" w:space="0" w:color="auto"/>
            </w:tcBorders>
            <w:vAlign w:val="center"/>
          </w:tcPr>
          <w:p w14:paraId="677CECDB"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0.3%</w:t>
            </w:r>
          </w:p>
        </w:tc>
      </w:tr>
      <w:tr w:rsidR="009C2D86" w14:paraId="079D52AE" w14:textId="77777777">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542C85C8"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M≥500万</w:t>
            </w:r>
          </w:p>
        </w:tc>
        <w:tc>
          <w:tcPr>
            <w:tcW w:w="2693" w:type="dxa"/>
            <w:tcBorders>
              <w:top w:val="single" w:sz="4" w:space="0" w:color="auto"/>
              <w:left w:val="single" w:sz="4" w:space="0" w:color="auto"/>
              <w:bottom w:val="single" w:sz="4" w:space="0" w:color="auto"/>
              <w:right w:val="single" w:sz="4" w:space="0" w:color="auto"/>
            </w:tcBorders>
            <w:vAlign w:val="center"/>
          </w:tcPr>
          <w:p w14:paraId="4B1534F4"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每笔1,000元</w:t>
            </w:r>
          </w:p>
        </w:tc>
      </w:tr>
    </w:tbl>
    <w:p w14:paraId="39798F1D" w14:textId="77777777" w:rsidR="009C2D86" w:rsidRDefault="0027599D">
      <w:pPr>
        <w:autoSpaceDE w:val="0"/>
        <w:autoSpaceDN w:val="0"/>
        <w:adjustRightInd w:val="0"/>
        <w:snapToGrid w:val="0"/>
        <w:spacing w:line="360" w:lineRule="auto"/>
        <w:ind w:firstLineChars="200" w:firstLine="420"/>
        <w:rPr>
          <w:rFonts w:hAnsi="宋体" w:cs="Times New Roman"/>
        </w:rPr>
      </w:pPr>
      <w:r>
        <w:rPr>
          <w:rFonts w:hAnsi="宋体"/>
        </w:rPr>
        <w:t>2</w:t>
      </w:r>
      <w:r>
        <w:rPr>
          <w:rFonts w:hAnsi="宋体" w:cs="宋体" w:hint="eastAsia"/>
        </w:rPr>
        <w:t>、对于认购本基金</w:t>
      </w:r>
      <w:r>
        <w:rPr>
          <w:rFonts w:hAnsi="宋体"/>
        </w:rPr>
        <w:t>C</w:t>
      </w:r>
      <w:r>
        <w:rPr>
          <w:rFonts w:hAnsi="宋体" w:cs="宋体" w:hint="eastAsia"/>
        </w:rPr>
        <w:t>类基金份额的投资人，认购费率为零。</w:t>
      </w:r>
    </w:p>
    <w:p w14:paraId="07742454" w14:textId="77777777" w:rsidR="009C2D86" w:rsidRDefault="0027599D">
      <w:pPr>
        <w:pStyle w:val="af5"/>
        <w:snapToGrid w:val="0"/>
        <w:spacing w:line="360" w:lineRule="auto"/>
        <w:ind w:firstLineChars="200" w:firstLine="420"/>
        <w:rPr>
          <w:rFonts w:hAnsi="宋体" w:cs="Times New Roman"/>
        </w:rPr>
      </w:pPr>
      <w:r>
        <w:rPr>
          <w:rFonts w:hAnsi="宋体" w:hint="eastAsia"/>
        </w:rPr>
        <w:t>投资人重复认购，须按每次认购所对应的费率档次分别计费。</w:t>
      </w:r>
    </w:p>
    <w:p w14:paraId="0DA2675C" w14:textId="77777777" w:rsidR="009C2D86" w:rsidRDefault="0027599D">
      <w:pPr>
        <w:pStyle w:val="af5"/>
        <w:snapToGrid w:val="0"/>
        <w:spacing w:line="360" w:lineRule="auto"/>
        <w:ind w:firstLineChars="200" w:firstLine="420"/>
        <w:rPr>
          <w:rFonts w:hAnsi="宋体" w:cs="Times New Roman"/>
        </w:rPr>
      </w:pPr>
      <w:r>
        <w:rPr>
          <w:rFonts w:hAnsi="宋体" w:hint="eastAsia"/>
        </w:rPr>
        <w:t>A类基金份额的认购费用由认购A类基金份额的投资人承担，不列入基金财产，主要用于基金的市场推广、销售、登记等募集期间发生的各项费用。</w:t>
      </w:r>
    </w:p>
    <w:p w14:paraId="2A63FAC8" w14:textId="77777777" w:rsidR="009C2D86" w:rsidRDefault="0027599D">
      <w:pPr>
        <w:pStyle w:val="af5"/>
        <w:snapToGrid w:val="0"/>
        <w:spacing w:line="360" w:lineRule="auto"/>
        <w:ind w:firstLineChars="200" w:firstLine="420"/>
        <w:rPr>
          <w:rFonts w:hAnsi="宋体" w:cs="Times New Roman"/>
        </w:rPr>
      </w:pPr>
      <w:r>
        <w:rPr>
          <w:rFonts w:hAnsi="宋体" w:hint="eastAsia"/>
        </w:rPr>
        <w:t>3、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589893A3" w14:textId="77777777" w:rsidR="009C2D86" w:rsidRDefault="009C2D86">
      <w:pPr>
        <w:pStyle w:val="34"/>
        <w:snapToGrid w:val="0"/>
        <w:spacing w:line="360" w:lineRule="auto"/>
        <w:ind w:firstLine="0"/>
        <w:rPr>
          <w:rFonts w:hAnsi="宋体" w:cs="Times New Roman"/>
          <w:sz w:val="21"/>
          <w:szCs w:val="21"/>
        </w:rPr>
      </w:pPr>
    </w:p>
    <w:p w14:paraId="7064AAE7"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七、募集期利息的处理方式</w:t>
      </w:r>
    </w:p>
    <w:p w14:paraId="60FD6630"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《基金合同》生效前，投资人的认购款项只能存入专门账户，不得动用。有效认购款项在募集期间产生的利息将折算为基金份额归基金份额持有人所有，其中利息转份额的</w:t>
      </w:r>
      <w:r>
        <w:rPr>
          <w:rFonts w:hAnsi="宋体"/>
          <w:sz w:val="21"/>
          <w:szCs w:val="21"/>
        </w:rPr>
        <w:t>数额</w:t>
      </w:r>
      <w:r>
        <w:rPr>
          <w:rFonts w:hAnsi="宋体" w:hint="eastAsia"/>
          <w:sz w:val="21"/>
          <w:szCs w:val="21"/>
        </w:rPr>
        <w:t>以登记机构的记录为准。</w:t>
      </w:r>
    </w:p>
    <w:p w14:paraId="74462C75" w14:textId="77777777" w:rsidR="009C2D86" w:rsidRDefault="009C2D86">
      <w:pPr>
        <w:pStyle w:val="34"/>
        <w:snapToGrid w:val="0"/>
        <w:spacing w:line="360" w:lineRule="auto"/>
        <w:ind w:firstLine="0"/>
        <w:rPr>
          <w:rFonts w:hAnsi="宋体" w:cs="Times New Roman"/>
          <w:sz w:val="21"/>
          <w:szCs w:val="21"/>
        </w:rPr>
      </w:pPr>
    </w:p>
    <w:p w14:paraId="4324695C"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八、基金认购份额的计算</w:t>
      </w:r>
    </w:p>
    <w:p w14:paraId="66EAB4C7" w14:textId="77777777" w:rsidR="009C2D86" w:rsidRDefault="0027599D">
      <w:pPr>
        <w:pStyle w:val="af5"/>
        <w:snapToGrid w:val="0"/>
        <w:spacing w:line="360" w:lineRule="auto"/>
        <w:ind w:firstLineChars="200" w:firstLine="420"/>
        <w:rPr>
          <w:rFonts w:hAnsi="宋体"/>
        </w:rPr>
      </w:pPr>
      <w:r>
        <w:rPr>
          <w:rFonts w:hAnsi="宋体"/>
        </w:rPr>
        <w:t>1</w:t>
      </w:r>
      <w:r>
        <w:rPr>
          <w:rFonts w:hAnsi="宋体" w:hint="eastAsia"/>
        </w:rPr>
        <w:t>、基金认购采用“金额认购、份额确认”的方式。</w:t>
      </w:r>
    </w:p>
    <w:p w14:paraId="552625A3" w14:textId="77777777" w:rsidR="009C2D86" w:rsidRDefault="0027599D">
      <w:pPr>
        <w:pStyle w:val="af5"/>
        <w:snapToGrid w:val="0"/>
        <w:spacing w:line="360" w:lineRule="auto"/>
        <w:ind w:firstLineChars="200" w:firstLine="420"/>
        <w:rPr>
          <w:rFonts w:hAnsi="宋体" w:cs="Times New Roman"/>
        </w:rPr>
      </w:pPr>
      <w:r>
        <w:rPr>
          <w:rFonts w:hAnsi="宋体" w:cs="Times New Roman" w:hint="eastAsia"/>
        </w:rPr>
        <w:t>A类基金份额</w:t>
      </w:r>
      <w:r>
        <w:rPr>
          <w:rFonts w:hAnsi="宋体" w:hint="eastAsia"/>
        </w:rPr>
        <w:t>的认购金额包括认购费用和净认购金额。认购份额的计算公式为：</w:t>
      </w:r>
    </w:p>
    <w:p w14:paraId="337EB4E8" w14:textId="77777777" w:rsidR="009C2D86" w:rsidRDefault="0027599D">
      <w:pPr>
        <w:pStyle w:val="af5"/>
        <w:snapToGrid w:val="0"/>
        <w:spacing w:line="360" w:lineRule="auto"/>
        <w:ind w:firstLineChars="200" w:firstLine="420"/>
        <w:rPr>
          <w:rFonts w:hAnsi="宋体" w:cs="Times New Roman"/>
        </w:rPr>
      </w:pPr>
      <w:r>
        <w:rPr>
          <w:rFonts w:hAnsi="宋体" w:cs="Times New Roman" w:hint="eastAsia"/>
        </w:rPr>
        <w:t>（1）</w:t>
      </w:r>
      <w:r>
        <w:rPr>
          <w:rFonts w:hAnsi="宋体" w:hint="eastAsia"/>
        </w:rPr>
        <w:t>适用于比例费率</w:t>
      </w:r>
    </w:p>
    <w:p w14:paraId="1EEF0831" w14:textId="77777777" w:rsidR="009C2D86" w:rsidRDefault="0027599D">
      <w:pPr>
        <w:pStyle w:val="af5"/>
        <w:snapToGrid w:val="0"/>
        <w:spacing w:line="360" w:lineRule="auto"/>
        <w:ind w:firstLineChars="200" w:firstLine="420"/>
        <w:rPr>
          <w:rFonts w:hAnsi="宋体" w:cs="Times New Roman"/>
        </w:rPr>
      </w:pPr>
      <w:r>
        <w:rPr>
          <w:rFonts w:hAnsi="宋体" w:hint="eastAsia"/>
        </w:rPr>
        <w:t>净认购金额</w:t>
      </w:r>
      <w:r>
        <w:rPr>
          <w:rFonts w:hAnsi="宋体"/>
        </w:rPr>
        <w:t xml:space="preserve"> = </w:t>
      </w:r>
      <w:r>
        <w:rPr>
          <w:rFonts w:hAnsi="宋体" w:hint="eastAsia"/>
        </w:rPr>
        <w:t>认购金额</w:t>
      </w:r>
      <w:r>
        <w:rPr>
          <w:rFonts w:hAnsi="宋体"/>
        </w:rPr>
        <w:t>/</w:t>
      </w:r>
      <w:r>
        <w:rPr>
          <w:rFonts w:hAnsi="宋体" w:hint="eastAsia"/>
        </w:rPr>
        <w:t>（</w:t>
      </w:r>
      <w:r>
        <w:rPr>
          <w:rFonts w:hAnsi="宋体"/>
        </w:rPr>
        <w:t>1+</w:t>
      </w:r>
      <w:r>
        <w:rPr>
          <w:rFonts w:hAnsi="宋体" w:hint="eastAsia"/>
        </w:rPr>
        <w:t>认购费率）</w:t>
      </w:r>
    </w:p>
    <w:p w14:paraId="531A0675" w14:textId="77777777" w:rsidR="009C2D86" w:rsidRDefault="0027599D">
      <w:pPr>
        <w:pStyle w:val="af5"/>
        <w:snapToGrid w:val="0"/>
        <w:spacing w:line="360" w:lineRule="auto"/>
        <w:ind w:firstLineChars="200" w:firstLine="420"/>
        <w:rPr>
          <w:rFonts w:hAnsi="宋体" w:cs="Times New Roman"/>
        </w:rPr>
      </w:pPr>
      <w:r>
        <w:rPr>
          <w:rFonts w:hAnsi="宋体" w:hint="eastAsia"/>
        </w:rPr>
        <w:t>认购费用</w:t>
      </w:r>
      <w:r>
        <w:rPr>
          <w:rFonts w:hAnsi="宋体"/>
        </w:rPr>
        <w:t xml:space="preserve"> = </w:t>
      </w:r>
      <w:r>
        <w:rPr>
          <w:rFonts w:hAnsi="宋体" w:hint="eastAsia"/>
        </w:rPr>
        <w:t>认购金额－净认购金额</w:t>
      </w:r>
    </w:p>
    <w:p w14:paraId="28769B5C" w14:textId="77777777" w:rsidR="009C2D86" w:rsidRDefault="0027599D">
      <w:pPr>
        <w:pStyle w:val="af5"/>
        <w:snapToGrid w:val="0"/>
        <w:spacing w:line="360" w:lineRule="auto"/>
        <w:ind w:firstLineChars="200" w:firstLine="420"/>
        <w:rPr>
          <w:rFonts w:hAnsi="宋体"/>
        </w:rPr>
      </w:pPr>
      <w:r>
        <w:rPr>
          <w:rFonts w:hAnsi="宋体" w:hint="eastAsia"/>
        </w:rPr>
        <w:t>认购份额</w:t>
      </w:r>
      <w:r>
        <w:rPr>
          <w:rFonts w:hAnsi="宋体"/>
        </w:rPr>
        <w:t xml:space="preserve"> =</w:t>
      </w:r>
      <w:r>
        <w:rPr>
          <w:rFonts w:hAnsi="宋体" w:hint="eastAsia"/>
        </w:rPr>
        <w:t>（净认购金额</w:t>
      </w:r>
      <w:r>
        <w:rPr>
          <w:rFonts w:hAnsi="宋体"/>
        </w:rPr>
        <w:t>+</w:t>
      </w:r>
      <w:r>
        <w:rPr>
          <w:rFonts w:hAnsi="宋体" w:hint="eastAsia"/>
        </w:rPr>
        <w:t>认购利息）</w:t>
      </w:r>
      <w:r>
        <w:rPr>
          <w:rFonts w:hAnsi="宋体"/>
        </w:rPr>
        <w:t>/</w:t>
      </w:r>
      <w:r>
        <w:rPr>
          <w:rFonts w:hAnsi="宋体" w:hint="eastAsia"/>
        </w:rPr>
        <w:t>基金份额发售面值</w:t>
      </w:r>
    </w:p>
    <w:p w14:paraId="6932DEA1" w14:textId="77777777" w:rsidR="009C2D86" w:rsidRDefault="0027599D">
      <w:pPr>
        <w:pStyle w:val="af5"/>
        <w:snapToGrid w:val="0"/>
        <w:spacing w:line="360" w:lineRule="auto"/>
        <w:ind w:firstLineChars="200" w:firstLine="420"/>
        <w:rPr>
          <w:rFonts w:hAnsi="宋体"/>
        </w:rPr>
      </w:pPr>
      <w:r>
        <w:rPr>
          <w:rFonts w:hAnsi="宋体" w:hint="eastAsia"/>
        </w:rPr>
        <w:t>（2）适用于固定费用</w:t>
      </w:r>
    </w:p>
    <w:p w14:paraId="5F93A7E5" w14:textId="77777777" w:rsidR="009C2D86" w:rsidRDefault="0027599D">
      <w:pPr>
        <w:pStyle w:val="af5"/>
        <w:snapToGrid w:val="0"/>
        <w:spacing w:line="360" w:lineRule="auto"/>
        <w:ind w:firstLineChars="200" w:firstLine="420"/>
        <w:rPr>
          <w:rFonts w:hAnsi="宋体"/>
        </w:rPr>
      </w:pPr>
      <w:r>
        <w:rPr>
          <w:rFonts w:hAnsi="宋体" w:hint="eastAsia"/>
        </w:rPr>
        <w:t>净认购金额</w:t>
      </w:r>
      <w:r>
        <w:rPr>
          <w:rFonts w:hAnsi="宋体"/>
        </w:rPr>
        <w:t>＝</w:t>
      </w:r>
      <w:r>
        <w:rPr>
          <w:rFonts w:hAnsi="宋体" w:hint="eastAsia"/>
        </w:rPr>
        <w:t>认购金额</w:t>
      </w:r>
      <w:r>
        <w:rPr>
          <w:rFonts w:hAnsi="宋体"/>
        </w:rPr>
        <w:t>-固定认购费用</w:t>
      </w:r>
    </w:p>
    <w:p w14:paraId="3E9CDB20" w14:textId="77777777" w:rsidR="009C2D86" w:rsidRDefault="0027599D">
      <w:pPr>
        <w:pStyle w:val="af5"/>
        <w:snapToGrid w:val="0"/>
        <w:spacing w:line="360" w:lineRule="auto"/>
        <w:ind w:firstLineChars="200" w:firstLine="420"/>
        <w:rPr>
          <w:rFonts w:hAnsi="宋体"/>
        </w:rPr>
      </w:pPr>
      <w:r>
        <w:rPr>
          <w:rFonts w:hAnsi="宋体" w:hint="eastAsia"/>
        </w:rPr>
        <w:t>认购份额</w:t>
      </w:r>
      <w:r>
        <w:rPr>
          <w:rFonts w:hAnsi="宋体"/>
        </w:rPr>
        <w:t>＝</w:t>
      </w:r>
      <w:r>
        <w:rPr>
          <w:rFonts w:hAnsi="宋体" w:hint="eastAsia"/>
        </w:rPr>
        <w:t>（净认购金额</w:t>
      </w:r>
      <w:r>
        <w:rPr>
          <w:rFonts w:hAnsi="宋体"/>
        </w:rPr>
        <w:t>＋</w:t>
      </w:r>
      <w:r>
        <w:rPr>
          <w:rFonts w:hAnsi="宋体" w:hint="eastAsia"/>
        </w:rPr>
        <w:t>认购利息）</w:t>
      </w:r>
      <w:r>
        <w:rPr>
          <w:rFonts w:hAnsi="宋体"/>
        </w:rPr>
        <w:t>/</w:t>
      </w:r>
      <w:r>
        <w:rPr>
          <w:rFonts w:hAnsi="宋体" w:hint="eastAsia"/>
        </w:rPr>
        <w:t>基金份额发售面值</w:t>
      </w:r>
    </w:p>
    <w:p w14:paraId="228F39C9" w14:textId="77777777" w:rsidR="009C2D86" w:rsidRDefault="0027599D">
      <w:pPr>
        <w:pStyle w:val="af5"/>
        <w:snapToGrid w:val="0"/>
        <w:spacing w:line="360" w:lineRule="auto"/>
        <w:ind w:firstLineChars="200" w:firstLine="420"/>
        <w:rPr>
          <w:rFonts w:hAnsi="宋体" w:cs="Times New Roman"/>
        </w:rPr>
      </w:pPr>
      <w:r>
        <w:rPr>
          <w:rFonts w:hAnsi="宋体" w:cs="Times New Roman"/>
        </w:rPr>
        <w:t>C类基金份额</w:t>
      </w:r>
      <w:r>
        <w:rPr>
          <w:rFonts w:hAnsi="宋体" w:cs="Times New Roman" w:hint="eastAsia"/>
        </w:rPr>
        <w:t>认购费率为0，认购份额的计算公式为：</w:t>
      </w:r>
    </w:p>
    <w:p w14:paraId="6BA8A1B8" w14:textId="77777777" w:rsidR="009C2D86" w:rsidRDefault="0027599D">
      <w:pPr>
        <w:pStyle w:val="af5"/>
        <w:snapToGrid w:val="0"/>
        <w:spacing w:line="360" w:lineRule="auto"/>
        <w:ind w:firstLineChars="200" w:firstLine="420"/>
        <w:rPr>
          <w:rFonts w:hAnsi="宋体"/>
        </w:rPr>
      </w:pPr>
      <w:r>
        <w:rPr>
          <w:rFonts w:hAnsi="宋体" w:hint="eastAsia"/>
        </w:rPr>
        <w:t>认购份额</w:t>
      </w:r>
      <w:r>
        <w:rPr>
          <w:rFonts w:hAnsi="宋体"/>
        </w:rPr>
        <w:t>＝</w:t>
      </w:r>
      <w:r>
        <w:rPr>
          <w:rFonts w:hAnsi="宋体" w:hint="eastAsia"/>
        </w:rPr>
        <w:t>（认购金额</w:t>
      </w:r>
      <w:r>
        <w:rPr>
          <w:rFonts w:hAnsi="宋体"/>
        </w:rPr>
        <w:t>＋</w:t>
      </w:r>
      <w:r>
        <w:rPr>
          <w:rFonts w:hAnsi="宋体" w:hint="eastAsia"/>
        </w:rPr>
        <w:t>认购利息）</w:t>
      </w:r>
      <w:r>
        <w:rPr>
          <w:rFonts w:hAnsi="宋体"/>
        </w:rPr>
        <w:t>/</w:t>
      </w:r>
      <w:r>
        <w:rPr>
          <w:rFonts w:hAnsi="宋体" w:hint="eastAsia"/>
        </w:rPr>
        <w:t>基金份额发售面值</w:t>
      </w:r>
    </w:p>
    <w:p w14:paraId="3F50F78B" w14:textId="77777777" w:rsidR="009C2D86" w:rsidRDefault="0027599D">
      <w:pPr>
        <w:pStyle w:val="af5"/>
        <w:snapToGrid w:val="0"/>
        <w:spacing w:line="360" w:lineRule="auto"/>
        <w:ind w:firstLineChars="200" w:firstLine="420"/>
        <w:rPr>
          <w:rFonts w:hAnsi="宋体" w:cs="Times New Roman"/>
        </w:rPr>
      </w:pPr>
      <w:r>
        <w:rPr>
          <w:rFonts w:hAnsi="宋体" w:hint="eastAsia"/>
        </w:rPr>
        <w:t>例：某投资人投资</w:t>
      </w:r>
      <w:r>
        <w:rPr>
          <w:rFonts w:hAnsi="宋体"/>
        </w:rPr>
        <w:t>10</w:t>
      </w:r>
      <w:r>
        <w:rPr>
          <w:rFonts w:hAnsi="宋体" w:hint="eastAsia"/>
        </w:rPr>
        <w:t>万元认购</w:t>
      </w:r>
      <w:r>
        <w:rPr>
          <w:rFonts w:hAnsi="宋体"/>
        </w:rPr>
        <w:t>A类基金份额，该笔认购产生利息50</w:t>
      </w:r>
      <w:r>
        <w:rPr>
          <w:rFonts w:hAnsi="宋体" w:hint="eastAsia"/>
        </w:rPr>
        <w:t>元，对应认购费率为</w:t>
      </w:r>
      <w:r>
        <w:rPr>
          <w:rFonts w:hAnsi="宋体"/>
        </w:rPr>
        <w:t>1.0%</w:t>
      </w:r>
      <w:r>
        <w:rPr>
          <w:rFonts w:hAnsi="宋体" w:hint="eastAsia"/>
        </w:rPr>
        <w:t>，则其可得到的认购份额为：</w:t>
      </w:r>
    </w:p>
    <w:p w14:paraId="20357853" w14:textId="77777777" w:rsidR="009C2D86" w:rsidRDefault="0027599D">
      <w:pPr>
        <w:pStyle w:val="af5"/>
        <w:snapToGrid w:val="0"/>
        <w:spacing w:line="360" w:lineRule="auto"/>
        <w:ind w:firstLineChars="200" w:firstLine="420"/>
        <w:rPr>
          <w:rFonts w:hAnsi="宋体" w:cs="Times New Roman"/>
        </w:rPr>
      </w:pPr>
      <w:r>
        <w:rPr>
          <w:rFonts w:hAnsi="宋体" w:hint="eastAsia"/>
        </w:rPr>
        <w:t>净认购金额＝</w:t>
      </w:r>
      <w:r>
        <w:rPr>
          <w:rFonts w:hAnsi="宋体"/>
        </w:rPr>
        <w:t>100,000/ (1+1.0%</w:t>
      </w:r>
      <w:r>
        <w:rPr>
          <w:rFonts w:hAnsi="宋体" w:hint="eastAsia"/>
        </w:rPr>
        <w:t>）＝</w:t>
      </w:r>
      <w:r>
        <w:rPr>
          <w:rFonts w:hAnsi="宋体"/>
        </w:rPr>
        <w:t>99,009.90元</w:t>
      </w:r>
    </w:p>
    <w:p w14:paraId="3E55C00D" w14:textId="77777777" w:rsidR="009C2D86" w:rsidRDefault="0027599D">
      <w:pPr>
        <w:pStyle w:val="af5"/>
        <w:snapToGrid w:val="0"/>
        <w:spacing w:line="360" w:lineRule="auto"/>
        <w:ind w:firstLineChars="200" w:firstLine="420"/>
        <w:rPr>
          <w:rFonts w:hAnsi="宋体" w:cs="Times New Roman"/>
        </w:rPr>
      </w:pPr>
      <w:r>
        <w:rPr>
          <w:rFonts w:hAnsi="宋体" w:hint="eastAsia"/>
        </w:rPr>
        <w:t>认购费用＝</w:t>
      </w:r>
      <w:r>
        <w:rPr>
          <w:rFonts w:hAnsi="宋体"/>
        </w:rPr>
        <w:t>100,000</w:t>
      </w:r>
      <w:r>
        <w:rPr>
          <w:rFonts w:hAnsi="宋体" w:hint="eastAsia"/>
        </w:rPr>
        <w:t>－</w:t>
      </w:r>
      <w:r>
        <w:rPr>
          <w:rFonts w:hAnsi="宋体"/>
        </w:rPr>
        <w:t>99,009.90＝990.10元</w:t>
      </w:r>
    </w:p>
    <w:p w14:paraId="7AB57987" w14:textId="77777777" w:rsidR="009C2D86" w:rsidRDefault="0027599D">
      <w:pPr>
        <w:pStyle w:val="af5"/>
        <w:snapToGrid w:val="0"/>
        <w:spacing w:line="360" w:lineRule="auto"/>
        <w:ind w:firstLineChars="200" w:firstLine="420"/>
        <w:rPr>
          <w:rFonts w:hAnsi="宋体"/>
        </w:rPr>
      </w:pPr>
      <w:r>
        <w:rPr>
          <w:rFonts w:hAnsi="宋体" w:hint="eastAsia"/>
        </w:rPr>
        <w:t>认购份额</w:t>
      </w:r>
      <w:r>
        <w:rPr>
          <w:rFonts w:hAnsi="宋体"/>
        </w:rPr>
        <w:t xml:space="preserve"> =</w:t>
      </w:r>
      <w:r>
        <w:rPr>
          <w:rFonts w:hAnsi="宋体" w:hint="eastAsia"/>
        </w:rPr>
        <w:t>（</w:t>
      </w:r>
      <w:r>
        <w:rPr>
          <w:rFonts w:hAnsi="宋体"/>
        </w:rPr>
        <w:t>99,009.90＋50</w:t>
      </w:r>
      <w:r>
        <w:rPr>
          <w:rFonts w:hAnsi="宋体" w:hint="eastAsia"/>
        </w:rPr>
        <w:t>）</w:t>
      </w:r>
      <w:r>
        <w:rPr>
          <w:rFonts w:hAnsi="宋体"/>
        </w:rPr>
        <w:t>/1.00 =99,059.90份</w:t>
      </w:r>
    </w:p>
    <w:p w14:paraId="1F0422D6" w14:textId="77777777" w:rsidR="009C2D86" w:rsidRDefault="0027599D">
      <w:pPr>
        <w:pStyle w:val="af5"/>
        <w:snapToGrid w:val="0"/>
        <w:spacing w:line="360" w:lineRule="auto"/>
        <w:ind w:firstLineChars="200" w:firstLine="420"/>
        <w:rPr>
          <w:rFonts w:hAnsi="宋体"/>
        </w:rPr>
      </w:pPr>
      <w:r>
        <w:rPr>
          <w:rFonts w:hAnsi="宋体" w:hint="eastAsia"/>
        </w:rPr>
        <w:t>例：某投资人投资10万元认购C类基金份额，该笔认购产生利息50元，则其可得到的认购份额为：</w:t>
      </w:r>
    </w:p>
    <w:p w14:paraId="7CB929B4" w14:textId="77777777" w:rsidR="009C2D86" w:rsidRDefault="0027599D">
      <w:pPr>
        <w:pStyle w:val="af5"/>
        <w:snapToGrid w:val="0"/>
        <w:spacing w:line="360" w:lineRule="auto"/>
        <w:ind w:firstLineChars="200" w:firstLine="420"/>
        <w:rPr>
          <w:rFonts w:hAnsi="宋体"/>
        </w:rPr>
      </w:pPr>
      <w:r>
        <w:rPr>
          <w:rFonts w:hAnsi="宋体" w:hint="eastAsia"/>
        </w:rPr>
        <w:t>认购份额＝（100,000＋50）/1.00 = 100,050.00份</w:t>
      </w:r>
    </w:p>
    <w:p w14:paraId="6681E6E8" w14:textId="77777777" w:rsidR="009C2D86" w:rsidRDefault="0027599D">
      <w:pPr>
        <w:pStyle w:val="af5"/>
        <w:snapToGrid w:val="0"/>
        <w:spacing w:line="360" w:lineRule="auto"/>
        <w:ind w:firstLineChars="200" w:firstLine="420"/>
        <w:rPr>
          <w:rFonts w:hAnsi="宋体" w:cs="Times New Roman"/>
        </w:rPr>
      </w:pPr>
      <w:r>
        <w:rPr>
          <w:rFonts w:hAnsi="宋体"/>
        </w:rPr>
        <w:t>2</w:t>
      </w:r>
      <w:r>
        <w:rPr>
          <w:rFonts w:hAnsi="宋体" w:hint="eastAsia"/>
        </w:rPr>
        <w:t>、认购份额的计算中，涉及基金份额和金额的计算结果均按四舍五入法，保留到小数点后两位，由此产生的收益或损失由基金财产承担。</w:t>
      </w:r>
    </w:p>
    <w:p w14:paraId="208450B0" w14:textId="77777777" w:rsidR="009C2D86" w:rsidRDefault="0027599D">
      <w:pPr>
        <w:pStyle w:val="af5"/>
        <w:snapToGrid w:val="0"/>
        <w:spacing w:line="360" w:lineRule="auto"/>
        <w:ind w:firstLineChars="200" w:firstLine="420"/>
        <w:rPr>
          <w:rFonts w:hAnsi="宋体" w:cs="Times New Roman"/>
        </w:rPr>
      </w:pPr>
      <w:r>
        <w:rPr>
          <w:rFonts w:hAnsi="宋体"/>
        </w:rPr>
        <w:t>3</w:t>
      </w:r>
      <w:r>
        <w:rPr>
          <w:rFonts w:hAnsi="宋体" w:hint="eastAsia"/>
        </w:rPr>
        <w:t>、利息折算的基金份额保留到小数点后两位，小数点后两位以后部分舍去，余额计入基金财产。</w:t>
      </w:r>
    </w:p>
    <w:p w14:paraId="0F1833D3" w14:textId="77777777" w:rsidR="009C2D86" w:rsidRDefault="009C2D86">
      <w:pPr>
        <w:pStyle w:val="34"/>
        <w:snapToGrid w:val="0"/>
        <w:spacing w:line="360" w:lineRule="auto"/>
        <w:ind w:firstLine="0"/>
        <w:rPr>
          <w:rFonts w:hAnsi="宋体" w:cs="Times New Roman"/>
          <w:sz w:val="21"/>
          <w:szCs w:val="21"/>
        </w:rPr>
      </w:pPr>
    </w:p>
    <w:p w14:paraId="2E88EEDC"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九、基金认购金额的限制</w:t>
      </w:r>
    </w:p>
    <w:p w14:paraId="56403328" w14:textId="77777777" w:rsidR="009C2D86" w:rsidRDefault="0027599D">
      <w:pPr>
        <w:pStyle w:val="34"/>
        <w:snapToGrid w:val="0"/>
        <w:spacing w:line="360" w:lineRule="auto"/>
        <w:ind w:firstLineChars="200" w:firstLine="420"/>
        <w:rPr>
          <w:rFonts w:hAnsi="宋体" w:cs="Times New Roman"/>
          <w:sz w:val="21"/>
          <w:szCs w:val="21"/>
        </w:rPr>
      </w:pPr>
      <w:r>
        <w:rPr>
          <w:rFonts w:hAnsi="宋体" w:hint="eastAsia"/>
          <w:sz w:val="21"/>
          <w:szCs w:val="21"/>
        </w:rPr>
        <w:t>本基金首次认购和追加认购最低金额均为人民币</w:t>
      </w:r>
      <w:r>
        <w:rPr>
          <w:rFonts w:hAnsi="宋体"/>
          <w:sz w:val="21"/>
          <w:szCs w:val="21"/>
        </w:rPr>
        <w:t>1</w:t>
      </w:r>
      <w:r>
        <w:rPr>
          <w:rFonts w:hAnsi="宋体" w:hint="eastAsia"/>
          <w:sz w:val="21"/>
          <w:szCs w:val="21"/>
        </w:rPr>
        <w:t>元（含认购费），具体认购金额以各基金销售机构的公告为准。</w:t>
      </w:r>
    </w:p>
    <w:p w14:paraId="77F75913" w14:textId="77777777" w:rsidR="009C2D86" w:rsidRDefault="009C2D86">
      <w:pPr>
        <w:pStyle w:val="34"/>
        <w:snapToGrid w:val="0"/>
        <w:spacing w:line="360" w:lineRule="auto"/>
        <w:ind w:firstLine="0"/>
        <w:rPr>
          <w:rFonts w:hAnsi="宋体" w:cs="Times New Roman"/>
          <w:sz w:val="21"/>
          <w:szCs w:val="21"/>
        </w:rPr>
      </w:pPr>
    </w:p>
    <w:p w14:paraId="67211C0B" w14:textId="77777777" w:rsidR="009C2D86" w:rsidRDefault="0027599D">
      <w:pPr>
        <w:tabs>
          <w:tab w:val="left" w:pos="840"/>
        </w:tabs>
        <w:adjustRightInd w:val="0"/>
        <w:snapToGrid w:val="0"/>
        <w:spacing w:line="360" w:lineRule="auto"/>
        <w:ind w:firstLineChars="200" w:firstLine="420"/>
        <w:rPr>
          <w:rFonts w:ascii="宋体" w:cs="Times New Roman"/>
          <w:bCs/>
          <w:color w:val="000000"/>
        </w:rPr>
      </w:pPr>
      <w:r>
        <w:rPr>
          <w:rFonts w:ascii="宋体" w:hAnsi="宋体" w:cs="宋体" w:hint="eastAsia"/>
          <w:bCs/>
          <w:color w:val="000000"/>
        </w:rPr>
        <w:t>十、基金份额的认购和持有限额</w:t>
      </w:r>
    </w:p>
    <w:p w14:paraId="7C3DD2CB" w14:textId="77777777" w:rsidR="009C2D86" w:rsidRDefault="0027599D">
      <w:pPr>
        <w:tabs>
          <w:tab w:val="left" w:pos="840"/>
        </w:tabs>
        <w:adjustRightInd w:val="0"/>
        <w:snapToGrid w:val="0"/>
        <w:spacing w:line="360" w:lineRule="auto"/>
        <w:ind w:firstLineChars="200" w:firstLine="420"/>
        <w:rPr>
          <w:rFonts w:ascii="宋体" w:cs="Times New Roman"/>
        </w:rPr>
      </w:pPr>
      <w:r>
        <w:rPr>
          <w:rFonts w:ascii="宋体" w:hAnsi="宋体" w:cs="宋体" w:hint="eastAsia"/>
          <w:color w:val="000000"/>
        </w:rPr>
        <w:t>基金管理人不对募集期间的单个投资人的累计认购金额进行限制，但法律法规或监管要求另有规定的除外。</w:t>
      </w:r>
      <w:r>
        <w:rPr>
          <w:rFonts w:ascii="宋体" w:cs="Times New Roman"/>
        </w:rPr>
        <w:br w:type="page"/>
      </w:r>
    </w:p>
    <w:p w14:paraId="6ACCBF2A"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74" w:name="_Toc362533456"/>
      <w:bookmarkStart w:id="75" w:name="_Toc360794517"/>
      <w:bookmarkStart w:id="76" w:name="_Toc362455184"/>
      <w:bookmarkStart w:id="77" w:name="_Toc360794409"/>
      <w:bookmarkStart w:id="78" w:name="_Toc360793851"/>
      <w:bookmarkStart w:id="79" w:name="_Toc48900074"/>
      <w:bookmarkStart w:id="80" w:name="_Toc360794101"/>
      <w:bookmarkStart w:id="81" w:name="_Toc360793499"/>
      <w:r>
        <w:rPr>
          <w:rFonts w:ascii="宋体" w:eastAsia="宋体" w:hAnsi="宋体" w:cs="宋体" w:hint="eastAsia"/>
        </w:rPr>
        <w:t>基金合同的生效</w:t>
      </w:r>
      <w:bookmarkEnd w:id="74"/>
      <w:bookmarkEnd w:id="75"/>
      <w:bookmarkEnd w:id="76"/>
      <w:bookmarkEnd w:id="77"/>
      <w:bookmarkEnd w:id="78"/>
      <w:bookmarkEnd w:id="79"/>
      <w:bookmarkEnd w:id="80"/>
      <w:bookmarkEnd w:id="81"/>
    </w:p>
    <w:p w14:paraId="4BCE8D31" w14:textId="77777777" w:rsidR="009C2D86" w:rsidRDefault="009C2D86">
      <w:pPr>
        <w:pStyle w:val="34"/>
        <w:snapToGrid w:val="0"/>
        <w:spacing w:line="360" w:lineRule="auto"/>
        <w:ind w:firstLineChars="200" w:firstLine="420"/>
        <w:rPr>
          <w:rFonts w:hAnsi="宋体" w:cs="Times New Roman"/>
          <w:sz w:val="21"/>
          <w:szCs w:val="21"/>
        </w:rPr>
      </w:pPr>
    </w:p>
    <w:p w14:paraId="4E0B7009"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一、基金备案的条件</w:t>
      </w:r>
    </w:p>
    <w:p w14:paraId="27D5DDF1"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52B023C4"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4A58FF67" w14:textId="77777777" w:rsidR="009C2D86" w:rsidRDefault="009C2D86">
      <w:pPr>
        <w:adjustRightInd w:val="0"/>
        <w:snapToGrid w:val="0"/>
        <w:spacing w:line="360" w:lineRule="auto"/>
        <w:ind w:firstLineChars="200" w:firstLine="420"/>
        <w:rPr>
          <w:rFonts w:ascii="宋体" w:hAnsi="宋体" w:cs="Times New Roman"/>
          <w:bCs/>
        </w:rPr>
      </w:pPr>
    </w:p>
    <w:p w14:paraId="534AED28"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二、基金合同不能生效时募集资金的处理方式</w:t>
      </w:r>
    </w:p>
    <w:p w14:paraId="7C78F018"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如果募集期限届满，未满足基金备案条件，基金管理人应当承担下列责任：</w:t>
      </w:r>
    </w:p>
    <w:p w14:paraId="469FBD62"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1、以其固有财产承担因募集行为而产生的债务和费用；</w:t>
      </w:r>
    </w:p>
    <w:p w14:paraId="79312B65"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2、在基金募集期限届满后30日内返还投资者已缴纳的款项，并加计银行同期活期存款利息；</w:t>
      </w:r>
    </w:p>
    <w:p w14:paraId="6E5AB6E0"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3、如基金募集失败，基金管理人、基金托管人及销售机构不得请求报酬。基金管理人、基金托管人和销售机构为基金募集支付之一切费用应由各方各自承担。</w:t>
      </w:r>
    </w:p>
    <w:p w14:paraId="2926B2E0" w14:textId="77777777" w:rsidR="009C2D86" w:rsidRDefault="009C2D86">
      <w:pPr>
        <w:adjustRightInd w:val="0"/>
        <w:snapToGrid w:val="0"/>
        <w:spacing w:line="360" w:lineRule="auto"/>
        <w:ind w:firstLineChars="200" w:firstLine="420"/>
        <w:rPr>
          <w:rFonts w:ascii="宋体" w:hAnsi="宋体" w:cs="Times New Roman"/>
          <w:bCs/>
        </w:rPr>
      </w:pPr>
    </w:p>
    <w:p w14:paraId="4CA90CD2"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三、基金存续期内的基金份额持有人数量和资产规模</w:t>
      </w:r>
    </w:p>
    <w:p w14:paraId="358AC3E5" w14:textId="0C5772A4" w:rsidR="00371834" w:rsidRPr="00371834" w:rsidRDefault="00371834" w:rsidP="00371834">
      <w:pPr>
        <w:snapToGrid w:val="0"/>
        <w:spacing w:line="360" w:lineRule="auto"/>
        <w:ind w:firstLineChars="200" w:firstLine="420"/>
        <w:rPr>
          <w:rFonts w:cs="Times New Roman"/>
        </w:rPr>
      </w:pPr>
      <w:r w:rsidRPr="00371834">
        <w:rPr>
          <w:rFonts w:cs="Times New Roman" w:hint="eastAsia"/>
        </w:rPr>
        <w:t>《基金合同》生效后，连续</w:t>
      </w:r>
      <w:r w:rsidRPr="00371834">
        <w:rPr>
          <w:rFonts w:cs="Times New Roman" w:hint="eastAsia"/>
        </w:rPr>
        <w:t>20</w:t>
      </w:r>
      <w:r w:rsidRPr="00371834">
        <w:rPr>
          <w:rFonts w:cs="Times New Roman" w:hint="eastAsia"/>
        </w:rPr>
        <w:t>个工作日出现基金份额持有人数量不满</w:t>
      </w:r>
      <w:r w:rsidRPr="00371834">
        <w:rPr>
          <w:rFonts w:cs="Times New Roman" w:hint="eastAsia"/>
        </w:rPr>
        <w:t>200</w:t>
      </w:r>
      <w:r w:rsidRPr="00371834">
        <w:rPr>
          <w:rFonts w:cs="Times New Roman" w:hint="eastAsia"/>
        </w:rPr>
        <w:t>人或者基金资产净值低于</w:t>
      </w:r>
      <w:r w:rsidRPr="00371834">
        <w:rPr>
          <w:rFonts w:cs="Times New Roman" w:hint="eastAsia"/>
        </w:rPr>
        <w:t>5000</w:t>
      </w:r>
      <w:r w:rsidRPr="00371834">
        <w:rPr>
          <w:rFonts w:cs="Times New Roman" w:hint="eastAsia"/>
        </w:rPr>
        <w:t>万元情形的，基金管理人应当在定期报告中予以披露；连续</w:t>
      </w:r>
      <w:r w:rsidRPr="00371834">
        <w:rPr>
          <w:rFonts w:cs="Times New Roman" w:hint="eastAsia"/>
        </w:rPr>
        <w:t>60</w:t>
      </w:r>
      <w:r w:rsidRPr="00371834">
        <w:rPr>
          <w:rFonts w:cs="Times New Roman" w:hint="eastAsia"/>
        </w:rPr>
        <w:t>个工作日出现前述情形的，基金管理人应当在</w:t>
      </w:r>
      <w:r w:rsidRPr="00371834">
        <w:rPr>
          <w:rFonts w:cs="Times New Roman" w:hint="eastAsia"/>
        </w:rPr>
        <w:t>10</w:t>
      </w:r>
      <w:r w:rsidRPr="00371834">
        <w:rPr>
          <w:rFonts w:cs="Times New Roman" w:hint="eastAsia"/>
        </w:rPr>
        <w:t>个工作日内向中国证监会报告并提出解决方案，解决方案包括持续运作、转换运作方式、与其他基金合并或者终止基金合同等，并在</w:t>
      </w:r>
      <w:r w:rsidRPr="00371834">
        <w:rPr>
          <w:rFonts w:cs="Times New Roman" w:hint="eastAsia"/>
        </w:rPr>
        <w:t>6</w:t>
      </w:r>
      <w:r w:rsidRPr="00371834">
        <w:rPr>
          <w:rFonts w:cs="Times New Roman" w:hint="eastAsia"/>
        </w:rPr>
        <w:t>个月内召集基金份额持有人大会。</w:t>
      </w:r>
    </w:p>
    <w:p w14:paraId="037A7C4F" w14:textId="2789F31F" w:rsidR="009C2D86" w:rsidRDefault="00371834" w:rsidP="00371834">
      <w:pPr>
        <w:snapToGrid w:val="0"/>
        <w:spacing w:line="360" w:lineRule="auto"/>
        <w:ind w:firstLineChars="200" w:firstLine="420"/>
        <w:rPr>
          <w:rFonts w:cs="Times New Roman"/>
        </w:rPr>
      </w:pPr>
      <w:r w:rsidRPr="00371834">
        <w:rPr>
          <w:rFonts w:cs="Times New Roman" w:hint="eastAsia"/>
        </w:rPr>
        <w:t>法律法规或中国证监会另有规定时，从其规定。</w:t>
      </w:r>
    </w:p>
    <w:p w14:paraId="0CFF86F8" w14:textId="77777777" w:rsidR="009C2D86" w:rsidRDefault="0027599D">
      <w:pPr>
        <w:snapToGrid w:val="0"/>
        <w:spacing w:line="360" w:lineRule="auto"/>
        <w:ind w:firstLineChars="200" w:firstLine="420"/>
        <w:rPr>
          <w:rFonts w:ascii="宋体" w:cs="Times New Roman"/>
        </w:rPr>
      </w:pPr>
      <w:r>
        <w:rPr>
          <w:rFonts w:ascii="宋体" w:cs="Times New Roman"/>
        </w:rPr>
        <w:br w:type="page"/>
      </w:r>
    </w:p>
    <w:p w14:paraId="41E98846"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82" w:name="_Toc362455185"/>
      <w:bookmarkStart w:id="83" w:name="_Toc360793500"/>
      <w:bookmarkStart w:id="84" w:name="_Toc48900075"/>
      <w:bookmarkStart w:id="85" w:name="_Toc360793852"/>
      <w:bookmarkStart w:id="86" w:name="_Toc362533457"/>
      <w:bookmarkStart w:id="87" w:name="_Toc360794102"/>
      <w:bookmarkStart w:id="88" w:name="_Toc360794410"/>
      <w:bookmarkStart w:id="89" w:name="_Toc360794518"/>
      <w:r>
        <w:rPr>
          <w:rFonts w:ascii="宋体" w:eastAsia="宋体" w:hAnsi="宋体" w:cs="宋体" w:hint="eastAsia"/>
        </w:rPr>
        <w:t>基金份额的申购和赎回</w:t>
      </w:r>
      <w:bookmarkEnd w:id="82"/>
      <w:bookmarkEnd w:id="83"/>
      <w:bookmarkEnd w:id="84"/>
      <w:bookmarkEnd w:id="85"/>
      <w:bookmarkEnd w:id="86"/>
      <w:bookmarkEnd w:id="87"/>
      <w:bookmarkEnd w:id="88"/>
      <w:bookmarkEnd w:id="89"/>
    </w:p>
    <w:p w14:paraId="371DB767" w14:textId="77777777" w:rsidR="009C2D86" w:rsidRDefault="009C2D86">
      <w:pPr>
        <w:pStyle w:val="a9"/>
        <w:snapToGrid w:val="0"/>
        <w:ind w:firstLineChars="196" w:firstLine="413"/>
        <w:rPr>
          <w:rFonts w:ascii="宋体"/>
          <w:b/>
          <w:bCs/>
          <w:color w:val="000000"/>
          <w:sz w:val="21"/>
          <w:szCs w:val="21"/>
        </w:rPr>
      </w:pPr>
    </w:p>
    <w:p w14:paraId="0A11B952"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一、申购与赎回场所</w:t>
      </w:r>
    </w:p>
    <w:p w14:paraId="64FF3C87" w14:textId="77777777" w:rsidR="009C2D86" w:rsidRDefault="0027599D">
      <w:pPr>
        <w:snapToGrid w:val="0"/>
        <w:spacing w:line="360" w:lineRule="auto"/>
        <w:ind w:firstLineChars="200" w:firstLine="420"/>
        <w:rPr>
          <w:rFonts w:ascii="宋体" w:cs="Times New Roman"/>
        </w:rPr>
      </w:pPr>
      <w:r>
        <w:rPr>
          <w:rFonts w:ascii="宋体" w:hAnsi="宋体" w:cs="宋体" w:hint="eastAsia"/>
        </w:rPr>
        <w:t>本基金的申购与赎回将通过销售机构进行。具体的销售机构将由基金管理人在招募说明书中或规定网站上列明。基金管理人可根据情况变更或增减销售机构。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2EC1FAA9" w14:textId="77777777" w:rsidR="009C2D86" w:rsidRDefault="009C2D86">
      <w:pPr>
        <w:snapToGrid w:val="0"/>
        <w:spacing w:line="360" w:lineRule="auto"/>
        <w:ind w:firstLineChars="200" w:firstLine="420"/>
        <w:rPr>
          <w:rFonts w:ascii="宋体" w:cs="Times New Roman"/>
          <w:color w:val="000000"/>
        </w:rPr>
      </w:pPr>
    </w:p>
    <w:p w14:paraId="62B9E349" w14:textId="77777777" w:rsidR="009C2D86" w:rsidRDefault="0027599D">
      <w:pPr>
        <w:pStyle w:val="a9"/>
        <w:snapToGrid w:val="0"/>
        <w:ind w:firstLineChars="196" w:firstLine="412"/>
        <w:rPr>
          <w:rFonts w:ascii="宋体"/>
          <w:bCs/>
          <w:sz w:val="21"/>
          <w:szCs w:val="21"/>
        </w:rPr>
      </w:pPr>
      <w:r>
        <w:rPr>
          <w:rFonts w:ascii="宋体" w:hAnsi="宋体" w:cs="宋体" w:hint="eastAsia"/>
          <w:bCs/>
          <w:sz w:val="21"/>
          <w:szCs w:val="21"/>
        </w:rPr>
        <w:t>二、申购与赎回的开放日及时间</w:t>
      </w:r>
    </w:p>
    <w:p w14:paraId="105142B6"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1</w:t>
      </w:r>
      <w:r>
        <w:rPr>
          <w:rFonts w:ascii="Calibri" w:hAnsi="Calibri" w:cs="Calibri" w:hint="eastAsia"/>
          <w:sz w:val="21"/>
          <w:szCs w:val="21"/>
        </w:rPr>
        <w:t>、开放日及开放时间</w:t>
      </w:r>
    </w:p>
    <w:p w14:paraId="1878F5C5"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投资人在开放日办理基金份额的申购和赎回，具体办理时间为</w:t>
      </w:r>
      <w:r>
        <w:rPr>
          <w:rFonts w:ascii="Calibri" w:hAnsi="Calibri" w:cs="Calibri"/>
          <w:bCs/>
          <w:sz w:val="21"/>
          <w:szCs w:val="21"/>
        </w:rPr>
        <w:t>深圳证券交易所</w:t>
      </w:r>
      <w:r>
        <w:rPr>
          <w:rFonts w:ascii="Calibri" w:hAnsi="Calibri" w:cs="Calibri" w:hint="eastAsia"/>
          <w:sz w:val="21"/>
          <w:szCs w:val="21"/>
        </w:rPr>
        <w:t>的正常交易日的交易时间，但基金管理人根据法律法规、中国证监会的要求或基金合同的规定公告暂停申购、赎回时除外。</w:t>
      </w:r>
    </w:p>
    <w:p w14:paraId="73793C23"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基金合同生效后，若出现新的证券</w:t>
      </w:r>
      <w:r>
        <w:rPr>
          <w:rFonts w:ascii="Calibri" w:hAnsi="Calibri" w:cs="Calibri" w:hint="eastAsia"/>
          <w:sz w:val="21"/>
          <w:szCs w:val="21"/>
        </w:rPr>
        <w:t>/</w:t>
      </w:r>
      <w:r>
        <w:rPr>
          <w:rFonts w:ascii="Calibri" w:hAnsi="Calibri" w:cs="Calibri" w:hint="eastAsia"/>
          <w:sz w:val="21"/>
          <w:szCs w:val="21"/>
        </w:rPr>
        <w:t>期货交易市场、证券</w:t>
      </w:r>
      <w:r>
        <w:rPr>
          <w:rFonts w:ascii="Calibri" w:hAnsi="Calibri" w:cs="Calibri" w:hint="eastAsia"/>
          <w:sz w:val="21"/>
          <w:szCs w:val="21"/>
        </w:rPr>
        <w:t>/</w:t>
      </w:r>
      <w:r>
        <w:rPr>
          <w:rFonts w:ascii="Calibri" w:hAnsi="Calibri" w:cs="Calibri" w:hint="eastAsia"/>
          <w:sz w:val="21"/>
          <w:szCs w:val="21"/>
        </w:rPr>
        <w:t>期货交易所交易时间变更或其他特殊情况，基金管理人将视情况对前述开放日及开放时间进行相应的调整，但应在实施日前依照《信息披露办法》的有关规定在规定媒介上公告。</w:t>
      </w:r>
    </w:p>
    <w:p w14:paraId="0D05060D"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2</w:t>
      </w:r>
      <w:r>
        <w:rPr>
          <w:rFonts w:ascii="Calibri" w:hAnsi="Calibri" w:cs="Calibri" w:hint="eastAsia"/>
          <w:sz w:val="21"/>
          <w:szCs w:val="21"/>
        </w:rPr>
        <w:t>、申购、赎回开始日及业务办理时间</w:t>
      </w:r>
    </w:p>
    <w:p w14:paraId="14C5D39A"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基金管理人</w:t>
      </w:r>
      <w:r>
        <w:rPr>
          <w:rFonts w:ascii="Calibri" w:hAnsi="Calibri" w:cs="Calibri" w:hint="eastAsia"/>
          <w:bCs/>
          <w:sz w:val="21"/>
          <w:szCs w:val="21"/>
        </w:rPr>
        <w:t>可根据实际情况依法决定本基金开始办理申购的具体日期</w:t>
      </w:r>
      <w:r>
        <w:rPr>
          <w:rFonts w:ascii="Calibri" w:hAnsi="Calibri" w:cs="Calibri" w:hint="eastAsia"/>
          <w:sz w:val="21"/>
          <w:szCs w:val="21"/>
        </w:rPr>
        <w:t>，具体业务办理时间在申购开始公告中规定。</w:t>
      </w:r>
    </w:p>
    <w:p w14:paraId="04537B3D"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基金管理人自基金合同生效之日起不超过三个月开始办理赎回，具体业务办理时间在赎回开始公告中规定。</w:t>
      </w:r>
    </w:p>
    <w:p w14:paraId="11AB80CB"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在确定申购开始与赎回开始时间后，基金管理人应在申购、赎回开放日前依照《信息披露办法》的有关规定在规定媒介上公告申购与赎回的开始时间。</w:t>
      </w:r>
    </w:p>
    <w:p w14:paraId="7B78B6F9" w14:textId="77777777" w:rsidR="009C2D86" w:rsidRDefault="0027599D">
      <w:pPr>
        <w:snapToGrid w:val="0"/>
        <w:spacing w:line="360" w:lineRule="auto"/>
        <w:ind w:firstLineChars="200" w:firstLine="420"/>
        <w:rPr>
          <w:rFonts w:ascii="宋体" w:cs="Times New Roman"/>
        </w:rPr>
      </w:pPr>
      <w:r>
        <w:rPr>
          <w:rFonts w:hint="eastAsia"/>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该类基金份额申购、赎回的价格。</w:t>
      </w:r>
    </w:p>
    <w:p w14:paraId="61105662" w14:textId="77777777" w:rsidR="009C2D86" w:rsidRDefault="009C2D86">
      <w:pPr>
        <w:snapToGrid w:val="0"/>
        <w:spacing w:line="360" w:lineRule="auto"/>
        <w:ind w:firstLine="480"/>
        <w:rPr>
          <w:rFonts w:ascii="宋体" w:cs="Times New Roman"/>
          <w:color w:val="000000"/>
        </w:rPr>
      </w:pPr>
    </w:p>
    <w:p w14:paraId="4ACEC50B"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三、申购与赎回的原则</w:t>
      </w:r>
    </w:p>
    <w:p w14:paraId="796A0FDC" w14:textId="77777777" w:rsidR="009C2D86" w:rsidRDefault="0027599D">
      <w:pPr>
        <w:snapToGrid w:val="0"/>
        <w:spacing w:line="360" w:lineRule="auto"/>
        <w:ind w:firstLineChars="200" w:firstLine="420"/>
        <w:rPr>
          <w:rFonts w:cs="Times New Roman"/>
        </w:rPr>
      </w:pPr>
      <w:r>
        <w:t>1</w:t>
      </w:r>
      <w:r>
        <w:rPr>
          <w:rFonts w:cs="宋体" w:hint="eastAsia"/>
        </w:rPr>
        <w:t>、“未知价”原则，即申购、赎回价格以申请当日收市后计算的该类基金份额净值为基准进行计算；</w:t>
      </w:r>
    </w:p>
    <w:p w14:paraId="74EF5518" w14:textId="77777777" w:rsidR="009C2D86" w:rsidRDefault="0027599D">
      <w:pPr>
        <w:snapToGrid w:val="0"/>
        <w:spacing w:line="360" w:lineRule="auto"/>
        <w:ind w:firstLineChars="200" w:firstLine="420"/>
        <w:rPr>
          <w:rFonts w:cs="Times New Roman"/>
        </w:rPr>
      </w:pPr>
      <w:r>
        <w:t>2</w:t>
      </w:r>
      <w:r>
        <w:rPr>
          <w:rFonts w:cs="宋体" w:hint="eastAsia"/>
        </w:rPr>
        <w:t>、“金额申购、份额赎回”原则，即申购以金额申请，赎回以份额申请；</w:t>
      </w:r>
    </w:p>
    <w:p w14:paraId="1CA06265" w14:textId="77777777" w:rsidR="009C2D86" w:rsidRDefault="0027599D">
      <w:pPr>
        <w:snapToGrid w:val="0"/>
        <w:spacing w:line="360" w:lineRule="auto"/>
        <w:ind w:firstLineChars="200" w:firstLine="420"/>
        <w:rPr>
          <w:rFonts w:cs="Times New Roman"/>
        </w:rPr>
      </w:pPr>
      <w:r>
        <w:t>3</w:t>
      </w:r>
      <w:r>
        <w:rPr>
          <w:rFonts w:cs="宋体" w:hint="eastAsia"/>
        </w:rPr>
        <w:t>、当日的申购与赎回申请可以在基金管理人规定的时间以内撤销；</w:t>
      </w:r>
    </w:p>
    <w:p w14:paraId="4FEB8D17" w14:textId="77777777" w:rsidR="009C2D86" w:rsidRDefault="0027599D">
      <w:pPr>
        <w:snapToGrid w:val="0"/>
        <w:spacing w:line="360" w:lineRule="auto"/>
        <w:ind w:firstLineChars="200" w:firstLine="420"/>
        <w:rPr>
          <w:rFonts w:cs="Times New Roman"/>
        </w:rPr>
      </w:pPr>
      <w:r>
        <w:t>4</w:t>
      </w:r>
      <w:r>
        <w:rPr>
          <w:rFonts w:cs="宋体" w:hint="eastAsia"/>
        </w:rPr>
        <w:t>、赎回遵循“先进先出”原则，即按照投资人认购、申购的先后次序进行顺序赎回；</w:t>
      </w:r>
    </w:p>
    <w:p w14:paraId="1A908160" w14:textId="77777777" w:rsidR="009C2D86" w:rsidRDefault="0027599D">
      <w:pPr>
        <w:adjustRightInd w:val="0"/>
        <w:snapToGrid w:val="0"/>
        <w:spacing w:line="360" w:lineRule="auto"/>
        <w:ind w:firstLineChars="200" w:firstLine="420"/>
        <w:rPr>
          <w:rFonts w:ascii="宋体" w:hAnsi="宋体" w:cs="Times New Roman"/>
          <w:bCs/>
        </w:rPr>
      </w:pPr>
      <w:r>
        <w:rPr>
          <w:rFonts w:ascii="Times New Roman" w:hAnsi="Times New Roman" w:cs="Times New Roman" w:hint="eastAsia"/>
          <w:szCs w:val="20"/>
        </w:rPr>
        <w:t>5</w:t>
      </w:r>
      <w:r>
        <w:rPr>
          <w:rFonts w:ascii="Times New Roman" w:hAnsi="Times New Roman" w:cs="Times New Roman" w:hint="eastAsia"/>
          <w:szCs w:val="20"/>
        </w:rPr>
        <w:t>、办理申购、赎回业务时，应当遵循基金份额持有人利益优先原则，确保投资者的合法权益不受损害并得到公平对待。</w:t>
      </w:r>
    </w:p>
    <w:p w14:paraId="34C0076F" w14:textId="77777777" w:rsidR="009C2D86" w:rsidRDefault="0027599D">
      <w:pPr>
        <w:snapToGrid w:val="0"/>
        <w:spacing w:line="360" w:lineRule="auto"/>
        <w:ind w:firstLineChars="200" w:firstLine="420"/>
        <w:rPr>
          <w:rFonts w:cs="Times New Roman"/>
        </w:rPr>
      </w:pPr>
      <w:r>
        <w:rPr>
          <w:rFonts w:cs="宋体" w:hint="eastAsia"/>
        </w:rPr>
        <w:t>基金管理人可在法律法规允许的情况下，对上述原则进行调整。基金管理人必须在新规则开始实施前依照《信息披露办法》的有关规定在规定媒介上公告。</w:t>
      </w:r>
    </w:p>
    <w:p w14:paraId="45E9F2B5" w14:textId="77777777" w:rsidR="009C2D86" w:rsidRDefault="009C2D86">
      <w:pPr>
        <w:snapToGrid w:val="0"/>
        <w:spacing w:line="360" w:lineRule="auto"/>
        <w:ind w:firstLineChars="200" w:firstLine="420"/>
        <w:rPr>
          <w:rFonts w:cs="Times New Roman"/>
        </w:rPr>
      </w:pPr>
    </w:p>
    <w:p w14:paraId="3B10EB3C" w14:textId="77777777" w:rsidR="009C2D86" w:rsidRDefault="0027599D">
      <w:pPr>
        <w:snapToGrid w:val="0"/>
        <w:spacing w:line="360" w:lineRule="auto"/>
        <w:ind w:firstLineChars="200" w:firstLine="420"/>
        <w:rPr>
          <w:rFonts w:cs="Times New Roman"/>
          <w:bCs/>
        </w:rPr>
      </w:pPr>
      <w:r>
        <w:rPr>
          <w:rFonts w:cs="宋体" w:hint="eastAsia"/>
          <w:bCs/>
        </w:rPr>
        <w:t>四、申购与赎回的程序</w:t>
      </w:r>
    </w:p>
    <w:p w14:paraId="131D42B4" w14:textId="77777777" w:rsidR="009C2D86" w:rsidRDefault="0027599D">
      <w:pPr>
        <w:snapToGrid w:val="0"/>
        <w:spacing w:line="360" w:lineRule="auto"/>
        <w:ind w:firstLineChars="200" w:firstLine="420"/>
        <w:rPr>
          <w:rFonts w:cs="Times New Roman"/>
        </w:rPr>
      </w:pPr>
      <w:r>
        <w:t>1</w:t>
      </w:r>
      <w:r>
        <w:rPr>
          <w:rFonts w:cs="宋体" w:hint="eastAsia"/>
        </w:rPr>
        <w:t>、申购和赎回的申请方式</w:t>
      </w:r>
    </w:p>
    <w:p w14:paraId="6494A810" w14:textId="77777777" w:rsidR="009C2D86" w:rsidRDefault="0027599D">
      <w:pPr>
        <w:snapToGrid w:val="0"/>
        <w:spacing w:line="360" w:lineRule="auto"/>
        <w:ind w:firstLineChars="200" w:firstLine="420"/>
        <w:rPr>
          <w:rFonts w:cs="宋体"/>
        </w:rPr>
      </w:pPr>
      <w:r>
        <w:rPr>
          <w:rFonts w:cs="宋体" w:hint="eastAsia"/>
        </w:rPr>
        <w:t>投资人必须根据销售机构规定的程序，在开放日的具体业务办理时间内提出申购或赎回的申请。</w:t>
      </w:r>
    </w:p>
    <w:p w14:paraId="36006241" w14:textId="77777777" w:rsidR="009C2D86" w:rsidRDefault="0027599D">
      <w:pPr>
        <w:snapToGrid w:val="0"/>
        <w:spacing w:line="360" w:lineRule="auto"/>
        <w:ind w:firstLineChars="200" w:firstLine="420"/>
        <w:rPr>
          <w:rFonts w:cs="Times New Roman"/>
        </w:rPr>
      </w:pPr>
      <w:r>
        <w:t>2</w:t>
      </w:r>
      <w:r>
        <w:rPr>
          <w:rFonts w:cs="宋体" w:hint="eastAsia"/>
        </w:rPr>
        <w:t>、申购和赎回的款项支付</w:t>
      </w:r>
    </w:p>
    <w:p w14:paraId="47C6156E" w14:textId="77777777" w:rsidR="009C2D86" w:rsidRDefault="0027599D">
      <w:pPr>
        <w:snapToGrid w:val="0"/>
        <w:spacing w:line="360" w:lineRule="auto"/>
        <w:ind w:firstLineChars="200" w:firstLine="420"/>
        <w:rPr>
          <w:rFonts w:cs="Times New Roman"/>
        </w:rPr>
      </w:pPr>
      <w:r>
        <w:rPr>
          <w:rFonts w:cs="宋体" w:hint="eastAsia"/>
          <w:lang w:val="zh-CN"/>
        </w:rPr>
        <w:t>投资人申购基金份额时，必须</w:t>
      </w:r>
      <w:r>
        <w:rPr>
          <w:rFonts w:cs="宋体" w:hint="eastAsia"/>
        </w:rPr>
        <w:t>在规定的时间内</w:t>
      </w:r>
      <w:r>
        <w:rPr>
          <w:rFonts w:cs="宋体" w:hint="eastAsia"/>
          <w:lang w:val="zh-CN"/>
        </w:rPr>
        <w:t>全额交付申购款项，</w:t>
      </w:r>
      <w:r>
        <w:rPr>
          <w:rFonts w:ascii="宋体" w:hAnsi="宋体" w:cs="宋体" w:hint="eastAsia"/>
        </w:rPr>
        <w:t>否则所提交的申购申请不成立。投资人在提交赎回申请时须持有足够的基金份额余额，否则所提交的赎回申请不成立。投资人交付申购款项，申购成立；基金份额登记机构确认基金份额时，申购生效。基金份额持有人递交赎回申请，赎回成立；基金份额登记机构确认赎回时，赎回生效</w:t>
      </w:r>
      <w:r>
        <w:rPr>
          <w:rFonts w:cs="宋体" w:hint="eastAsia"/>
          <w:lang w:val="zh-CN"/>
        </w:rPr>
        <w:t>。</w:t>
      </w:r>
    </w:p>
    <w:p w14:paraId="1530F12F" w14:textId="77777777" w:rsidR="009C2D86" w:rsidRDefault="0027599D">
      <w:pPr>
        <w:snapToGrid w:val="0"/>
        <w:spacing w:line="360" w:lineRule="auto"/>
        <w:ind w:firstLineChars="200" w:firstLine="420"/>
        <w:rPr>
          <w:rFonts w:cs="Times New Roman"/>
        </w:rPr>
      </w:pPr>
      <w:r>
        <w:rPr>
          <w:rFonts w:cs="宋体" w:hint="eastAsia"/>
        </w:rPr>
        <w:t>投资</w:t>
      </w:r>
      <w:r>
        <w:rPr>
          <w:rFonts w:cs="宋体"/>
        </w:rPr>
        <w:t>者</w:t>
      </w:r>
      <w:r>
        <w:rPr>
          <w:rFonts w:cs="宋体" w:hint="eastAsia"/>
        </w:rPr>
        <w:t>赎回申请</w:t>
      </w:r>
      <w:r>
        <w:rPr>
          <w:rFonts w:cs="宋体"/>
        </w:rPr>
        <w:t>生效</w:t>
      </w:r>
      <w:r>
        <w:rPr>
          <w:rFonts w:cs="宋体" w:hint="eastAsia"/>
        </w:rPr>
        <w:t>后，基金管理人将在</w:t>
      </w:r>
      <w:r>
        <w:t>T</w:t>
      </w:r>
      <w:r>
        <w:rPr>
          <w:rFonts w:cs="宋体" w:hint="eastAsia"/>
        </w:rPr>
        <w:t>＋</w:t>
      </w:r>
      <w:r>
        <w:t>7</w:t>
      </w:r>
      <w:r>
        <w:rPr>
          <w:rFonts w:cs="宋体" w:hint="eastAsia"/>
        </w:rPr>
        <w:t>日</w:t>
      </w:r>
      <w:r>
        <w:t>(</w:t>
      </w:r>
      <w:r>
        <w:rPr>
          <w:rFonts w:cs="宋体" w:hint="eastAsia"/>
        </w:rPr>
        <w:t>包括该日</w:t>
      </w:r>
      <w:r>
        <w:t>)</w:t>
      </w:r>
      <w:r>
        <w:rPr>
          <w:rFonts w:cs="宋体" w:hint="eastAsia"/>
        </w:rPr>
        <w:t>内支付赎回款项。如遇证券</w:t>
      </w:r>
      <w:r>
        <w:rPr>
          <w:rFonts w:cs="宋体" w:hint="eastAsia"/>
        </w:rPr>
        <w:t>/</w:t>
      </w:r>
      <w:r>
        <w:rPr>
          <w:rFonts w:cs="宋体" w:hint="eastAsia"/>
        </w:rPr>
        <w:t>期货交易所或交易市场数据传输延迟、通讯系统故障、银行数据交换系统故障或其他非基金管理人及基金托管人所能控制的因素影响业务流程时，则赎回款项划付时间相应顺延。</w:t>
      </w:r>
      <w:r>
        <w:rPr>
          <w:rFonts w:cs="宋体" w:hint="eastAsia"/>
          <w:bCs/>
        </w:rPr>
        <w:t>在发生巨额赎回或基金合同载明的其他暂停赎回或延缓支付赎回款项的情形时，款项的支付办法参照基金合同有关条款处理。</w:t>
      </w:r>
    </w:p>
    <w:p w14:paraId="11A151D9" w14:textId="77777777" w:rsidR="009C2D86" w:rsidRDefault="0027599D">
      <w:pPr>
        <w:snapToGrid w:val="0"/>
        <w:spacing w:line="360" w:lineRule="auto"/>
        <w:ind w:firstLineChars="200" w:firstLine="420"/>
        <w:rPr>
          <w:rFonts w:cs="Times New Roman"/>
        </w:rPr>
      </w:pPr>
      <w:r>
        <w:t>3</w:t>
      </w:r>
      <w:r>
        <w:rPr>
          <w:rFonts w:cs="宋体" w:hint="eastAsia"/>
        </w:rPr>
        <w:t>、申购和赎回申请的确认</w:t>
      </w:r>
    </w:p>
    <w:p w14:paraId="74CDA707" w14:textId="77777777" w:rsidR="009C2D86" w:rsidRDefault="0027599D">
      <w:pPr>
        <w:snapToGrid w:val="0"/>
        <w:spacing w:line="360" w:lineRule="auto"/>
        <w:ind w:firstLineChars="200" w:firstLine="420"/>
        <w:rPr>
          <w:rFonts w:cs="Times New Roman"/>
        </w:rPr>
      </w:pPr>
      <w:r>
        <w:rPr>
          <w:rFonts w:cs="宋体" w:hint="eastAsia"/>
        </w:rPr>
        <w:t>基金管理人应以交易时间结束前受理有效申购和赎回申请的当天作为申购或赎回申请日</w:t>
      </w:r>
      <w:r>
        <w:t>(T</w:t>
      </w:r>
      <w:r>
        <w:rPr>
          <w:rFonts w:cs="宋体" w:hint="eastAsia"/>
        </w:rPr>
        <w:t>日</w:t>
      </w:r>
      <w:r>
        <w:t>)</w:t>
      </w:r>
      <w:r>
        <w:rPr>
          <w:rFonts w:cs="宋体" w:hint="eastAsia"/>
        </w:rPr>
        <w:t>，在正常情况下，本基金登记机构在</w:t>
      </w:r>
      <w:r>
        <w:t>T+1</w:t>
      </w:r>
      <w:r>
        <w:rPr>
          <w:rFonts w:cs="宋体" w:hint="eastAsia"/>
        </w:rPr>
        <w:t>日内对该交易的有效性进行确认。</w:t>
      </w:r>
      <w:r>
        <w:t>T</w:t>
      </w:r>
      <w:r>
        <w:rPr>
          <w:rFonts w:cs="宋体" w:hint="eastAsia"/>
        </w:rPr>
        <w:t>日提交的有效申请，投资人</w:t>
      </w:r>
      <w:r>
        <w:rPr>
          <w:rFonts w:cs="宋体"/>
        </w:rPr>
        <w:t>应</w:t>
      </w:r>
      <w:r>
        <w:rPr>
          <w:rFonts w:cs="宋体" w:hint="eastAsia"/>
        </w:rPr>
        <w:t>在</w:t>
      </w:r>
      <w:r>
        <w:t>T+2</w:t>
      </w:r>
      <w:r>
        <w:rPr>
          <w:rFonts w:cs="宋体" w:hint="eastAsia"/>
        </w:rPr>
        <w:t>日后</w:t>
      </w:r>
      <w:r>
        <w:t>(</w:t>
      </w:r>
      <w:r>
        <w:rPr>
          <w:rFonts w:cs="宋体" w:hint="eastAsia"/>
        </w:rPr>
        <w:t>包括该日</w:t>
      </w:r>
      <w:r>
        <w:t>)</w:t>
      </w:r>
      <w:r>
        <w:rPr>
          <w:rFonts w:hint="eastAsia"/>
        </w:rPr>
        <w:t>及时</w:t>
      </w:r>
      <w:r>
        <w:rPr>
          <w:rFonts w:cs="宋体" w:hint="eastAsia"/>
        </w:rPr>
        <w:t>到销售网点柜台或以销售机构规定的其他方式查询申请的确认情况。若申购不成功，则申购款项退还给投资人。</w:t>
      </w:r>
    </w:p>
    <w:p w14:paraId="108DB666" w14:textId="77777777" w:rsidR="009C2D86" w:rsidRDefault="0027599D">
      <w:pPr>
        <w:snapToGrid w:val="0"/>
        <w:spacing w:line="360" w:lineRule="auto"/>
        <w:ind w:firstLineChars="200" w:firstLine="420"/>
        <w:rPr>
          <w:rFonts w:cs="宋体"/>
        </w:rPr>
      </w:pPr>
      <w:r>
        <w:rPr>
          <w:rFonts w:cs="宋体" w:hint="eastAsia"/>
        </w:rPr>
        <w:t>基金销售机构对申购、赎回申请的受理并不代表申请一定成功，而仅代表销售机构</w:t>
      </w:r>
      <w:r>
        <w:rPr>
          <w:rFonts w:cs="宋体"/>
        </w:rPr>
        <w:t>已经</w:t>
      </w:r>
      <w:r>
        <w:rPr>
          <w:rFonts w:cs="宋体" w:hint="eastAsia"/>
        </w:rPr>
        <w:t>接收到申请。申购、赎回申请的确认以登记机构或基金管理人的确认结果为准。对于申请的确认情况，投资人应及时查询并妥善行使合法权利。</w:t>
      </w:r>
    </w:p>
    <w:p w14:paraId="279B2E77"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基金管理人可在法律法规允许的情况下，对上述原则进行调整。基金管理人必须在新规则开始实施前依照《信息披露办法》的有关规定在规定媒介上公告。</w:t>
      </w:r>
    </w:p>
    <w:p w14:paraId="075242AE" w14:textId="77777777" w:rsidR="009C2D86" w:rsidRDefault="009C2D86">
      <w:pPr>
        <w:snapToGrid w:val="0"/>
        <w:spacing w:line="360" w:lineRule="auto"/>
        <w:ind w:firstLineChars="200" w:firstLine="420"/>
        <w:rPr>
          <w:rFonts w:ascii="宋体" w:cs="Times New Roman"/>
          <w:color w:val="000000"/>
        </w:rPr>
      </w:pPr>
    </w:p>
    <w:p w14:paraId="79D4D091"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五、申购与赎回的数额限制</w:t>
      </w:r>
    </w:p>
    <w:p w14:paraId="74525630" w14:textId="77777777" w:rsidR="009C2D86" w:rsidRDefault="0027599D">
      <w:pPr>
        <w:snapToGrid w:val="0"/>
        <w:spacing w:line="360" w:lineRule="auto"/>
        <w:ind w:firstLineChars="200" w:firstLine="420"/>
        <w:rPr>
          <w:rFonts w:ascii="宋体" w:cs="Times New Roman"/>
        </w:rPr>
      </w:pPr>
      <w:r>
        <w:rPr>
          <w:rFonts w:ascii="宋体" w:hAnsi="宋体" w:cs="宋体"/>
        </w:rPr>
        <w:t>1</w:t>
      </w:r>
      <w:r>
        <w:rPr>
          <w:rFonts w:ascii="宋体" w:hAnsi="宋体" w:cs="宋体" w:hint="eastAsia"/>
        </w:rPr>
        <w:t>、本基金首次申购和追加申购的最低金额均为</w:t>
      </w:r>
      <w:r>
        <w:rPr>
          <w:rFonts w:ascii="宋体" w:hAnsi="宋体" w:cs="宋体"/>
        </w:rPr>
        <w:t>1</w:t>
      </w:r>
      <w:r>
        <w:rPr>
          <w:rFonts w:ascii="宋体" w:hAnsi="宋体" w:cs="宋体" w:hint="eastAsia"/>
        </w:rPr>
        <w:t>元（含申购费），基金销售机构另有规定的，以基金销售机构的规定为准。本基金单笔赎回申请不低于</w:t>
      </w:r>
      <w:r>
        <w:rPr>
          <w:rFonts w:ascii="宋体" w:hAnsi="宋体" w:cs="宋体"/>
        </w:rPr>
        <w:t>1</w:t>
      </w:r>
      <w:r>
        <w:rPr>
          <w:rFonts w:ascii="宋体" w:hAnsi="宋体" w:cs="宋体" w:hint="eastAsia"/>
        </w:rPr>
        <w:t>份，投资人全额赎回时不受上述限制。各销售机构在符合上述规定的前提下，可根据情况调高单笔最低赎回份额要求，具体以销售机构公布的为准，投资人需遵循销售机构的相关规定；</w:t>
      </w:r>
    </w:p>
    <w:p w14:paraId="15C17809" w14:textId="77777777" w:rsidR="009C2D86" w:rsidRDefault="0027599D">
      <w:pPr>
        <w:snapToGrid w:val="0"/>
        <w:spacing w:line="360" w:lineRule="auto"/>
        <w:ind w:firstLineChars="200" w:firstLine="420"/>
        <w:rPr>
          <w:rFonts w:ascii="宋体" w:hAnsi="宋体" w:cs="宋体"/>
        </w:rPr>
      </w:pPr>
      <w:r>
        <w:rPr>
          <w:rFonts w:ascii="宋体" w:hAnsi="宋体" w:cs="宋体"/>
        </w:rPr>
        <w:t>2</w:t>
      </w:r>
      <w:r>
        <w:rPr>
          <w:rFonts w:ascii="宋体" w:hAnsi="宋体" w:cs="宋体" w:hint="eastAsia"/>
        </w:rPr>
        <w:t>、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3A26A9D7" w14:textId="77777777" w:rsidR="009C2D86" w:rsidRDefault="0027599D">
      <w:pPr>
        <w:snapToGrid w:val="0"/>
        <w:spacing w:line="360" w:lineRule="auto"/>
        <w:ind w:firstLineChars="200" w:firstLine="420"/>
        <w:rPr>
          <w:rFonts w:ascii="宋体" w:cs="Times New Roman"/>
        </w:rPr>
      </w:pPr>
      <w:r>
        <w:rPr>
          <w:rFonts w:ascii="宋体" w:hAnsi="宋体" w:cs="宋体" w:hint="eastAsia"/>
        </w:rPr>
        <w:t>3、本基金不对投资人每个基金交易账户的最低基金份额余额进行限制；</w:t>
      </w:r>
    </w:p>
    <w:p w14:paraId="784E7C43" w14:textId="77777777" w:rsidR="009C2D86" w:rsidRDefault="0027599D">
      <w:pPr>
        <w:snapToGrid w:val="0"/>
        <w:spacing w:line="360" w:lineRule="auto"/>
        <w:ind w:firstLineChars="200" w:firstLine="420"/>
        <w:rPr>
          <w:rFonts w:ascii="宋体" w:cs="Times New Roman"/>
        </w:rPr>
      </w:pPr>
      <w:r>
        <w:rPr>
          <w:rFonts w:ascii="宋体" w:hAnsi="宋体" w:cs="宋体"/>
        </w:rPr>
        <w:t>4</w:t>
      </w:r>
      <w:r>
        <w:rPr>
          <w:rFonts w:ascii="宋体" w:hAnsi="宋体" w:cs="宋体" w:hint="eastAsia"/>
        </w:rPr>
        <w:t>、本基金不对单个投资人累计持有的基金份额上限进行限制</w:t>
      </w:r>
      <w:r>
        <w:rPr>
          <w:rFonts w:ascii="宋体" w:hAnsi="宋体" w:cs="宋体"/>
        </w:rPr>
        <w:t>，但法律法规或监管要求另有规定的除外</w:t>
      </w:r>
      <w:r>
        <w:rPr>
          <w:rFonts w:ascii="宋体" w:hAnsi="宋体" w:cs="宋体" w:hint="eastAsia"/>
        </w:rPr>
        <w:t>；</w:t>
      </w:r>
    </w:p>
    <w:p w14:paraId="76020A67" w14:textId="77777777" w:rsidR="009C2D86" w:rsidRDefault="0027599D">
      <w:pPr>
        <w:snapToGrid w:val="0"/>
        <w:spacing w:line="360" w:lineRule="auto"/>
        <w:ind w:firstLineChars="200" w:firstLine="420"/>
        <w:rPr>
          <w:rFonts w:ascii="宋体" w:hAnsi="宋体" w:cs="宋体"/>
        </w:rPr>
      </w:pPr>
      <w:r>
        <w:rPr>
          <w:rFonts w:ascii="宋体" w:hAnsi="宋体" w:cs="宋体"/>
        </w:rPr>
        <w:t>5</w:t>
      </w:r>
      <w:r>
        <w:rPr>
          <w:rFonts w:ascii="宋体" w:hAnsi="宋体" w:cs="宋体" w:hint="eastAsia"/>
        </w:rPr>
        <w:t>、基金管理人可以规定基金总规模上限、当日申购金额上限、单日净申购比例上限、单个投资人单日或单笔申购金额上限，具体规定请参见相关公告；</w:t>
      </w:r>
    </w:p>
    <w:p w14:paraId="4755F932" w14:textId="77777777" w:rsidR="009C2D86" w:rsidRDefault="0027599D">
      <w:pPr>
        <w:snapToGrid w:val="0"/>
        <w:spacing w:line="360" w:lineRule="auto"/>
        <w:ind w:firstLineChars="200" w:firstLine="420"/>
        <w:rPr>
          <w:rFonts w:ascii="宋体" w:cs="Times New Roman"/>
        </w:rPr>
      </w:pPr>
      <w:r>
        <w:rPr>
          <w:rFonts w:ascii="宋体" w:hAnsi="宋体" w:cs="宋体"/>
        </w:rPr>
        <w:t>6</w:t>
      </w:r>
      <w:r>
        <w:rPr>
          <w:rFonts w:ascii="宋体" w:hAnsi="宋体" w:cs="宋体" w:hint="eastAsia"/>
        </w:rPr>
        <w:t>、基金管理人可在法律法规允许的情况下，调整上述规定申购金额和赎回份额的数量限制。基金管理人必须在调整实施前依照《信息披露办法》的有关规定在规定媒介上公告。</w:t>
      </w:r>
    </w:p>
    <w:p w14:paraId="4845BCAB" w14:textId="77777777" w:rsidR="009C2D86" w:rsidRDefault="009C2D86">
      <w:pPr>
        <w:snapToGrid w:val="0"/>
        <w:spacing w:line="360" w:lineRule="auto"/>
        <w:ind w:firstLineChars="200" w:firstLine="420"/>
        <w:rPr>
          <w:rFonts w:ascii="宋体" w:cs="Times New Roman"/>
          <w:color w:val="000000"/>
        </w:rPr>
      </w:pPr>
    </w:p>
    <w:p w14:paraId="3663CD3B"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六、申购费用和赎回费用</w:t>
      </w:r>
    </w:p>
    <w:p w14:paraId="2DC5137F" w14:textId="77777777" w:rsidR="009C2D86" w:rsidRDefault="0027599D">
      <w:pPr>
        <w:adjustRightInd w:val="0"/>
        <w:snapToGrid w:val="0"/>
        <w:spacing w:line="360" w:lineRule="auto"/>
        <w:ind w:firstLineChars="200" w:firstLine="420"/>
        <w:rPr>
          <w:rFonts w:ascii="宋体" w:cs="Times New Roman"/>
        </w:rPr>
      </w:pPr>
      <w:r>
        <w:rPr>
          <w:rFonts w:ascii="宋体" w:hAnsi="宋体" w:cs="宋体"/>
          <w:color w:val="000000"/>
        </w:rPr>
        <w:t>1</w:t>
      </w:r>
      <w:r>
        <w:rPr>
          <w:rFonts w:ascii="宋体" w:hAnsi="宋体" w:cs="宋体" w:hint="eastAsia"/>
          <w:color w:val="000000"/>
        </w:rPr>
        <w:t>、</w:t>
      </w:r>
      <w:r>
        <w:rPr>
          <w:rFonts w:ascii="宋体" w:hAnsi="宋体" w:cs="宋体" w:hint="eastAsia"/>
        </w:rPr>
        <w:t>本基金的申购费</w:t>
      </w:r>
    </w:p>
    <w:p w14:paraId="7C89B86A"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kern w:val="0"/>
        </w:rPr>
        <w:t>对于申购本基金</w:t>
      </w:r>
      <w:r>
        <w:rPr>
          <w:rFonts w:ascii="宋体" w:hAnsi="宋体" w:cs="宋体"/>
          <w:kern w:val="0"/>
        </w:rPr>
        <w:t>A</w:t>
      </w:r>
      <w:r>
        <w:rPr>
          <w:rFonts w:ascii="宋体" w:hAnsi="宋体" w:cs="宋体" w:hint="eastAsia"/>
          <w:kern w:val="0"/>
        </w:rPr>
        <w:t>类基金份额的投资人，</w:t>
      </w:r>
      <w:r>
        <w:rPr>
          <w:rFonts w:ascii="宋体" w:hAnsi="宋体" w:cs="宋体" w:hint="eastAsia"/>
          <w:color w:val="000000"/>
        </w:rPr>
        <w:t>申购费率最高不高于</w:t>
      </w:r>
      <w:r>
        <w:rPr>
          <w:rFonts w:ascii="宋体" w:hAnsi="宋体" w:cs="宋体"/>
          <w:color w:val="000000"/>
        </w:rPr>
        <w:t>1.2%</w:t>
      </w:r>
      <w:r>
        <w:rPr>
          <w:rFonts w:ascii="宋体" w:hAnsi="宋体" w:cs="宋体" w:hint="eastAsia"/>
          <w:color w:val="000000"/>
        </w:rPr>
        <w:t>，且随申购金额的增加而递减，如下表所示：</w:t>
      </w:r>
    </w:p>
    <w:tbl>
      <w:tblPr>
        <w:tblW w:w="3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1"/>
        <w:gridCol w:w="2996"/>
      </w:tblGrid>
      <w:tr w:rsidR="009C2D86" w14:paraId="6F111B8A"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4A74AD13"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申购金额（M）</w:t>
            </w:r>
          </w:p>
        </w:tc>
        <w:tc>
          <w:tcPr>
            <w:tcW w:w="2580" w:type="pct"/>
            <w:tcBorders>
              <w:top w:val="single" w:sz="4" w:space="0" w:color="auto"/>
              <w:left w:val="single" w:sz="4" w:space="0" w:color="auto"/>
              <w:bottom w:val="single" w:sz="4" w:space="0" w:color="auto"/>
              <w:right w:val="single" w:sz="4" w:space="0" w:color="auto"/>
            </w:tcBorders>
            <w:vAlign w:val="center"/>
          </w:tcPr>
          <w:p w14:paraId="79208166"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申购费率</w:t>
            </w:r>
          </w:p>
        </w:tc>
      </w:tr>
      <w:tr w:rsidR="009C2D86" w14:paraId="302E9DD7"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7E5A7623"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M＜100万</w:t>
            </w:r>
          </w:p>
        </w:tc>
        <w:tc>
          <w:tcPr>
            <w:tcW w:w="2580" w:type="pct"/>
            <w:tcBorders>
              <w:top w:val="single" w:sz="4" w:space="0" w:color="auto"/>
              <w:left w:val="single" w:sz="4" w:space="0" w:color="auto"/>
              <w:bottom w:val="single" w:sz="4" w:space="0" w:color="auto"/>
              <w:right w:val="single" w:sz="4" w:space="0" w:color="auto"/>
            </w:tcBorders>
            <w:vAlign w:val="center"/>
          </w:tcPr>
          <w:p w14:paraId="6F732A67"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1.2%</w:t>
            </w:r>
          </w:p>
        </w:tc>
      </w:tr>
      <w:tr w:rsidR="009C2D86" w14:paraId="237BA011"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076A14A7"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100万≤M＜200万</w:t>
            </w:r>
          </w:p>
        </w:tc>
        <w:tc>
          <w:tcPr>
            <w:tcW w:w="2580" w:type="pct"/>
            <w:tcBorders>
              <w:top w:val="single" w:sz="4" w:space="0" w:color="auto"/>
              <w:left w:val="single" w:sz="4" w:space="0" w:color="auto"/>
              <w:bottom w:val="single" w:sz="4" w:space="0" w:color="auto"/>
              <w:right w:val="single" w:sz="4" w:space="0" w:color="auto"/>
            </w:tcBorders>
            <w:vAlign w:val="center"/>
          </w:tcPr>
          <w:p w14:paraId="0BA71274"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0.8%</w:t>
            </w:r>
          </w:p>
        </w:tc>
      </w:tr>
      <w:tr w:rsidR="009C2D86" w14:paraId="274EAAE8"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58B8814B"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200万≤M＜500万</w:t>
            </w:r>
          </w:p>
        </w:tc>
        <w:tc>
          <w:tcPr>
            <w:tcW w:w="2580" w:type="pct"/>
            <w:tcBorders>
              <w:top w:val="single" w:sz="4" w:space="0" w:color="auto"/>
              <w:left w:val="single" w:sz="4" w:space="0" w:color="auto"/>
              <w:bottom w:val="single" w:sz="4" w:space="0" w:color="auto"/>
              <w:right w:val="single" w:sz="4" w:space="0" w:color="auto"/>
            </w:tcBorders>
            <w:vAlign w:val="center"/>
          </w:tcPr>
          <w:p w14:paraId="39450146"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0.4%</w:t>
            </w:r>
          </w:p>
        </w:tc>
      </w:tr>
      <w:tr w:rsidR="009C2D86" w14:paraId="4C287F9A" w14:textId="77777777">
        <w:trPr>
          <w:trHeight w:val="397"/>
          <w:jc w:val="center"/>
        </w:trPr>
        <w:tc>
          <w:tcPr>
            <w:tcW w:w="2420" w:type="pct"/>
            <w:tcBorders>
              <w:top w:val="single" w:sz="4" w:space="0" w:color="auto"/>
              <w:left w:val="single" w:sz="4" w:space="0" w:color="auto"/>
              <w:bottom w:val="single" w:sz="4" w:space="0" w:color="auto"/>
              <w:right w:val="single" w:sz="4" w:space="0" w:color="auto"/>
            </w:tcBorders>
            <w:vAlign w:val="center"/>
          </w:tcPr>
          <w:p w14:paraId="0FFF3CE8"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M≥500万</w:t>
            </w:r>
          </w:p>
        </w:tc>
        <w:tc>
          <w:tcPr>
            <w:tcW w:w="2580" w:type="pct"/>
            <w:tcBorders>
              <w:top w:val="single" w:sz="4" w:space="0" w:color="auto"/>
              <w:left w:val="single" w:sz="4" w:space="0" w:color="auto"/>
              <w:bottom w:val="single" w:sz="4" w:space="0" w:color="auto"/>
              <w:right w:val="single" w:sz="4" w:space="0" w:color="auto"/>
            </w:tcBorders>
            <w:vAlign w:val="center"/>
          </w:tcPr>
          <w:p w14:paraId="4DD053B7"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每笔1,000元</w:t>
            </w:r>
          </w:p>
        </w:tc>
      </w:tr>
    </w:tbl>
    <w:p w14:paraId="48B414E8" w14:textId="77777777" w:rsidR="009C2D86" w:rsidRDefault="0027599D">
      <w:pPr>
        <w:adjustRightInd w:val="0"/>
        <w:snapToGrid w:val="0"/>
        <w:spacing w:line="360" w:lineRule="auto"/>
        <w:ind w:firstLineChars="200" w:firstLine="420"/>
        <w:rPr>
          <w:rFonts w:ascii="宋体" w:hAnsi="宋体" w:cs="宋体"/>
          <w:color w:val="000000"/>
        </w:rPr>
      </w:pPr>
      <w:r>
        <w:rPr>
          <w:rFonts w:hAnsi="宋体" w:cs="宋体" w:hint="eastAsia"/>
        </w:rPr>
        <w:t>对于申购本基金</w:t>
      </w:r>
      <w:r>
        <w:rPr>
          <w:rFonts w:hAnsi="宋体"/>
        </w:rPr>
        <w:t>C</w:t>
      </w:r>
      <w:r>
        <w:rPr>
          <w:rFonts w:hAnsi="宋体" w:cs="宋体" w:hint="eastAsia"/>
        </w:rPr>
        <w:t>类基金份额的投资人，申购费率为零。</w:t>
      </w:r>
    </w:p>
    <w:p w14:paraId="3F92D994"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投资人重复申购，须按每次申购所对应的费率档次分别计费。</w:t>
      </w:r>
    </w:p>
    <w:p w14:paraId="7FB1DFAC"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本基金A类基金份额的申购费用由申购A类基金份额的投资人承担，不列入基金财产，主要用于本基金的市场推广、销售、登记等各项费用。</w:t>
      </w:r>
    </w:p>
    <w:p w14:paraId="65DED2AD" w14:textId="77777777" w:rsidR="009C2D86" w:rsidRDefault="0027599D">
      <w:pPr>
        <w:snapToGrid w:val="0"/>
        <w:spacing w:line="360" w:lineRule="auto"/>
        <w:ind w:firstLineChars="200" w:firstLine="420"/>
        <w:rPr>
          <w:rFonts w:ascii="宋体" w:hAnsi="宋体" w:cs="宋体"/>
          <w:color w:val="000000"/>
        </w:rPr>
      </w:pPr>
      <w:r>
        <w:rPr>
          <w:rFonts w:ascii="宋体" w:hAnsi="宋体" w:cs="宋体"/>
          <w:color w:val="000000"/>
        </w:rPr>
        <w:t>2</w:t>
      </w:r>
      <w:r>
        <w:rPr>
          <w:rFonts w:ascii="宋体" w:hAnsi="宋体" w:cs="宋体" w:hint="eastAsia"/>
          <w:color w:val="000000"/>
        </w:rPr>
        <w:t>、本基金</w:t>
      </w:r>
      <w:r>
        <w:rPr>
          <w:rFonts w:ascii="宋体" w:hAnsi="宋体" w:hint="eastAsia"/>
        </w:rPr>
        <w:t>A类和C类基金份额</w:t>
      </w:r>
      <w:r>
        <w:rPr>
          <w:rFonts w:ascii="宋体" w:hAnsi="宋体" w:cs="宋体" w:hint="eastAsia"/>
          <w:color w:val="000000"/>
        </w:rPr>
        <w:t>赎回费率最高不超过</w:t>
      </w:r>
      <w:r>
        <w:rPr>
          <w:rFonts w:ascii="宋体" w:hAnsi="宋体" w:cs="宋体"/>
          <w:color w:val="000000"/>
        </w:rPr>
        <w:t>1.5%</w:t>
      </w:r>
      <w:r>
        <w:rPr>
          <w:rFonts w:ascii="宋体" w:hAnsi="宋体" w:cs="宋体" w:hint="eastAsia"/>
          <w:color w:val="000000"/>
        </w:rPr>
        <w:t>，随申请份额持有时间增加而递减。具体如下表所示：</w:t>
      </w:r>
    </w:p>
    <w:tbl>
      <w:tblPr>
        <w:tblW w:w="37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117"/>
      </w:tblGrid>
      <w:tr w:rsidR="009C2D86" w14:paraId="5734AE42" w14:textId="77777777">
        <w:trPr>
          <w:trHeight w:val="397"/>
          <w:jc w:val="center"/>
        </w:trPr>
        <w:tc>
          <w:tcPr>
            <w:tcW w:w="3118" w:type="dxa"/>
            <w:shd w:val="clear" w:color="auto" w:fill="auto"/>
            <w:vAlign w:val="center"/>
          </w:tcPr>
          <w:p w14:paraId="3045272B"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hint="eastAsia"/>
                <w:sz w:val="21"/>
                <w:szCs w:val="21"/>
              </w:rPr>
              <w:t>持有期限（</w:t>
            </w:r>
            <w:r>
              <w:rPr>
                <w:rFonts w:ascii="宋体" w:eastAsia="宋体" w:hAnsi="宋体"/>
                <w:sz w:val="21"/>
                <w:szCs w:val="21"/>
              </w:rPr>
              <w:t>N</w:t>
            </w:r>
            <w:r>
              <w:rPr>
                <w:rFonts w:ascii="宋体" w:eastAsia="宋体" w:hAnsi="宋体" w:hint="eastAsia"/>
                <w:sz w:val="21"/>
                <w:szCs w:val="21"/>
              </w:rPr>
              <w:t>）</w:t>
            </w:r>
          </w:p>
        </w:tc>
        <w:tc>
          <w:tcPr>
            <w:tcW w:w="3118" w:type="dxa"/>
            <w:shd w:val="clear" w:color="auto" w:fill="auto"/>
            <w:vAlign w:val="center"/>
          </w:tcPr>
          <w:p w14:paraId="67FC5ACF"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赎回费率</w:t>
            </w:r>
          </w:p>
        </w:tc>
      </w:tr>
      <w:tr w:rsidR="009C2D86" w14:paraId="25040FE0" w14:textId="77777777">
        <w:trPr>
          <w:trHeight w:val="397"/>
          <w:jc w:val="center"/>
        </w:trPr>
        <w:tc>
          <w:tcPr>
            <w:tcW w:w="3118" w:type="dxa"/>
            <w:shd w:val="clear" w:color="auto" w:fill="auto"/>
            <w:vAlign w:val="center"/>
          </w:tcPr>
          <w:p w14:paraId="1B0E0BDF"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N＜7</w:t>
            </w:r>
            <w:r>
              <w:rPr>
                <w:rFonts w:ascii="宋体" w:eastAsia="宋体" w:hAnsi="宋体" w:hint="eastAsia"/>
                <w:sz w:val="21"/>
                <w:szCs w:val="21"/>
              </w:rPr>
              <w:t>天</w:t>
            </w:r>
          </w:p>
        </w:tc>
        <w:tc>
          <w:tcPr>
            <w:tcW w:w="3118" w:type="dxa"/>
            <w:shd w:val="clear" w:color="auto" w:fill="auto"/>
            <w:vAlign w:val="center"/>
          </w:tcPr>
          <w:p w14:paraId="04EA2117"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1.5%</w:t>
            </w:r>
          </w:p>
        </w:tc>
      </w:tr>
      <w:tr w:rsidR="009C2D86" w14:paraId="399C0E76" w14:textId="77777777">
        <w:trPr>
          <w:trHeight w:val="397"/>
          <w:jc w:val="center"/>
        </w:trPr>
        <w:tc>
          <w:tcPr>
            <w:tcW w:w="3118" w:type="dxa"/>
            <w:shd w:val="clear" w:color="auto" w:fill="auto"/>
            <w:vAlign w:val="center"/>
          </w:tcPr>
          <w:p w14:paraId="27E1D7C6"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N≥7</w:t>
            </w:r>
            <w:r>
              <w:rPr>
                <w:rFonts w:ascii="宋体" w:eastAsia="宋体" w:hAnsi="宋体" w:hint="eastAsia"/>
                <w:sz w:val="21"/>
                <w:szCs w:val="21"/>
              </w:rPr>
              <w:t>天</w:t>
            </w:r>
          </w:p>
        </w:tc>
        <w:tc>
          <w:tcPr>
            <w:tcW w:w="3118" w:type="dxa"/>
            <w:shd w:val="clear" w:color="auto" w:fill="auto"/>
            <w:vAlign w:val="center"/>
          </w:tcPr>
          <w:p w14:paraId="1E1F80C7" w14:textId="77777777" w:rsidR="009C2D86" w:rsidRDefault="0027599D">
            <w:pPr>
              <w:pStyle w:val="23"/>
              <w:adjustRightInd w:val="0"/>
              <w:snapToGrid w:val="0"/>
              <w:spacing w:line="240" w:lineRule="auto"/>
              <w:ind w:firstLineChars="0" w:firstLine="0"/>
              <w:jc w:val="center"/>
              <w:rPr>
                <w:rFonts w:ascii="宋体" w:eastAsia="宋体" w:hAnsi="宋体"/>
                <w:sz w:val="21"/>
                <w:szCs w:val="21"/>
              </w:rPr>
            </w:pPr>
            <w:r>
              <w:rPr>
                <w:rFonts w:ascii="宋体" w:eastAsia="宋体" w:hAnsi="宋体"/>
                <w:sz w:val="21"/>
                <w:szCs w:val="21"/>
              </w:rPr>
              <w:t>0</w:t>
            </w:r>
          </w:p>
        </w:tc>
      </w:tr>
    </w:tbl>
    <w:p w14:paraId="32E3993D" w14:textId="77777777" w:rsidR="009C2D86" w:rsidRDefault="0027599D">
      <w:pPr>
        <w:pStyle w:val="23"/>
        <w:adjustRightInd w:val="0"/>
        <w:snapToGrid w:val="0"/>
        <w:ind w:firstLine="420"/>
        <w:jc w:val="left"/>
        <w:rPr>
          <w:rFonts w:ascii="宋体" w:eastAsia="宋体" w:hAnsi="宋体" w:cs="宋体"/>
          <w:color w:val="000000"/>
          <w:sz w:val="21"/>
          <w:szCs w:val="21"/>
        </w:rPr>
      </w:pPr>
      <w:bookmarkStart w:id="90" w:name="_Hlk63270160"/>
      <w:r>
        <w:rPr>
          <w:rFonts w:ascii="宋体" w:eastAsia="宋体" w:hAnsi="宋体" w:cs="宋体" w:hint="eastAsia"/>
          <w:color w:val="000000"/>
          <w:sz w:val="21"/>
          <w:szCs w:val="21"/>
        </w:rPr>
        <w:t>赎回费用由赎回基金份额的基金份额持有人承担，在基金份额持有人赎回基金份额时收取，赎回费用全额归入基金财产。</w:t>
      </w:r>
      <w:bookmarkEnd w:id="90"/>
    </w:p>
    <w:p w14:paraId="607A80DD" w14:textId="77777777" w:rsidR="009C2D86" w:rsidRDefault="0027599D">
      <w:pPr>
        <w:snapToGrid w:val="0"/>
        <w:spacing w:line="360" w:lineRule="auto"/>
        <w:ind w:firstLineChars="200" w:firstLine="420"/>
        <w:rPr>
          <w:rFonts w:ascii="宋体" w:hAnsi="宋体" w:cs="宋体"/>
          <w:color w:val="000000"/>
        </w:rPr>
      </w:pPr>
      <w:r>
        <w:rPr>
          <w:rFonts w:ascii="宋体" w:hAnsi="宋体" w:cs="宋体"/>
          <w:color w:val="000000"/>
        </w:rPr>
        <w:t>3</w:t>
      </w:r>
      <w:r>
        <w:rPr>
          <w:rFonts w:ascii="宋体" w:hAnsi="宋体" w:cs="宋体" w:hint="eastAsia"/>
          <w:color w:val="000000"/>
        </w:rPr>
        <w:t>、基金管理人可以</w:t>
      </w:r>
      <w:r>
        <w:rPr>
          <w:rFonts w:ascii="宋体" w:hAnsi="宋体" w:cs="宋体"/>
          <w:bCs/>
          <w:color w:val="000000"/>
        </w:rPr>
        <w:t>在基金合同约定的范围内调整费率或收费方式，并最迟应于新的费率或收费方式实施日前依照《信息披露办法》的有关规定在规定媒介上公告</w:t>
      </w:r>
      <w:r>
        <w:rPr>
          <w:rFonts w:ascii="宋体" w:hAnsi="宋体" w:cs="宋体" w:hint="eastAsia"/>
          <w:color w:val="000000"/>
        </w:rPr>
        <w:t>。</w:t>
      </w:r>
    </w:p>
    <w:p w14:paraId="56AE97F8"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4</w:t>
      </w:r>
      <w:r>
        <w:rPr>
          <w:rFonts w:ascii="宋体" w:hAnsi="宋体" w:cs="宋体" w:hint="eastAsia"/>
          <w:color w:val="000000"/>
        </w:rPr>
        <w:t>、基金管理人及其他基金销售机构可以在不违背法律法规规定及《基金合同》约定</w:t>
      </w:r>
      <w:r>
        <w:rPr>
          <w:rFonts w:ascii="宋体" w:hAnsi="宋体" w:cs="宋体" w:hint="eastAsia"/>
          <w:bCs/>
          <w:color w:val="000000"/>
        </w:rPr>
        <w:t>、对基金</w:t>
      </w:r>
      <w:r>
        <w:rPr>
          <w:rFonts w:ascii="宋体" w:hAnsi="宋体" w:cs="宋体"/>
          <w:bCs/>
          <w:color w:val="000000"/>
        </w:rPr>
        <w:t>份额</w:t>
      </w:r>
      <w:r>
        <w:rPr>
          <w:rFonts w:ascii="宋体" w:hAnsi="宋体" w:cs="宋体" w:hint="eastAsia"/>
          <w:bCs/>
          <w:color w:val="000000"/>
        </w:rPr>
        <w:t>持有</w:t>
      </w:r>
      <w:r>
        <w:rPr>
          <w:rFonts w:ascii="宋体" w:hAnsi="宋体" w:cs="宋体"/>
          <w:bCs/>
          <w:color w:val="000000"/>
        </w:rPr>
        <w:t>人利益</w:t>
      </w:r>
      <w:r>
        <w:rPr>
          <w:rFonts w:ascii="宋体" w:hAnsi="宋体" w:cs="宋体" w:hint="eastAsia"/>
          <w:bCs/>
          <w:color w:val="000000"/>
        </w:rPr>
        <w:t>无实质性不利影响</w:t>
      </w:r>
      <w:r>
        <w:rPr>
          <w:rFonts w:ascii="宋体" w:hAnsi="宋体" w:cs="宋体" w:hint="eastAsia"/>
          <w:color w:val="000000"/>
        </w:rPr>
        <w:t>的情形下，对基金销售费用实行一定的优惠，费率优惠的相关规则和流程详见基金管理人或其他基金销售机构届时发布的相关公告或通知。</w:t>
      </w:r>
      <w:r>
        <w:rPr>
          <w:rFonts w:ascii="宋体" w:hAnsi="宋体" w:cs="宋体" w:hint="eastAsia"/>
          <w:bCs/>
          <w:color w:val="000000"/>
        </w:rPr>
        <w:t>基金管理人可以针对特定投资人（如养老金客户等）开展费率优惠活动，届时将提前公告。</w:t>
      </w:r>
    </w:p>
    <w:p w14:paraId="0308DE56" w14:textId="77777777" w:rsidR="009C2D86" w:rsidRDefault="009C2D86">
      <w:pPr>
        <w:snapToGrid w:val="0"/>
        <w:spacing w:line="360" w:lineRule="auto"/>
        <w:ind w:firstLineChars="200" w:firstLine="420"/>
        <w:rPr>
          <w:rFonts w:ascii="宋体" w:cs="Times New Roman"/>
          <w:color w:val="000000"/>
        </w:rPr>
      </w:pPr>
    </w:p>
    <w:p w14:paraId="06464989"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七、申购份额与赎回金额的计算</w:t>
      </w:r>
    </w:p>
    <w:p w14:paraId="517FBA67"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1</w:t>
      </w:r>
      <w:r>
        <w:rPr>
          <w:rFonts w:ascii="宋体" w:hAnsi="宋体" w:cs="宋体" w:hint="eastAsia"/>
          <w:color w:val="000000"/>
        </w:rPr>
        <w:t>、基金申购份额的计算</w:t>
      </w:r>
    </w:p>
    <w:p w14:paraId="2C1EE3A4" w14:textId="77777777" w:rsidR="009C2D86" w:rsidRDefault="0027599D">
      <w:pPr>
        <w:snapToGrid w:val="0"/>
        <w:spacing w:line="360" w:lineRule="auto"/>
        <w:ind w:firstLineChars="200" w:firstLine="420"/>
        <w:rPr>
          <w:rFonts w:ascii="宋体" w:hAnsi="宋体" w:cs="宋体"/>
          <w:color w:val="000000"/>
        </w:rPr>
      </w:pPr>
      <w:r>
        <w:rPr>
          <w:rFonts w:ascii="宋体" w:hAnsi="宋体" w:cs="宋体" w:hint="eastAsia"/>
          <w:color w:val="000000"/>
        </w:rPr>
        <w:t>本基金A类基金份额的申购金额包括申购费用和净申购金额。申购份额的计算公式为：</w:t>
      </w:r>
    </w:p>
    <w:p w14:paraId="380FDA27" w14:textId="77777777" w:rsidR="009C2D86" w:rsidRDefault="0027599D">
      <w:pPr>
        <w:snapToGrid w:val="0"/>
        <w:spacing w:line="360" w:lineRule="auto"/>
        <w:ind w:firstLineChars="200" w:firstLine="420"/>
        <w:rPr>
          <w:rFonts w:ascii="宋体" w:hAnsi="宋体" w:cs="宋体"/>
          <w:color w:val="000000"/>
        </w:rPr>
      </w:pPr>
      <w:r>
        <w:rPr>
          <w:rFonts w:ascii="宋体" w:hAnsi="宋体" w:cs="宋体"/>
          <w:color w:val="000000"/>
        </w:rPr>
        <w:t>（1）适用于比例费率</w:t>
      </w:r>
    </w:p>
    <w:p w14:paraId="5330E042"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净申购金额</w:t>
      </w:r>
      <w:r>
        <w:rPr>
          <w:rFonts w:ascii="宋体" w:hAnsi="宋体" w:cs="宋体"/>
          <w:color w:val="000000"/>
        </w:rPr>
        <w:t xml:space="preserve">= </w:t>
      </w:r>
      <w:r>
        <w:rPr>
          <w:rFonts w:ascii="宋体" w:hAnsi="宋体" w:cs="宋体" w:hint="eastAsia"/>
          <w:color w:val="000000"/>
        </w:rPr>
        <w:t>申购金额</w:t>
      </w:r>
      <w:r>
        <w:rPr>
          <w:rFonts w:ascii="宋体" w:hAnsi="宋体" w:cs="宋体"/>
          <w:color w:val="000000"/>
        </w:rPr>
        <w:t>/</w:t>
      </w:r>
      <w:r>
        <w:rPr>
          <w:rFonts w:ascii="宋体" w:hAnsi="宋体" w:cs="宋体" w:hint="eastAsia"/>
          <w:color w:val="000000"/>
        </w:rPr>
        <w:t>（</w:t>
      </w:r>
      <w:r>
        <w:rPr>
          <w:rFonts w:ascii="宋体" w:hAnsi="宋体" w:cs="宋体"/>
          <w:color w:val="000000"/>
        </w:rPr>
        <w:t>1+</w:t>
      </w:r>
      <w:r>
        <w:rPr>
          <w:rFonts w:ascii="宋体" w:hAnsi="宋体" w:cs="宋体" w:hint="eastAsia"/>
          <w:color w:val="000000"/>
        </w:rPr>
        <w:t>申购费率）</w:t>
      </w:r>
    </w:p>
    <w:p w14:paraId="151838DE"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申购费用</w:t>
      </w:r>
      <w:r>
        <w:rPr>
          <w:rFonts w:ascii="宋体" w:hAnsi="宋体" w:cs="宋体"/>
          <w:color w:val="000000"/>
        </w:rPr>
        <w:t xml:space="preserve"> = </w:t>
      </w:r>
      <w:r>
        <w:rPr>
          <w:rFonts w:ascii="宋体" w:hAnsi="宋体" w:cs="宋体" w:hint="eastAsia"/>
          <w:color w:val="000000"/>
        </w:rPr>
        <w:t>申购金额－净申购金额</w:t>
      </w:r>
    </w:p>
    <w:p w14:paraId="5D4A5DE9" w14:textId="77777777" w:rsidR="009C2D86" w:rsidRDefault="0027599D">
      <w:pPr>
        <w:snapToGrid w:val="0"/>
        <w:spacing w:line="360" w:lineRule="auto"/>
        <w:ind w:firstLineChars="200" w:firstLine="420"/>
        <w:rPr>
          <w:rFonts w:ascii="宋体" w:hAnsi="宋体" w:cs="宋体"/>
          <w:color w:val="000000"/>
        </w:rPr>
      </w:pPr>
      <w:r>
        <w:rPr>
          <w:rFonts w:ascii="宋体" w:hAnsi="宋体" w:cs="宋体" w:hint="eastAsia"/>
          <w:color w:val="000000"/>
        </w:rPr>
        <w:t>申购份额</w:t>
      </w:r>
      <w:r>
        <w:rPr>
          <w:rFonts w:ascii="宋体" w:hAnsi="宋体" w:cs="宋体"/>
          <w:color w:val="000000"/>
        </w:rPr>
        <w:t xml:space="preserve"> = </w:t>
      </w:r>
      <w:r>
        <w:rPr>
          <w:rFonts w:ascii="宋体" w:hAnsi="宋体" w:cs="宋体" w:hint="eastAsia"/>
          <w:color w:val="000000"/>
        </w:rPr>
        <w:t>净申购金额</w:t>
      </w:r>
      <w:r>
        <w:rPr>
          <w:rFonts w:ascii="宋体" w:hAnsi="宋体" w:cs="宋体"/>
          <w:color w:val="000000"/>
        </w:rPr>
        <w:t>/</w:t>
      </w:r>
      <w:r>
        <w:rPr>
          <w:rFonts w:ascii="宋体" w:hAnsi="宋体" w:cs="宋体" w:hint="eastAsia"/>
          <w:color w:val="000000"/>
        </w:rPr>
        <w:t>申购当日</w:t>
      </w:r>
      <w:r>
        <w:rPr>
          <w:rFonts w:ascii="宋体" w:hAnsi="宋体" w:cs="宋体"/>
          <w:color w:val="000000"/>
        </w:rPr>
        <w:t>A类基金份额净值</w:t>
      </w:r>
    </w:p>
    <w:p w14:paraId="09019581" w14:textId="77777777" w:rsidR="009C2D86" w:rsidRDefault="0027599D">
      <w:pPr>
        <w:snapToGrid w:val="0"/>
        <w:spacing w:line="360" w:lineRule="auto"/>
        <w:ind w:firstLineChars="200" w:firstLine="420"/>
        <w:rPr>
          <w:rFonts w:ascii="宋体" w:cs="Times New Roman"/>
          <w:color w:val="000000"/>
        </w:rPr>
      </w:pPr>
      <w:r>
        <w:rPr>
          <w:rFonts w:ascii="宋体" w:cs="Times New Roman" w:hint="eastAsia"/>
          <w:color w:val="000000"/>
        </w:rPr>
        <w:t>（2）适用于固定费用</w:t>
      </w:r>
    </w:p>
    <w:p w14:paraId="1CD131E2" w14:textId="77777777" w:rsidR="009C2D86" w:rsidRDefault="0027599D">
      <w:pPr>
        <w:snapToGrid w:val="0"/>
        <w:spacing w:line="360" w:lineRule="auto"/>
        <w:ind w:firstLineChars="200" w:firstLine="420"/>
        <w:rPr>
          <w:rFonts w:ascii="宋体" w:cs="Times New Roman"/>
          <w:color w:val="000000"/>
        </w:rPr>
      </w:pPr>
      <w:r>
        <w:rPr>
          <w:rFonts w:ascii="宋体" w:cs="Times New Roman" w:hint="eastAsia"/>
          <w:color w:val="000000"/>
        </w:rPr>
        <w:t>净申购金额＝申购金额-固定申购费用</w:t>
      </w:r>
    </w:p>
    <w:p w14:paraId="20737189" w14:textId="77777777" w:rsidR="009C2D86" w:rsidRDefault="0027599D">
      <w:pPr>
        <w:snapToGrid w:val="0"/>
        <w:spacing w:line="360" w:lineRule="auto"/>
        <w:ind w:firstLineChars="200" w:firstLine="420"/>
        <w:rPr>
          <w:rFonts w:ascii="宋体" w:cs="Times New Roman"/>
          <w:color w:val="000000"/>
        </w:rPr>
      </w:pPr>
      <w:r>
        <w:rPr>
          <w:rFonts w:ascii="宋体" w:cs="Times New Roman" w:hint="eastAsia"/>
          <w:color w:val="000000"/>
        </w:rPr>
        <w:t>申购份额＝净申购金额/申购当日A类基金份额净值</w:t>
      </w:r>
    </w:p>
    <w:p w14:paraId="07D764B9" w14:textId="77777777" w:rsidR="009C2D86" w:rsidRDefault="0027599D">
      <w:pPr>
        <w:snapToGrid w:val="0"/>
        <w:spacing w:line="360" w:lineRule="auto"/>
        <w:ind w:firstLineChars="200" w:firstLine="420"/>
        <w:rPr>
          <w:rFonts w:ascii="宋体" w:hAnsi="宋体" w:cs="宋体"/>
          <w:color w:val="000000"/>
        </w:rPr>
      </w:pPr>
      <w:r>
        <w:rPr>
          <w:rFonts w:ascii="宋体" w:hAnsi="宋体" w:cs="宋体"/>
          <w:color w:val="000000"/>
        </w:rPr>
        <w:t>C类基金份额</w:t>
      </w:r>
      <w:r>
        <w:rPr>
          <w:rFonts w:ascii="宋体" w:hAnsi="宋体" w:cs="宋体" w:hint="eastAsia"/>
          <w:color w:val="000000"/>
        </w:rPr>
        <w:t>申购费率为0，申购份额的计算公式为：</w:t>
      </w:r>
    </w:p>
    <w:p w14:paraId="6D3FB96A" w14:textId="77777777" w:rsidR="009C2D86" w:rsidRDefault="0027599D">
      <w:pPr>
        <w:snapToGrid w:val="0"/>
        <w:spacing w:line="360" w:lineRule="auto"/>
        <w:ind w:firstLineChars="200" w:firstLine="420"/>
        <w:rPr>
          <w:rFonts w:ascii="宋体" w:cs="Times New Roman"/>
          <w:color w:val="000000"/>
        </w:rPr>
      </w:pPr>
      <w:r>
        <w:rPr>
          <w:rFonts w:ascii="宋体" w:cs="Times New Roman" w:hint="eastAsia"/>
          <w:color w:val="000000"/>
        </w:rPr>
        <w:t>申购份额＝申购金额/申购当日</w:t>
      </w:r>
      <w:r>
        <w:rPr>
          <w:rFonts w:ascii="宋体" w:cs="Times New Roman"/>
          <w:color w:val="000000"/>
        </w:rPr>
        <w:t>C</w:t>
      </w:r>
      <w:r>
        <w:rPr>
          <w:rFonts w:ascii="宋体" w:cs="Times New Roman" w:hint="eastAsia"/>
          <w:color w:val="000000"/>
        </w:rPr>
        <w:t>类基金份额净值</w:t>
      </w:r>
    </w:p>
    <w:p w14:paraId="40B8F7CA"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例：某投资人投资</w:t>
      </w:r>
      <w:r>
        <w:rPr>
          <w:rFonts w:ascii="宋体" w:hAnsi="宋体" w:cs="宋体"/>
          <w:color w:val="000000"/>
        </w:rPr>
        <w:t>10</w:t>
      </w:r>
      <w:r>
        <w:rPr>
          <w:rFonts w:ascii="宋体" w:hAnsi="宋体" w:cs="宋体" w:hint="eastAsia"/>
          <w:color w:val="000000"/>
        </w:rPr>
        <w:t>万元申购本基金</w:t>
      </w:r>
      <w:r>
        <w:rPr>
          <w:rFonts w:ascii="宋体" w:hAnsi="宋体" w:cs="宋体"/>
          <w:color w:val="000000"/>
        </w:rPr>
        <w:t>A类基金份额，假设申购当日A类基金份额净值为1.0170</w:t>
      </w:r>
      <w:r>
        <w:rPr>
          <w:rFonts w:ascii="宋体" w:hAnsi="宋体" w:cs="宋体" w:hint="eastAsia"/>
          <w:color w:val="000000"/>
        </w:rPr>
        <w:t>元，对应申购费率为</w:t>
      </w:r>
      <w:r>
        <w:rPr>
          <w:rFonts w:ascii="宋体" w:hAnsi="宋体" w:cs="宋体"/>
          <w:color w:val="000000"/>
        </w:rPr>
        <w:t>1.2%</w:t>
      </w:r>
      <w:r>
        <w:rPr>
          <w:rFonts w:ascii="宋体" w:hAnsi="宋体" w:cs="宋体" w:hint="eastAsia"/>
          <w:color w:val="000000"/>
        </w:rPr>
        <w:t>，则其可得到的申购份额为：</w:t>
      </w:r>
    </w:p>
    <w:p w14:paraId="1306E9F6"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净申购金额＝</w:t>
      </w:r>
      <w:r>
        <w:rPr>
          <w:rFonts w:ascii="宋体" w:hAnsi="宋体" w:cs="宋体"/>
          <w:color w:val="000000"/>
        </w:rPr>
        <w:t>100,000/ (1+1.2%</w:t>
      </w:r>
      <w:r>
        <w:rPr>
          <w:rFonts w:ascii="宋体" w:hAnsi="宋体" w:cs="宋体" w:hint="eastAsia"/>
          <w:color w:val="000000"/>
        </w:rPr>
        <w:t>）＝</w:t>
      </w:r>
      <w:r>
        <w:rPr>
          <w:rFonts w:ascii="宋体" w:hAnsi="宋体" w:cs="宋体"/>
          <w:color w:val="000000"/>
        </w:rPr>
        <w:t>98,814.23元</w:t>
      </w:r>
    </w:p>
    <w:p w14:paraId="0B4A3339"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申购费用＝</w:t>
      </w:r>
      <w:r>
        <w:rPr>
          <w:rFonts w:ascii="宋体" w:hAnsi="宋体" w:cs="宋体"/>
          <w:color w:val="000000"/>
        </w:rPr>
        <w:t>100,000</w:t>
      </w:r>
      <w:r>
        <w:rPr>
          <w:rFonts w:ascii="宋体" w:hAnsi="宋体" w:cs="宋体" w:hint="eastAsia"/>
          <w:color w:val="000000"/>
        </w:rPr>
        <w:t>－</w:t>
      </w:r>
      <w:r>
        <w:rPr>
          <w:rFonts w:ascii="宋体" w:hAnsi="宋体" w:cs="宋体"/>
          <w:color w:val="000000"/>
        </w:rPr>
        <w:t>98,814.23＝1,185.77元</w:t>
      </w:r>
    </w:p>
    <w:p w14:paraId="389BD5AB" w14:textId="77777777" w:rsidR="009C2D86" w:rsidRDefault="0027599D">
      <w:pPr>
        <w:snapToGrid w:val="0"/>
        <w:spacing w:line="360" w:lineRule="auto"/>
        <w:ind w:firstLineChars="200" w:firstLine="420"/>
        <w:rPr>
          <w:rFonts w:ascii="宋体" w:hAnsi="宋体" w:cs="宋体"/>
          <w:color w:val="000000"/>
        </w:rPr>
      </w:pPr>
      <w:r>
        <w:rPr>
          <w:rFonts w:ascii="宋体" w:hAnsi="宋体" w:cs="宋体" w:hint="eastAsia"/>
          <w:color w:val="000000"/>
        </w:rPr>
        <w:t>申购份额</w:t>
      </w:r>
      <w:r>
        <w:rPr>
          <w:rFonts w:ascii="宋体" w:hAnsi="宋体" w:cs="宋体"/>
          <w:color w:val="000000"/>
        </w:rPr>
        <w:t xml:space="preserve"> = 98,814.23/1.0170 =97,162.47</w:t>
      </w:r>
      <w:r>
        <w:rPr>
          <w:rFonts w:ascii="宋体" w:hAnsi="宋体" w:cs="宋体" w:hint="eastAsia"/>
          <w:color w:val="000000"/>
        </w:rPr>
        <w:t>份</w:t>
      </w:r>
    </w:p>
    <w:p w14:paraId="4D60D14B" w14:textId="77777777" w:rsidR="009C2D86" w:rsidRDefault="0027599D">
      <w:pPr>
        <w:snapToGrid w:val="0"/>
        <w:spacing w:line="360" w:lineRule="auto"/>
        <w:ind w:firstLineChars="200" w:firstLine="420"/>
        <w:rPr>
          <w:rFonts w:ascii="宋体" w:cs="Times New Roman"/>
          <w:color w:val="000000"/>
        </w:rPr>
      </w:pPr>
      <w:r>
        <w:rPr>
          <w:rFonts w:ascii="宋体" w:cs="Times New Roman"/>
          <w:color w:val="000000"/>
        </w:rPr>
        <w:t>例：某投资人投资10万元申购本基金C类基金份额，假设申购当日C类基金份额净值为1.0160元。则其可得到的申购份额为：</w:t>
      </w:r>
    </w:p>
    <w:p w14:paraId="164A11BA" w14:textId="77777777" w:rsidR="009C2D86" w:rsidRDefault="0027599D">
      <w:pPr>
        <w:snapToGrid w:val="0"/>
        <w:spacing w:line="360" w:lineRule="auto"/>
        <w:ind w:firstLineChars="200" w:firstLine="420"/>
        <w:rPr>
          <w:rFonts w:ascii="宋体" w:hAnsi="宋体" w:cs="宋体"/>
          <w:color w:val="000000"/>
        </w:rPr>
      </w:pPr>
      <w:r>
        <w:rPr>
          <w:rFonts w:ascii="宋体" w:cs="Times New Roman"/>
          <w:color w:val="000000"/>
        </w:rPr>
        <w:t>申购份额＝100,000/1.0160 = 98,425.20份</w:t>
      </w:r>
    </w:p>
    <w:p w14:paraId="3296BA21"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2</w:t>
      </w:r>
      <w:r>
        <w:rPr>
          <w:rFonts w:ascii="宋体" w:hAnsi="宋体" w:cs="宋体" w:hint="eastAsia"/>
          <w:color w:val="000000"/>
        </w:rPr>
        <w:t>、基金赎回金额的计算</w:t>
      </w:r>
    </w:p>
    <w:p w14:paraId="5B6F483F"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本基金的赎回金额计算公式为：</w:t>
      </w:r>
    </w:p>
    <w:p w14:paraId="573384EF"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赎回费用</w:t>
      </w:r>
      <w:r>
        <w:rPr>
          <w:rFonts w:ascii="宋体" w:hAnsi="宋体" w:cs="宋体"/>
          <w:color w:val="000000"/>
        </w:rPr>
        <w:t>=</w:t>
      </w:r>
      <w:r>
        <w:rPr>
          <w:rFonts w:ascii="宋体" w:hAnsi="宋体" w:cs="宋体" w:hint="eastAsia"/>
          <w:color w:val="000000"/>
        </w:rPr>
        <w:t>赎回份额</w:t>
      </w:r>
      <w:r>
        <w:rPr>
          <w:rFonts w:ascii="宋体" w:hAnsi="Symbol" w:cs="Times New Roman" w:hint="eastAsia"/>
          <w:color w:val="000000"/>
          <w:szCs w:val="20"/>
        </w:rPr>
        <w:sym w:font="Symbol" w:char="F0B4"/>
      </w:r>
      <w:r>
        <w:rPr>
          <w:rFonts w:ascii="宋体" w:hAnsi="宋体" w:cs="宋体" w:hint="eastAsia"/>
          <w:color w:val="000000"/>
        </w:rPr>
        <w:t>赎回当日该类基金份额净值</w:t>
      </w:r>
      <w:r>
        <w:rPr>
          <w:rFonts w:ascii="宋体" w:hAnsi="Symbol" w:cs="Times New Roman" w:hint="eastAsia"/>
          <w:color w:val="000000"/>
          <w:szCs w:val="20"/>
        </w:rPr>
        <w:sym w:font="Symbol" w:char="F0B4"/>
      </w:r>
      <w:r>
        <w:rPr>
          <w:rFonts w:ascii="宋体" w:hAnsi="宋体" w:cs="宋体" w:hint="eastAsia"/>
          <w:color w:val="000000"/>
        </w:rPr>
        <w:t>赎回费率</w:t>
      </w:r>
    </w:p>
    <w:p w14:paraId="6E7F9BD0"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赎回金额</w:t>
      </w:r>
      <w:r>
        <w:rPr>
          <w:rFonts w:ascii="宋体" w:hAnsi="宋体" w:cs="宋体"/>
          <w:color w:val="000000"/>
        </w:rPr>
        <w:t>=</w:t>
      </w:r>
      <w:r>
        <w:rPr>
          <w:rFonts w:ascii="宋体" w:hAnsi="宋体" w:cs="宋体" w:hint="eastAsia"/>
          <w:color w:val="000000"/>
        </w:rPr>
        <w:t>赎回份额</w:t>
      </w:r>
      <w:r>
        <w:rPr>
          <w:rFonts w:ascii="宋体" w:hAnsi="Symbol" w:cs="Times New Roman" w:hint="eastAsia"/>
          <w:color w:val="000000"/>
          <w:szCs w:val="20"/>
        </w:rPr>
        <w:sym w:font="Symbol" w:char="F0B4"/>
      </w:r>
      <w:r>
        <w:rPr>
          <w:rFonts w:ascii="宋体" w:hAnsi="宋体" w:cs="宋体" w:hint="eastAsia"/>
          <w:color w:val="000000"/>
        </w:rPr>
        <w:t>赎回当日该类基金份额净值</w:t>
      </w:r>
      <w:r>
        <w:rPr>
          <w:rFonts w:ascii="宋体" w:hAnsi="Symbol" w:cs="Times New Roman" w:hint="eastAsia"/>
          <w:color w:val="000000"/>
          <w:szCs w:val="20"/>
        </w:rPr>
        <w:sym w:font="Symbol" w:char="F02D"/>
      </w:r>
      <w:r>
        <w:rPr>
          <w:rFonts w:ascii="宋体" w:hAnsi="宋体" w:cs="宋体" w:hint="eastAsia"/>
          <w:color w:val="000000"/>
        </w:rPr>
        <w:t>赎回费用</w:t>
      </w:r>
    </w:p>
    <w:p w14:paraId="30897658"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例：某投资人申购本基金A类基金份额，持有</w:t>
      </w:r>
      <w:r>
        <w:rPr>
          <w:rFonts w:ascii="宋体" w:hAnsi="宋体" w:cs="宋体"/>
          <w:color w:val="000000"/>
        </w:rPr>
        <w:t>5</w:t>
      </w:r>
      <w:r>
        <w:rPr>
          <w:rFonts w:ascii="宋体" w:hAnsi="宋体" w:cs="宋体" w:hint="eastAsia"/>
          <w:color w:val="000000"/>
        </w:rPr>
        <w:t>天赎回</w:t>
      </w:r>
      <w:r>
        <w:rPr>
          <w:rFonts w:ascii="宋体" w:hAnsi="宋体" w:cs="宋体"/>
          <w:color w:val="000000"/>
        </w:rPr>
        <w:t>10</w:t>
      </w:r>
      <w:r>
        <w:rPr>
          <w:rFonts w:ascii="宋体" w:hAnsi="宋体" w:cs="宋体" w:hint="eastAsia"/>
          <w:color w:val="000000"/>
        </w:rPr>
        <w:t>万份，对应赎回费率为</w:t>
      </w:r>
      <w:r>
        <w:rPr>
          <w:rFonts w:ascii="宋体" w:cs="宋体"/>
          <w:color w:val="000000"/>
        </w:rPr>
        <w:t>1.5</w:t>
      </w:r>
      <w:r>
        <w:rPr>
          <w:rFonts w:ascii="宋体" w:hAnsi="宋体" w:cs="宋体"/>
          <w:color w:val="000000"/>
        </w:rPr>
        <w:t>%</w:t>
      </w:r>
      <w:r>
        <w:rPr>
          <w:rFonts w:ascii="宋体" w:hAnsi="宋体" w:cs="宋体" w:hint="eastAsia"/>
          <w:color w:val="000000"/>
        </w:rPr>
        <w:t>，假设赎回当日A类基金份额净值是</w:t>
      </w:r>
      <w:r>
        <w:rPr>
          <w:rFonts w:ascii="宋体" w:hAnsi="宋体" w:cs="宋体"/>
          <w:color w:val="000000"/>
        </w:rPr>
        <w:t>1.0170</w:t>
      </w:r>
      <w:r>
        <w:rPr>
          <w:rFonts w:ascii="宋体" w:hAnsi="宋体" w:cs="宋体" w:hint="eastAsia"/>
          <w:color w:val="000000"/>
        </w:rPr>
        <w:t>元，则其可得到的赎回金额为：</w:t>
      </w:r>
    </w:p>
    <w:p w14:paraId="248DEA82"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赎回费用＝</w:t>
      </w:r>
      <w:r>
        <w:rPr>
          <w:rFonts w:ascii="宋体" w:hAnsi="宋体" w:cs="宋体"/>
          <w:color w:val="000000"/>
        </w:rPr>
        <w:t>10</w:t>
      </w:r>
      <w:r>
        <w:rPr>
          <w:rFonts w:ascii="宋体" w:cs="宋体"/>
          <w:color w:val="000000"/>
        </w:rPr>
        <w:t>0,000</w:t>
      </w:r>
      <w:r>
        <w:rPr>
          <w:rFonts w:ascii="宋体" w:hAnsi="宋体" w:cs="宋体" w:hint="eastAsia"/>
          <w:color w:val="000000"/>
        </w:rPr>
        <w:t>×</w:t>
      </w:r>
      <w:r>
        <w:rPr>
          <w:rFonts w:ascii="宋体" w:hAnsi="宋体" w:cs="宋体"/>
          <w:color w:val="000000"/>
        </w:rPr>
        <w:t>1.0170</w:t>
      </w:r>
      <w:r>
        <w:rPr>
          <w:rFonts w:ascii="宋体" w:hAnsi="宋体" w:cs="宋体" w:hint="eastAsia"/>
          <w:color w:val="000000"/>
        </w:rPr>
        <w:t>×</w:t>
      </w:r>
      <w:r>
        <w:rPr>
          <w:rFonts w:ascii="宋体" w:cs="宋体"/>
          <w:color w:val="000000"/>
        </w:rPr>
        <w:t>1.5</w:t>
      </w:r>
      <w:r>
        <w:rPr>
          <w:rFonts w:ascii="宋体" w:hAnsi="宋体" w:cs="宋体"/>
          <w:color w:val="000000"/>
        </w:rPr>
        <w:t>%</w:t>
      </w:r>
      <w:r>
        <w:rPr>
          <w:rFonts w:ascii="宋体" w:hAnsi="宋体" w:cs="宋体" w:hint="eastAsia"/>
          <w:color w:val="000000"/>
        </w:rPr>
        <w:t>＝</w:t>
      </w:r>
      <w:r>
        <w:rPr>
          <w:rFonts w:ascii="宋体" w:hAnsi="宋体" w:cs="宋体"/>
          <w:color w:val="000000"/>
        </w:rPr>
        <w:t>1,525.50 元</w:t>
      </w:r>
    </w:p>
    <w:p w14:paraId="736A3D36" w14:textId="77777777" w:rsidR="009C2D86" w:rsidRDefault="0027599D">
      <w:pPr>
        <w:snapToGrid w:val="0"/>
        <w:spacing w:line="360" w:lineRule="auto"/>
        <w:ind w:firstLineChars="200" w:firstLine="420"/>
        <w:rPr>
          <w:rFonts w:ascii="宋体" w:hAnsi="宋体" w:cs="宋体"/>
          <w:color w:val="000000"/>
        </w:rPr>
      </w:pPr>
      <w:r>
        <w:rPr>
          <w:rFonts w:ascii="宋体" w:hAnsi="宋体" w:cs="宋体" w:hint="eastAsia"/>
          <w:color w:val="000000"/>
        </w:rPr>
        <w:t>赎回金额</w:t>
      </w:r>
      <w:r>
        <w:rPr>
          <w:rFonts w:ascii="宋体" w:hAnsi="宋体" w:cs="宋体"/>
          <w:color w:val="000000"/>
        </w:rPr>
        <w:t>=10</w:t>
      </w:r>
      <w:r>
        <w:rPr>
          <w:rFonts w:ascii="宋体" w:cs="宋体"/>
          <w:color w:val="000000"/>
        </w:rPr>
        <w:t>0,000</w:t>
      </w:r>
      <w:r>
        <w:rPr>
          <w:rFonts w:ascii="宋体" w:hAnsi="宋体" w:cs="宋体" w:hint="eastAsia"/>
          <w:color w:val="000000"/>
        </w:rPr>
        <w:t>×</w:t>
      </w:r>
      <w:r>
        <w:rPr>
          <w:rFonts w:ascii="宋体" w:hAnsi="宋体" w:cs="宋体"/>
          <w:color w:val="000000"/>
        </w:rPr>
        <w:t>1.0170</w:t>
      </w:r>
      <w:r>
        <w:rPr>
          <w:rFonts w:ascii="宋体" w:hAnsi="宋体" w:cs="宋体" w:hint="eastAsia"/>
          <w:color w:val="000000"/>
        </w:rPr>
        <w:t>－</w:t>
      </w:r>
      <w:r>
        <w:rPr>
          <w:rFonts w:ascii="宋体" w:hAnsi="宋体" w:cs="宋体"/>
          <w:color w:val="000000"/>
        </w:rPr>
        <w:t>1,525.50 ＝100,174.50 元</w:t>
      </w:r>
    </w:p>
    <w:p w14:paraId="4DBB4577" w14:textId="77777777" w:rsidR="009C2D86" w:rsidRDefault="0027599D">
      <w:pPr>
        <w:snapToGrid w:val="0"/>
        <w:spacing w:line="360" w:lineRule="auto"/>
        <w:ind w:firstLineChars="200" w:firstLine="420"/>
        <w:rPr>
          <w:rFonts w:ascii="宋体" w:hAnsi="宋体"/>
          <w:color w:val="000000"/>
          <w:szCs w:val="20"/>
        </w:rPr>
      </w:pPr>
      <w:r>
        <w:rPr>
          <w:rFonts w:ascii="宋体" w:hAnsi="宋体"/>
          <w:color w:val="000000"/>
          <w:szCs w:val="20"/>
        </w:rPr>
        <w:t>例</w:t>
      </w:r>
      <w:r>
        <w:rPr>
          <w:rFonts w:ascii="宋体" w:hAnsi="宋体" w:hint="eastAsia"/>
          <w:color w:val="000000"/>
          <w:szCs w:val="20"/>
        </w:rPr>
        <w:t>：</w:t>
      </w:r>
      <w:r>
        <w:rPr>
          <w:rFonts w:ascii="宋体" w:hAnsi="宋体"/>
          <w:color w:val="000000"/>
          <w:szCs w:val="20"/>
        </w:rPr>
        <w:t>某投资</w:t>
      </w:r>
      <w:r>
        <w:rPr>
          <w:rFonts w:ascii="宋体" w:hAnsi="宋体" w:hint="eastAsia"/>
          <w:color w:val="000000"/>
          <w:szCs w:val="20"/>
        </w:rPr>
        <w:t>人申购本基金</w:t>
      </w:r>
      <w:r>
        <w:rPr>
          <w:rFonts w:ascii="宋体" w:hAnsi="宋体"/>
          <w:color w:val="000000"/>
          <w:szCs w:val="20"/>
        </w:rPr>
        <w:t>C类基金份额</w:t>
      </w:r>
      <w:r>
        <w:rPr>
          <w:rFonts w:ascii="宋体" w:hAnsi="宋体" w:hint="eastAsia"/>
          <w:color w:val="000000"/>
          <w:szCs w:val="20"/>
        </w:rPr>
        <w:t>，持有</w:t>
      </w:r>
      <w:r>
        <w:rPr>
          <w:rFonts w:ascii="宋体" w:hAnsi="宋体"/>
          <w:color w:val="000000"/>
          <w:szCs w:val="20"/>
        </w:rPr>
        <w:t>3个月赎回10万份</w:t>
      </w:r>
      <w:r>
        <w:rPr>
          <w:rFonts w:ascii="宋体" w:hAnsi="宋体" w:hint="eastAsia"/>
          <w:color w:val="000000"/>
          <w:szCs w:val="20"/>
        </w:rPr>
        <w:t>，对应</w:t>
      </w:r>
      <w:r>
        <w:rPr>
          <w:rFonts w:ascii="宋体" w:hAnsi="宋体"/>
          <w:color w:val="000000"/>
          <w:szCs w:val="20"/>
        </w:rPr>
        <w:t>赎回费率为0，假设赎回当日</w:t>
      </w:r>
      <w:r>
        <w:rPr>
          <w:rFonts w:ascii="宋体" w:hAnsi="宋体" w:hint="eastAsia"/>
          <w:color w:val="000000"/>
          <w:szCs w:val="20"/>
        </w:rPr>
        <w:t>C类</w:t>
      </w:r>
      <w:r>
        <w:rPr>
          <w:rFonts w:ascii="宋体" w:hAnsi="宋体"/>
          <w:color w:val="000000"/>
          <w:szCs w:val="20"/>
        </w:rPr>
        <w:t>基</w:t>
      </w:r>
      <w:r>
        <w:rPr>
          <w:rFonts w:ascii="宋体" w:hAnsi="宋体" w:hint="eastAsia"/>
          <w:color w:val="000000"/>
          <w:szCs w:val="20"/>
        </w:rPr>
        <w:t>金份额净值是</w:t>
      </w:r>
      <w:r>
        <w:rPr>
          <w:rFonts w:ascii="宋体" w:hAnsi="宋体"/>
          <w:color w:val="000000"/>
          <w:szCs w:val="20"/>
        </w:rPr>
        <w:t>1.0170</w:t>
      </w:r>
      <w:r>
        <w:rPr>
          <w:rFonts w:ascii="宋体" w:hAnsi="宋体" w:hint="eastAsia"/>
          <w:color w:val="000000"/>
          <w:szCs w:val="20"/>
        </w:rPr>
        <w:t>元，则其可得到的赎回金额为：</w:t>
      </w:r>
    </w:p>
    <w:p w14:paraId="2464C205" w14:textId="77777777" w:rsidR="009C2D86" w:rsidRDefault="0027599D">
      <w:pPr>
        <w:tabs>
          <w:tab w:val="left" w:pos="3375"/>
        </w:tabs>
        <w:snapToGrid w:val="0"/>
        <w:spacing w:line="360" w:lineRule="auto"/>
        <w:ind w:firstLineChars="200" w:firstLine="420"/>
        <w:rPr>
          <w:rFonts w:ascii="宋体" w:hAnsi="宋体"/>
          <w:color w:val="000000"/>
          <w:szCs w:val="20"/>
        </w:rPr>
      </w:pPr>
      <w:r>
        <w:rPr>
          <w:rFonts w:ascii="宋体" w:hAnsi="宋体" w:hint="eastAsia"/>
          <w:color w:val="000000"/>
          <w:szCs w:val="20"/>
        </w:rPr>
        <w:t>赎回费用＝</w:t>
      </w:r>
      <w:r>
        <w:rPr>
          <w:rFonts w:ascii="宋体" w:hAnsi="宋体"/>
          <w:color w:val="000000"/>
          <w:szCs w:val="20"/>
        </w:rPr>
        <w:t>0.00元</w:t>
      </w:r>
      <w:r>
        <w:rPr>
          <w:rFonts w:ascii="宋体" w:hAnsi="宋体"/>
          <w:color w:val="000000"/>
          <w:szCs w:val="20"/>
        </w:rPr>
        <w:tab/>
      </w:r>
    </w:p>
    <w:p w14:paraId="487400D9" w14:textId="77777777" w:rsidR="009C2D86" w:rsidRDefault="0027599D">
      <w:pPr>
        <w:snapToGrid w:val="0"/>
        <w:spacing w:line="360" w:lineRule="auto"/>
        <w:ind w:firstLineChars="200" w:firstLine="420"/>
        <w:rPr>
          <w:rFonts w:ascii="宋体" w:hAnsi="宋体" w:cs="宋体"/>
          <w:color w:val="000000"/>
        </w:rPr>
      </w:pPr>
      <w:r>
        <w:rPr>
          <w:rFonts w:ascii="宋体" w:hAnsi="宋体"/>
          <w:color w:val="000000"/>
          <w:szCs w:val="20"/>
        </w:rPr>
        <w:t>赎回金额=100,000</w:t>
      </w:r>
      <w:r>
        <w:rPr>
          <w:rFonts w:ascii="宋体" w:hAnsi="宋体" w:hint="eastAsia"/>
          <w:color w:val="000000"/>
          <w:szCs w:val="20"/>
        </w:rPr>
        <w:t>×</w:t>
      </w:r>
      <w:r>
        <w:rPr>
          <w:rFonts w:ascii="宋体" w:hAnsi="宋体"/>
          <w:color w:val="000000"/>
          <w:szCs w:val="20"/>
        </w:rPr>
        <w:t>1.0170</w:t>
      </w:r>
      <w:r>
        <w:rPr>
          <w:rFonts w:ascii="宋体" w:hAnsi="宋体" w:hint="eastAsia"/>
          <w:color w:val="000000"/>
          <w:szCs w:val="20"/>
        </w:rPr>
        <w:t>－</w:t>
      </w:r>
      <w:r>
        <w:rPr>
          <w:rFonts w:ascii="宋体" w:hAnsi="宋体"/>
          <w:color w:val="000000"/>
          <w:szCs w:val="20"/>
        </w:rPr>
        <w:t>0.00＝101,700.00元</w:t>
      </w:r>
    </w:p>
    <w:p w14:paraId="2551662A"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3</w:t>
      </w:r>
      <w:r>
        <w:rPr>
          <w:rFonts w:ascii="宋体" w:hAnsi="宋体" w:cs="宋体" w:hint="eastAsia"/>
          <w:color w:val="000000"/>
        </w:rPr>
        <w:t>、基金份额净值的计算</w:t>
      </w:r>
    </w:p>
    <w:p w14:paraId="3EC93139"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T</w:t>
      </w:r>
      <w:r>
        <w:rPr>
          <w:rFonts w:ascii="宋体" w:hAnsi="宋体" w:cs="宋体" w:hint="eastAsia"/>
          <w:color w:val="000000"/>
        </w:rPr>
        <w:t>日的</w:t>
      </w:r>
      <w:r>
        <w:rPr>
          <w:rFonts w:ascii="宋体" w:hAnsi="宋体" w:cs="宋体" w:hint="eastAsia"/>
          <w:bCs/>
          <w:color w:val="000000"/>
        </w:rPr>
        <w:t>各类</w:t>
      </w:r>
      <w:r>
        <w:rPr>
          <w:rFonts w:ascii="宋体" w:hAnsi="宋体" w:cs="宋体" w:hint="eastAsia"/>
          <w:color w:val="000000"/>
        </w:rPr>
        <w:t>基金份额净值在当天收市后计算，并在</w:t>
      </w:r>
      <w:r>
        <w:rPr>
          <w:rFonts w:ascii="宋体" w:hAnsi="宋体" w:cs="宋体"/>
          <w:color w:val="000000"/>
        </w:rPr>
        <w:t>T+1</w:t>
      </w:r>
      <w:r>
        <w:rPr>
          <w:rFonts w:ascii="宋体" w:hAnsi="宋体" w:cs="宋体" w:hint="eastAsia"/>
          <w:color w:val="000000"/>
        </w:rPr>
        <w:t>日内披露。遇特殊情况，经</w:t>
      </w:r>
      <w:r>
        <w:rPr>
          <w:rFonts w:ascii="宋体" w:hAnsi="宋体" w:cs="宋体"/>
          <w:color w:val="000000"/>
        </w:rPr>
        <w:t>履行适当程序</w:t>
      </w:r>
      <w:r>
        <w:rPr>
          <w:rFonts w:ascii="宋体" w:hAnsi="宋体" w:cs="宋体" w:hint="eastAsia"/>
          <w:color w:val="000000"/>
        </w:rPr>
        <w:t>，可以适当延迟计算或公告。本基金</w:t>
      </w:r>
      <w:r>
        <w:rPr>
          <w:rFonts w:ascii="宋体" w:hAnsi="宋体" w:cs="宋体" w:hint="eastAsia"/>
          <w:bCs/>
          <w:color w:val="000000"/>
        </w:rPr>
        <w:t>各类基金</w:t>
      </w:r>
      <w:r>
        <w:rPr>
          <w:rFonts w:ascii="宋体" w:hAnsi="宋体" w:cs="宋体" w:hint="eastAsia"/>
          <w:color w:val="000000"/>
        </w:rPr>
        <w:t>份额净值的计算，均保留到小数点后</w:t>
      </w:r>
      <w:r>
        <w:rPr>
          <w:rFonts w:ascii="宋体" w:hAnsi="宋体" w:cs="宋体"/>
          <w:color w:val="000000"/>
        </w:rPr>
        <w:t>4位，小数点后第5位四舍五入</w:t>
      </w:r>
      <w:r>
        <w:rPr>
          <w:rFonts w:cs="宋体" w:hint="eastAsia"/>
        </w:rPr>
        <w:t>，由此产生的收益或损失由基金财产承担</w:t>
      </w:r>
      <w:r>
        <w:rPr>
          <w:rFonts w:ascii="宋体" w:hAnsi="宋体" w:cs="宋体" w:hint="eastAsia"/>
          <w:color w:val="000000"/>
        </w:rPr>
        <w:t>。</w:t>
      </w:r>
    </w:p>
    <w:p w14:paraId="47723AFD"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4</w:t>
      </w:r>
      <w:r>
        <w:rPr>
          <w:rFonts w:ascii="宋体" w:hAnsi="宋体" w:cs="宋体" w:hint="eastAsia"/>
          <w:color w:val="000000"/>
        </w:rPr>
        <w:t>、申购份额、余额的处理方式</w:t>
      </w:r>
    </w:p>
    <w:p w14:paraId="044DC93D"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申购的有效份额为按实际确认的申购金额在扣除相应的费用后，以当日该类基金份额净值为基准计算。申购涉及基金份额、金额的计算结果均保留到小数点后2位，小数点后2位以后的部分四舍五入，由此产生的收益或损失由基金财产承担。</w:t>
      </w:r>
    </w:p>
    <w:p w14:paraId="372DEE05" w14:textId="77777777" w:rsidR="009C2D86" w:rsidRDefault="0027599D">
      <w:pPr>
        <w:snapToGrid w:val="0"/>
        <w:spacing w:line="360" w:lineRule="auto"/>
        <w:ind w:firstLineChars="200" w:firstLine="420"/>
        <w:rPr>
          <w:rFonts w:ascii="宋体" w:cs="Times New Roman"/>
          <w:color w:val="000000"/>
        </w:rPr>
      </w:pPr>
      <w:r>
        <w:rPr>
          <w:rFonts w:ascii="宋体" w:hAnsi="宋体" w:cs="宋体"/>
          <w:color w:val="000000"/>
        </w:rPr>
        <w:t>5</w:t>
      </w:r>
      <w:r>
        <w:rPr>
          <w:rFonts w:ascii="宋体" w:hAnsi="宋体" w:cs="宋体" w:hint="eastAsia"/>
          <w:color w:val="000000"/>
        </w:rPr>
        <w:t>、赎回金额的处理方式</w:t>
      </w:r>
    </w:p>
    <w:p w14:paraId="78110CE1" w14:textId="77777777" w:rsidR="009C2D86" w:rsidRDefault="0027599D">
      <w:pPr>
        <w:snapToGrid w:val="0"/>
        <w:spacing w:line="360" w:lineRule="auto"/>
        <w:ind w:firstLineChars="200" w:firstLine="420"/>
        <w:rPr>
          <w:rFonts w:ascii="宋体" w:hAnsi="宋体" w:cs="宋体"/>
          <w:color w:val="000000"/>
        </w:rPr>
      </w:pPr>
      <w:r>
        <w:rPr>
          <w:rFonts w:ascii="宋体" w:hAnsi="宋体" w:cs="宋体" w:hint="eastAsia"/>
          <w:color w:val="000000"/>
        </w:rPr>
        <w:t>赎回金额为按实际确认的有效赎回份额以当日该类基金份额净值为基准并扣除相应的费用，计算结果保留到小数点后</w:t>
      </w:r>
      <w:r>
        <w:rPr>
          <w:rFonts w:ascii="宋体" w:hAnsi="宋体" w:cs="宋体"/>
          <w:color w:val="000000"/>
        </w:rPr>
        <w:t>2</w:t>
      </w:r>
      <w:r>
        <w:rPr>
          <w:rFonts w:ascii="宋体" w:hAnsi="宋体" w:cs="宋体" w:hint="eastAsia"/>
          <w:color w:val="000000"/>
        </w:rPr>
        <w:t>位，小数点后</w:t>
      </w:r>
      <w:r>
        <w:rPr>
          <w:rFonts w:ascii="宋体" w:hAnsi="宋体" w:cs="宋体"/>
          <w:color w:val="000000"/>
        </w:rPr>
        <w:t>2</w:t>
      </w:r>
      <w:r>
        <w:rPr>
          <w:rFonts w:ascii="宋体" w:hAnsi="宋体" w:cs="宋体" w:hint="eastAsia"/>
          <w:color w:val="000000"/>
        </w:rPr>
        <w:t>位以后的部分四舍五入，由此产生的收益或损失由基金财产承担。</w:t>
      </w:r>
    </w:p>
    <w:p w14:paraId="4128167D" w14:textId="77777777" w:rsidR="009C2D86" w:rsidRDefault="0027599D">
      <w:pPr>
        <w:snapToGrid w:val="0"/>
        <w:spacing w:line="360" w:lineRule="auto"/>
        <w:ind w:firstLineChars="200" w:firstLine="420"/>
        <w:rPr>
          <w:rFonts w:ascii="宋体" w:cs="Times New Roman"/>
          <w:color w:val="000000"/>
        </w:rPr>
      </w:pPr>
      <w:r>
        <w:rPr>
          <w:rFonts w:ascii="宋体" w:cs="Times New Roman" w:hint="eastAsia"/>
          <w:color w:val="000000"/>
        </w:rPr>
        <w:t>6、当本基金发生大额申购或赎回情形时，基金管理人可以采用摆动定价机制，以确保基金估值的公平性。具体处理原则与操作规范遵循相关法律法规以及监管部门、自律规则的规定。</w:t>
      </w:r>
    </w:p>
    <w:p w14:paraId="39F391E7" w14:textId="77777777" w:rsidR="009C2D86" w:rsidRDefault="009C2D86">
      <w:pPr>
        <w:snapToGrid w:val="0"/>
        <w:spacing w:line="360" w:lineRule="auto"/>
        <w:ind w:firstLineChars="200" w:firstLine="420"/>
        <w:rPr>
          <w:rFonts w:ascii="宋体" w:cs="Times New Roman"/>
          <w:color w:val="000000"/>
        </w:rPr>
      </w:pPr>
    </w:p>
    <w:p w14:paraId="50311240"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八、申购和赎回的登记</w:t>
      </w:r>
    </w:p>
    <w:p w14:paraId="0595F819"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投资</w:t>
      </w:r>
      <w:r>
        <w:rPr>
          <w:rFonts w:ascii="宋体" w:hAnsi="宋体" w:cs="宋体" w:hint="eastAsia"/>
        </w:rPr>
        <w:t>人</w:t>
      </w:r>
      <w:r>
        <w:rPr>
          <w:rFonts w:ascii="宋体" w:hAnsi="宋体" w:cs="宋体" w:hint="eastAsia"/>
          <w:color w:val="000000"/>
        </w:rPr>
        <w:t>申购基金成功后，基金登记机构在</w:t>
      </w:r>
      <w:r>
        <w:rPr>
          <w:rFonts w:ascii="宋体" w:hAnsi="宋体" w:cs="宋体"/>
          <w:color w:val="000000"/>
        </w:rPr>
        <w:t>T+1</w:t>
      </w:r>
      <w:r>
        <w:rPr>
          <w:rFonts w:ascii="宋体" w:hAnsi="宋体" w:cs="宋体" w:hint="eastAsia"/>
          <w:color w:val="000000"/>
        </w:rPr>
        <w:t>日为投资</w:t>
      </w:r>
      <w:r>
        <w:rPr>
          <w:rFonts w:ascii="宋体" w:hAnsi="宋体" w:cs="宋体" w:hint="eastAsia"/>
        </w:rPr>
        <w:t>人</w:t>
      </w:r>
      <w:r>
        <w:rPr>
          <w:rFonts w:ascii="宋体" w:hAnsi="宋体" w:cs="宋体" w:hint="eastAsia"/>
          <w:color w:val="000000"/>
        </w:rPr>
        <w:t>登记权益并办理登记手续，投资</w:t>
      </w:r>
      <w:r>
        <w:rPr>
          <w:rFonts w:ascii="宋体" w:hAnsi="宋体" w:cs="宋体" w:hint="eastAsia"/>
        </w:rPr>
        <w:t>人</w:t>
      </w:r>
      <w:r>
        <w:rPr>
          <w:rFonts w:ascii="宋体" w:hAnsi="宋体" w:cs="宋体" w:hint="eastAsia"/>
          <w:color w:val="000000"/>
        </w:rPr>
        <w:t>自</w:t>
      </w:r>
      <w:r>
        <w:rPr>
          <w:rFonts w:ascii="宋体" w:hAnsi="宋体" w:cs="宋体"/>
          <w:color w:val="000000"/>
        </w:rPr>
        <w:t>T+2</w:t>
      </w:r>
      <w:r>
        <w:rPr>
          <w:rFonts w:ascii="宋体" w:hAnsi="宋体" w:cs="宋体" w:hint="eastAsia"/>
          <w:color w:val="000000"/>
        </w:rPr>
        <w:t>日（含该日）后有权赎回该部分基金份额。</w:t>
      </w:r>
    </w:p>
    <w:p w14:paraId="655B7833"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投资</w:t>
      </w:r>
      <w:r>
        <w:rPr>
          <w:rFonts w:ascii="宋体" w:hAnsi="宋体" w:cs="宋体" w:hint="eastAsia"/>
        </w:rPr>
        <w:t>人</w:t>
      </w:r>
      <w:r>
        <w:rPr>
          <w:rFonts w:ascii="宋体" w:hAnsi="宋体" w:cs="宋体" w:hint="eastAsia"/>
          <w:color w:val="000000"/>
        </w:rPr>
        <w:t>赎回基金成功后，基金登记机构在</w:t>
      </w:r>
      <w:r>
        <w:rPr>
          <w:rFonts w:ascii="宋体" w:hAnsi="宋体" w:cs="宋体"/>
          <w:color w:val="000000"/>
        </w:rPr>
        <w:t>T+1</w:t>
      </w:r>
      <w:r>
        <w:rPr>
          <w:rFonts w:ascii="宋体" w:hAnsi="宋体" w:cs="宋体" w:hint="eastAsia"/>
          <w:color w:val="000000"/>
        </w:rPr>
        <w:t>日为投资</w:t>
      </w:r>
      <w:r>
        <w:rPr>
          <w:rFonts w:ascii="宋体" w:hAnsi="宋体" w:cs="宋体" w:hint="eastAsia"/>
        </w:rPr>
        <w:t>人</w:t>
      </w:r>
      <w:r>
        <w:rPr>
          <w:rFonts w:ascii="宋体" w:hAnsi="宋体" w:cs="宋体" w:hint="eastAsia"/>
          <w:color w:val="000000"/>
        </w:rPr>
        <w:t>办理扣除权益的登记手续。</w:t>
      </w:r>
    </w:p>
    <w:p w14:paraId="011F214F"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基金管理人可以在法律法规允许的范围内，对上述登记办理时间进行调整，但不得实质影响投资</w:t>
      </w:r>
      <w:r>
        <w:rPr>
          <w:rFonts w:ascii="宋体" w:hAnsi="宋体" w:cs="宋体" w:hint="eastAsia"/>
        </w:rPr>
        <w:t>人</w:t>
      </w:r>
      <w:r>
        <w:rPr>
          <w:rFonts w:ascii="宋体" w:hAnsi="宋体" w:cs="宋体" w:hint="eastAsia"/>
          <w:color w:val="000000"/>
        </w:rPr>
        <w:t>的合法权益，并最迟于实施前</w:t>
      </w:r>
      <w:r>
        <w:rPr>
          <w:rFonts w:ascii="宋体" w:hAnsi="宋体" w:cs="宋体" w:hint="eastAsia"/>
        </w:rPr>
        <w:t>依照《信息披露办法》的有关规定</w:t>
      </w:r>
      <w:r>
        <w:rPr>
          <w:rFonts w:ascii="宋体" w:hAnsi="宋体" w:cs="宋体" w:hint="eastAsia"/>
          <w:color w:val="000000"/>
        </w:rPr>
        <w:t>在规定媒介公告。</w:t>
      </w:r>
    </w:p>
    <w:p w14:paraId="224D92F1" w14:textId="77777777" w:rsidR="009C2D86" w:rsidRDefault="009C2D86">
      <w:pPr>
        <w:autoSpaceDE w:val="0"/>
        <w:autoSpaceDN w:val="0"/>
        <w:adjustRightInd w:val="0"/>
        <w:snapToGrid w:val="0"/>
        <w:spacing w:line="360" w:lineRule="auto"/>
        <w:ind w:firstLineChars="200" w:firstLine="420"/>
        <w:rPr>
          <w:rFonts w:ascii="宋体" w:cs="Times New Roman"/>
          <w:color w:val="000000"/>
          <w:kern w:val="0"/>
        </w:rPr>
      </w:pPr>
    </w:p>
    <w:p w14:paraId="150AE6B8"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九、拒绝或暂停申购的情形及处理方式</w:t>
      </w:r>
    </w:p>
    <w:p w14:paraId="5E41E48A"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bCs/>
        </w:rPr>
        <w:t>发生下列情况时，基金管理人可拒绝或暂停接受投资人的申购申请：</w:t>
      </w:r>
    </w:p>
    <w:p w14:paraId="20E97377"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1、因不可抗力导致基金无法正常运作。</w:t>
      </w:r>
    </w:p>
    <w:p w14:paraId="36FF58A0"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2、发生基金合同规定的暂停基金资产估值情况时，基金管理人可暂停接受投资人的申购申请。</w:t>
      </w:r>
    </w:p>
    <w:p w14:paraId="7CF7B508"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3、证券/期货交易所交易时间非正常停市，导致基金管理人无法计算当日基金资产净值或者无法办理申购业务。</w:t>
      </w:r>
    </w:p>
    <w:p w14:paraId="45E8FBFA"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4、接受某笔或某些申购申请可能会影响或损害现有基金份额持有人利益时。</w:t>
      </w:r>
    </w:p>
    <w:p w14:paraId="16177A44"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5、基金资产规模过大，使基金管理人无法找到合适的投资品种，或其他可能对基金业绩产生负面影响，或发生其他损害现有基金份额持有人利益的情形。</w:t>
      </w:r>
    </w:p>
    <w:p w14:paraId="1DBA5161"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6、当前一估值日基金资产净值50%以上的资产出现无可参考的活跃市场价格且采用估值技术仍导致公允价值存在重大不确定性时，经与基金托管人协商确认后，基金管理人应当暂停接受基金申购申请。</w:t>
      </w:r>
    </w:p>
    <w:p w14:paraId="0FD0C571"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7、目标ETF暂停基金资产估值，导致基金管理人无法计算当日基金资产净值。</w:t>
      </w:r>
    </w:p>
    <w:p w14:paraId="5733334D"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bCs/>
        </w:rPr>
        <w:t>8</w:t>
      </w:r>
      <w:r>
        <w:rPr>
          <w:rFonts w:ascii="宋体" w:hAnsi="宋体" w:cs="Times New Roman" w:hint="eastAsia"/>
          <w:bCs/>
        </w:rPr>
        <w:t>、目标ETF暂停申购、暂停上市或二级市场交易停牌、达到或接近申购上限，基金管理人认为有必要暂停本基金申购的情形。</w:t>
      </w:r>
    </w:p>
    <w:p w14:paraId="6243F41A"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9、基金管理人、基金托管人、基金销售机构或登记机构因技术故障或异常情况导致基金销售系统、基金登记系统、基金会计系统或证券登记结算系统无法正常运行。</w:t>
      </w:r>
    </w:p>
    <w:p w14:paraId="63F86F32"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bCs/>
        </w:rPr>
        <w:t>10</w:t>
      </w:r>
      <w:r>
        <w:rPr>
          <w:rFonts w:ascii="宋体" w:hAnsi="宋体" w:cs="Times New Roman" w:hint="eastAsia"/>
          <w:bCs/>
        </w:rPr>
        <w:t>、当一笔新的申购申请被确认成功，使本基金总规模超过基金管理人规定的总规模上限时；或使本基金当日申购金额超过基金管理人规定的当日申购金额/净申购比例上限时；或该投资者累计持有的份额超过单个投资者累计持有的份额上限时；或该投资者当日/单笔申购金额超过单个投资者单日或单笔申购金额上限时。</w:t>
      </w:r>
    </w:p>
    <w:p w14:paraId="4CCEC4A1"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bCs/>
        </w:rPr>
        <w:t>11</w:t>
      </w:r>
      <w:r>
        <w:rPr>
          <w:rFonts w:ascii="宋体" w:hAnsi="宋体" w:cs="Times New Roman" w:hint="eastAsia"/>
          <w:bCs/>
        </w:rPr>
        <w:t>、法律法规规定或中国证监会认定的其他情形。</w:t>
      </w:r>
    </w:p>
    <w:p w14:paraId="335A2ACF"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发生上述第1、2、3、5、6、7、8、9、1</w:t>
      </w:r>
      <w:r>
        <w:rPr>
          <w:rFonts w:ascii="宋体" w:hAnsi="宋体" w:cs="Times New Roman"/>
          <w:bCs/>
        </w:rPr>
        <w:t>1</w:t>
      </w:r>
      <w:r>
        <w:rPr>
          <w:rFonts w:ascii="宋体" w:hAnsi="宋体" w:cs="Times New Roman" w:hint="eastAsia"/>
          <w:bCs/>
        </w:rPr>
        <w:t>项暂停申购情形之一且基金管理人决定暂停接受投资人申购申请时，基金管理人应当根据有关规定在规定媒介上刊登暂停申购公告。发生上述第</w:t>
      </w:r>
      <w:r>
        <w:rPr>
          <w:rFonts w:ascii="宋体" w:hAnsi="宋体" w:cs="Times New Roman"/>
          <w:bCs/>
        </w:rPr>
        <w:t>10</w:t>
      </w:r>
      <w:r>
        <w:rPr>
          <w:rFonts w:ascii="宋体" w:hAnsi="宋体" w:cs="Times New Roman" w:hint="eastAsia"/>
          <w:bCs/>
        </w:rPr>
        <w:t>项情形时，基金管理人可以采取比例确认等方式对该投资人的申购申请进行限制，基金管理人有权拒绝该等全部或者部分申购申请。如果投资人的申购申请被全部或部分拒绝，被拒绝的申购款项将退还给投资人。在暂停申购的情况消除时，基金管理人应及时恢复申购业务的办理。</w:t>
      </w:r>
    </w:p>
    <w:p w14:paraId="25290445" w14:textId="77777777" w:rsidR="009C2D86" w:rsidRDefault="009C2D86">
      <w:pPr>
        <w:snapToGrid w:val="0"/>
        <w:spacing w:line="360" w:lineRule="auto"/>
        <w:ind w:firstLineChars="200" w:firstLine="420"/>
        <w:rPr>
          <w:rFonts w:cs="Times New Roman"/>
        </w:rPr>
      </w:pPr>
      <w:bookmarkStart w:id="91" w:name="_Hlt70481650"/>
      <w:bookmarkEnd w:id="91"/>
    </w:p>
    <w:p w14:paraId="31957FF8" w14:textId="77777777" w:rsidR="009C2D86" w:rsidRDefault="0027599D">
      <w:pPr>
        <w:snapToGrid w:val="0"/>
        <w:spacing w:line="360" w:lineRule="auto"/>
        <w:ind w:firstLineChars="200" w:firstLine="420"/>
        <w:rPr>
          <w:rFonts w:cs="Times New Roman"/>
          <w:bCs/>
        </w:rPr>
      </w:pPr>
      <w:r>
        <w:rPr>
          <w:rFonts w:cs="宋体" w:hint="eastAsia"/>
          <w:bCs/>
        </w:rPr>
        <w:t>十、暂停赎回或延缓支付赎回款项的情形</w:t>
      </w:r>
    </w:p>
    <w:p w14:paraId="4F5B09B6"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bCs/>
        </w:rPr>
        <w:t>发生下列情形时，基金管理人可暂停接受投资人的赎回申请或延缓支付赎回款项：</w:t>
      </w:r>
    </w:p>
    <w:p w14:paraId="729062EE"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1、因不可抗力导致基金管理人不能支付赎回款项。</w:t>
      </w:r>
    </w:p>
    <w:p w14:paraId="2830402B"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2、发生基金合同规定的暂停基金资产估值情况时，基金管理人可暂停接受投资人的赎回申请或延缓支付赎回款项。</w:t>
      </w:r>
    </w:p>
    <w:p w14:paraId="5E1A8743"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3、证券/期货交易所交易时间非正常停市，导致基金管理人无法计算当日基金资产净值或者无法办理赎回业务。</w:t>
      </w:r>
    </w:p>
    <w:p w14:paraId="3AC406C8"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4、连续两个或两个以上开放日发生巨额赎回。</w:t>
      </w:r>
    </w:p>
    <w:p w14:paraId="0D4500A6"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5、发生继续接受赎回申请将损害现有基金份额持有人利益的情形时，基金管理人可暂停接受基金份额持有人的赎回申请。</w:t>
      </w:r>
    </w:p>
    <w:p w14:paraId="2B36998D"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68AD875E"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7、目标ETF暂停基金资产估值，导致基金管理人无法计算当日基金资产净值。</w:t>
      </w:r>
    </w:p>
    <w:p w14:paraId="642F167C"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8、目标ETF暂停赎回、暂停上市或二级市场交易停牌或延缓支付赎回对价，基金管理人认为有必要暂停本基金赎回的情形。</w:t>
      </w:r>
    </w:p>
    <w:p w14:paraId="7D7E7E1E"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9、法律法规规定或中国证监会认定的其他情形。</w:t>
      </w:r>
    </w:p>
    <w:p w14:paraId="78B93463" w14:textId="77777777" w:rsidR="009C2D86" w:rsidRDefault="0027599D">
      <w:pPr>
        <w:adjustRightInd w:val="0"/>
        <w:snapToGrid w:val="0"/>
        <w:spacing w:line="360" w:lineRule="auto"/>
        <w:ind w:firstLineChars="200" w:firstLine="420"/>
        <w:rPr>
          <w:rFonts w:ascii="宋体" w:hAnsi="宋体" w:cs="Times New Roman"/>
          <w:bCs/>
        </w:rPr>
      </w:pPr>
      <w:r>
        <w:rPr>
          <w:rFonts w:ascii="宋体" w:hAnsi="宋体" w:cs="Times New Roman" w:hint="eastAsia"/>
          <w:bCs/>
        </w:rPr>
        <w:t>发生上述情形之一且基金管理人决定暂停接受基金份额持有人的赎回申请或延缓支付赎回款项时，基金管理人应当根据有关规定在规定媒介上刊登暂停赎回公告。已确认的赎回申请，基金管理人应足额支付；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14:paraId="741BC4F4" w14:textId="77777777" w:rsidR="009C2D86" w:rsidRDefault="009C2D86">
      <w:pPr>
        <w:snapToGrid w:val="0"/>
        <w:spacing w:line="360" w:lineRule="auto"/>
        <w:rPr>
          <w:rFonts w:ascii="宋体" w:cs="Times New Roman"/>
          <w:color w:val="000000"/>
        </w:rPr>
      </w:pPr>
    </w:p>
    <w:p w14:paraId="685FC2BE" w14:textId="77777777" w:rsidR="009C2D86" w:rsidRDefault="0027599D">
      <w:pPr>
        <w:pStyle w:val="a9"/>
        <w:snapToGrid w:val="0"/>
        <w:ind w:firstLineChars="196" w:firstLine="412"/>
        <w:rPr>
          <w:rFonts w:ascii="宋体"/>
          <w:bCs/>
          <w:color w:val="000000"/>
          <w:sz w:val="21"/>
          <w:szCs w:val="21"/>
        </w:rPr>
      </w:pPr>
      <w:r>
        <w:rPr>
          <w:rFonts w:ascii="宋体" w:hAnsi="宋体" w:cs="宋体" w:hint="eastAsia"/>
          <w:bCs/>
          <w:color w:val="000000"/>
          <w:sz w:val="21"/>
          <w:szCs w:val="21"/>
        </w:rPr>
        <w:t>十一、巨额赎回的情形及处理方式</w:t>
      </w:r>
    </w:p>
    <w:p w14:paraId="3CBEE7D6"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1</w:t>
      </w:r>
      <w:r>
        <w:rPr>
          <w:rFonts w:ascii="Calibri" w:hAnsi="Calibri" w:cs="Calibri" w:hint="eastAsia"/>
          <w:sz w:val="21"/>
          <w:szCs w:val="21"/>
        </w:rPr>
        <w:t>、巨额赎回的认定</w:t>
      </w:r>
    </w:p>
    <w:p w14:paraId="02D0DD67"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若本基金单个开放日内的基金份额净赎回申请</w:t>
      </w:r>
      <w:r>
        <w:rPr>
          <w:rFonts w:ascii="Calibri" w:hAnsi="Calibri" w:cs="Calibri" w:hint="eastAsia"/>
          <w:sz w:val="21"/>
          <w:szCs w:val="21"/>
        </w:rPr>
        <w:t>(</w:t>
      </w:r>
      <w:r>
        <w:rPr>
          <w:rFonts w:ascii="Calibri" w:hAnsi="Calibri" w:cs="Calibri" w:hint="eastAsia"/>
          <w:sz w:val="21"/>
          <w:szCs w:val="21"/>
        </w:rPr>
        <w:t>赎回申请份额总数加上基金转换中转出申请份额总数后扣除申购申请份额总数及基金转换中转入申请份额总数后的余额</w:t>
      </w:r>
      <w:r>
        <w:rPr>
          <w:rFonts w:ascii="Calibri" w:hAnsi="Calibri" w:cs="Calibri" w:hint="eastAsia"/>
          <w:sz w:val="21"/>
          <w:szCs w:val="21"/>
        </w:rPr>
        <w:t>)</w:t>
      </w:r>
      <w:r>
        <w:rPr>
          <w:rFonts w:ascii="Calibri" w:hAnsi="Calibri" w:cs="Calibri" w:hint="eastAsia"/>
          <w:sz w:val="21"/>
          <w:szCs w:val="21"/>
        </w:rPr>
        <w:t>超过前一开放日的基金总份额的</w:t>
      </w:r>
      <w:r>
        <w:rPr>
          <w:rFonts w:ascii="Calibri" w:hAnsi="Calibri" w:cs="Calibri" w:hint="eastAsia"/>
          <w:sz w:val="21"/>
          <w:szCs w:val="21"/>
        </w:rPr>
        <w:t>10%</w:t>
      </w:r>
      <w:r>
        <w:rPr>
          <w:rFonts w:ascii="Calibri" w:hAnsi="Calibri" w:cs="Calibri" w:hint="eastAsia"/>
          <w:sz w:val="21"/>
          <w:szCs w:val="21"/>
        </w:rPr>
        <w:t>，即认为是发生了巨额赎回。</w:t>
      </w:r>
    </w:p>
    <w:p w14:paraId="21CA7809" w14:textId="77777777" w:rsidR="009C2D86" w:rsidRDefault="0027599D">
      <w:pPr>
        <w:pStyle w:val="a9"/>
        <w:snapToGrid w:val="0"/>
        <w:ind w:firstLineChars="196" w:firstLine="412"/>
        <w:rPr>
          <w:rFonts w:ascii="Calibri" w:hAnsi="Calibri" w:cs="Calibri"/>
          <w:sz w:val="21"/>
          <w:szCs w:val="21"/>
        </w:rPr>
      </w:pPr>
      <w:bookmarkStart w:id="92" w:name="_Hlk34143402"/>
      <w:r>
        <w:rPr>
          <w:rFonts w:ascii="Calibri" w:hAnsi="Calibri" w:cs="Calibri" w:hint="eastAsia"/>
          <w:sz w:val="21"/>
          <w:szCs w:val="21"/>
        </w:rPr>
        <w:t>2</w:t>
      </w:r>
      <w:r>
        <w:rPr>
          <w:rFonts w:ascii="Calibri" w:hAnsi="Calibri" w:cs="Calibri" w:hint="eastAsia"/>
          <w:sz w:val="21"/>
          <w:szCs w:val="21"/>
        </w:rPr>
        <w:t>、巨额赎回的处理方式</w:t>
      </w:r>
    </w:p>
    <w:p w14:paraId="6F6BACEA"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当基金出现巨额赎回时，基金管理人可以根据基金当时的资产组合状况决定全额赎回或部分延期赎回。</w:t>
      </w:r>
    </w:p>
    <w:p w14:paraId="10D56DF8"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1</w:t>
      </w:r>
      <w:r>
        <w:rPr>
          <w:rFonts w:ascii="Calibri" w:hAnsi="Calibri" w:cs="Calibri" w:hint="eastAsia"/>
          <w:sz w:val="21"/>
          <w:szCs w:val="21"/>
        </w:rPr>
        <w:t>）全额赎回：当基金管理人认为有能力支付投资人的全部赎回申请时，按正常赎回程序执行。</w:t>
      </w:r>
    </w:p>
    <w:p w14:paraId="66E8785E"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2</w:t>
      </w:r>
      <w:r>
        <w:rPr>
          <w:rFonts w:ascii="Calibri" w:hAnsi="Calibri" w:cs="Calibri" w:hint="eastAsia"/>
          <w:sz w:val="21"/>
          <w:szCs w:val="21"/>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rFonts w:ascii="Calibri" w:hAnsi="Calibri" w:cs="Calibri" w:hint="eastAsia"/>
          <w:sz w:val="21"/>
          <w:szCs w:val="21"/>
        </w:rPr>
        <w:t>10%</w:t>
      </w:r>
      <w:r>
        <w:rPr>
          <w:rFonts w:ascii="Calibri" w:hAnsi="Calibri" w:cs="Calibri" w:hint="eastAsia"/>
          <w:sz w:val="21"/>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Pr>
          <w:rFonts w:ascii="Calibri" w:hAnsi="Calibri" w:cs="Calibri" w:hint="eastAsia"/>
          <w:bCs/>
          <w:sz w:val="21"/>
          <w:szCs w:val="21"/>
        </w:rPr>
        <w:t>该类</w:t>
      </w:r>
      <w:r>
        <w:rPr>
          <w:rFonts w:ascii="Calibri" w:hAnsi="Calibri" w:cs="Calibri" w:hint="eastAsia"/>
          <w:sz w:val="21"/>
          <w:szCs w:val="21"/>
        </w:rPr>
        <w:t>基金份额净值为基础计算赎回金额，以此类推，直到全部赎回为止。如投资人在提交赎回申请时未作明确选择，投资人未能赎回部分作自动延期赎回处理。</w:t>
      </w:r>
    </w:p>
    <w:p w14:paraId="7F5E8D9B"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3</w:t>
      </w:r>
      <w:r>
        <w:rPr>
          <w:rFonts w:ascii="Calibri" w:hAnsi="Calibri" w:cs="Calibri" w:hint="eastAsia"/>
          <w:sz w:val="21"/>
          <w:szCs w:val="21"/>
        </w:rPr>
        <w:t>）如发生单个开放日内单个基金份额持有人申请赎回的基金份额超过前一开放日的基金总份额的</w:t>
      </w:r>
      <w:r>
        <w:rPr>
          <w:rFonts w:ascii="Calibri" w:hAnsi="Calibri" w:cs="Calibri" w:hint="eastAsia"/>
          <w:sz w:val="21"/>
          <w:szCs w:val="21"/>
        </w:rPr>
        <w:t>30%</w:t>
      </w:r>
      <w:r>
        <w:rPr>
          <w:rFonts w:ascii="Calibri" w:hAnsi="Calibri" w:cs="Calibri" w:hint="eastAsia"/>
          <w:sz w:val="21"/>
          <w:szCs w:val="21"/>
        </w:rPr>
        <w:t>时，本基金管理人可以对该单个基金份额持有人持有的赎回申请实施延期办理。如基金管理人对于其超过基金总份额</w:t>
      </w:r>
      <w:r>
        <w:rPr>
          <w:rFonts w:ascii="Calibri" w:hAnsi="Calibri" w:cs="Calibri" w:hint="eastAsia"/>
          <w:sz w:val="21"/>
          <w:szCs w:val="21"/>
        </w:rPr>
        <w:t>30%</w:t>
      </w:r>
      <w:r>
        <w:rPr>
          <w:rFonts w:ascii="Calibri" w:hAnsi="Calibri" w:cs="Calibri" w:hint="eastAsia"/>
          <w:sz w:val="21"/>
          <w:szCs w:val="21"/>
        </w:rPr>
        <w:t>以上部分的赎回申请实施延期办理，延期的赎回申请与下一开放日赎回申请一并处理，无优先权并以下一开放日的</w:t>
      </w:r>
      <w:r>
        <w:rPr>
          <w:rFonts w:ascii="Calibri" w:hAnsi="Calibri" w:cs="Calibri" w:hint="eastAsia"/>
          <w:bCs/>
          <w:sz w:val="21"/>
          <w:szCs w:val="21"/>
        </w:rPr>
        <w:t>该类</w:t>
      </w:r>
      <w:r>
        <w:rPr>
          <w:rFonts w:ascii="Calibri" w:hAnsi="Calibri" w:cs="Calibri" w:hint="eastAsia"/>
          <w:sz w:val="21"/>
          <w:szCs w:val="21"/>
        </w:rPr>
        <w:t>基金份额净值为基础计算赎回金额，以此类推，直到全部赎回为止；如基金管理人只接受其基金总份额</w:t>
      </w:r>
      <w:r>
        <w:rPr>
          <w:rFonts w:ascii="Calibri" w:hAnsi="Calibri" w:cs="Calibri" w:hint="eastAsia"/>
          <w:sz w:val="21"/>
          <w:szCs w:val="21"/>
        </w:rPr>
        <w:t>30%</w:t>
      </w:r>
      <w:r>
        <w:rPr>
          <w:rFonts w:ascii="Calibri" w:hAnsi="Calibri" w:cs="Calibri" w:hint="eastAsia"/>
          <w:sz w:val="21"/>
          <w:szCs w:val="21"/>
        </w:rPr>
        <w:t>部分作为当日有效赎回申请，基金管理人可以根据前述“（</w:t>
      </w:r>
      <w:r>
        <w:rPr>
          <w:rFonts w:ascii="Calibri" w:hAnsi="Calibri" w:cs="Calibri" w:hint="eastAsia"/>
          <w:sz w:val="21"/>
          <w:szCs w:val="21"/>
        </w:rPr>
        <w:t>1</w:t>
      </w:r>
      <w:r>
        <w:rPr>
          <w:rFonts w:ascii="Calibri" w:hAnsi="Calibri" w:cs="Calibri" w:hint="eastAsia"/>
          <w:sz w:val="21"/>
          <w:szCs w:val="21"/>
        </w:rPr>
        <w:t>）全额赎回”或“（</w:t>
      </w:r>
      <w:r>
        <w:rPr>
          <w:rFonts w:ascii="Calibri" w:hAnsi="Calibri" w:cs="Calibri" w:hint="eastAsia"/>
          <w:sz w:val="21"/>
          <w:szCs w:val="21"/>
        </w:rPr>
        <w:t>2</w:t>
      </w:r>
      <w:r>
        <w:rPr>
          <w:rFonts w:ascii="Calibri" w:hAnsi="Calibri" w:cs="Calibri" w:hint="eastAsia"/>
          <w:sz w:val="21"/>
          <w:szCs w:val="21"/>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696B5CE1"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w:t>
      </w:r>
      <w:r>
        <w:rPr>
          <w:rFonts w:ascii="Calibri" w:hAnsi="Calibri" w:cs="Calibri" w:hint="eastAsia"/>
          <w:sz w:val="21"/>
          <w:szCs w:val="21"/>
        </w:rPr>
        <w:t>4</w:t>
      </w:r>
      <w:r>
        <w:rPr>
          <w:rFonts w:ascii="Calibri" w:hAnsi="Calibri" w:cs="Calibri" w:hint="eastAsia"/>
          <w:sz w:val="21"/>
          <w:szCs w:val="21"/>
        </w:rPr>
        <w:t>）暂停赎回：连续</w:t>
      </w:r>
      <w:r>
        <w:rPr>
          <w:rFonts w:ascii="Calibri" w:hAnsi="Calibri" w:cs="Calibri" w:hint="eastAsia"/>
          <w:sz w:val="21"/>
          <w:szCs w:val="21"/>
        </w:rPr>
        <w:t>2</w:t>
      </w:r>
      <w:r>
        <w:rPr>
          <w:rFonts w:ascii="Calibri" w:hAnsi="Calibri" w:cs="Calibri" w:hint="eastAsia"/>
          <w:sz w:val="21"/>
          <w:szCs w:val="21"/>
        </w:rPr>
        <w:t>个开放日以上</w:t>
      </w:r>
      <w:r>
        <w:rPr>
          <w:rFonts w:ascii="Calibri" w:hAnsi="Calibri" w:cs="Calibri" w:hint="eastAsia"/>
          <w:sz w:val="21"/>
          <w:szCs w:val="21"/>
        </w:rPr>
        <w:t>(</w:t>
      </w:r>
      <w:r>
        <w:rPr>
          <w:rFonts w:ascii="Calibri" w:hAnsi="Calibri" w:cs="Calibri" w:hint="eastAsia"/>
          <w:sz w:val="21"/>
          <w:szCs w:val="21"/>
        </w:rPr>
        <w:t>含本数</w:t>
      </w:r>
      <w:r>
        <w:rPr>
          <w:rFonts w:ascii="Calibri" w:hAnsi="Calibri" w:cs="Calibri" w:hint="eastAsia"/>
          <w:sz w:val="21"/>
          <w:szCs w:val="21"/>
        </w:rPr>
        <w:t>)</w:t>
      </w:r>
      <w:r>
        <w:rPr>
          <w:rFonts w:ascii="Calibri" w:hAnsi="Calibri" w:cs="Calibri" w:hint="eastAsia"/>
          <w:sz w:val="21"/>
          <w:szCs w:val="21"/>
        </w:rPr>
        <w:t>发生巨额赎回，如基金管理人认为有必要，可暂停接受基金的赎回申请；已经接受的赎回申请可以延缓支付赎回款项，但不得超过</w:t>
      </w:r>
      <w:r>
        <w:rPr>
          <w:rFonts w:ascii="Calibri" w:hAnsi="Calibri" w:cs="Calibri" w:hint="eastAsia"/>
          <w:sz w:val="21"/>
          <w:szCs w:val="21"/>
        </w:rPr>
        <w:t>20</w:t>
      </w:r>
      <w:r>
        <w:rPr>
          <w:rFonts w:ascii="Calibri" w:hAnsi="Calibri" w:cs="Calibri" w:hint="eastAsia"/>
          <w:sz w:val="21"/>
          <w:szCs w:val="21"/>
        </w:rPr>
        <w:t>个工作日，并应当在规定媒介上进行公告。</w:t>
      </w:r>
      <w:bookmarkEnd w:id="92"/>
    </w:p>
    <w:p w14:paraId="56D72164" w14:textId="77777777" w:rsidR="009C2D86" w:rsidRDefault="0027599D">
      <w:pPr>
        <w:pStyle w:val="a9"/>
        <w:snapToGrid w:val="0"/>
        <w:ind w:firstLineChars="196" w:firstLine="412"/>
        <w:rPr>
          <w:rFonts w:ascii="Calibri" w:hAnsi="Calibri" w:cs="Calibri"/>
          <w:sz w:val="21"/>
          <w:szCs w:val="21"/>
        </w:rPr>
      </w:pPr>
      <w:r>
        <w:rPr>
          <w:rFonts w:ascii="Calibri" w:hAnsi="Calibri" w:cs="Calibri" w:hint="eastAsia"/>
          <w:sz w:val="21"/>
          <w:szCs w:val="21"/>
        </w:rPr>
        <w:t>3</w:t>
      </w:r>
      <w:r>
        <w:rPr>
          <w:rFonts w:ascii="Calibri" w:hAnsi="Calibri" w:cs="Calibri" w:hint="eastAsia"/>
          <w:sz w:val="21"/>
          <w:szCs w:val="21"/>
        </w:rPr>
        <w:t>、巨额赎回的公告</w:t>
      </w:r>
    </w:p>
    <w:p w14:paraId="1628EA9F" w14:textId="77777777" w:rsidR="009C2D86" w:rsidRDefault="0027599D">
      <w:pPr>
        <w:snapToGrid w:val="0"/>
        <w:spacing w:line="360" w:lineRule="auto"/>
        <w:ind w:firstLineChars="200" w:firstLine="420"/>
        <w:rPr>
          <w:rFonts w:cs="Times New Roman"/>
        </w:rPr>
      </w:pPr>
      <w:r>
        <w:rPr>
          <w:rFonts w:hint="eastAsia"/>
        </w:rPr>
        <w:t>当发生上述巨额赎回并延期办理时，基金管理人应当通过邮寄、传真或者其他方式（包括但不限于短信、公告、电子邮件或由基金销售机构通知等方式）在</w:t>
      </w:r>
      <w:r>
        <w:rPr>
          <w:rFonts w:hint="eastAsia"/>
        </w:rPr>
        <w:t>3</w:t>
      </w:r>
      <w:r>
        <w:rPr>
          <w:rFonts w:hint="eastAsia"/>
        </w:rPr>
        <w:t>个交易日内通知基金份额持有人，说明有关处理方法，并在两日内在规定媒介上刊登公告。</w:t>
      </w:r>
    </w:p>
    <w:p w14:paraId="3ABDA1D1" w14:textId="77777777" w:rsidR="009C2D86" w:rsidRDefault="009C2D86">
      <w:pPr>
        <w:snapToGrid w:val="0"/>
        <w:spacing w:line="360" w:lineRule="auto"/>
        <w:ind w:firstLineChars="200" w:firstLine="420"/>
        <w:rPr>
          <w:rFonts w:cs="Times New Roman"/>
        </w:rPr>
      </w:pPr>
    </w:p>
    <w:p w14:paraId="17F5906A" w14:textId="77777777" w:rsidR="009C2D86" w:rsidRDefault="0027599D">
      <w:pPr>
        <w:snapToGrid w:val="0"/>
        <w:spacing w:line="360" w:lineRule="auto"/>
        <w:ind w:firstLineChars="200" w:firstLine="420"/>
        <w:rPr>
          <w:rFonts w:cs="Times New Roman"/>
          <w:bCs/>
        </w:rPr>
      </w:pPr>
      <w:r>
        <w:rPr>
          <w:rFonts w:cs="宋体" w:hint="eastAsia"/>
          <w:bCs/>
        </w:rPr>
        <w:t>十二、暂停申购或赎回的公告和重新开放申购或赎回的公告</w:t>
      </w:r>
    </w:p>
    <w:p w14:paraId="42B202E8" w14:textId="77777777" w:rsidR="009C2D86" w:rsidRDefault="0027599D">
      <w:pPr>
        <w:snapToGrid w:val="0"/>
        <w:spacing w:line="360" w:lineRule="auto"/>
        <w:ind w:firstLineChars="200" w:firstLine="420"/>
      </w:pPr>
      <w:r>
        <w:rPr>
          <w:rFonts w:hint="eastAsia"/>
        </w:rPr>
        <w:t>1</w:t>
      </w:r>
      <w:r>
        <w:rPr>
          <w:rFonts w:hint="eastAsia"/>
        </w:rPr>
        <w:t>、发生上述暂停申购或赎回情况的，基金管理人应在规定期限内在规定媒介上刊登暂停公告。</w:t>
      </w:r>
    </w:p>
    <w:p w14:paraId="4226544D" w14:textId="77777777" w:rsidR="009C2D86" w:rsidRDefault="0027599D">
      <w:pPr>
        <w:snapToGrid w:val="0"/>
        <w:spacing w:line="360" w:lineRule="auto"/>
        <w:ind w:firstLineChars="200" w:firstLine="420"/>
        <w:rPr>
          <w:rFonts w:ascii="宋体" w:cs="Times New Roman"/>
        </w:rPr>
      </w:pPr>
      <w:r>
        <w:rPr>
          <w:rFonts w:hint="eastAsia"/>
        </w:rPr>
        <w:t>2</w:t>
      </w:r>
      <w:r>
        <w:rPr>
          <w:rFonts w:hint="eastAsia"/>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537CD587" w14:textId="77777777" w:rsidR="009C2D86" w:rsidRDefault="009C2D86">
      <w:pPr>
        <w:snapToGrid w:val="0"/>
        <w:spacing w:line="360" w:lineRule="auto"/>
        <w:ind w:firstLineChars="200" w:firstLine="420"/>
        <w:rPr>
          <w:rFonts w:ascii="宋体" w:cs="Times New Roman"/>
        </w:rPr>
      </w:pPr>
    </w:p>
    <w:p w14:paraId="771887C9" w14:textId="77777777" w:rsidR="009C2D86" w:rsidRDefault="0027599D">
      <w:pPr>
        <w:snapToGrid w:val="0"/>
        <w:spacing w:line="360" w:lineRule="auto"/>
        <w:ind w:firstLineChars="200" w:firstLine="420"/>
        <w:rPr>
          <w:rFonts w:cs="Times New Roman"/>
          <w:bCs/>
        </w:rPr>
      </w:pPr>
      <w:r>
        <w:rPr>
          <w:rFonts w:cs="宋体" w:hint="eastAsia"/>
          <w:bCs/>
        </w:rPr>
        <w:t>十三、基金转换</w:t>
      </w:r>
    </w:p>
    <w:p w14:paraId="031E31DE" w14:textId="77777777" w:rsidR="009C2D86" w:rsidRDefault="0027599D">
      <w:pPr>
        <w:snapToGrid w:val="0"/>
        <w:spacing w:line="360" w:lineRule="auto"/>
        <w:ind w:firstLineChars="200" w:firstLine="420"/>
        <w:rPr>
          <w:rFonts w:cs="Times New Roman"/>
        </w:rPr>
      </w:pPr>
      <w:r>
        <w:rPr>
          <w:rFonts w:cs="宋体" w:hint="eastAsia"/>
        </w:rPr>
        <w:t>基金管理人可以根据相关法律法规以及基金合同的规定决定开办本基金与基金管理人管理的其他基金份额之间的转换业务，基金转换可以收取一定的转换费，相关规则由基金管理人届时根据相关法律法规及基金合同的规定制定并公告，并提前告知基金托管人与相关机构。</w:t>
      </w:r>
    </w:p>
    <w:p w14:paraId="386BD143" w14:textId="77777777" w:rsidR="009C2D86" w:rsidRDefault="009C2D86">
      <w:pPr>
        <w:snapToGrid w:val="0"/>
        <w:spacing w:line="360" w:lineRule="auto"/>
        <w:ind w:firstLineChars="200" w:firstLine="420"/>
        <w:rPr>
          <w:rFonts w:cs="Times New Roman"/>
        </w:rPr>
      </w:pPr>
    </w:p>
    <w:p w14:paraId="1B47D95A" w14:textId="77777777" w:rsidR="009C2D86" w:rsidRDefault="0027599D">
      <w:pPr>
        <w:snapToGrid w:val="0"/>
        <w:spacing w:line="360" w:lineRule="auto"/>
        <w:ind w:firstLineChars="200" w:firstLine="420"/>
        <w:rPr>
          <w:rFonts w:cs="Times New Roman"/>
          <w:bCs/>
        </w:rPr>
      </w:pPr>
      <w:r>
        <w:rPr>
          <w:rFonts w:cs="宋体" w:hint="eastAsia"/>
          <w:bCs/>
        </w:rPr>
        <w:t>十四、基金的非交易过户</w:t>
      </w:r>
    </w:p>
    <w:p w14:paraId="2E6A0C4A" w14:textId="77777777" w:rsidR="009C2D86" w:rsidRDefault="0027599D">
      <w:pPr>
        <w:snapToGrid w:val="0"/>
        <w:spacing w:line="360" w:lineRule="auto"/>
        <w:ind w:firstLineChars="200" w:firstLine="420"/>
        <w:rPr>
          <w:rFonts w:cs="宋体"/>
        </w:rPr>
      </w:pPr>
      <w:r>
        <w:rPr>
          <w:rFonts w:cs="宋体" w:hint="eastAsia"/>
        </w:rPr>
        <w:t>基金的非交易过户是指基金登记机构受理继承、捐赠和司法强制执行等情形而产生的非交易过户以及登记机构认可、符合法律法规的其他非交易过户。无论在上述何种情况下，接受划转的主体必须是依法可以持有本基金基金份额的投资人。</w:t>
      </w:r>
    </w:p>
    <w:p w14:paraId="35664E5F" w14:textId="77777777" w:rsidR="009C2D86" w:rsidRDefault="0027599D">
      <w:pPr>
        <w:snapToGrid w:val="0"/>
        <w:spacing w:line="360" w:lineRule="auto"/>
        <w:ind w:firstLineChars="200" w:firstLine="420"/>
        <w:rPr>
          <w:rFonts w:ascii="宋体" w:cs="Times New Roman"/>
        </w:rPr>
      </w:pPr>
      <w:r>
        <w:rPr>
          <w:rFonts w:cs="宋体" w:hint="eastAsia"/>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30D96409" w14:textId="77777777" w:rsidR="009C2D86" w:rsidRDefault="009C2D86">
      <w:pPr>
        <w:snapToGrid w:val="0"/>
        <w:spacing w:line="360" w:lineRule="auto"/>
        <w:ind w:firstLineChars="200" w:firstLine="420"/>
        <w:rPr>
          <w:rFonts w:cs="Times New Roman"/>
        </w:rPr>
      </w:pPr>
    </w:p>
    <w:p w14:paraId="1EDF78BA" w14:textId="77777777" w:rsidR="009C2D86" w:rsidRDefault="0027599D">
      <w:pPr>
        <w:snapToGrid w:val="0"/>
        <w:spacing w:line="360" w:lineRule="auto"/>
        <w:ind w:firstLineChars="200" w:firstLine="420"/>
        <w:rPr>
          <w:rFonts w:cs="Times New Roman"/>
          <w:bCs/>
        </w:rPr>
      </w:pPr>
      <w:r>
        <w:rPr>
          <w:rFonts w:cs="宋体" w:hint="eastAsia"/>
          <w:bCs/>
        </w:rPr>
        <w:t>十五、基金的转托管</w:t>
      </w:r>
    </w:p>
    <w:p w14:paraId="7E2727AC" w14:textId="77777777" w:rsidR="009C2D86" w:rsidRDefault="0027599D">
      <w:pPr>
        <w:snapToGrid w:val="0"/>
        <w:spacing w:line="360" w:lineRule="auto"/>
        <w:ind w:firstLineChars="200" w:firstLine="420"/>
        <w:rPr>
          <w:rFonts w:cs="Times New Roman"/>
        </w:rPr>
      </w:pPr>
      <w:r>
        <w:rPr>
          <w:rFonts w:cs="宋体" w:hint="eastAsia"/>
        </w:rPr>
        <w:t>基金份额持有人可办理已持有基金份额在不同销售机构之间的转托管，基金销售机构可以按照规定的标准收取转托管费。</w:t>
      </w:r>
    </w:p>
    <w:p w14:paraId="3F29E2DA" w14:textId="77777777" w:rsidR="009C2D86" w:rsidRDefault="009C2D86">
      <w:pPr>
        <w:snapToGrid w:val="0"/>
        <w:spacing w:line="360" w:lineRule="auto"/>
        <w:ind w:firstLineChars="200" w:firstLine="420"/>
        <w:rPr>
          <w:rFonts w:cs="Times New Roman"/>
        </w:rPr>
      </w:pPr>
    </w:p>
    <w:p w14:paraId="44F0984A" w14:textId="77777777" w:rsidR="009C2D86" w:rsidRDefault="0027599D">
      <w:pPr>
        <w:snapToGrid w:val="0"/>
        <w:spacing w:line="360" w:lineRule="auto"/>
        <w:ind w:firstLineChars="200" w:firstLine="420"/>
        <w:rPr>
          <w:rFonts w:cs="Times New Roman"/>
          <w:bCs/>
        </w:rPr>
      </w:pPr>
      <w:r>
        <w:rPr>
          <w:rFonts w:cs="宋体" w:hint="eastAsia"/>
          <w:bCs/>
        </w:rPr>
        <w:t>十六、定投计划</w:t>
      </w:r>
    </w:p>
    <w:p w14:paraId="5D0F3994" w14:textId="77777777" w:rsidR="009C2D86" w:rsidRDefault="0027599D">
      <w:pPr>
        <w:snapToGrid w:val="0"/>
        <w:spacing w:line="360" w:lineRule="auto"/>
        <w:ind w:firstLineChars="200" w:firstLine="420"/>
        <w:rPr>
          <w:rFonts w:cs="Times New Roman"/>
        </w:rPr>
      </w:pPr>
      <w:r>
        <w:rPr>
          <w:rFonts w:cs="宋体" w:hint="eastAsia"/>
        </w:rPr>
        <w:t>基金管理人可以为投资人办理定投计划，具体规则由基金管理人另行规定。投资人在办理定投计划时可自行约定每期扣款金额，每期扣款金额必须不低于基金管理人在相关公告或更新的招募说明书中所规定的定投计划最低申购金额。</w:t>
      </w:r>
    </w:p>
    <w:p w14:paraId="2C20D5C8" w14:textId="77777777" w:rsidR="009C2D86" w:rsidRDefault="009C2D86">
      <w:pPr>
        <w:snapToGrid w:val="0"/>
        <w:spacing w:line="360" w:lineRule="auto"/>
        <w:ind w:firstLineChars="200" w:firstLine="420"/>
        <w:rPr>
          <w:rFonts w:cs="Times New Roman"/>
        </w:rPr>
      </w:pPr>
    </w:p>
    <w:p w14:paraId="02B62C88" w14:textId="77777777" w:rsidR="009C2D86" w:rsidRDefault="0027599D">
      <w:pPr>
        <w:snapToGrid w:val="0"/>
        <w:spacing w:line="360" w:lineRule="auto"/>
        <w:ind w:firstLineChars="200" w:firstLine="420"/>
        <w:rPr>
          <w:rFonts w:cs="Times New Roman"/>
          <w:bCs/>
        </w:rPr>
      </w:pPr>
      <w:r>
        <w:rPr>
          <w:rFonts w:cs="宋体" w:hint="eastAsia"/>
          <w:bCs/>
        </w:rPr>
        <w:t>十七、基金份额的冻结和解冻</w:t>
      </w:r>
    </w:p>
    <w:p w14:paraId="21D70CD7" w14:textId="77777777" w:rsidR="009C2D86" w:rsidRDefault="0027599D">
      <w:pPr>
        <w:snapToGrid w:val="0"/>
        <w:spacing w:line="360" w:lineRule="auto"/>
        <w:ind w:firstLineChars="200" w:firstLine="420"/>
        <w:rPr>
          <w:rFonts w:ascii="宋体" w:cs="Times New Roman"/>
        </w:rPr>
      </w:pPr>
      <w:r>
        <w:rPr>
          <w:rFonts w:cs="宋体" w:hint="eastAsia"/>
        </w:rPr>
        <w:t>基金登记机构只受理国家有权机关依法要求的基金份额的冻结与解冻，以及登记机构认可、符合法律法规的其他情况下的冻结与解冻。</w:t>
      </w:r>
      <w:r>
        <w:rPr>
          <w:rFonts w:ascii="宋体" w:hAnsi="宋体" w:cs="宋体" w:hint="eastAsia"/>
        </w:rPr>
        <w:t>基金份额的冻结手续、冻结方式按照登记机构的相关规定办理。基金份额被冻结的，被冻结部分产生的权益按照我国法律法规、监管规章及国家有权机关的要求以及登记机构业务规定处理。</w:t>
      </w:r>
    </w:p>
    <w:p w14:paraId="521446C2" w14:textId="77777777" w:rsidR="009C2D86" w:rsidRDefault="009C2D86">
      <w:pPr>
        <w:snapToGrid w:val="0"/>
        <w:spacing w:line="360" w:lineRule="auto"/>
        <w:ind w:firstLineChars="200" w:firstLine="420"/>
        <w:rPr>
          <w:rFonts w:ascii="宋体" w:cs="Times New Roman"/>
        </w:rPr>
      </w:pPr>
    </w:p>
    <w:p w14:paraId="6EEB6939" w14:textId="77777777" w:rsidR="009C2D86" w:rsidRDefault="0027599D">
      <w:pPr>
        <w:snapToGrid w:val="0"/>
        <w:spacing w:line="360" w:lineRule="auto"/>
        <w:ind w:firstLineChars="200" w:firstLine="420"/>
        <w:rPr>
          <w:rFonts w:ascii="宋体" w:cs="Times New Roman"/>
          <w:bCs/>
        </w:rPr>
      </w:pPr>
      <w:r>
        <w:rPr>
          <w:rFonts w:ascii="宋体" w:hAnsi="宋体" w:cs="宋体" w:hint="eastAsia"/>
          <w:bCs/>
        </w:rPr>
        <w:t>十八、基金份额的转让</w:t>
      </w:r>
    </w:p>
    <w:p w14:paraId="5830AD5C"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在法律法规允许且条件具备的情况下，基金管理人可受理基金份额持有人通过中国证监会认可的交易场所或者</w:t>
      </w:r>
      <w:r>
        <w:rPr>
          <w:rFonts w:ascii="宋体" w:hAnsi="宋体" w:cs="宋体" w:hint="eastAsia"/>
          <w:bCs/>
          <w:color w:val="000000"/>
        </w:rPr>
        <w:t>通过</w:t>
      </w:r>
      <w:r>
        <w:rPr>
          <w:rFonts w:ascii="宋体" w:hAnsi="宋体" w:cs="宋体"/>
          <w:bCs/>
          <w:color w:val="000000"/>
        </w:rPr>
        <w:t>其他</w:t>
      </w:r>
      <w:r>
        <w:rPr>
          <w:rFonts w:ascii="宋体" w:hAnsi="宋体" w:cs="宋体" w:hint="eastAsia"/>
          <w:color w:val="000000"/>
        </w:rPr>
        <w:t>方式进行份额转让的申请并由登记机构办理基金份额的过户登记。基金管理人拟受理基金份额转让业务的，将提前公告，基金份额持有人应根据基金管理人公告的业务规则办理基金份额转让业务。</w:t>
      </w:r>
    </w:p>
    <w:p w14:paraId="5E7793C9" w14:textId="77777777" w:rsidR="009C2D86" w:rsidRDefault="009C2D86">
      <w:pPr>
        <w:snapToGrid w:val="0"/>
        <w:spacing w:line="360" w:lineRule="auto"/>
        <w:ind w:firstLineChars="200" w:firstLine="420"/>
        <w:rPr>
          <w:rFonts w:ascii="宋体" w:cs="Times New Roman"/>
        </w:rPr>
      </w:pPr>
    </w:p>
    <w:p w14:paraId="2C6D7F68" w14:textId="77777777" w:rsidR="009C2D86" w:rsidRDefault="0027599D">
      <w:pPr>
        <w:snapToGrid w:val="0"/>
        <w:spacing w:line="360" w:lineRule="auto"/>
        <w:ind w:firstLineChars="200" w:firstLine="420"/>
        <w:rPr>
          <w:rFonts w:ascii="宋体" w:cs="Times New Roman"/>
          <w:bCs/>
        </w:rPr>
      </w:pPr>
      <w:r>
        <w:rPr>
          <w:rFonts w:ascii="宋体" w:cs="Times New Roman" w:hint="eastAsia"/>
          <w:bCs/>
        </w:rPr>
        <w:t>十九、实施侧袋机制期间本基金的申购与赎回</w:t>
      </w:r>
    </w:p>
    <w:p w14:paraId="7FBD7625" w14:textId="77777777" w:rsidR="009C2D86" w:rsidRDefault="0027599D">
      <w:pPr>
        <w:snapToGrid w:val="0"/>
        <w:spacing w:line="360" w:lineRule="auto"/>
        <w:ind w:firstLineChars="200" w:firstLine="420"/>
        <w:rPr>
          <w:rFonts w:ascii="宋体" w:cs="Times New Roman"/>
          <w:bCs/>
        </w:rPr>
      </w:pPr>
      <w:r>
        <w:rPr>
          <w:rFonts w:ascii="宋体" w:cs="Times New Roman" w:hint="eastAsia"/>
          <w:bCs/>
        </w:rPr>
        <w:t>本基金实施侧袋机制的，本基金的申购与赎回安排详见招募说明书“侧袋机制”部分的规定或相关公告。</w:t>
      </w:r>
    </w:p>
    <w:p w14:paraId="226A6094" w14:textId="77777777" w:rsidR="009C2D86" w:rsidRDefault="009C2D86">
      <w:pPr>
        <w:snapToGrid w:val="0"/>
        <w:spacing w:line="360" w:lineRule="auto"/>
        <w:ind w:firstLineChars="200" w:firstLine="420"/>
        <w:rPr>
          <w:rFonts w:ascii="宋体" w:cs="Times New Roman"/>
          <w:bCs/>
        </w:rPr>
      </w:pPr>
    </w:p>
    <w:p w14:paraId="6607E069" w14:textId="77777777" w:rsidR="009C2D86" w:rsidRDefault="0027599D">
      <w:pPr>
        <w:snapToGrid w:val="0"/>
        <w:spacing w:line="360" w:lineRule="auto"/>
        <w:ind w:firstLineChars="200" w:firstLine="420"/>
        <w:rPr>
          <w:rFonts w:ascii="宋体" w:cs="Times New Roman"/>
          <w:bCs/>
        </w:rPr>
      </w:pPr>
      <w:r>
        <w:rPr>
          <w:rFonts w:ascii="宋体" w:cs="Times New Roman" w:hint="eastAsia"/>
          <w:bCs/>
        </w:rPr>
        <w:t>二十、其他业务</w:t>
      </w:r>
    </w:p>
    <w:p w14:paraId="57390365" w14:textId="77777777" w:rsidR="009C2D86" w:rsidRDefault="0027599D">
      <w:pPr>
        <w:snapToGrid w:val="0"/>
        <w:spacing w:line="360" w:lineRule="auto"/>
        <w:ind w:firstLineChars="200" w:firstLine="420"/>
        <w:rPr>
          <w:rFonts w:ascii="宋体" w:cs="Times New Roman"/>
          <w:bCs/>
        </w:rPr>
      </w:pPr>
      <w:r>
        <w:rPr>
          <w:rFonts w:ascii="宋体" w:cs="Times New Roman" w:hint="eastAsia"/>
          <w:bCs/>
        </w:rPr>
        <w:t>在相关法律法规允许的条件下，基金登记机构可依据其业务规则，受理基金份额质押等业务，并收取一定的手续费用。</w:t>
      </w:r>
    </w:p>
    <w:p w14:paraId="41441F12" w14:textId="77777777" w:rsidR="009C2D86" w:rsidRDefault="009C2D86">
      <w:pPr>
        <w:snapToGrid w:val="0"/>
        <w:spacing w:line="360" w:lineRule="auto"/>
        <w:ind w:firstLineChars="200" w:firstLine="420"/>
        <w:rPr>
          <w:rFonts w:ascii="宋体" w:cs="Times New Roman"/>
        </w:rPr>
      </w:pPr>
    </w:p>
    <w:p w14:paraId="6D68C629" w14:textId="77777777" w:rsidR="009C2D86" w:rsidRDefault="0027599D">
      <w:pPr>
        <w:pStyle w:val="ab"/>
        <w:snapToGrid w:val="0"/>
        <w:spacing w:line="360" w:lineRule="auto"/>
        <w:ind w:firstLineChars="200"/>
        <w:rPr>
          <w:rFonts w:ascii="宋体"/>
          <w:color w:val="000000"/>
        </w:rPr>
      </w:pPr>
      <w:r>
        <w:rPr>
          <w:rFonts w:ascii="宋体"/>
          <w:color w:val="000000"/>
        </w:rPr>
        <w:br w:type="page"/>
      </w:r>
    </w:p>
    <w:p w14:paraId="6786FDD1"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93" w:name="_Toc360794411"/>
      <w:bookmarkStart w:id="94" w:name="_Toc360793501"/>
      <w:bookmarkStart w:id="95" w:name="_Toc48900076"/>
      <w:bookmarkStart w:id="96" w:name="_Toc360793853"/>
      <w:bookmarkStart w:id="97" w:name="_Toc360794519"/>
      <w:bookmarkStart w:id="98" w:name="_Toc362533458"/>
      <w:bookmarkStart w:id="99" w:name="_Toc360794103"/>
      <w:bookmarkStart w:id="100" w:name="_Toc362455186"/>
      <w:r>
        <w:rPr>
          <w:rFonts w:ascii="宋体" w:eastAsia="宋体" w:hAnsi="宋体" w:cs="宋体" w:hint="eastAsia"/>
        </w:rPr>
        <w:t>基金的投资</w:t>
      </w:r>
      <w:bookmarkEnd w:id="93"/>
      <w:bookmarkEnd w:id="94"/>
      <w:bookmarkEnd w:id="95"/>
      <w:bookmarkEnd w:id="96"/>
      <w:bookmarkEnd w:id="97"/>
      <w:bookmarkEnd w:id="98"/>
      <w:bookmarkEnd w:id="99"/>
      <w:bookmarkEnd w:id="100"/>
    </w:p>
    <w:p w14:paraId="40C41C8F" w14:textId="77777777" w:rsidR="009C2D86" w:rsidRDefault="009C2D86">
      <w:pPr>
        <w:pStyle w:val="a9"/>
        <w:snapToGrid w:val="0"/>
        <w:ind w:firstLineChars="196" w:firstLine="412"/>
        <w:rPr>
          <w:rFonts w:ascii="宋体" w:hAnsi="宋体" w:cs="宋体"/>
          <w:bCs/>
          <w:color w:val="000000"/>
          <w:sz w:val="21"/>
          <w:szCs w:val="21"/>
        </w:rPr>
      </w:pPr>
    </w:p>
    <w:p w14:paraId="24DDF20B" w14:textId="676AAFB9"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一、投资目标</w:t>
      </w:r>
    </w:p>
    <w:p w14:paraId="719B532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本基金通过投资于目标ETF，紧密跟踪标的指数，追求与业绩比较基准相似的回报。</w:t>
      </w:r>
    </w:p>
    <w:p w14:paraId="6ED10F99"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65504F19"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二、投资范围</w:t>
      </w:r>
    </w:p>
    <w:p w14:paraId="54F76F49" w14:textId="7BFCFE08"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主要投资于目标ETF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w:t>
      </w:r>
      <w:r w:rsidR="00D430FA" w:rsidRPr="00D430FA">
        <w:rPr>
          <w:rFonts w:ascii="宋体" w:hAnsi="宋体" w:cs="宋体" w:hint="eastAsia"/>
          <w:bCs/>
          <w:color w:val="000000"/>
          <w:sz w:val="21"/>
          <w:szCs w:val="21"/>
        </w:rPr>
        <w:t>法律法规或</w:t>
      </w:r>
      <w:r w:rsidRPr="00E47E09">
        <w:rPr>
          <w:rFonts w:ascii="宋体" w:hAnsi="宋体" w:cs="宋体" w:hint="eastAsia"/>
          <w:bCs/>
          <w:color w:val="000000"/>
          <w:sz w:val="21"/>
          <w:szCs w:val="21"/>
        </w:rPr>
        <w:t>中国证监会允许基金投资的其他金融工具（但须符合中国证监会的相关规定）。</w:t>
      </w:r>
    </w:p>
    <w:p w14:paraId="3375315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本基金根据相关规定可参与融资、转融通证券出借业务。</w:t>
      </w:r>
    </w:p>
    <w:p w14:paraId="31F3A19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如法律法规或监管机构以后允许基金投资其他品种，基金管理人在履行适当程序后，可以将其纳入投资范围。</w:t>
      </w:r>
    </w:p>
    <w:p w14:paraId="6A89F6EA"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基金的投资组合比例为：在建仓完成后，本基金投资于目标ETF的比例不低于基金资产净值的90%。每个交易日日终在扣除金融衍生品合约需缴纳的交易保证金后，现金或到期日在一年以内的政府债券的投资比例不低于基金资产净值的5%，其中现金不包括结算备付金、存出保证金、应收申购款等。</w:t>
      </w:r>
    </w:p>
    <w:p w14:paraId="49D25489"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如法律法规或监管机构变更投资品种的投资比例限制，基金管理人在履行适当程序后，可以调整上述投资品种的投资比例。</w:t>
      </w:r>
    </w:p>
    <w:p w14:paraId="2501EA55"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55877B3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三、投资策略</w:t>
      </w:r>
    </w:p>
    <w:p w14:paraId="498E0F78"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为被动式指数基金，主要投资于目标ETF。本基金并不参与目标ETF的管理。在正常市场情况下，本基金力争净值增长率与业绩比较基准之间的日均跟踪偏离度不超过0.35%，年跟踪误差不超过4%。如因指数编制规则调整或其他因素导致跟踪偏离度和跟踪误差超过上述范围，基金管理人应采取合理措施避免跟踪偏离度、跟踪误差进一步扩大。</w:t>
      </w:r>
    </w:p>
    <w:p w14:paraId="69F4546B"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1、资产配置策略</w:t>
      </w:r>
    </w:p>
    <w:p w14:paraId="5D57874D"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为实现紧密跟踪标的指数的投资目标，本基金将以不低于基金资产净值90%的资产投资于目标ETF。为更好地实现投资目标，本基金可少量投资于非成份股、债券、资产支持证券、债券回购、银行存款、货币市场工具、股指期货、股票期权等以及经中国证监会允许基金投资的其他金融工具，但需符合中国证监会的相关规定。</w:t>
      </w:r>
    </w:p>
    <w:p w14:paraId="01EE8D89"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2、目标ETF投资策略</w:t>
      </w:r>
    </w:p>
    <w:p w14:paraId="37B87E36"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本基金投资目标ETF的方式如下：</w:t>
      </w:r>
    </w:p>
    <w:p w14:paraId="3BCEB55C"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（1）申购和赎回：目标ETF开放申购赎回后，以股票组合进行申购赎回或者按照目标ETF法律文件的约定以其他方式申赎目标ETF。</w:t>
      </w:r>
    </w:p>
    <w:p w14:paraId="04106FC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（2）二级市场方式：目标ETF上市交易后，在二级市场进行目标ETF基金份额的交易。</w:t>
      </w:r>
    </w:p>
    <w:p w14:paraId="059DDC19" w14:textId="760E93CE"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当目标ETF申购、赎回或交易模式进行了变更或调整，</w:t>
      </w:r>
      <w:r w:rsidR="00CE5E6F" w:rsidRPr="00CE5E6F">
        <w:rPr>
          <w:rFonts w:ascii="宋体" w:hAnsi="宋体" w:cs="宋体" w:hint="eastAsia"/>
          <w:bCs/>
          <w:color w:val="000000"/>
          <w:sz w:val="21"/>
          <w:szCs w:val="21"/>
        </w:rPr>
        <w:t>在履行适当程序后，</w:t>
      </w:r>
      <w:r w:rsidRPr="00E47E09">
        <w:rPr>
          <w:rFonts w:ascii="宋体" w:hAnsi="宋体" w:cs="宋体" w:hint="eastAsia"/>
          <w:bCs/>
          <w:color w:val="000000"/>
          <w:sz w:val="21"/>
          <w:szCs w:val="21"/>
        </w:rPr>
        <w:t>本基金也将作相应的变更或调整。</w:t>
      </w:r>
    </w:p>
    <w:p w14:paraId="14116FA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3、成份股、备选成份股投资策略</w:t>
      </w:r>
    </w:p>
    <w:p w14:paraId="7BF4C82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可以通过投资成份股、备选成份股以跟踪标的指数，也可以通过投资成份股、备选成份股构建股票组合以申购目标ETF。但在因特殊情况（如流动性不足等）导致无法获得足够数量的股票时，基金管理人将搭配使用其他合理方法进行适当的替代。</w:t>
      </w:r>
    </w:p>
    <w:p w14:paraId="78AEAD38"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4、金融衍生品投资策略</w:t>
      </w:r>
    </w:p>
    <w:p w14:paraId="60383AB2" w14:textId="774529CA"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为更好地实现投资目标，本基金可投资股指期货、股票期权和其他经中国证监会允许的</w:t>
      </w:r>
      <w:r w:rsidR="00DE4F95" w:rsidRPr="00DE4F95">
        <w:rPr>
          <w:rFonts w:ascii="宋体" w:hAnsi="宋体" w:cs="宋体" w:hint="eastAsia"/>
          <w:bCs/>
          <w:color w:val="000000"/>
          <w:sz w:val="21"/>
          <w:szCs w:val="21"/>
        </w:rPr>
        <w:t>金融</w:t>
      </w:r>
      <w:r w:rsidRPr="00E47E09">
        <w:rPr>
          <w:rFonts w:ascii="宋体" w:hAnsi="宋体" w:cs="宋体" w:hint="eastAsia"/>
          <w:bCs/>
          <w:color w:val="000000"/>
          <w:sz w:val="21"/>
          <w:szCs w:val="21"/>
        </w:rPr>
        <w:t>衍生品，如与标的指数或标的指数成份股、备选成份股相关的金融衍生品。本基金将根据风险管理的原则，主要选择流动性好、交易活跃的衍生品合约进行交易。</w:t>
      </w:r>
    </w:p>
    <w:p w14:paraId="6830BA8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（1）股指期货投资策略</w:t>
      </w:r>
    </w:p>
    <w:p w14:paraId="307063D3" w14:textId="761AD476"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本基金投资股指期货</w:t>
      </w:r>
      <w:r w:rsidR="00B4353D">
        <w:rPr>
          <w:rFonts w:hint="eastAsia"/>
        </w:rPr>
        <w:t>，</w:t>
      </w:r>
      <w:r w:rsidRPr="00E47E09">
        <w:rPr>
          <w:rFonts w:ascii="宋体" w:hAnsi="宋体" w:cs="宋体" w:hint="eastAsia"/>
          <w:bCs/>
          <w:color w:val="000000"/>
          <w:sz w:val="21"/>
          <w:szCs w:val="21"/>
        </w:rPr>
        <w:t>将根据风险管理的原则，以套期保值为目的，主要选择流动性好、交易活跃的股指期货合约。本基金力争利用股指期货，降低股票仓位频繁调整的交易成本和跟踪误差，达到有效跟踪标的指数的目的。</w:t>
      </w:r>
    </w:p>
    <w:p w14:paraId="62B2518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（2）股票期权投资策略</w:t>
      </w:r>
    </w:p>
    <w:p w14:paraId="6DEE3A2C"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本基金投资股票期权，将根据风险管理的原则，以套期保值为目的，充分考虑股票期权的流动性和风险收益特征。</w:t>
      </w:r>
    </w:p>
    <w:p w14:paraId="673AA889"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5、债券投资策略</w:t>
      </w:r>
    </w:p>
    <w:p w14:paraId="50608807"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w:t>
      </w:r>
    </w:p>
    <w:p w14:paraId="224F62D7"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6、可转换债券及可交换债券投资策略</w:t>
      </w:r>
    </w:p>
    <w:p w14:paraId="5A8F93F7"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在可转换债券和可交换债券投资中预期运用仓位策略、类属策略、个券挖掘策略、条款价值策略、行权套利策略等多种策略，构建风险收益比佳、基本面稳健的组合。其中仓位策略和类属策略，将根据基本面环境、股债性价比，确定整体仓位水平、偏股型和偏债型可转债占比。个券挖掘策略，从基本面视角来挖掘可转债的机会，选择基本面景气向上、估值不高的偏股型转债作为获取超额收益的品种。条款价值策略，即深入分析修正转股价条款、回售条款和赎回条款等对转债价值的影响，挖掘各条款对应的投资机会。行权套利策略，可转债具备按照约定的价格转换为标的股票的权利，本基金将综合分析正股的基本面和估值水平、可转债的转股溢价率水平、可转债和标的股票的流动性、可转债转股对标的股票稀释和抛售压力等因素，确定是否行使将可转债转换为标的股票的权利，以及转股的时机和转股后标的股票的持有时间。</w:t>
      </w:r>
    </w:p>
    <w:p w14:paraId="512C5DF8"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7、资产支持证券投资策略</w:t>
      </w:r>
    </w:p>
    <w:p w14:paraId="2E1DDADF"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资产支持证券投资关键在于对基础资产质量及未来现金流的分析，本基金将采用基本面分析和数量化模型相结合，对个券进行风险分析和价值评估后进行投资。本基金将严格控制资产支持证券的总体投资规模并进行分散投资，以降低流动性风险。</w:t>
      </w:r>
    </w:p>
    <w:p w14:paraId="4A62667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8、融资及转融通证券出借业务投资策略</w:t>
      </w:r>
    </w:p>
    <w:p w14:paraId="3C00D73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为更好地实现投资目标，在加强风险防范并遵守审慎原则的前提下，本基金可根据投资管理的需要参与融资及转融通证券出借业务。本基金将在分析市场情况、投资者类型与结构、基金历史申赎情况、出借证券流动性情况等因素的基础上,合理确定出借证券的范围、期限和比例。</w:t>
      </w:r>
    </w:p>
    <w:p w14:paraId="074C39FD"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9、存托凭证投资策略</w:t>
      </w:r>
    </w:p>
    <w:p w14:paraId="1259417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本基金在综合考虑预期收益、风险、流动性等因素的基础上，根据审慎原则合理参与存托凭证的投资，以更好地跟踪标的指数，追求与业绩比较基准相似的回报。</w:t>
      </w:r>
    </w:p>
    <w:p w14:paraId="0530CED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3C7CD851"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1C8361B6"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四、投资限制</w:t>
      </w:r>
    </w:p>
    <w:p w14:paraId="77484520"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1、组合限制</w:t>
      </w:r>
    </w:p>
    <w:p w14:paraId="2A90DDC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基金的投资组合应遵循以下限制：</w:t>
      </w:r>
    </w:p>
    <w:p w14:paraId="1299E10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（1）本基金投资于目标ETF的比例不低于基金资产净值的90%；</w:t>
      </w:r>
    </w:p>
    <w:p w14:paraId="3459D3E8"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（2）每个交易日日终在扣除金融衍生品合约需缴纳的交易保证金后，现金或到期日在一年以内的政府债券的投资比例不低于基金资产净值的5％，其中现金不包括结算备付金、存出保证金、应收申购款等；</w:t>
      </w:r>
    </w:p>
    <w:p w14:paraId="75233E60"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（3）本基金投资于同一原始权益人的各类资产支持证券的比例，不得超过基金资产净值的10％；</w:t>
      </w:r>
    </w:p>
    <w:p w14:paraId="641CD39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（4）本基金持有的全部资产支持证券，其市值不得超过基金资产净值的20％；</w:t>
      </w:r>
    </w:p>
    <w:p w14:paraId="40ED7B0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（5）本基金持有的同一(指同一信用级别)资产支持证券的比例，不得超过该资产支持证券规模的10％；</w:t>
      </w:r>
    </w:p>
    <w:p w14:paraId="71969AF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（6）本基金管理人管理的全部基金投资于同一原始权益人的各类资产支持证券，不得超过其各类资产支持证券合计规模的10％；</w:t>
      </w:r>
    </w:p>
    <w:p w14:paraId="39C37ECC"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（7）本基金应投资于信用级别评级为BBB以上(含BBB)的资产支持证券。基金持有资产支持证券期间，如果其信用等级下降、不再符合投资标准，应在评级报告发布之日起3个月内予以全部卖出；</w:t>
      </w:r>
    </w:p>
    <w:p w14:paraId="1BE4313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（8）基金财产参与股票发行申购，本基金所申报的金额不超过本基金的总资产，本基金所申报的股票数量不超过拟发行股票公司本次发行股票的总量；</w:t>
      </w:r>
    </w:p>
    <w:p w14:paraId="1C404A3F"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696D08C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（10）本基金与私募类证券资管产品及中国证监会认定的其他主体为交易对手开展逆回购交易的，可接受质押品的资质要求应当与基金合同约定的投资范围保持一致；</w:t>
      </w:r>
    </w:p>
    <w:p w14:paraId="16F5EB5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（11）本基金资产总值不超过基金资产净值的140%；</w:t>
      </w:r>
    </w:p>
    <w:p w14:paraId="7351716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（12）本基金参与股指期货交易，应当符合下列投资限制：</w:t>
      </w:r>
    </w:p>
    <w:p w14:paraId="167809E8"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1）本基金在任何交易日日终，持有的买入股指期货合约价值，不得超过基金资产净值的10%；</w:t>
      </w:r>
    </w:p>
    <w:p w14:paraId="1620D76F"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04F5821D"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3）本基金在任何交易日日终，持有的卖出股指期货合约价值不得超过基金持有的股票总市值的20%；</w:t>
      </w:r>
    </w:p>
    <w:p w14:paraId="598D3C4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4）本基金所持有的股票市值和买入、卖出股指期货合约价值，合计（轧差计算）应当符合基金合同关于股票投资比例的有关约定；</w:t>
      </w:r>
    </w:p>
    <w:p w14:paraId="1A4E039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5）本基金在任何交易日内交易（不包括平仓）的股指期货合约的成交金额不得超过上一交易日基金资产净值的20%；</w:t>
      </w:r>
    </w:p>
    <w:p w14:paraId="3DEBF67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（13）本基金参与股票期权交易，应当符合下列投资限制：</w:t>
      </w:r>
    </w:p>
    <w:p w14:paraId="205A374D"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1）基金因未平仓的期权合约支付和收取的权利金总额不得超过基金资产净值的10%；</w:t>
      </w:r>
    </w:p>
    <w:p w14:paraId="40084E2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2）开仓卖出认购期权的，应持有足额标的证券；开仓卖出认沽期权的，应持有合约行权所需的全额现金或交易所规则认可的可冲抵期权保证金的现金等价物；</w:t>
      </w:r>
    </w:p>
    <w:p w14:paraId="19ABFFF3"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3）未平仓的期权合约面值不得超过基金资产净值的20%。其中，合约面值按照行权价乘以合约乘数计算；</w:t>
      </w:r>
    </w:p>
    <w:p w14:paraId="7686BA7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（14）本基金参与转融通证券出借业务的，应当符合下列要求：</w:t>
      </w:r>
    </w:p>
    <w:p w14:paraId="29AC08A6"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1）本基金在任何交易日日终，参与转融通证券出借业务的资产不得超过基金资产净值的30%，其中出借期限在10个交易日以上的出借证券应纳入《流动性风险管理规定》所述流动性受限证券的范围；</w:t>
      </w:r>
    </w:p>
    <w:p w14:paraId="47D4A2B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2）本基金在任何交易日日终，参与出借业务的单只证券不得超过基金持有该证券总量的50%；</w:t>
      </w:r>
    </w:p>
    <w:p w14:paraId="4374361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3）证券出借的平均剩余期限不得超过30天，平均剩余期限按市值加权平均计算；</w:t>
      </w:r>
    </w:p>
    <w:p w14:paraId="5C4B7C0C"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4）最近6个月内日均基金资产净值不得低于2亿元；</w:t>
      </w:r>
    </w:p>
    <w:p w14:paraId="56E2CFF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（15）本基金投资存托凭证的比例限制依照境内上市交易的股票执行，与境内上市交易的股票合并计算，法律法规或监管部门另有要求的除外；</w:t>
      </w:r>
    </w:p>
    <w:p w14:paraId="56504CDB"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（16）法律法规及中国证监会规定的和《基金合同》约定的其他投资限制。</w:t>
      </w:r>
    </w:p>
    <w:p w14:paraId="61A1548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因证券/期货市场波动、证券发行人合并、基金规模变动、标的指数成份股调整、标的指数成份股流动性限制、目标ETF暂停申购、赎回或二级市场交易停牌等基金管理人之外的因素致使基金投资比例不符合上述第（1）项规定投资比例的，基金管理人应当在20个交易日内进行调整，但中国证监会规定的特殊情形除外；除上述第（1）、（2）、（7）、（9）、（10）、（14）项另有约定外，因证券/期货市场波动、证券发行人合并、基金规模变动、标的指数成份股调整、标的指数成份股流动性限制、目标 ETF 暂停申购、赎回或二级市场交易停牌等基金管理人之外的因素致使基金投资比例不符合上述规定投资比例的，基金管理人应当在10个交易日内进行调整，但中国证监会规定的特殊情形除外。法律法规另有规定的，从其规定。</w:t>
      </w:r>
    </w:p>
    <w:p w14:paraId="0533EF19"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本基金参与转融通证券出借业务，因证券/期货市场波动、证券发行人合并、基金规模变动等基金管理人之外的因素致使基金投资不符合上述第（14）项规定的，基金管理人不得新增出借业务。</w:t>
      </w:r>
    </w:p>
    <w:p w14:paraId="34684CD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20582414" w14:textId="28493542"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法律法规或监管部门取消</w:t>
      </w:r>
      <w:r w:rsidR="004B73D0" w:rsidRPr="004B73D0">
        <w:rPr>
          <w:rFonts w:ascii="宋体" w:hAnsi="宋体" w:cs="宋体" w:hint="eastAsia"/>
          <w:bCs/>
          <w:color w:val="000000"/>
          <w:sz w:val="21"/>
          <w:szCs w:val="21"/>
        </w:rPr>
        <w:t>或变更</w:t>
      </w:r>
      <w:r w:rsidRPr="00E47E09">
        <w:rPr>
          <w:rFonts w:ascii="宋体" w:hAnsi="宋体" w:cs="宋体" w:hint="eastAsia"/>
          <w:bCs/>
          <w:color w:val="000000"/>
          <w:sz w:val="21"/>
          <w:szCs w:val="21"/>
        </w:rPr>
        <w:t>上述限制，如适用于本基金，基金管理人在履行适当程序后，则本基金投资不再受相关限制</w:t>
      </w:r>
      <w:r w:rsidR="004B73D0" w:rsidRPr="004B73D0">
        <w:rPr>
          <w:rFonts w:ascii="宋体" w:hAnsi="宋体" w:cs="宋体" w:hint="eastAsia"/>
          <w:bCs/>
          <w:color w:val="000000"/>
          <w:sz w:val="21"/>
          <w:szCs w:val="21"/>
        </w:rPr>
        <w:t>或按变更后的规定执行</w:t>
      </w:r>
      <w:r w:rsidRPr="00E47E09">
        <w:rPr>
          <w:rFonts w:ascii="宋体" w:hAnsi="宋体" w:cs="宋体" w:hint="eastAsia"/>
          <w:bCs/>
          <w:color w:val="000000"/>
          <w:sz w:val="21"/>
          <w:szCs w:val="21"/>
        </w:rPr>
        <w:t>。</w:t>
      </w:r>
    </w:p>
    <w:p w14:paraId="706CDC8B"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2、禁止行为</w:t>
      </w:r>
    </w:p>
    <w:p w14:paraId="1B55B310"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为维护基金份额持有人的合法权益，基金财产不得用于下列投资或者活动：</w:t>
      </w:r>
    </w:p>
    <w:p w14:paraId="41C33C50"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（1）承销证券；</w:t>
      </w:r>
    </w:p>
    <w:p w14:paraId="79ED982F"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（2）违反规定向他人贷款或者提供担保；</w:t>
      </w:r>
    </w:p>
    <w:p w14:paraId="2AF43C16"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（3）从事承担无限责任的投资；</w:t>
      </w:r>
    </w:p>
    <w:p w14:paraId="76B1D8F4"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（4）买卖除目标ETF以外的其他基金份额，但是中国证监会另有规定的除外；</w:t>
      </w:r>
    </w:p>
    <w:p w14:paraId="1FDCF4FD"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 xml:space="preserve">（5）向其基金管理人、基金托管人出资； </w:t>
      </w:r>
    </w:p>
    <w:p w14:paraId="7AAF5A8F"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 xml:space="preserve">（6）从事内幕交易、操纵证券交易价格及其他不正当的证券交易活动； </w:t>
      </w:r>
    </w:p>
    <w:p w14:paraId="3432192F"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（7）法律、行政法规和中国证监会规定禁止的其他活动。</w:t>
      </w:r>
    </w:p>
    <w:p w14:paraId="00FCF60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376DE69" w14:textId="33612D95"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法律、行政法规或监管部门取消或变更上述限制，如适用于本基金，基金管理人在履行适当程序后，则本基金投资不再受相关限制或按变更后的规定执行。</w:t>
      </w:r>
    </w:p>
    <w:p w14:paraId="023F054B"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46BAAE20"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五、标的指数和业绩比较基准</w:t>
      </w:r>
    </w:p>
    <w:p w14:paraId="02B6CBB6" w14:textId="05EE251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本基金的标的指数为</w:t>
      </w:r>
      <w:r w:rsidR="001A3FE9">
        <w:rPr>
          <w:rFonts w:ascii="宋体" w:hAnsi="宋体" w:cs="宋体" w:hint="eastAsia"/>
          <w:bCs/>
          <w:color w:val="000000"/>
          <w:sz w:val="21"/>
          <w:szCs w:val="21"/>
        </w:rPr>
        <w:t>创业板人工智能</w:t>
      </w:r>
      <w:r w:rsidRPr="00E47E09">
        <w:rPr>
          <w:rFonts w:ascii="宋体" w:hAnsi="宋体" w:cs="宋体" w:hint="eastAsia"/>
          <w:bCs/>
          <w:color w:val="000000"/>
          <w:sz w:val="21"/>
          <w:szCs w:val="21"/>
        </w:rPr>
        <w:t>指数。</w:t>
      </w:r>
    </w:p>
    <w:p w14:paraId="39B1C21C" w14:textId="6C246068"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本基金业绩比较基准为</w:t>
      </w:r>
      <w:r w:rsidR="001A3FE9">
        <w:rPr>
          <w:rFonts w:ascii="宋体" w:hAnsi="宋体" w:cs="宋体" w:hint="eastAsia"/>
          <w:bCs/>
          <w:color w:val="000000"/>
          <w:sz w:val="21"/>
          <w:szCs w:val="21"/>
        </w:rPr>
        <w:t>创业板人工智能</w:t>
      </w:r>
      <w:r w:rsidRPr="00E47E09">
        <w:rPr>
          <w:rFonts w:ascii="宋体" w:hAnsi="宋体" w:cs="宋体" w:hint="eastAsia"/>
          <w:bCs/>
          <w:color w:val="000000"/>
          <w:sz w:val="21"/>
          <w:szCs w:val="21"/>
        </w:rPr>
        <w:t>指数收益率×95%+银行活期存款利率（税后）×5%。</w:t>
      </w:r>
    </w:p>
    <w:p w14:paraId="73708077"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投资于目标ETF的比例不低于基金资产净值的90%。每个交易日日终在扣除金融衍生品合约需缴纳的交易保证金后，现金或到期日在一年以内的政府债券的投资比例不低于基金资产净值的5%，其中现金不包括结算备付金、存出保证金、应收申购款等。业绩比较基准与投资比例相符。</w:t>
      </w:r>
    </w:p>
    <w:p w14:paraId="3DFD5356" w14:textId="321E8911"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但下文“八、目标ETF发生相关变更情形时的处理”另有约定的除外。</w:t>
      </w:r>
    </w:p>
    <w:p w14:paraId="3A72D8B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自指数编制机构停止标的指数的编制及发布至解决方案确定期间，基金管理人应按照指数编制机构提供的最近一个交易日的指数信息遵循基金份额持有人利益优先原则维持基金投资运作。</w:t>
      </w:r>
    </w:p>
    <w:p w14:paraId="62EFDEF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法律法规或监管机构另有规定的，从其规定。</w:t>
      </w:r>
    </w:p>
    <w:p w14:paraId="274942FC"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409B793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六、风险收益特征</w:t>
      </w:r>
    </w:p>
    <w:p w14:paraId="278516C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本基金的目标ETF为股票型基金，一般而言，其长期平均风险与预期收益高于混合型基金、债券型基金与货币市场基金。本基金为ETF联接基金，通过投资于目标ETF跟踪标的指数表现，具有与标的指数以及标的指数所代表的市场相似的风险收益特征。本基金投资创业板股票，会面临创业板机制下因投资标的、市场制度以及交易规则等差异带来的特有风险，包括流动性风险、退市风险和投资集中风险等。</w:t>
      </w:r>
    </w:p>
    <w:p w14:paraId="37C6CEAB"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60F346D1"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七、基金管理人代表基金行使股东或债权人权利的处理原则及方法</w:t>
      </w:r>
    </w:p>
    <w:p w14:paraId="6FF0B1D0"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 xml:space="preserve">1、基金管理人按照国家有关规定代表基金独立行使股东或债权人权利，保护基金份额持有人的利益； </w:t>
      </w:r>
    </w:p>
    <w:p w14:paraId="7FE27C5C"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 xml:space="preserve">2、不谋求对上市公司的控股； </w:t>
      </w:r>
    </w:p>
    <w:p w14:paraId="2EC9C2BE"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 xml:space="preserve">3、有利于基金财产的安全与增值； </w:t>
      </w:r>
    </w:p>
    <w:p w14:paraId="0D40CD77"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4、不通过关联交易为自身、雇员、授权代理人或任何存在利害关系的第三人牟取任何不当利益。</w:t>
      </w:r>
    </w:p>
    <w:p w14:paraId="0A170AED"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310ADE85"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八、目标ETF发生相关变更情形时的处理</w:t>
      </w:r>
    </w:p>
    <w:p w14:paraId="0907658B" w14:textId="587D2625"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目标ETF出现下述情形之一的，本基金将由投资于目标ETF的联接基金变更为直接投资该标的指数的指数基金，无需召开基金份额持有人大会；若届时本基金管理人已有以该指数作为标的指数的指数基金，则本基金将本着维护投资人合法权益的原则，履行适当的程序后与该指数基金合并。相应地，本基金基金合同中将删除关于目标ETF的表述部分，或将变更</w:t>
      </w:r>
      <w:r w:rsidR="003404BB">
        <w:rPr>
          <w:rFonts w:ascii="宋体" w:hAnsi="宋体" w:cs="宋体" w:hint="eastAsia"/>
          <w:bCs/>
          <w:color w:val="000000"/>
          <w:sz w:val="21"/>
          <w:szCs w:val="21"/>
        </w:rPr>
        <w:t>目标</w:t>
      </w:r>
      <w:r w:rsidRPr="00E47E09">
        <w:rPr>
          <w:rFonts w:ascii="宋体" w:hAnsi="宋体" w:cs="宋体" w:hint="eastAsia"/>
          <w:bCs/>
          <w:color w:val="000000"/>
          <w:sz w:val="21"/>
          <w:szCs w:val="21"/>
        </w:rPr>
        <w:t>ETF，届时将由基金管理人另行公告。</w:t>
      </w:r>
    </w:p>
    <w:p w14:paraId="7BCF3512"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1、目标ETF交易方式发生重大变更致使本基金的投资策略难以实现；</w:t>
      </w:r>
    </w:p>
    <w:p w14:paraId="573400DA"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2、目标ETF终止上市；</w:t>
      </w:r>
    </w:p>
    <w:p w14:paraId="01119B38"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3、目标ETF基金合同终止；</w:t>
      </w:r>
    </w:p>
    <w:p w14:paraId="1B7C55AA" w14:textId="77777777" w:rsidR="00E47E09" w:rsidRPr="00E47E09" w:rsidRDefault="00E47E09" w:rsidP="00E47E09">
      <w:pPr>
        <w:pStyle w:val="a9"/>
        <w:snapToGrid w:val="0"/>
        <w:ind w:firstLineChars="196" w:firstLine="412"/>
        <w:rPr>
          <w:rFonts w:ascii="宋体" w:hAnsi="宋体" w:cs="宋体"/>
          <w:bCs/>
          <w:color w:val="000000"/>
          <w:sz w:val="21"/>
          <w:szCs w:val="21"/>
        </w:rPr>
      </w:pPr>
      <w:r w:rsidRPr="00E47E09">
        <w:rPr>
          <w:rFonts w:ascii="宋体" w:hAnsi="宋体" w:cs="宋体" w:hint="eastAsia"/>
          <w:bCs/>
          <w:color w:val="000000"/>
          <w:sz w:val="21"/>
          <w:szCs w:val="21"/>
        </w:rPr>
        <w:t>4、目标ETF的基金管理人发生变更（但变更后的本基金与目标ETF的基金管理人相同的除外）。</w:t>
      </w:r>
    </w:p>
    <w:p w14:paraId="0BEF1595" w14:textId="77777777" w:rsidR="00E47E09" w:rsidRPr="00E47E09" w:rsidRDefault="00E47E09" w:rsidP="00E47E09">
      <w:pPr>
        <w:pStyle w:val="a9"/>
        <w:snapToGrid w:val="0"/>
        <w:ind w:firstLineChars="196" w:firstLine="412"/>
        <w:rPr>
          <w:rFonts w:ascii="宋体" w:hAnsi="宋体" w:cs="宋体"/>
          <w:bCs/>
          <w:color w:val="000000"/>
          <w:sz w:val="21"/>
          <w:szCs w:val="21"/>
        </w:rPr>
      </w:pPr>
    </w:p>
    <w:p w14:paraId="2F27A93E" w14:textId="77777777" w:rsidR="009C2D86" w:rsidRDefault="0027599D">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九、侧袋机制的实施和投资运作安排</w:t>
      </w:r>
    </w:p>
    <w:p w14:paraId="1F9470A3" w14:textId="77777777" w:rsidR="009C2D86" w:rsidRDefault="0027599D">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1CB1F123" w14:textId="77777777" w:rsidR="009C2D86" w:rsidRDefault="0027599D">
      <w:pPr>
        <w:pStyle w:val="a9"/>
        <w:snapToGrid w:val="0"/>
        <w:ind w:firstLineChars="196" w:firstLine="412"/>
        <w:rPr>
          <w:rFonts w:ascii="宋体" w:hAnsi="宋体" w:cs="宋体"/>
          <w:bCs/>
          <w:color w:val="000000"/>
          <w:sz w:val="21"/>
          <w:szCs w:val="21"/>
        </w:rPr>
      </w:pPr>
      <w:r>
        <w:rPr>
          <w:rFonts w:ascii="宋体" w:hAnsi="宋体" w:cs="宋体" w:hint="eastAsia"/>
          <w:bCs/>
          <w:color w:val="000000"/>
          <w:sz w:val="21"/>
          <w:szCs w:val="21"/>
        </w:rPr>
        <w:t>侧袋机制实施期间，本部分约定的投资组合比例、投资策略、组合限制、业绩比较基准、风险收益特征等约定仅适用于主袋账户。</w:t>
      </w:r>
    </w:p>
    <w:p w14:paraId="52AC2F81" w14:textId="64F8641F" w:rsidR="009C2D86" w:rsidRDefault="0027599D" w:rsidP="004F5A23">
      <w:pPr>
        <w:pStyle w:val="a9"/>
        <w:snapToGrid w:val="0"/>
        <w:ind w:firstLineChars="196" w:firstLine="412"/>
      </w:pPr>
      <w:r>
        <w:rPr>
          <w:rFonts w:ascii="宋体" w:hAnsi="宋体" w:cs="宋体" w:hint="eastAsia"/>
          <w:bCs/>
          <w:color w:val="000000"/>
          <w:sz w:val="21"/>
          <w:szCs w:val="21"/>
        </w:rPr>
        <w:t>侧袋账户的实施条件、实施程序、运作安排、投资安排、特定资产的处置变现和支付等对投资者权益有重大影响的事项详见招募说明书“侧袋机制”部分的规定。</w:t>
      </w:r>
    </w:p>
    <w:p w14:paraId="32A73F02"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01" w:name="_Toc360794412"/>
      <w:bookmarkStart w:id="102" w:name="_Toc362533459"/>
      <w:bookmarkStart w:id="103" w:name="_Toc362455187"/>
      <w:bookmarkStart w:id="104" w:name="_Toc48900077"/>
      <w:bookmarkStart w:id="105" w:name="_Toc360793854"/>
      <w:bookmarkStart w:id="106" w:name="_Toc360794104"/>
      <w:bookmarkStart w:id="107" w:name="_Toc360794520"/>
      <w:bookmarkStart w:id="108" w:name="_Toc360793502"/>
      <w:r>
        <w:rPr>
          <w:rFonts w:ascii="宋体" w:eastAsia="宋体" w:hAnsi="宋体" w:cs="宋体" w:hint="eastAsia"/>
        </w:rPr>
        <w:t>基金的财产</w:t>
      </w:r>
      <w:bookmarkEnd w:id="101"/>
      <w:bookmarkEnd w:id="102"/>
      <w:bookmarkEnd w:id="103"/>
      <w:bookmarkEnd w:id="104"/>
      <w:bookmarkEnd w:id="105"/>
      <w:bookmarkEnd w:id="106"/>
      <w:bookmarkEnd w:id="107"/>
      <w:bookmarkEnd w:id="108"/>
    </w:p>
    <w:p w14:paraId="5528ECB8" w14:textId="77777777" w:rsidR="009C2D86" w:rsidRDefault="009C2D86">
      <w:pPr>
        <w:snapToGrid w:val="0"/>
        <w:spacing w:line="360" w:lineRule="auto"/>
        <w:rPr>
          <w:rFonts w:ascii="宋体" w:cs="Times New Roman"/>
        </w:rPr>
      </w:pPr>
      <w:bookmarkStart w:id="109" w:name="_Hlt88900062"/>
      <w:bookmarkStart w:id="110" w:name="_Hlt88841837"/>
      <w:bookmarkEnd w:id="109"/>
      <w:bookmarkEnd w:id="110"/>
    </w:p>
    <w:p w14:paraId="1E0E2324" w14:textId="77777777" w:rsidR="009C2D86" w:rsidRDefault="0027599D">
      <w:pPr>
        <w:snapToGrid w:val="0"/>
        <w:spacing w:line="360" w:lineRule="auto"/>
        <w:ind w:firstLineChars="200" w:firstLine="420"/>
        <w:rPr>
          <w:rFonts w:ascii="宋体" w:cs="Times New Roman"/>
        </w:rPr>
      </w:pPr>
      <w:r>
        <w:rPr>
          <w:rFonts w:ascii="宋体" w:cs="Times New Roman" w:hint="eastAsia"/>
        </w:rPr>
        <w:t>一、基金资产总值</w:t>
      </w:r>
    </w:p>
    <w:p w14:paraId="1F66DCD2" w14:textId="77777777" w:rsidR="009C2D86" w:rsidRDefault="0027599D">
      <w:pPr>
        <w:snapToGrid w:val="0"/>
        <w:spacing w:line="360" w:lineRule="auto"/>
        <w:ind w:firstLineChars="200" w:firstLine="420"/>
        <w:rPr>
          <w:rFonts w:ascii="宋体" w:cs="Times New Roman"/>
        </w:rPr>
      </w:pPr>
      <w:r>
        <w:rPr>
          <w:rFonts w:ascii="宋体" w:cs="Times New Roman" w:hint="eastAsia"/>
        </w:rPr>
        <w:t>基金资产总值是指基金拥有的</w:t>
      </w:r>
      <w:r>
        <w:rPr>
          <w:rFonts w:ascii="宋体" w:hAnsi="宋体" w:hint="eastAsia"/>
          <w:bCs/>
        </w:rPr>
        <w:t>目标ETF基金份额、</w:t>
      </w:r>
      <w:r>
        <w:rPr>
          <w:rFonts w:ascii="宋体" w:cs="Times New Roman" w:hint="eastAsia"/>
        </w:rPr>
        <w:t>各类</w:t>
      </w:r>
      <w:r>
        <w:rPr>
          <w:rFonts w:ascii="宋体" w:cs="Times New Roman" w:hint="eastAsia"/>
          <w:bCs/>
        </w:rPr>
        <w:t>有价</w:t>
      </w:r>
      <w:r>
        <w:rPr>
          <w:rFonts w:ascii="宋体" w:cs="Times New Roman" w:hint="eastAsia"/>
        </w:rPr>
        <w:t>证券及票据价值、银行存款本息和基金应收的申购基金款以及其他投资所形成的价值总和。</w:t>
      </w:r>
    </w:p>
    <w:p w14:paraId="4832155E" w14:textId="77777777" w:rsidR="009C2D86" w:rsidRDefault="0027599D">
      <w:pPr>
        <w:snapToGrid w:val="0"/>
        <w:spacing w:line="360" w:lineRule="auto"/>
        <w:ind w:firstLineChars="200" w:firstLine="420"/>
        <w:rPr>
          <w:rFonts w:ascii="宋体" w:cs="Times New Roman"/>
        </w:rPr>
      </w:pPr>
      <w:r>
        <w:rPr>
          <w:rFonts w:ascii="宋体" w:cs="Times New Roman" w:hint="eastAsia"/>
        </w:rPr>
        <w:t>二、基金资产净值</w:t>
      </w:r>
    </w:p>
    <w:p w14:paraId="446A9003" w14:textId="77777777" w:rsidR="009C2D86" w:rsidRDefault="0027599D">
      <w:pPr>
        <w:snapToGrid w:val="0"/>
        <w:spacing w:line="360" w:lineRule="auto"/>
        <w:ind w:firstLineChars="200" w:firstLine="420"/>
        <w:rPr>
          <w:rFonts w:ascii="宋体" w:cs="Times New Roman"/>
        </w:rPr>
      </w:pPr>
      <w:r>
        <w:rPr>
          <w:rFonts w:ascii="宋体" w:cs="Times New Roman" w:hint="eastAsia"/>
        </w:rPr>
        <w:t>基金资产净值是指基金资产总值减去基金负债后的价值。</w:t>
      </w:r>
    </w:p>
    <w:p w14:paraId="4723AD43" w14:textId="77777777" w:rsidR="009C2D86" w:rsidRDefault="0027599D">
      <w:pPr>
        <w:snapToGrid w:val="0"/>
        <w:spacing w:line="360" w:lineRule="auto"/>
        <w:ind w:firstLineChars="200" w:firstLine="420"/>
        <w:rPr>
          <w:rFonts w:ascii="宋体" w:cs="Times New Roman"/>
        </w:rPr>
      </w:pPr>
      <w:r>
        <w:rPr>
          <w:rFonts w:ascii="宋体" w:cs="Times New Roman" w:hint="eastAsia"/>
        </w:rPr>
        <w:t>三、基金财产的账户</w:t>
      </w:r>
    </w:p>
    <w:p w14:paraId="3EBACBF1" w14:textId="2825D580" w:rsidR="009C2D86" w:rsidRDefault="0027599D">
      <w:pPr>
        <w:snapToGrid w:val="0"/>
        <w:spacing w:line="360" w:lineRule="auto"/>
        <w:ind w:firstLineChars="200" w:firstLine="420"/>
        <w:rPr>
          <w:rFonts w:ascii="宋体" w:cs="Times New Roman"/>
        </w:rPr>
      </w:pPr>
      <w:r>
        <w:rPr>
          <w:rFonts w:ascii="宋体" w:cs="Times New Roman" w:hint="eastAsia"/>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1F2EA5E8" w14:textId="77777777" w:rsidR="009C2D86" w:rsidRDefault="0027599D">
      <w:pPr>
        <w:snapToGrid w:val="0"/>
        <w:spacing w:line="360" w:lineRule="auto"/>
        <w:ind w:firstLineChars="200" w:firstLine="420"/>
        <w:rPr>
          <w:rFonts w:ascii="宋体" w:cs="Times New Roman"/>
        </w:rPr>
      </w:pPr>
      <w:r>
        <w:rPr>
          <w:rFonts w:ascii="宋体" w:cs="Times New Roman" w:hint="eastAsia"/>
        </w:rPr>
        <w:t>四、基金财产的保管和处分</w:t>
      </w:r>
    </w:p>
    <w:p w14:paraId="5B9F8873"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12429572"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1F6BFEF2" w14:textId="77777777" w:rsidR="009C2D86" w:rsidRDefault="009C2D86">
      <w:pPr>
        <w:snapToGrid w:val="0"/>
        <w:spacing w:line="360" w:lineRule="auto"/>
        <w:ind w:firstLineChars="200" w:firstLine="420"/>
        <w:rPr>
          <w:rFonts w:ascii="宋体" w:cs="Times New Roman"/>
        </w:rPr>
      </w:pPr>
    </w:p>
    <w:p w14:paraId="0D205D2A" w14:textId="77777777" w:rsidR="009C2D86" w:rsidRDefault="009C2D86">
      <w:pPr>
        <w:snapToGrid w:val="0"/>
        <w:spacing w:line="360" w:lineRule="auto"/>
        <w:ind w:firstLineChars="200" w:firstLine="420"/>
        <w:rPr>
          <w:rFonts w:ascii="宋体" w:cs="Times New Roman"/>
          <w:color w:val="000000"/>
        </w:rPr>
      </w:pPr>
    </w:p>
    <w:p w14:paraId="2DA2C02B" w14:textId="77777777" w:rsidR="009C2D86" w:rsidRDefault="0027599D">
      <w:pPr>
        <w:pStyle w:val="ab"/>
        <w:snapToGrid w:val="0"/>
        <w:spacing w:line="360" w:lineRule="auto"/>
        <w:ind w:firstLineChars="200"/>
        <w:rPr>
          <w:rFonts w:ascii="宋体"/>
          <w:color w:val="000000"/>
        </w:rPr>
      </w:pPr>
      <w:r>
        <w:rPr>
          <w:rFonts w:ascii="宋体"/>
          <w:color w:val="000000"/>
          <w:kern w:val="0"/>
        </w:rPr>
        <w:br w:type="page"/>
      </w:r>
    </w:p>
    <w:p w14:paraId="57B2F608"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11" w:name="_Toc362533460"/>
      <w:bookmarkStart w:id="112" w:name="_Toc360794413"/>
      <w:bookmarkStart w:id="113" w:name="_Toc360794521"/>
      <w:bookmarkStart w:id="114" w:name="_Toc362455188"/>
      <w:bookmarkStart w:id="115" w:name="_Toc360793855"/>
      <w:bookmarkStart w:id="116" w:name="_Toc360794105"/>
      <w:bookmarkStart w:id="117" w:name="_Toc360793503"/>
      <w:bookmarkStart w:id="118" w:name="_Toc48900078"/>
      <w:r>
        <w:rPr>
          <w:rFonts w:ascii="宋体" w:eastAsia="宋体" w:hAnsi="宋体" w:cs="宋体" w:hint="eastAsia"/>
        </w:rPr>
        <w:t>基金资产估值</w:t>
      </w:r>
      <w:bookmarkEnd w:id="111"/>
      <w:bookmarkEnd w:id="112"/>
      <w:bookmarkEnd w:id="113"/>
      <w:bookmarkEnd w:id="114"/>
      <w:bookmarkEnd w:id="115"/>
      <w:bookmarkEnd w:id="116"/>
      <w:bookmarkEnd w:id="117"/>
      <w:bookmarkEnd w:id="118"/>
    </w:p>
    <w:p w14:paraId="07956488" w14:textId="77777777" w:rsidR="009C2D86" w:rsidRDefault="009C2D86">
      <w:pPr>
        <w:snapToGrid w:val="0"/>
        <w:spacing w:line="360" w:lineRule="auto"/>
        <w:ind w:firstLineChars="200" w:firstLine="420"/>
        <w:rPr>
          <w:rFonts w:ascii="宋体" w:cs="Times New Roman"/>
        </w:rPr>
      </w:pPr>
    </w:p>
    <w:p w14:paraId="093E5DCC"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一、估值日</w:t>
      </w:r>
    </w:p>
    <w:p w14:paraId="38A10AE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本基金的估值日为本基金相关的证券交易场所的交易日以及国家法律法规规定需要对外披露基金净值的非交易日。</w:t>
      </w:r>
    </w:p>
    <w:p w14:paraId="152C8881"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二、估值对象</w:t>
      </w:r>
    </w:p>
    <w:p w14:paraId="687D7A01" w14:textId="4E7C59FA"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基金所拥有的目标</w:t>
      </w:r>
      <w:r>
        <w:rPr>
          <w:rFonts w:ascii="Times New Roman" w:hAnsi="Times New Roman" w:cs="Times New Roman" w:hint="eastAsia"/>
        </w:rPr>
        <w:t>ETF</w:t>
      </w:r>
      <w:r>
        <w:rPr>
          <w:rFonts w:ascii="Times New Roman" w:hAnsi="Times New Roman" w:cs="Times New Roman" w:hint="eastAsia"/>
        </w:rPr>
        <w:t>基金份额、股票、债券、银行存款本息、应收款项、</w:t>
      </w:r>
      <w:r w:rsidR="0089761E">
        <w:rPr>
          <w:rFonts w:ascii="Times New Roman" w:hAnsi="Times New Roman" w:cs="Times New Roman" w:hint="eastAsia"/>
        </w:rPr>
        <w:t>金融</w:t>
      </w:r>
      <w:r>
        <w:rPr>
          <w:rFonts w:ascii="Times New Roman" w:hAnsi="Times New Roman" w:cs="Times New Roman" w:hint="eastAsia"/>
        </w:rPr>
        <w:t>衍生</w:t>
      </w:r>
      <w:r w:rsidR="00DE001D">
        <w:rPr>
          <w:rFonts w:ascii="Times New Roman" w:hAnsi="Times New Roman" w:cs="Times New Roman" w:hint="eastAsia"/>
        </w:rPr>
        <w:t>品</w:t>
      </w:r>
      <w:r>
        <w:rPr>
          <w:rFonts w:ascii="Times New Roman" w:hAnsi="Times New Roman" w:cs="Times New Roman" w:hint="eastAsia"/>
        </w:rPr>
        <w:t>、资产支持证券和其他投资等资产及负债。</w:t>
      </w:r>
    </w:p>
    <w:p w14:paraId="30BE5A98"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三、估值原则</w:t>
      </w:r>
    </w:p>
    <w:p w14:paraId="11A65815"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基金管理人在确定相关金融资产和金融负债的公允价值时，应符合《企业会计准则》、监管部门有关规定。</w:t>
      </w:r>
    </w:p>
    <w:p w14:paraId="358DCF75"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1C5C8D54"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5A6907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20184AC"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（三）如经济环境发生重大变化或证券发行人发生影响证券价格的重大事件，使潜在估值调整对前一估值日的基金资产净值的影响在</w:t>
      </w:r>
      <w:r>
        <w:rPr>
          <w:rFonts w:ascii="Times New Roman" w:hAnsi="Times New Roman" w:cs="Times New Roman" w:hint="eastAsia"/>
        </w:rPr>
        <w:t>0.25%</w:t>
      </w:r>
      <w:r>
        <w:rPr>
          <w:rFonts w:ascii="Times New Roman" w:hAnsi="Times New Roman" w:cs="Times New Roman" w:hint="eastAsia"/>
        </w:rPr>
        <w:t>以上的，应对估值进行调整并确定公允价值。</w:t>
      </w:r>
    </w:p>
    <w:p w14:paraId="0F4B60A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四、估值方法</w:t>
      </w:r>
    </w:p>
    <w:p w14:paraId="59C69F0F"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、目标</w:t>
      </w:r>
      <w:r>
        <w:rPr>
          <w:rFonts w:ascii="Times New Roman" w:hAnsi="Times New Roman" w:cs="Times New Roman" w:hint="eastAsia"/>
        </w:rPr>
        <w:t>ETF</w:t>
      </w:r>
      <w:r>
        <w:rPr>
          <w:rFonts w:ascii="Times New Roman" w:hAnsi="Times New Roman" w:cs="Times New Roman" w:hint="eastAsia"/>
        </w:rPr>
        <w:t>的估值</w:t>
      </w:r>
    </w:p>
    <w:p w14:paraId="33D0F77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本基金投资的目标</w:t>
      </w:r>
      <w:r>
        <w:rPr>
          <w:rFonts w:ascii="Times New Roman" w:hAnsi="Times New Roman" w:cs="Times New Roman" w:hint="eastAsia"/>
        </w:rPr>
        <w:t>ETF</w:t>
      </w:r>
      <w:r>
        <w:rPr>
          <w:rFonts w:ascii="Times New Roman" w:hAnsi="Times New Roman" w:cs="Times New Roman" w:hint="eastAsia"/>
        </w:rPr>
        <w:t>份额以其估值日基金份额净值估值，如该日目标</w:t>
      </w:r>
      <w:r>
        <w:rPr>
          <w:rFonts w:ascii="Times New Roman" w:hAnsi="Times New Roman" w:cs="Times New Roman" w:hint="eastAsia"/>
        </w:rPr>
        <w:t>ETF</w:t>
      </w:r>
      <w:r>
        <w:rPr>
          <w:rFonts w:ascii="Times New Roman" w:hAnsi="Times New Roman" w:cs="Times New Roman" w:hint="eastAsia"/>
        </w:rPr>
        <w:t>未公布净值，则按目标</w:t>
      </w:r>
      <w:r>
        <w:rPr>
          <w:rFonts w:ascii="Times New Roman" w:hAnsi="Times New Roman" w:cs="Times New Roman" w:hint="eastAsia"/>
        </w:rPr>
        <w:t>ETF</w:t>
      </w:r>
      <w:r>
        <w:rPr>
          <w:rFonts w:ascii="Times New Roman" w:hAnsi="Times New Roman" w:cs="Times New Roman" w:hint="eastAsia"/>
        </w:rPr>
        <w:t>最近公布的净值估值。</w:t>
      </w:r>
    </w:p>
    <w:p w14:paraId="72B3459B"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bCs/>
        </w:rPr>
        <w:t>2</w:t>
      </w:r>
      <w:r>
        <w:rPr>
          <w:rFonts w:ascii="Times New Roman" w:hAnsi="Times New Roman" w:cs="Times New Roman" w:hint="eastAsia"/>
          <w:bCs/>
        </w:rPr>
        <w:t>、以公允价值计量的权益品种的估值</w:t>
      </w:r>
    </w:p>
    <w:p w14:paraId="62824B49"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1</w:t>
      </w:r>
      <w:r>
        <w:rPr>
          <w:rFonts w:ascii="Times New Roman" w:hAnsi="Times New Roman" w:cs="Times New Roman" w:hint="eastAsia"/>
          <w:bCs/>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2197C6AE" w14:textId="77777777" w:rsidR="00136255" w:rsidRPr="00136255" w:rsidRDefault="0027599D" w:rsidP="00136255">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2</w:t>
      </w:r>
      <w:r>
        <w:rPr>
          <w:rFonts w:ascii="Times New Roman" w:hAnsi="Times New Roman" w:cs="Times New Roman" w:hint="eastAsia"/>
          <w:bCs/>
        </w:rPr>
        <w:t>）</w:t>
      </w:r>
      <w:r w:rsidR="00136255" w:rsidRPr="00136255">
        <w:rPr>
          <w:rFonts w:ascii="Times New Roman" w:hAnsi="Times New Roman" w:cs="Times New Roman" w:hint="eastAsia"/>
          <w:bCs/>
        </w:rPr>
        <w:t>交易所上市不存在活跃市场的有价证券，采用估值技术确定公允价值。</w:t>
      </w:r>
    </w:p>
    <w:p w14:paraId="3B8F12A6" w14:textId="56ADD787" w:rsidR="009C2D86" w:rsidRDefault="00136255" w:rsidP="00136255">
      <w:pPr>
        <w:numPr>
          <w:ilvl w:val="12"/>
          <w:numId w:val="0"/>
        </w:numPr>
        <w:snapToGrid w:val="0"/>
        <w:spacing w:line="360" w:lineRule="auto"/>
        <w:ind w:firstLineChars="200" w:firstLine="420"/>
        <w:rPr>
          <w:rFonts w:ascii="Times New Roman" w:hAnsi="Times New Roman" w:cs="Times New Roman"/>
          <w:bCs/>
        </w:rPr>
      </w:pPr>
      <w:r w:rsidRPr="00136255">
        <w:rPr>
          <w:rFonts w:ascii="Times New Roman" w:hAnsi="Times New Roman" w:cs="Times New Roman" w:hint="eastAsia"/>
          <w:bCs/>
        </w:rPr>
        <w:t>（</w:t>
      </w:r>
      <w:r w:rsidRPr="00136255">
        <w:rPr>
          <w:rFonts w:ascii="Times New Roman" w:hAnsi="Times New Roman" w:cs="Times New Roman" w:hint="eastAsia"/>
          <w:bCs/>
        </w:rPr>
        <w:t>3</w:t>
      </w:r>
      <w:r w:rsidRPr="00136255">
        <w:rPr>
          <w:rFonts w:ascii="Times New Roman" w:hAnsi="Times New Roman" w:cs="Times New Roman" w:hint="eastAsia"/>
          <w:bCs/>
        </w:rPr>
        <w:t>）</w:t>
      </w:r>
      <w:r w:rsidR="0027599D">
        <w:rPr>
          <w:rFonts w:ascii="Times New Roman" w:hAnsi="Times New Roman" w:cs="Times New Roman" w:hint="eastAsia"/>
          <w:bCs/>
        </w:rPr>
        <w:t>交易所处于未上市期间的有价权益证券应区分如下情况处理：</w:t>
      </w:r>
    </w:p>
    <w:p w14:paraId="7ACB500E"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1</w:t>
      </w:r>
      <w:r>
        <w:rPr>
          <w:rFonts w:ascii="Times New Roman" w:hAnsi="Times New Roman" w:cs="Times New Roman" w:hint="eastAsia"/>
          <w:bCs/>
        </w:rPr>
        <w:t>）送股、转增股、配股和公开增发的新股，按估值日在证券交易所挂牌的同一股票的估值方法估值；该日无交易的，以最近一日的市价（收盘价）估值。</w:t>
      </w:r>
    </w:p>
    <w:p w14:paraId="64CB1C8C" w14:textId="15531F9C"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2</w:t>
      </w:r>
      <w:r>
        <w:rPr>
          <w:rFonts w:ascii="Times New Roman" w:hAnsi="Times New Roman" w:cs="Times New Roman" w:hint="eastAsia"/>
          <w:bCs/>
        </w:rPr>
        <w:t>）首次公开发行未上市的股票，采用估值技术确定公允价值。</w:t>
      </w:r>
    </w:p>
    <w:p w14:paraId="5F13239D"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3</w:t>
      </w:r>
      <w:r>
        <w:rPr>
          <w:rFonts w:ascii="Times New Roman" w:hAnsi="Times New Roman" w:cs="Times New Roman" w:hint="eastAsia"/>
          <w:bCs/>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C4A286E"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bCs/>
        </w:rPr>
        <w:t>3</w:t>
      </w:r>
      <w:r>
        <w:rPr>
          <w:rFonts w:ascii="Times New Roman" w:hAnsi="Times New Roman" w:cs="Times New Roman" w:hint="eastAsia"/>
          <w:bCs/>
        </w:rPr>
        <w:t>、以公允价值计量的固定收益品种的估值</w:t>
      </w:r>
    </w:p>
    <w:p w14:paraId="43FE0177"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1</w:t>
      </w:r>
      <w:r>
        <w:rPr>
          <w:rFonts w:ascii="Times New Roman" w:hAnsi="Times New Roman" w:cs="Times New Roman" w:hint="eastAsia"/>
          <w:bCs/>
        </w:rPr>
        <w:t>）对于已上市或已挂牌转让的不含权固定收益品种（另有规定的除外），选取第三方估值基准服务机构提供的相应品种当日的估值全价，基金管理人应根据相关法律、法规的规定进行涉税处理（下同）。</w:t>
      </w:r>
    </w:p>
    <w:p w14:paraId="028B15AA"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2</w:t>
      </w:r>
      <w:r>
        <w:rPr>
          <w:rFonts w:ascii="Times New Roman" w:hAnsi="Times New Roman" w:cs="Times New Roman" w:hint="eastAsia"/>
          <w:bCs/>
        </w:rPr>
        <w:t>）对于已上市或已挂牌转让的含权固定收益品种（另有规定的除外），选取第三方估值基准服务机构提供的相应品种当日的唯一估值全价或推荐估值全价。</w:t>
      </w:r>
    </w:p>
    <w:p w14:paraId="2CCACFA9"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7B8D4303"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3</w:t>
      </w:r>
      <w:r>
        <w:rPr>
          <w:rFonts w:ascii="Times New Roman" w:hAnsi="Times New Roman" w:cs="Times New Roman" w:hint="eastAsia"/>
          <w:bCs/>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7550B8E8"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4</w:t>
      </w:r>
      <w:r>
        <w:rPr>
          <w:rFonts w:ascii="Times New Roman" w:hAnsi="Times New Roman" w:cs="Times New Roman" w:hint="eastAsia"/>
          <w:bCs/>
        </w:rPr>
        <w:t>）对于未上市或未挂牌转让且不存在活跃市场的固定收益品种，应采用在当前情况下适用并且有足够可利用数据和其他信息支持的估值技术确定其公允价值。</w:t>
      </w:r>
    </w:p>
    <w:p w14:paraId="34D28EFF" w14:textId="77777777" w:rsidR="009C2D86" w:rsidRDefault="0027599D">
      <w:pPr>
        <w:numPr>
          <w:ilvl w:val="12"/>
          <w:numId w:val="0"/>
        </w:numPr>
        <w:snapToGrid w:val="0"/>
        <w:spacing w:line="360" w:lineRule="auto"/>
        <w:ind w:firstLineChars="200" w:firstLine="420"/>
        <w:rPr>
          <w:rFonts w:ascii="Times New Roman" w:hAnsi="Times New Roman" w:cs="Times New Roman"/>
          <w:bCs/>
        </w:rPr>
      </w:pPr>
      <w:r>
        <w:rPr>
          <w:rFonts w:ascii="Times New Roman" w:hAnsi="Times New Roman" w:cs="Times New Roman" w:hint="eastAsia"/>
          <w:bCs/>
        </w:rPr>
        <w:t>（</w:t>
      </w:r>
      <w:r>
        <w:rPr>
          <w:rFonts w:ascii="Times New Roman" w:hAnsi="Times New Roman" w:cs="Times New Roman" w:hint="eastAsia"/>
          <w:bCs/>
        </w:rPr>
        <w:t>5</w:t>
      </w:r>
      <w:r>
        <w:rPr>
          <w:rFonts w:ascii="Times New Roman" w:hAnsi="Times New Roman" w:cs="Times New Roman" w:hint="eastAsia"/>
          <w:bCs/>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0CC4AA13" w14:textId="5ABFC311"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bCs/>
        </w:rPr>
        <w:t>（</w:t>
      </w:r>
      <w:r>
        <w:rPr>
          <w:rFonts w:ascii="Times New Roman" w:hAnsi="Times New Roman" w:cs="Times New Roman" w:hint="eastAsia"/>
          <w:bCs/>
        </w:rPr>
        <w:t>6</w:t>
      </w:r>
      <w:r>
        <w:rPr>
          <w:rFonts w:ascii="Times New Roman" w:hAnsi="Times New Roman" w:cs="Times New Roman" w:hint="eastAsia"/>
          <w:bCs/>
        </w:rPr>
        <w:t>）</w:t>
      </w:r>
      <w:r w:rsidR="00053919" w:rsidRPr="00053919">
        <w:rPr>
          <w:rFonts w:ascii="Times New Roman" w:hAnsi="Times New Roman" w:cs="Times New Roman" w:hint="eastAsia"/>
          <w:bCs/>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r w:rsidR="00136255" w:rsidRPr="00136255">
        <w:rPr>
          <w:rFonts w:ascii="Times New Roman" w:hAnsi="Times New Roman" w:cs="Times New Roman" w:hint="eastAsia"/>
          <w:bCs/>
        </w:rPr>
        <w:t>。</w:t>
      </w:r>
    </w:p>
    <w:p w14:paraId="6FBD61C8"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4</w:t>
      </w:r>
      <w:r>
        <w:rPr>
          <w:rFonts w:ascii="Times New Roman" w:hAnsi="Times New Roman" w:cs="Times New Roman" w:hint="eastAsia"/>
        </w:rPr>
        <w:t>、同一证券同时在两个或两个以上市场交易的，按证券所处的市场分别估值。</w:t>
      </w:r>
    </w:p>
    <w:p w14:paraId="4F5D2F6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、本基金投资股指期货合约，一般以估值当日结算价进行估值，估值当日无结算价的，且最近交易日后经济环境未发生重大变化的，采用最近交易日结算价估值。如法律法规今后另有规定的，从其规定。</w:t>
      </w:r>
    </w:p>
    <w:p w14:paraId="44F0D5C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本基金投资股票期权合约，根据相关法律法规以及监管部门的规定估值。</w:t>
      </w:r>
    </w:p>
    <w:p w14:paraId="66468FE1"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6</w:t>
      </w:r>
      <w:r>
        <w:rPr>
          <w:rFonts w:ascii="Times New Roman" w:hAnsi="Times New Roman" w:cs="Times New Roman" w:hint="eastAsia"/>
        </w:rPr>
        <w:t>、基金参与</w:t>
      </w:r>
      <w:r>
        <w:rPr>
          <w:rFonts w:ascii="Times New Roman" w:hAnsi="Times New Roman" w:cs="Times New Roman" w:hint="eastAsia"/>
          <w:bCs/>
        </w:rPr>
        <w:t>融资和</w:t>
      </w:r>
      <w:r>
        <w:rPr>
          <w:rFonts w:ascii="Times New Roman" w:hAnsi="Times New Roman" w:cs="Times New Roman" w:hint="eastAsia"/>
        </w:rPr>
        <w:t>转融通证券出借业务的，应参照相关法律法规和中国证券投资基金业协会发布的相关规定进行估值，确保估值的公允性。</w:t>
      </w:r>
    </w:p>
    <w:p w14:paraId="3C0AA15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7</w:t>
      </w:r>
      <w:r>
        <w:rPr>
          <w:rFonts w:ascii="Times New Roman" w:hAnsi="Times New Roman" w:cs="Times New Roman" w:hint="eastAsia"/>
        </w:rPr>
        <w:t>、当发生大额申购或赎回情形时，基金管理人可以采用摆动定价机制，以确保基金估值的公平性。具体处理原则与操作规范遵循相关法律法规以及监管部门、自律组织的规定。</w:t>
      </w:r>
    </w:p>
    <w:p w14:paraId="7EDCC1C6"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8</w:t>
      </w:r>
      <w:r>
        <w:rPr>
          <w:rFonts w:ascii="Times New Roman" w:hAnsi="Times New Roman" w:cs="Times New Roman" w:hint="eastAsia"/>
        </w:rPr>
        <w:t>、本基金投资存托凭证的估值核算依照境内上市交易的股票执行。</w:t>
      </w:r>
    </w:p>
    <w:p w14:paraId="7602BF17"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9</w:t>
      </w:r>
      <w:r>
        <w:rPr>
          <w:rFonts w:ascii="Times New Roman" w:hAnsi="Times New Roman" w:cs="Times New Roman" w:hint="eastAsia"/>
        </w:rPr>
        <w:t>、如有确凿证据表明按原有方法进行估值不能客观反映上述资产或负债公允价值的，基金管理人可根据具体情况与基金托管人商定后，按最能反映公允价值的方法估值。</w:t>
      </w:r>
    </w:p>
    <w:p w14:paraId="6269C06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0</w:t>
      </w:r>
      <w:r>
        <w:rPr>
          <w:rFonts w:ascii="Times New Roman" w:hAnsi="Times New Roman" w:cs="Times New Roman" w:hint="eastAsia"/>
        </w:rPr>
        <w:t>、相关法律法规以及监管部门、自律规则另有规定的，从其规定。如有新增事项，按国家最新规定估值。</w:t>
      </w:r>
    </w:p>
    <w:p w14:paraId="0E08052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64BB07DA" w14:textId="56C82C9E"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w:t>
      </w:r>
      <w:r w:rsidR="00136255" w:rsidRPr="00136255">
        <w:rPr>
          <w:rFonts w:ascii="Times New Roman" w:hAnsi="Times New Roman" w:cs="Times New Roman" w:hint="eastAsia"/>
        </w:rPr>
        <w:t>基金管理人向基金托管人出具盖章的书面说明后，</w:t>
      </w:r>
      <w:r>
        <w:rPr>
          <w:rFonts w:ascii="Times New Roman" w:hAnsi="Times New Roman" w:cs="Times New Roman" w:hint="eastAsia"/>
        </w:rPr>
        <w:t>按照基金管理人对基金净值信息的计算结果对外予以公布。</w:t>
      </w:r>
    </w:p>
    <w:p w14:paraId="7629301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五、估值程序</w:t>
      </w:r>
    </w:p>
    <w:p w14:paraId="25274398"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、各类基金份额净值是按照每个估值日闭市后，各类基金份额的基金资产净值除以当日该类基金份额的余额数量计算，精确到</w:t>
      </w:r>
      <w:r>
        <w:rPr>
          <w:rFonts w:ascii="Times New Roman" w:hAnsi="Times New Roman" w:cs="Times New Roman" w:hint="eastAsia"/>
        </w:rPr>
        <w:t>0.0001</w:t>
      </w:r>
      <w:r>
        <w:rPr>
          <w:rFonts w:ascii="Times New Roman" w:hAnsi="Times New Roman" w:cs="Times New Roman" w:hint="eastAsia"/>
        </w:rPr>
        <w:t>元，小数点后第</w:t>
      </w:r>
      <w:r>
        <w:rPr>
          <w:rFonts w:ascii="Times New Roman" w:hAnsi="Times New Roman" w:cs="Times New Roman" w:hint="eastAsia"/>
        </w:rPr>
        <w:t>5</w:t>
      </w:r>
      <w:r>
        <w:rPr>
          <w:rFonts w:ascii="Times New Roman" w:hAnsi="Times New Roman" w:cs="Times New Roman" w:hint="eastAsia"/>
        </w:rPr>
        <w:t>位四舍五入。基金管理人可以设立大额赎回情形下的净值精度应急调整机制。国家另有规定的，从其规定。</w:t>
      </w:r>
    </w:p>
    <w:p w14:paraId="6E58D24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基金管理人应每个估值日计算基金资产净值及各类基金份额的基金份额净值，并按规定披露。</w:t>
      </w:r>
    </w:p>
    <w:p w14:paraId="60886A4D" w14:textId="1394BACB"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、基金管理人应每个估值日对基金资产估值</w:t>
      </w:r>
      <w:r w:rsidR="001213C6">
        <w:rPr>
          <w:rFonts w:ascii="Times New Roman" w:hAnsi="Times New Roman" w:cs="Times New Roman" w:hint="eastAsia"/>
        </w:rPr>
        <w:t>，</w:t>
      </w:r>
      <w:r>
        <w:rPr>
          <w:rFonts w:ascii="Times New Roman" w:hAnsi="Times New Roman" w:cs="Times New Roman" w:hint="eastAsia"/>
        </w:rPr>
        <w:t>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6C62EAE8"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六、估值错误的处理</w:t>
      </w:r>
    </w:p>
    <w:p w14:paraId="29DAA571"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基金管理人和基金托管人将采取必要、适当、合理的措施确保基金资产估值的准确性、及时性。当</w:t>
      </w:r>
      <w:r>
        <w:rPr>
          <w:rFonts w:ascii="Times New Roman" w:hAnsi="Times New Roman" w:cs="Times New Roman" w:hint="eastAsia"/>
          <w:bCs/>
        </w:rPr>
        <w:t>任一类</w:t>
      </w:r>
      <w:r>
        <w:rPr>
          <w:rFonts w:ascii="Times New Roman" w:hAnsi="Times New Roman" w:cs="Times New Roman" w:hint="eastAsia"/>
        </w:rPr>
        <w:t>基金份额净值小数点后</w:t>
      </w:r>
      <w:r>
        <w:rPr>
          <w:rFonts w:ascii="Times New Roman" w:hAnsi="Times New Roman" w:cs="Times New Roman" w:hint="eastAsia"/>
        </w:rPr>
        <w:t>4</w:t>
      </w:r>
      <w:r>
        <w:rPr>
          <w:rFonts w:ascii="Times New Roman" w:hAnsi="Times New Roman" w:cs="Times New Roman" w:hint="eastAsia"/>
        </w:rPr>
        <w:t>位以内</w:t>
      </w:r>
      <w:r>
        <w:rPr>
          <w:rFonts w:ascii="Times New Roman" w:hAnsi="Times New Roman" w:cs="Times New Roman" w:hint="eastAsia"/>
        </w:rPr>
        <w:t>(</w:t>
      </w:r>
      <w:r>
        <w:rPr>
          <w:rFonts w:ascii="Times New Roman" w:hAnsi="Times New Roman" w:cs="Times New Roman" w:hint="eastAsia"/>
        </w:rPr>
        <w:t>含第</w:t>
      </w:r>
      <w:r>
        <w:rPr>
          <w:rFonts w:ascii="Times New Roman" w:hAnsi="Times New Roman" w:cs="Times New Roman" w:hint="eastAsia"/>
        </w:rPr>
        <w:t>4</w:t>
      </w:r>
      <w:r>
        <w:rPr>
          <w:rFonts w:ascii="Times New Roman" w:hAnsi="Times New Roman" w:cs="Times New Roman" w:hint="eastAsia"/>
        </w:rPr>
        <w:t>位</w:t>
      </w:r>
      <w:r>
        <w:rPr>
          <w:rFonts w:ascii="Times New Roman" w:hAnsi="Times New Roman" w:cs="Times New Roman" w:hint="eastAsia"/>
        </w:rPr>
        <w:t>)</w:t>
      </w:r>
      <w:r>
        <w:rPr>
          <w:rFonts w:ascii="Times New Roman" w:hAnsi="Times New Roman" w:cs="Times New Roman" w:hint="eastAsia"/>
        </w:rPr>
        <w:t>发生估值错误时，视为</w:t>
      </w:r>
      <w:r>
        <w:rPr>
          <w:rFonts w:ascii="Times New Roman" w:hAnsi="Times New Roman" w:cs="Times New Roman" w:hint="eastAsia"/>
          <w:bCs/>
        </w:rPr>
        <w:t>该类</w:t>
      </w:r>
      <w:r>
        <w:rPr>
          <w:rFonts w:ascii="Times New Roman" w:hAnsi="Times New Roman" w:cs="Times New Roman" w:hint="eastAsia"/>
        </w:rPr>
        <w:t>基金份额净值错误。</w:t>
      </w:r>
    </w:p>
    <w:p w14:paraId="4409ADE7"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基金合同的当事人应按照以下约定处理：</w:t>
      </w:r>
    </w:p>
    <w:p w14:paraId="42614631"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、估值错误类型</w:t>
      </w:r>
    </w:p>
    <w:p w14:paraId="28CEA663"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Times New Roman" w:hAnsi="Times New Roman" w:cs="Times New Roman" w:hint="eastAsia"/>
        </w:rPr>
        <w:t>(</w:t>
      </w:r>
      <w:r>
        <w:rPr>
          <w:rFonts w:ascii="Times New Roman" w:hAnsi="Times New Roman" w:cs="Times New Roman" w:hint="eastAsia"/>
        </w:rPr>
        <w:t>“受损方”</w:t>
      </w:r>
      <w:r>
        <w:rPr>
          <w:rFonts w:ascii="Times New Roman" w:hAnsi="Times New Roman" w:cs="Times New Roman" w:hint="eastAsia"/>
        </w:rPr>
        <w:t>)</w:t>
      </w:r>
      <w:r>
        <w:rPr>
          <w:rFonts w:ascii="Times New Roman" w:hAnsi="Times New Roman" w:cs="Times New Roman" w:hint="eastAsia"/>
        </w:rPr>
        <w:t>的直接损失按下述“估值错误处理原则”给予赔偿，承担赔偿责任。</w:t>
      </w:r>
    </w:p>
    <w:p w14:paraId="1AD1DC9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上述估值错误的主要类型包括但不限于：资料申报差错、数据传输差错、数据计算差错、系统故障差错、下达指令差错等。对于因技术原因引起的差错，若系同行业现有技术水平不能预见、不能避免、不能克服，则属不可抗力，按照下述规定执行。</w:t>
      </w:r>
    </w:p>
    <w:p w14:paraId="000932C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7BEEAC0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、估值错误处理原则</w:t>
      </w:r>
    </w:p>
    <w:p w14:paraId="0E4B56C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7B4DC31F"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）估值错误的责任方对有关当事人的直接损失负责，不对间接损失负责，并且仅对估值错误的有关直接当事人负责，不对第三方负责。</w:t>
      </w:r>
    </w:p>
    <w:p w14:paraId="7143757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ascii="Times New Roman" w:hAnsi="Times New Roman" w:cs="Times New Roman" w:hint="eastAsia"/>
        </w:rPr>
        <w:t>(</w:t>
      </w:r>
      <w:r>
        <w:rPr>
          <w:rFonts w:ascii="Times New Roman" w:hAnsi="Times New Roman" w:cs="Times New Roman" w:hint="eastAsia"/>
        </w:rPr>
        <w:t>“受损方”</w:t>
      </w:r>
      <w:r>
        <w:rPr>
          <w:rFonts w:ascii="Times New Roman" w:hAnsi="Times New Roman" w:cs="Times New Roman" w:hint="eastAsia"/>
        </w:rPr>
        <w:t>)</w:t>
      </w:r>
      <w:r>
        <w:rPr>
          <w:rFonts w:ascii="Times New Roman" w:hAnsi="Times New Roman" w:cs="Times New Roman" w:hint="eastAsia"/>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3FF5F14"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）估值错误调整采用尽量恢复至假设未发生估值错误的正确情形的方式。</w:t>
      </w:r>
    </w:p>
    <w:p w14:paraId="36EF694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、估值错误处理程序</w:t>
      </w:r>
    </w:p>
    <w:p w14:paraId="19A732B9"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估值错误被发现后，有关的当事人应当及时进行处理，处理的程序如下：</w:t>
      </w:r>
    </w:p>
    <w:p w14:paraId="3E5199D5"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）查明估值错误发生的原因，列明所有的当事人，并根据估值错误发生的原因确定估值错误的责任方；</w:t>
      </w:r>
    </w:p>
    <w:p w14:paraId="5B8743D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）根据估值错误处理原则或当事人协商的方法对因估值错误造成的损失进行评估；</w:t>
      </w:r>
    </w:p>
    <w:p w14:paraId="6F416EA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）根据估值错误处理原则或当事人协商的方法由估值错误的责任方进行更正和赔偿损失；</w:t>
      </w:r>
    </w:p>
    <w:p w14:paraId="3C400D89"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）根据估值错误处理的方法，需要修改基金登记机构交易数据的，由基金登记机构进行更正，并就估值错误的更正向有关当事人进行确认。</w:t>
      </w:r>
    </w:p>
    <w:p w14:paraId="00541239"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、基金份额净值估值错误处理的方法如下：</w:t>
      </w:r>
    </w:p>
    <w:p w14:paraId="344BB2D4"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）基金份额净值计算出现错误时，基金管理人应当立即予以纠正，通报基金托管人，并采取合理的措施防止损失进一步扩大。</w:t>
      </w:r>
    </w:p>
    <w:p w14:paraId="5718499B" w14:textId="4BCEB199"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）错误偏差达到该类基金份额净值的</w:t>
      </w:r>
      <w:r>
        <w:rPr>
          <w:rFonts w:ascii="Times New Roman" w:hAnsi="Times New Roman" w:cs="Times New Roman" w:hint="eastAsia"/>
        </w:rPr>
        <w:t>0.25%</w:t>
      </w:r>
      <w:r>
        <w:rPr>
          <w:rFonts w:ascii="Times New Roman" w:hAnsi="Times New Roman" w:cs="Times New Roman" w:hint="eastAsia"/>
        </w:rPr>
        <w:t>时，基金管理人应当通报基金托管人并报中国证监会备案；错误偏差达到该类基金份额净值的</w:t>
      </w:r>
      <w:r>
        <w:rPr>
          <w:rFonts w:ascii="Times New Roman" w:hAnsi="Times New Roman" w:cs="Times New Roman" w:hint="eastAsia"/>
        </w:rPr>
        <w:t>0.5%</w:t>
      </w:r>
      <w:r>
        <w:rPr>
          <w:rFonts w:ascii="Times New Roman" w:hAnsi="Times New Roman" w:cs="Times New Roman" w:hint="eastAsia"/>
        </w:rPr>
        <w:t>时，基金管理人应当公告，并报中国证监会备案。</w:t>
      </w:r>
    </w:p>
    <w:p w14:paraId="59CC9852" w14:textId="2AFEF435" w:rsidR="009C2D86" w:rsidRDefault="00F944D5" w:rsidP="00136255">
      <w:pPr>
        <w:numPr>
          <w:ilvl w:val="12"/>
          <w:numId w:val="0"/>
        </w:numPr>
        <w:snapToGrid w:val="0"/>
        <w:spacing w:line="360" w:lineRule="auto"/>
        <w:ind w:firstLineChars="200" w:firstLine="420"/>
        <w:rPr>
          <w:rFonts w:ascii="Times New Roman" w:hAnsi="Times New Roman" w:cs="Times New Roman"/>
        </w:rPr>
      </w:pPr>
      <w:r w:rsidRPr="00F944D5">
        <w:rPr>
          <w:rFonts w:ascii="Times New Roman" w:hAnsi="Times New Roman" w:cs="Times New Roman" w:hint="eastAsia"/>
          <w:bCs/>
        </w:rPr>
        <w:t>（</w:t>
      </w:r>
      <w:r w:rsidRPr="00F944D5">
        <w:rPr>
          <w:rFonts w:ascii="Times New Roman" w:hAnsi="Times New Roman" w:cs="Times New Roman" w:hint="eastAsia"/>
          <w:bCs/>
        </w:rPr>
        <w:t>3</w:t>
      </w:r>
      <w:r w:rsidRPr="00F944D5">
        <w:rPr>
          <w:rFonts w:ascii="Times New Roman" w:hAnsi="Times New Roman" w:cs="Times New Roman" w:hint="eastAsia"/>
          <w:bCs/>
        </w:rPr>
        <w:t>）</w:t>
      </w:r>
      <w:r w:rsidR="0027599D">
        <w:rPr>
          <w:rFonts w:ascii="Times New Roman" w:hAnsi="Times New Roman" w:cs="Times New Roman" w:hint="eastAsia"/>
        </w:rPr>
        <w:t>前述内容如法律法规或监管机关另有规定的，从其规定处理。如果行业另有通行做法，</w:t>
      </w:r>
      <w:r w:rsidR="0027599D">
        <w:rPr>
          <w:rFonts w:ascii="Times New Roman" w:hAnsi="Times New Roman" w:cs="Times New Roman" w:hint="eastAsia"/>
          <w:bCs/>
        </w:rPr>
        <w:t>基金管理人与基金托管人</w:t>
      </w:r>
      <w:r w:rsidR="0027599D">
        <w:rPr>
          <w:rFonts w:ascii="Times New Roman" w:hAnsi="Times New Roman" w:cs="Times New Roman" w:hint="eastAsia"/>
        </w:rPr>
        <w:t>应本着平等和保护基金份额持有人利益的原则进行协商。</w:t>
      </w:r>
    </w:p>
    <w:p w14:paraId="18FC79E7"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七、暂停估值的情形</w:t>
      </w:r>
    </w:p>
    <w:p w14:paraId="28DD4CE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、基金投资所涉及的证券</w:t>
      </w:r>
      <w:r>
        <w:rPr>
          <w:rFonts w:ascii="Times New Roman" w:hAnsi="Times New Roman" w:cs="Times New Roman" w:hint="eastAsia"/>
        </w:rPr>
        <w:t>/</w:t>
      </w:r>
      <w:r>
        <w:rPr>
          <w:rFonts w:ascii="Times New Roman" w:hAnsi="Times New Roman" w:cs="Times New Roman" w:hint="eastAsia"/>
        </w:rPr>
        <w:t>期货交易市场遇法定节假日或因其他原因暂停营业时；</w:t>
      </w:r>
    </w:p>
    <w:p w14:paraId="4CDC771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、基金所投资的目标</w:t>
      </w:r>
      <w:r>
        <w:rPr>
          <w:rFonts w:ascii="Times New Roman" w:hAnsi="Times New Roman" w:cs="Times New Roman" w:hint="eastAsia"/>
        </w:rPr>
        <w:t>ETF</w:t>
      </w:r>
      <w:r>
        <w:rPr>
          <w:rFonts w:ascii="Times New Roman" w:hAnsi="Times New Roman" w:cs="Times New Roman" w:hint="eastAsia"/>
        </w:rPr>
        <w:t>发生暂停估值、暂停公告基金份额净值的情形；</w:t>
      </w:r>
    </w:p>
    <w:p w14:paraId="40D25FA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、因不可抗力致使基金管理人、基金托管人无法准确评估基金资产价值时；</w:t>
      </w:r>
    </w:p>
    <w:p w14:paraId="61ACC536" w14:textId="3C0BEBD5"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w:t>
      </w:r>
      <w:r w:rsidR="000D48C9" w:rsidRPr="000D48C9">
        <w:rPr>
          <w:rFonts w:ascii="Times New Roman" w:hAnsi="Times New Roman" w:cs="Times New Roman" w:hint="eastAsia"/>
        </w:rPr>
        <w:t>当前一估值日基金资产净值</w:t>
      </w:r>
      <w:r w:rsidR="000D48C9" w:rsidRPr="000D48C9">
        <w:rPr>
          <w:rFonts w:ascii="Times New Roman" w:hAnsi="Times New Roman" w:cs="Times New Roman" w:hint="eastAsia"/>
        </w:rPr>
        <w:t>50%</w:t>
      </w:r>
      <w:r w:rsidR="000D48C9" w:rsidRPr="000D48C9">
        <w:rPr>
          <w:rFonts w:ascii="Times New Roman" w:hAnsi="Times New Roman" w:cs="Times New Roman" w:hint="eastAsia"/>
        </w:rPr>
        <w:t>以上的资产出现无可参考的活跃市场价格且采用估值技术仍导致公允价值存在重大不确定性时</w:t>
      </w:r>
      <w:r>
        <w:rPr>
          <w:rFonts w:ascii="Times New Roman" w:hAnsi="Times New Roman" w:cs="Times New Roman" w:hint="eastAsia"/>
        </w:rPr>
        <w:t>，经与基金托管人协商确认后，基金管理人应当暂停估值；</w:t>
      </w:r>
    </w:p>
    <w:p w14:paraId="3C169B42"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、中国证监会和基金合同认定的其他情形。</w:t>
      </w:r>
    </w:p>
    <w:p w14:paraId="4A4F095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八、基金净值的确认</w:t>
      </w:r>
    </w:p>
    <w:p w14:paraId="5527458C"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资产净值和各类基金份额的基金份额净值由基金管理人负责计算，基金托管人负责进行复核。基金管理人应于每个估值日交易结束后计算当日的基金资产净值和各类基金份额的基金份额净值并发送给基金托管人。基金托管人对净值计算结果复核确认后发送给基金管理人，由基金管理人对基金净值予以公布。</w:t>
      </w:r>
    </w:p>
    <w:p w14:paraId="5EA3E30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九、特殊情况的处理</w:t>
      </w:r>
    </w:p>
    <w:p w14:paraId="50485A5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、基金管理人或基金托管人按估值方法的第</w:t>
      </w:r>
      <w:r>
        <w:rPr>
          <w:rFonts w:ascii="Times New Roman" w:hAnsi="Times New Roman" w:cs="Times New Roman" w:hint="eastAsia"/>
        </w:rPr>
        <w:t>9</w:t>
      </w:r>
      <w:r>
        <w:rPr>
          <w:rFonts w:ascii="Times New Roman" w:hAnsi="Times New Roman" w:cs="Times New Roman" w:hint="eastAsia"/>
        </w:rPr>
        <w:t>项进行估值时，所造成的误差不作为基金资产估值错误处理。</w:t>
      </w:r>
    </w:p>
    <w:p w14:paraId="02BF295B" w14:textId="7511F951"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、由于不可抗力，或由于证券</w:t>
      </w:r>
      <w:r>
        <w:rPr>
          <w:rFonts w:ascii="Times New Roman" w:hAnsi="Times New Roman" w:cs="Times New Roman" w:hint="eastAsia"/>
        </w:rPr>
        <w:t>/</w:t>
      </w:r>
      <w:r>
        <w:rPr>
          <w:rFonts w:ascii="Times New Roman" w:hAnsi="Times New Roman" w:cs="Times New Roman" w:hint="eastAsia"/>
        </w:rPr>
        <w:t>期货交易所、登记机构、指数编制机构、估值基准服务机构等第三方机构发送的数据错误，或国家会计政策变更、市场规则变更等非基金管理人与基金托管人原因，基金管理人和基金托管人虽然已经采取必要、适当、合理的措施进行检查，但未能发现错误</w:t>
      </w:r>
      <w:r w:rsidR="004301DA" w:rsidRPr="004301DA">
        <w:rPr>
          <w:rFonts w:ascii="Times New Roman" w:hAnsi="Times New Roman" w:cs="Times New Roman" w:hint="eastAsia"/>
        </w:rPr>
        <w:t>或因上述原因未能及时更正</w:t>
      </w:r>
      <w:r>
        <w:rPr>
          <w:rFonts w:ascii="Times New Roman" w:hAnsi="Times New Roman" w:cs="Times New Roman" w:hint="eastAsia"/>
        </w:rPr>
        <w:t>，由此造成的基金资产估值错误，基金管理人和基金托管人免除赔偿责任。但基金管理人、基金托管人应当积极采取必要的措施减轻或消除由此造成的影响。</w:t>
      </w:r>
    </w:p>
    <w:p w14:paraId="7AA248C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十、实施侧袋机制期间的基金资产估值</w:t>
      </w:r>
    </w:p>
    <w:p w14:paraId="3ECF918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本基金实施侧袋机制的，</w:t>
      </w:r>
      <w:r>
        <w:rPr>
          <w:rFonts w:ascii="Times New Roman" w:hAnsi="Times New Roman" w:cs="Times New Roman" w:hint="eastAsia"/>
          <w:bCs/>
        </w:rPr>
        <w:t>本基金的估值安排详见招募说明书“侧袋机制”部分的规定</w:t>
      </w:r>
      <w:r>
        <w:rPr>
          <w:rFonts w:ascii="Times New Roman" w:hAnsi="Times New Roman" w:cs="Times New Roman" w:hint="eastAsia"/>
        </w:rPr>
        <w:t>。</w:t>
      </w:r>
      <w:r>
        <w:rPr>
          <w:rFonts w:ascii="Times New Roman" w:hAnsi="Times New Roman" w:cs="Times New Roman"/>
        </w:rPr>
        <w:t> </w:t>
      </w:r>
    </w:p>
    <w:p w14:paraId="3C0FBE17" w14:textId="77777777" w:rsidR="009C2D86" w:rsidRDefault="0027599D">
      <w:pPr>
        <w:snapToGrid w:val="0"/>
        <w:spacing w:line="360" w:lineRule="auto"/>
        <w:ind w:firstLineChars="200" w:firstLine="482"/>
        <w:rPr>
          <w:rFonts w:ascii="宋体" w:cs="Times New Roman"/>
          <w:color w:val="000000"/>
        </w:rPr>
      </w:pPr>
      <w:r>
        <w:rPr>
          <w:rFonts w:ascii="宋体" w:cs="Times New Roman"/>
          <w:b/>
          <w:bCs/>
          <w:color w:val="000000"/>
          <w:kern w:val="0"/>
          <w:sz w:val="24"/>
          <w:szCs w:val="24"/>
        </w:rPr>
        <w:br w:type="page"/>
      </w:r>
    </w:p>
    <w:p w14:paraId="42FC5976"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19" w:name="_Toc360794414"/>
      <w:bookmarkStart w:id="120" w:name="_Toc362533461"/>
      <w:bookmarkStart w:id="121" w:name="_Toc360793856"/>
      <w:bookmarkStart w:id="122" w:name="_Toc360793504"/>
      <w:bookmarkStart w:id="123" w:name="_Toc48900079"/>
      <w:bookmarkStart w:id="124" w:name="_Toc360794106"/>
      <w:bookmarkStart w:id="125" w:name="_Toc362455189"/>
      <w:bookmarkStart w:id="126" w:name="_Toc360794522"/>
      <w:r>
        <w:rPr>
          <w:rFonts w:ascii="宋体" w:eastAsia="宋体" w:hAnsi="宋体" w:cs="宋体" w:hint="eastAsia"/>
        </w:rPr>
        <w:t>基金的收益与分配</w:t>
      </w:r>
      <w:bookmarkEnd w:id="119"/>
      <w:bookmarkEnd w:id="120"/>
      <w:bookmarkEnd w:id="121"/>
      <w:bookmarkEnd w:id="122"/>
      <w:bookmarkEnd w:id="123"/>
      <w:bookmarkEnd w:id="124"/>
      <w:bookmarkEnd w:id="125"/>
      <w:bookmarkEnd w:id="126"/>
    </w:p>
    <w:p w14:paraId="6600ED4A" w14:textId="77777777" w:rsidR="009C2D86" w:rsidRDefault="009C2D86">
      <w:pPr>
        <w:snapToGrid w:val="0"/>
        <w:spacing w:line="360" w:lineRule="auto"/>
        <w:ind w:firstLineChars="200" w:firstLine="422"/>
        <w:rPr>
          <w:rFonts w:ascii="宋体" w:cs="Times New Roman"/>
          <w:b/>
          <w:bCs/>
          <w:color w:val="000000"/>
        </w:rPr>
      </w:pPr>
    </w:p>
    <w:p w14:paraId="4C9C1F87" w14:textId="77777777" w:rsidR="009C2D86" w:rsidRDefault="0027599D">
      <w:pPr>
        <w:snapToGrid w:val="0"/>
        <w:spacing w:line="360" w:lineRule="auto"/>
        <w:ind w:firstLineChars="200" w:firstLine="420"/>
        <w:rPr>
          <w:rFonts w:cs="宋体"/>
        </w:rPr>
      </w:pPr>
      <w:r>
        <w:rPr>
          <w:rFonts w:cs="宋体" w:hint="eastAsia"/>
        </w:rPr>
        <w:t>一、基金利润的构成</w:t>
      </w:r>
    </w:p>
    <w:p w14:paraId="1C724A3F" w14:textId="77777777" w:rsidR="009C2D86" w:rsidRDefault="0027599D">
      <w:pPr>
        <w:snapToGrid w:val="0"/>
        <w:spacing w:line="360" w:lineRule="auto"/>
        <w:ind w:firstLineChars="200" w:firstLine="420"/>
        <w:rPr>
          <w:rFonts w:cs="宋体"/>
        </w:rPr>
      </w:pPr>
      <w:r>
        <w:rPr>
          <w:rFonts w:cs="宋体" w:hint="eastAsia"/>
        </w:rPr>
        <w:t>基金利润指基金利息收入、投资收益、公允价值变动收益和其他收入扣除相关费用后的余额，基金已实现收益指基金利润减去公允价值变动收益后的余额。</w:t>
      </w:r>
    </w:p>
    <w:p w14:paraId="6797224F" w14:textId="77777777" w:rsidR="009C2D86" w:rsidRDefault="0027599D">
      <w:pPr>
        <w:snapToGrid w:val="0"/>
        <w:spacing w:line="360" w:lineRule="auto"/>
        <w:ind w:firstLineChars="200" w:firstLine="420"/>
        <w:rPr>
          <w:rFonts w:cs="宋体"/>
        </w:rPr>
      </w:pPr>
      <w:r>
        <w:rPr>
          <w:rFonts w:cs="宋体" w:hint="eastAsia"/>
        </w:rPr>
        <w:t>二、基金可供分配利润</w:t>
      </w:r>
    </w:p>
    <w:p w14:paraId="2C0C1F38" w14:textId="77777777" w:rsidR="009C2D86" w:rsidRDefault="0027599D">
      <w:pPr>
        <w:snapToGrid w:val="0"/>
        <w:spacing w:line="360" w:lineRule="auto"/>
        <w:ind w:firstLineChars="200" w:firstLine="420"/>
        <w:rPr>
          <w:rFonts w:cs="宋体"/>
        </w:rPr>
      </w:pPr>
      <w:r>
        <w:rPr>
          <w:rFonts w:cs="宋体" w:hint="eastAsia"/>
        </w:rPr>
        <w:t>基金可供分配利润指截至收益分配基准日基金未分配利润与未分配利润中已实现收益的孰低数。</w:t>
      </w:r>
    </w:p>
    <w:p w14:paraId="6689A15F" w14:textId="77777777" w:rsidR="004A7B04" w:rsidRPr="004A7B04" w:rsidRDefault="004A7B04" w:rsidP="004A7B04">
      <w:pPr>
        <w:snapToGrid w:val="0"/>
        <w:spacing w:line="360" w:lineRule="auto"/>
        <w:ind w:firstLineChars="200" w:firstLine="420"/>
        <w:rPr>
          <w:rFonts w:cs="宋体"/>
        </w:rPr>
      </w:pPr>
      <w:r w:rsidRPr="004A7B04">
        <w:rPr>
          <w:rFonts w:cs="宋体" w:hint="eastAsia"/>
        </w:rPr>
        <w:t>三、基金收益分配原则</w:t>
      </w:r>
    </w:p>
    <w:p w14:paraId="49009872" w14:textId="77777777" w:rsidR="004A7B04" w:rsidRPr="004A7B04" w:rsidRDefault="004A7B04" w:rsidP="004A7B04">
      <w:pPr>
        <w:snapToGrid w:val="0"/>
        <w:spacing w:line="360" w:lineRule="auto"/>
        <w:ind w:firstLineChars="200" w:firstLine="420"/>
        <w:rPr>
          <w:rFonts w:cs="宋体"/>
        </w:rPr>
      </w:pPr>
      <w:r w:rsidRPr="004A7B04">
        <w:rPr>
          <w:rFonts w:cs="宋体" w:hint="eastAsia"/>
        </w:rPr>
        <w:t>1</w:t>
      </w:r>
      <w:r w:rsidRPr="004A7B04">
        <w:rPr>
          <w:rFonts w:cs="宋体" w:hint="eastAsia"/>
        </w:rPr>
        <w:t>、在符合有关基金分红条件的前提下，基金管理人可以根据实际情况进行收益分配，具体分配方案详见届时基金管理人发布的公告，若《基金合同》生效不满</w:t>
      </w:r>
      <w:r w:rsidRPr="004A7B04">
        <w:rPr>
          <w:rFonts w:cs="宋体" w:hint="eastAsia"/>
        </w:rPr>
        <w:t>3</w:t>
      </w:r>
      <w:r w:rsidRPr="004A7B04">
        <w:rPr>
          <w:rFonts w:cs="宋体" w:hint="eastAsia"/>
        </w:rPr>
        <w:t>个月可不进行收益分配；</w:t>
      </w:r>
    </w:p>
    <w:p w14:paraId="36E52C93" w14:textId="24DA70B4" w:rsidR="004A7B04" w:rsidRPr="004A7B04" w:rsidRDefault="004A7B04" w:rsidP="004A7B04">
      <w:pPr>
        <w:snapToGrid w:val="0"/>
        <w:spacing w:line="360" w:lineRule="auto"/>
        <w:ind w:firstLineChars="200" w:firstLine="420"/>
        <w:rPr>
          <w:rFonts w:cs="宋体"/>
        </w:rPr>
      </w:pPr>
      <w:r w:rsidRPr="004A7B04">
        <w:rPr>
          <w:rFonts w:cs="宋体" w:hint="eastAsia"/>
        </w:rPr>
        <w:t>2</w:t>
      </w:r>
      <w:r w:rsidRPr="004A7B04">
        <w:rPr>
          <w:rFonts w:cs="宋体" w:hint="eastAsia"/>
        </w:rPr>
        <w:t>、基金管理人可每</w:t>
      </w:r>
      <w:r w:rsidR="005F3BE1">
        <w:rPr>
          <w:rFonts w:cs="宋体" w:hint="eastAsia"/>
        </w:rPr>
        <w:t>季度</w:t>
      </w:r>
      <w:r w:rsidRPr="004A7B04">
        <w:rPr>
          <w:rFonts w:cs="宋体" w:hint="eastAsia"/>
        </w:rPr>
        <w:t>评估是否进行收益分配。基金管理人可每</w:t>
      </w:r>
      <w:r w:rsidR="00BC0699">
        <w:rPr>
          <w:rFonts w:cs="宋体" w:hint="eastAsia"/>
        </w:rPr>
        <w:t>季度</w:t>
      </w:r>
      <w:r w:rsidRPr="004A7B04">
        <w:rPr>
          <w:rFonts w:cs="宋体" w:hint="eastAsia"/>
        </w:rPr>
        <w:t>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10EBD11B" w14:textId="77777777" w:rsidR="004A7B04" w:rsidRPr="004A7B04" w:rsidRDefault="004A7B04" w:rsidP="004A7B04">
      <w:pPr>
        <w:snapToGrid w:val="0"/>
        <w:spacing w:line="360" w:lineRule="auto"/>
        <w:ind w:firstLineChars="200" w:firstLine="420"/>
        <w:rPr>
          <w:rFonts w:cs="宋体"/>
        </w:rPr>
      </w:pPr>
      <w:r w:rsidRPr="004A7B04">
        <w:rPr>
          <w:rFonts w:cs="宋体" w:hint="eastAsia"/>
        </w:rPr>
        <w:t>3</w:t>
      </w:r>
      <w:r w:rsidRPr="004A7B04">
        <w:rPr>
          <w:rFonts w:cs="宋体" w:hint="eastAsia"/>
        </w:rPr>
        <w:t>、本基金收益分配方式分两种：现金分红与红利再投资，投资者可选择现金红利或将现金红利自动转为相应类别的基金份额进行再投资；若投资者不选择，本基金默认的收益分配方式是现金分红；</w:t>
      </w:r>
    </w:p>
    <w:p w14:paraId="41C1BA25" w14:textId="77777777" w:rsidR="004A7B04" w:rsidRPr="004A7B04" w:rsidRDefault="004A7B04" w:rsidP="004A7B04">
      <w:pPr>
        <w:snapToGrid w:val="0"/>
        <w:spacing w:line="360" w:lineRule="auto"/>
        <w:ind w:firstLineChars="200" w:firstLine="420"/>
        <w:rPr>
          <w:rFonts w:cs="宋体"/>
        </w:rPr>
      </w:pPr>
      <w:r w:rsidRPr="004A7B04">
        <w:rPr>
          <w:rFonts w:cs="宋体" w:hint="eastAsia"/>
        </w:rPr>
        <w:t>4</w:t>
      </w:r>
      <w:r w:rsidRPr="004A7B04">
        <w:rPr>
          <w:rFonts w:cs="宋体" w:hint="eastAsia"/>
        </w:rPr>
        <w:t>、由于本基金</w:t>
      </w:r>
      <w:r w:rsidRPr="004A7B04">
        <w:rPr>
          <w:rFonts w:cs="宋体" w:hint="eastAsia"/>
        </w:rPr>
        <w:t>A</w:t>
      </w:r>
      <w:r w:rsidRPr="004A7B04">
        <w:rPr>
          <w:rFonts w:cs="宋体" w:hint="eastAsia"/>
        </w:rPr>
        <w:t>类基金份额不收取销售服务费，而</w:t>
      </w:r>
      <w:r w:rsidRPr="004A7B04">
        <w:rPr>
          <w:rFonts w:cs="宋体" w:hint="eastAsia"/>
        </w:rPr>
        <w:t>C</w:t>
      </w:r>
      <w:r w:rsidRPr="004A7B04">
        <w:rPr>
          <w:rFonts w:cs="宋体" w:hint="eastAsia"/>
        </w:rPr>
        <w:t>类基金份额收取销售服务费，各基金份额类别对应的可供分配利润将有所不同。本基金同一类别的每一基金份额享有同等分配权；</w:t>
      </w:r>
    </w:p>
    <w:p w14:paraId="400F0644" w14:textId="77777777" w:rsidR="004A7B04" w:rsidRPr="004A7B04" w:rsidRDefault="004A7B04" w:rsidP="004A7B04">
      <w:pPr>
        <w:snapToGrid w:val="0"/>
        <w:spacing w:line="360" w:lineRule="auto"/>
        <w:ind w:firstLineChars="200" w:firstLine="420"/>
        <w:rPr>
          <w:rFonts w:cs="宋体"/>
        </w:rPr>
      </w:pPr>
      <w:r w:rsidRPr="004A7B04">
        <w:rPr>
          <w:rFonts w:cs="宋体" w:hint="eastAsia"/>
        </w:rPr>
        <w:t>5</w:t>
      </w:r>
      <w:r w:rsidRPr="004A7B04">
        <w:rPr>
          <w:rFonts w:cs="宋体" w:hint="eastAsia"/>
        </w:rPr>
        <w:t>、法律法规或监管机关另有规定的，从其规定。</w:t>
      </w:r>
    </w:p>
    <w:p w14:paraId="1B703CF7" w14:textId="71DBD914" w:rsidR="004A7B04" w:rsidRPr="004A7B04" w:rsidRDefault="004A7B04" w:rsidP="004A7B04">
      <w:pPr>
        <w:snapToGrid w:val="0"/>
        <w:spacing w:line="360" w:lineRule="auto"/>
        <w:ind w:firstLineChars="200" w:firstLine="420"/>
        <w:rPr>
          <w:rFonts w:cs="宋体"/>
        </w:rPr>
      </w:pPr>
      <w:r w:rsidRPr="004A7B04">
        <w:rPr>
          <w:rFonts w:cs="宋体" w:hint="eastAsia"/>
        </w:rPr>
        <w:t>基金管理人</w:t>
      </w:r>
      <w:r w:rsidR="00FE1602" w:rsidRPr="00FE1602">
        <w:rPr>
          <w:rFonts w:cs="宋体" w:hint="eastAsia"/>
          <w:bCs/>
        </w:rPr>
        <w:t>、登记机构</w:t>
      </w:r>
      <w:r w:rsidRPr="004A7B04">
        <w:rPr>
          <w:rFonts w:cs="宋体" w:hint="eastAsia"/>
        </w:rPr>
        <w:t>可在法律法规允许</w:t>
      </w:r>
      <w:r w:rsidR="0083279F" w:rsidRPr="0083279F">
        <w:rPr>
          <w:rFonts w:cs="宋体" w:hint="eastAsia"/>
          <w:bCs/>
        </w:rPr>
        <w:t>、</w:t>
      </w:r>
      <w:r w:rsidRPr="004A7B04">
        <w:rPr>
          <w:rFonts w:cs="宋体" w:hint="eastAsia"/>
        </w:rPr>
        <w:t>对基金份额持有人利益无实质性不利影响的前提下，按照监管部门要求履行适当程序后，经与基金托管人协商一致酌情调整以上基金收益分配原则，但应于变更实施日前在规定媒介公告。</w:t>
      </w:r>
    </w:p>
    <w:p w14:paraId="3BDF968A" w14:textId="77777777" w:rsidR="004A7B04" w:rsidRPr="004A7B04" w:rsidRDefault="004A7B04" w:rsidP="004A7B04">
      <w:pPr>
        <w:snapToGrid w:val="0"/>
        <w:spacing w:line="360" w:lineRule="auto"/>
        <w:ind w:firstLineChars="200" w:firstLine="420"/>
        <w:rPr>
          <w:rFonts w:cs="宋体"/>
        </w:rPr>
      </w:pPr>
      <w:r w:rsidRPr="004A7B04">
        <w:rPr>
          <w:rFonts w:cs="宋体" w:hint="eastAsia"/>
        </w:rPr>
        <w:t>四、收益分配条件</w:t>
      </w:r>
    </w:p>
    <w:p w14:paraId="0B9EF890" w14:textId="77777777" w:rsidR="004A7B04" w:rsidRPr="004A7B04" w:rsidRDefault="004A7B04" w:rsidP="004A7B04">
      <w:pPr>
        <w:snapToGrid w:val="0"/>
        <w:spacing w:line="360" w:lineRule="auto"/>
        <w:ind w:firstLineChars="200" w:firstLine="420"/>
        <w:rPr>
          <w:rFonts w:cs="宋体"/>
        </w:rPr>
      </w:pPr>
      <w:r w:rsidRPr="004A7B04">
        <w:rPr>
          <w:rFonts w:cs="宋体" w:hint="eastAsia"/>
        </w:rPr>
        <w:t>1</w:t>
      </w:r>
      <w:r w:rsidRPr="004A7B04">
        <w:rPr>
          <w:rFonts w:cs="宋体" w:hint="eastAsia"/>
        </w:rPr>
        <w:t>、本基金在基金收益评价日对基金相对业绩比较基准的超额收益率以及基金的可供分配利润进行评价，收益评价日核定的基金累计报酬率超过业绩比较基准同期累计报酬率或者基金可供分配利润金额大于零时，基金管理人可进行收益分配；</w:t>
      </w:r>
    </w:p>
    <w:p w14:paraId="6CB26A47" w14:textId="77777777" w:rsidR="004A7B04" w:rsidRPr="004A7B04" w:rsidRDefault="004A7B04" w:rsidP="004A7B04">
      <w:pPr>
        <w:snapToGrid w:val="0"/>
        <w:spacing w:line="360" w:lineRule="auto"/>
        <w:ind w:firstLineChars="200" w:firstLine="420"/>
        <w:rPr>
          <w:rFonts w:cs="宋体"/>
        </w:rPr>
      </w:pPr>
      <w:r w:rsidRPr="004A7B04">
        <w:rPr>
          <w:rFonts w:cs="宋体" w:hint="eastAsia"/>
        </w:rPr>
        <w:t>2</w:t>
      </w:r>
      <w:r w:rsidRPr="004A7B04">
        <w:rPr>
          <w:rFonts w:cs="宋体" w:hint="eastAsia"/>
        </w:rPr>
        <w:t>、当基金收益分配根据基金相对业绩比较基准的超额收益率决定时，基于本基金的特点，本基金收益分配无需以弥补亏损为前提，收益分配后各类基金份额净值有可能低于面值；当基金收益分配根据基金可供分配利润金额决定时，本基金收益分配后各类基金份额净值不能低于面值，即基金收益分配基准日的各类基金份额净值减去每单位该类基金份额收益分配金额后不能低于面值；</w:t>
      </w:r>
    </w:p>
    <w:p w14:paraId="13A407F4" w14:textId="77777777" w:rsidR="004A7B04" w:rsidRPr="004A7B04" w:rsidRDefault="004A7B04" w:rsidP="004A7B04">
      <w:pPr>
        <w:snapToGrid w:val="0"/>
        <w:spacing w:line="360" w:lineRule="auto"/>
        <w:ind w:firstLineChars="200" w:firstLine="420"/>
        <w:rPr>
          <w:rFonts w:cs="宋体"/>
        </w:rPr>
      </w:pPr>
      <w:r w:rsidRPr="004A7B04">
        <w:rPr>
          <w:rFonts w:cs="宋体" w:hint="eastAsia"/>
        </w:rPr>
        <w:t>3</w:t>
      </w:r>
      <w:r w:rsidRPr="004A7B04">
        <w:rPr>
          <w:rFonts w:cs="宋体" w:hint="eastAsia"/>
        </w:rPr>
        <w:t>、基金相对业绩比较基准的超额收益率计算</w:t>
      </w:r>
    </w:p>
    <w:p w14:paraId="16D1CD52" w14:textId="77777777" w:rsidR="004A7B04" w:rsidRPr="004A7B04" w:rsidRDefault="004A7B04" w:rsidP="004A7B04">
      <w:pPr>
        <w:snapToGrid w:val="0"/>
        <w:spacing w:line="360" w:lineRule="auto"/>
        <w:ind w:firstLineChars="200" w:firstLine="420"/>
        <w:rPr>
          <w:rFonts w:cs="宋体"/>
        </w:rPr>
      </w:pPr>
      <w:r w:rsidRPr="004A7B04">
        <w:rPr>
          <w:rFonts w:cs="宋体" w:hint="eastAsia"/>
        </w:rPr>
        <w:t>在收益评价日，基金管理人计算基金累计报酬率、业绩比较基准同期累计报酬率。</w:t>
      </w:r>
    </w:p>
    <w:p w14:paraId="09BE86AE" w14:textId="77777777" w:rsidR="004A7B04" w:rsidRPr="004A7B04" w:rsidRDefault="004A7B04" w:rsidP="004A7B04">
      <w:pPr>
        <w:snapToGrid w:val="0"/>
        <w:spacing w:line="360" w:lineRule="auto"/>
        <w:ind w:firstLineChars="200" w:firstLine="420"/>
        <w:rPr>
          <w:rFonts w:cs="宋体"/>
        </w:rPr>
      </w:pPr>
      <w:r w:rsidRPr="004A7B04">
        <w:rPr>
          <w:rFonts w:cs="宋体" w:hint="eastAsia"/>
        </w:rPr>
        <w:t>基金收益评价日本基金相对业绩比较基准的超额收益率＝基金累计报酬率</w:t>
      </w:r>
      <w:r w:rsidRPr="004A7B04">
        <w:rPr>
          <w:rFonts w:cs="宋体" w:hint="eastAsia"/>
        </w:rPr>
        <w:t>-</w:t>
      </w:r>
      <w:r w:rsidRPr="004A7B04">
        <w:rPr>
          <w:rFonts w:cs="宋体" w:hint="eastAsia"/>
        </w:rPr>
        <w:t>业绩比较基准同期累计报酬率</w:t>
      </w:r>
    </w:p>
    <w:p w14:paraId="6D41640D" w14:textId="77777777" w:rsidR="004A7B04" w:rsidRPr="004A7B04" w:rsidRDefault="004A7B04" w:rsidP="004A7B04">
      <w:pPr>
        <w:snapToGrid w:val="0"/>
        <w:spacing w:line="360" w:lineRule="auto"/>
        <w:ind w:firstLineChars="200" w:firstLine="420"/>
        <w:rPr>
          <w:rFonts w:cs="宋体"/>
        </w:rPr>
      </w:pPr>
      <w:r w:rsidRPr="004A7B04">
        <w:rPr>
          <w:rFonts w:cs="宋体" w:hint="eastAsia"/>
        </w:rPr>
        <w:t>基金累计报酬率</w:t>
      </w:r>
      <w:r w:rsidRPr="004A7B04">
        <w:rPr>
          <w:rFonts w:cs="宋体" w:hint="eastAsia"/>
        </w:rPr>
        <w:t>=</w:t>
      </w:r>
      <w:r w:rsidRPr="004A7B04">
        <w:rPr>
          <w:rFonts w:cs="宋体" w:hint="eastAsia"/>
        </w:rPr>
        <w:t>收益评价日基金份额净值</w:t>
      </w:r>
      <w:r w:rsidRPr="004A7B04">
        <w:rPr>
          <w:rFonts w:cs="宋体" w:hint="eastAsia"/>
        </w:rPr>
        <w:t>/</w:t>
      </w:r>
      <w:r w:rsidRPr="004A7B04">
        <w:rPr>
          <w:rFonts w:cs="宋体" w:hint="eastAsia"/>
        </w:rPr>
        <w:t>基金合同生效日所对应的</w:t>
      </w:r>
      <w:r w:rsidRPr="004A7B04">
        <w:rPr>
          <w:rFonts w:cs="宋体" w:hint="eastAsia"/>
        </w:rPr>
        <w:t>3</w:t>
      </w:r>
      <w:r w:rsidRPr="004A7B04">
        <w:rPr>
          <w:rFonts w:cs="宋体" w:hint="eastAsia"/>
        </w:rPr>
        <w:t>个月月度对日的前一工作日基金份额净值</w:t>
      </w:r>
      <w:r w:rsidRPr="004A7B04">
        <w:rPr>
          <w:rFonts w:cs="宋体" w:hint="eastAsia"/>
        </w:rPr>
        <w:t>-100%</w:t>
      </w:r>
    </w:p>
    <w:p w14:paraId="00A83253" w14:textId="77777777" w:rsidR="004A7B04" w:rsidRPr="004A7B04" w:rsidRDefault="004A7B04" w:rsidP="004A7B04">
      <w:pPr>
        <w:snapToGrid w:val="0"/>
        <w:spacing w:line="360" w:lineRule="auto"/>
        <w:ind w:firstLineChars="200" w:firstLine="420"/>
        <w:rPr>
          <w:rFonts w:cs="宋体"/>
        </w:rPr>
      </w:pPr>
      <w:r w:rsidRPr="004A7B04">
        <w:rPr>
          <w:rFonts w:cs="宋体" w:hint="eastAsia"/>
        </w:rPr>
        <w:t>业绩比较基准同期累计报酬率</w:t>
      </w:r>
      <w:r w:rsidRPr="004A7B04">
        <w:rPr>
          <w:rFonts w:cs="宋体" w:hint="eastAsia"/>
        </w:rPr>
        <w:t>=</w:t>
      </w:r>
      <w:r w:rsidRPr="004A7B04">
        <w:rPr>
          <w:rFonts w:cs="宋体" w:hint="eastAsia"/>
        </w:rPr>
        <w:t>收益评价日业绩比较基准数值</w:t>
      </w:r>
      <w:r w:rsidRPr="004A7B04">
        <w:rPr>
          <w:rFonts w:cs="宋体" w:hint="eastAsia"/>
        </w:rPr>
        <w:t>/</w:t>
      </w:r>
      <w:r w:rsidRPr="004A7B04">
        <w:rPr>
          <w:rFonts w:cs="宋体" w:hint="eastAsia"/>
        </w:rPr>
        <w:t>基金合同生效日所对应的</w:t>
      </w:r>
      <w:r w:rsidRPr="004A7B04">
        <w:rPr>
          <w:rFonts w:cs="宋体" w:hint="eastAsia"/>
        </w:rPr>
        <w:t>3</w:t>
      </w:r>
      <w:r w:rsidRPr="004A7B04">
        <w:rPr>
          <w:rFonts w:cs="宋体" w:hint="eastAsia"/>
        </w:rPr>
        <w:t>个月月度对日的前一工作日业绩比较基准数值</w:t>
      </w:r>
      <w:r w:rsidRPr="004A7B04">
        <w:rPr>
          <w:rFonts w:cs="宋体" w:hint="eastAsia"/>
        </w:rPr>
        <w:t>-100%</w:t>
      </w:r>
    </w:p>
    <w:p w14:paraId="4F9F4755" w14:textId="77777777" w:rsidR="004A7B04" w:rsidRPr="004A7B04" w:rsidRDefault="004A7B04" w:rsidP="004A7B04">
      <w:pPr>
        <w:snapToGrid w:val="0"/>
        <w:spacing w:line="360" w:lineRule="auto"/>
        <w:ind w:firstLineChars="200" w:firstLine="420"/>
        <w:rPr>
          <w:rFonts w:cs="宋体"/>
        </w:rPr>
      </w:pPr>
      <w:r w:rsidRPr="004A7B04">
        <w:rPr>
          <w:rFonts w:cs="宋体" w:hint="eastAsia"/>
        </w:rPr>
        <w:t>月度对日指某一特定日期在后续日历月度中的对应日期，若该日历月度中不存在对应日期，则取该月最后一日。</w:t>
      </w:r>
    </w:p>
    <w:p w14:paraId="14388D19" w14:textId="2C807607" w:rsidR="004A7B04" w:rsidRDefault="004A7B04" w:rsidP="004A7B04">
      <w:pPr>
        <w:snapToGrid w:val="0"/>
        <w:spacing w:line="360" w:lineRule="auto"/>
        <w:ind w:firstLineChars="200" w:firstLine="420"/>
        <w:rPr>
          <w:rFonts w:cs="宋体"/>
        </w:rPr>
      </w:pPr>
      <w:r w:rsidRPr="004A7B04">
        <w:rPr>
          <w:rFonts w:cs="宋体" w:hint="eastAsia"/>
        </w:rPr>
        <w:t>如基金份额发生折算，则采用剔除折算因素的基金份额净值，详见届时基金管理人发布的相关公告。</w:t>
      </w:r>
    </w:p>
    <w:p w14:paraId="195F2E6E" w14:textId="1222DCDC" w:rsidR="00425E80" w:rsidRPr="00425E80" w:rsidRDefault="00425E80" w:rsidP="00425E80">
      <w:pPr>
        <w:snapToGrid w:val="0"/>
        <w:spacing w:line="360" w:lineRule="auto"/>
        <w:ind w:firstLineChars="200" w:firstLine="420"/>
        <w:rPr>
          <w:rFonts w:cs="宋体"/>
        </w:rPr>
      </w:pPr>
      <w:r w:rsidRPr="00425E80">
        <w:rPr>
          <w:rFonts w:cs="宋体" w:hint="eastAsia"/>
        </w:rPr>
        <w:t>五、收益分配方案</w:t>
      </w:r>
    </w:p>
    <w:p w14:paraId="73850295" w14:textId="77777777" w:rsidR="00425E80" w:rsidRPr="00425E80" w:rsidRDefault="00425E80" w:rsidP="00425E80">
      <w:pPr>
        <w:snapToGrid w:val="0"/>
        <w:spacing w:line="360" w:lineRule="auto"/>
        <w:ind w:firstLineChars="200" w:firstLine="420"/>
        <w:rPr>
          <w:rFonts w:cs="宋体"/>
        </w:rPr>
      </w:pPr>
      <w:r w:rsidRPr="00425E80">
        <w:rPr>
          <w:rFonts w:cs="宋体" w:hint="eastAsia"/>
        </w:rPr>
        <w:t>基金收益分配方案中应载明截止收益分配基准日的可供分配利润、基金收益分配对象、分配时间、分配数额及比例、分配方式等内容。</w:t>
      </w:r>
    </w:p>
    <w:p w14:paraId="50C0F90D" w14:textId="77777777" w:rsidR="00425E80" w:rsidRPr="00425E80" w:rsidRDefault="00425E80" w:rsidP="00425E80">
      <w:pPr>
        <w:snapToGrid w:val="0"/>
        <w:spacing w:line="360" w:lineRule="auto"/>
        <w:ind w:firstLineChars="200" w:firstLine="420"/>
        <w:rPr>
          <w:rFonts w:cs="宋体"/>
        </w:rPr>
      </w:pPr>
      <w:r w:rsidRPr="00425E80">
        <w:rPr>
          <w:rFonts w:cs="宋体" w:hint="eastAsia"/>
        </w:rPr>
        <w:t>六、收益分配方案的确定、公告与实施</w:t>
      </w:r>
    </w:p>
    <w:p w14:paraId="161F495B" w14:textId="77777777" w:rsidR="00425E80" w:rsidRPr="00425E80" w:rsidRDefault="00425E80" w:rsidP="00425E80">
      <w:pPr>
        <w:snapToGrid w:val="0"/>
        <w:spacing w:line="360" w:lineRule="auto"/>
        <w:ind w:firstLineChars="200" w:firstLine="420"/>
        <w:rPr>
          <w:rFonts w:cs="宋体"/>
        </w:rPr>
      </w:pPr>
      <w:r w:rsidRPr="00425E80">
        <w:rPr>
          <w:rFonts w:cs="宋体" w:hint="eastAsia"/>
        </w:rPr>
        <w:t>本基金收益分配方案由基金管理人拟定，并由基金托管人复核，在</w:t>
      </w:r>
      <w:r w:rsidRPr="00425E80">
        <w:rPr>
          <w:rFonts w:cs="宋体" w:hint="eastAsia"/>
        </w:rPr>
        <w:t>2</w:t>
      </w:r>
      <w:r w:rsidRPr="00425E80">
        <w:rPr>
          <w:rFonts w:cs="宋体" w:hint="eastAsia"/>
        </w:rPr>
        <w:t>日内在规定媒介公告。</w:t>
      </w:r>
    </w:p>
    <w:p w14:paraId="494DF589" w14:textId="77777777" w:rsidR="00425E80" w:rsidRPr="00425E80" w:rsidRDefault="00425E80" w:rsidP="00425E80">
      <w:pPr>
        <w:snapToGrid w:val="0"/>
        <w:spacing w:line="360" w:lineRule="auto"/>
        <w:ind w:firstLineChars="200" w:firstLine="420"/>
        <w:rPr>
          <w:rFonts w:cs="宋体"/>
        </w:rPr>
      </w:pPr>
      <w:r w:rsidRPr="00425E80">
        <w:rPr>
          <w:rFonts w:cs="宋体" w:hint="eastAsia"/>
        </w:rPr>
        <w:t>七、基金收益分配中发生的费用</w:t>
      </w:r>
    </w:p>
    <w:p w14:paraId="4ED15B91" w14:textId="77777777" w:rsidR="00425E80" w:rsidRPr="00425E80" w:rsidRDefault="00425E80" w:rsidP="00425E80">
      <w:pPr>
        <w:snapToGrid w:val="0"/>
        <w:spacing w:line="360" w:lineRule="auto"/>
        <w:ind w:firstLineChars="200" w:firstLine="420"/>
        <w:rPr>
          <w:rFonts w:cs="宋体"/>
        </w:rPr>
      </w:pPr>
      <w:r w:rsidRPr="00425E80">
        <w:rPr>
          <w:rFonts w:cs="宋体" w:hint="eastAsia"/>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登记机构相关业务规则执行。</w:t>
      </w:r>
    </w:p>
    <w:p w14:paraId="50B29880" w14:textId="77777777" w:rsidR="00425E80" w:rsidRPr="00425E80" w:rsidRDefault="00425E80" w:rsidP="00425E80">
      <w:pPr>
        <w:snapToGrid w:val="0"/>
        <w:spacing w:line="360" w:lineRule="auto"/>
        <w:ind w:firstLineChars="200" w:firstLine="420"/>
        <w:rPr>
          <w:rFonts w:cs="宋体"/>
        </w:rPr>
      </w:pPr>
      <w:r w:rsidRPr="00425E80">
        <w:rPr>
          <w:rFonts w:cs="宋体" w:hint="eastAsia"/>
        </w:rPr>
        <w:t>八、实施侧袋机制期间的收益分配</w:t>
      </w:r>
    </w:p>
    <w:p w14:paraId="0F1C9FC9" w14:textId="6E9143A2" w:rsidR="00425E80" w:rsidRDefault="00425E80" w:rsidP="00425E80">
      <w:pPr>
        <w:snapToGrid w:val="0"/>
        <w:spacing w:line="360" w:lineRule="auto"/>
        <w:ind w:firstLineChars="200" w:firstLine="420"/>
        <w:rPr>
          <w:rFonts w:cs="宋体"/>
        </w:rPr>
      </w:pPr>
      <w:r w:rsidRPr="00425E80">
        <w:rPr>
          <w:rFonts w:cs="宋体" w:hint="eastAsia"/>
        </w:rPr>
        <w:t>本基金实施侧袋机制的，侧袋账户不进行收益分配，详见招募说明书“侧袋机制”部分的规定。</w:t>
      </w:r>
    </w:p>
    <w:p w14:paraId="41988CDC" w14:textId="77777777" w:rsidR="009C2D86" w:rsidRDefault="0027599D">
      <w:pPr>
        <w:snapToGrid w:val="0"/>
        <w:spacing w:line="360" w:lineRule="auto"/>
        <w:ind w:firstLineChars="200" w:firstLine="420"/>
        <w:rPr>
          <w:rFonts w:ascii="宋体" w:cs="Times New Roman"/>
          <w:color w:val="000000"/>
        </w:rPr>
      </w:pPr>
      <w:r>
        <w:rPr>
          <w:rFonts w:ascii="宋体" w:cs="Times New Roman"/>
          <w:color w:val="000000"/>
        </w:rPr>
        <w:br w:type="page"/>
      </w:r>
    </w:p>
    <w:p w14:paraId="1460BE53"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27" w:name="_Toc360794107"/>
      <w:bookmarkStart w:id="128" w:name="_Toc362533462"/>
      <w:bookmarkStart w:id="129" w:name="_Toc360794415"/>
      <w:bookmarkStart w:id="130" w:name="_Toc360793857"/>
      <w:bookmarkStart w:id="131" w:name="_Toc360793505"/>
      <w:bookmarkStart w:id="132" w:name="_Toc360794523"/>
      <w:bookmarkStart w:id="133" w:name="_Toc48900080"/>
      <w:bookmarkStart w:id="134" w:name="_Toc362455190"/>
      <w:r>
        <w:rPr>
          <w:rFonts w:ascii="宋体" w:eastAsia="宋体" w:hAnsi="宋体" w:cs="宋体" w:hint="eastAsia"/>
        </w:rPr>
        <w:t>基金的费用与税收</w:t>
      </w:r>
      <w:bookmarkEnd w:id="127"/>
      <w:bookmarkEnd w:id="128"/>
      <w:bookmarkEnd w:id="129"/>
      <w:bookmarkEnd w:id="130"/>
      <w:bookmarkEnd w:id="131"/>
      <w:bookmarkEnd w:id="132"/>
      <w:bookmarkEnd w:id="133"/>
      <w:bookmarkEnd w:id="134"/>
    </w:p>
    <w:p w14:paraId="5E7226EE" w14:textId="77777777" w:rsidR="009C2D86" w:rsidRDefault="009C2D86">
      <w:pPr>
        <w:snapToGrid w:val="0"/>
        <w:spacing w:line="360" w:lineRule="auto"/>
        <w:ind w:firstLineChars="200" w:firstLine="422"/>
        <w:rPr>
          <w:rFonts w:ascii="宋体" w:cs="Times New Roman"/>
          <w:b/>
          <w:bCs/>
          <w:color w:val="000000"/>
        </w:rPr>
      </w:pPr>
    </w:p>
    <w:p w14:paraId="5C4C5BD0"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一、基金费用的种类</w:t>
      </w:r>
    </w:p>
    <w:p w14:paraId="786B3538"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1、基金管理人的管理费；</w:t>
      </w:r>
    </w:p>
    <w:p w14:paraId="43E58C72"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2、基金托管人的托管费；</w:t>
      </w:r>
    </w:p>
    <w:p w14:paraId="5849C8DB"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3、从C类基金份额的基金财产中计提的销售服务费；</w:t>
      </w:r>
    </w:p>
    <w:p w14:paraId="21AB526D"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4、《基金合同》生效后与基金相关的信息披露费用；</w:t>
      </w:r>
    </w:p>
    <w:p w14:paraId="4485E368"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5、《基金合同》生效后与基金相关的会计师费、律师费、公证费、诉讼费和仲裁费；</w:t>
      </w:r>
    </w:p>
    <w:p w14:paraId="5F71F561"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6、基金份额持有人大会费用；</w:t>
      </w:r>
    </w:p>
    <w:p w14:paraId="31DF79F5"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7、基金的证券/期货/期权交易费用；</w:t>
      </w:r>
    </w:p>
    <w:p w14:paraId="65567F2C"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8、基金的银行汇划费用；</w:t>
      </w:r>
    </w:p>
    <w:p w14:paraId="4259ACA7"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9、基金相关账户的开户及维护费用；</w:t>
      </w:r>
    </w:p>
    <w:p w14:paraId="05414B34"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10、因参与融资及转融通证券出借业务而产生的各项合理费用；</w:t>
      </w:r>
    </w:p>
    <w:p w14:paraId="34EEB6C6"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11、基金投资目标ETF的相关费用（包括但不限于目标ETF的交易费用、申赎费用等）；</w:t>
      </w:r>
    </w:p>
    <w:p w14:paraId="44E69C33"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12、按照国家有关规定和《基金合同》约定，可以在基金财产中列支的其他费用。</w:t>
      </w:r>
    </w:p>
    <w:p w14:paraId="5E033B4C"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二、基金费用计提方法、计提标准和支付方式</w:t>
      </w:r>
    </w:p>
    <w:p w14:paraId="31E326B0"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 xml:space="preserve">1、基金管理人的管理费 </w:t>
      </w:r>
    </w:p>
    <w:p w14:paraId="724FF006" w14:textId="6B22719F"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本基金基金财产中投资于目标ETF的部分不收取管理费。本基金的管理费按前一日基金资产净值扣除所持有目标ETF基金份额部分基金资产后的余额（若为负数，则取0）的</w:t>
      </w:r>
      <w:r w:rsidR="00E041C8">
        <w:rPr>
          <w:rFonts w:ascii="宋体" w:hAnsi="宋体" w:hint="eastAsia"/>
          <w:bCs/>
        </w:rPr>
        <w:t>0.50%</w:t>
      </w:r>
      <w:r w:rsidRPr="004B24DA">
        <w:rPr>
          <w:rFonts w:ascii="宋体" w:hAnsi="宋体" w:hint="eastAsia"/>
          <w:bCs/>
        </w:rPr>
        <w:t>年费率计提。管理费的计算方法如下：</w:t>
      </w:r>
    </w:p>
    <w:p w14:paraId="7FB7F7F5" w14:textId="236DBE80"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H＝E×</w:t>
      </w:r>
      <w:r w:rsidR="00E041C8">
        <w:rPr>
          <w:rFonts w:ascii="宋体" w:hAnsi="宋体" w:hint="eastAsia"/>
          <w:bCs/>
        </w:rPr>
        <w:t>0.50%</w:t>
      </w:r>
      <w:r w:rsidRPr="004B24DA">
        <w:rPr>
          <w:rFonts w:ascii="宋体" w:hAnsi="宋体" w:hint="eastAsia"/>
          <w:bCs/>
        </w:rPr>
        <w:t>÷当年天数</w:t>
      </w:r>
    </w:p>
    <w:p w14:paraId="4FB073DB"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H为每日应计提的基金管理费</w:t>
      </w:r>
    </w:p>
    <w:p w14:paraId="3F596A28"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E为前一日的基金资产净值扣除前一日所持有目标ETF基金份额部分基金资产后的余额（若为负数，则E取0）</w:t>
      </w:r>
    </w:p>
    <w:p w14:paraId="644A52F3" w14:textId="1F35ABD1" w:rsidR="004B24DA" w:rsidRPr="004B24DA" w:rsidRDefault="00E041C8" w:rsidP="004B24DA">
      <w:pPr>
        <w:adjustRightInd w:val="0"/>
        <w:snapToGrid w:val="0"/>
        <w:spacing w:line="360" w:lineRule="auto"/>
        <w:ind w:firstLineChars="200" w:firstLine="420"/>
        <w:rPr>
          <w:rFonts w:ascii="宋体" w:hAnsi="宋体"/>
          <w:bCs/>
        </w:rPr>
      </w:pPr>
      <w:r w:rsidRPr="00E041C8">
        <w:rPr>
          <w:rFonts w:ascii="宋体" w:hAnsi="宋体" w:hint="eastAsia"/>
          <w:bCs/>
        </w:rPr>
        <w:t>基金管理费</w:t>
      </w:r>
      <w:r w:rsidR="005F3BE1" w:rsidRPr="005F3BE1">
        <w:rPr>
          <w:rFonts w:ascii="宋体" w:hAnsi="宋体" w:hint="eastAsia"/>
          <w:bCs/>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125D2CFD"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2、基金托管人的托管费</w:t>
      </w:r>
    </w:p>
    <w:p w14:paraId="1B93B14A" w14:textId="690D3C14"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本基金基金财产中投资于目标ETF的部分不收取托管费。本基金的托管费按前一日基金资产净值扣除所持有目标ETF基金份额部分基金资产后的余额（若为负数，则取0）的</w:t>
      </w:r>
      <w:r w:rsidR="00E041C8">
        <w:rPr>
          <w:rFonts w:ascii="宋体" w:hAnsi="宋体" w:hint="eastAsia"/>
          <w:bCs/>
        </w:rPr>
        <w:t>0.10%</w:t>
      </w:r>
      <w:r w:rsidRPr="004B24DA">
        <w:rPr>
          <w:rFonts w:ascii="宋体" w:hAnsi="宋体" w:hint="eastAsia"/>
          <w:bCs/>
        </w:rPr>
        <w:t>的年费率计提。托管费的计算方法如下：</w:t>
      </w:r>
    </w:p>
    <w:p w14:paraId="0C053363" w14:textId="3BC6AC39"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H＝E×</w:t>
      </w:r>
      <w:r w:rsidR="00E041C8">
        <w:rPr>
          <w:rFonts w:ascii="宋体" w:hAnsi="宋体" w:hint="eastAsia"/>
          <w:bCs/>
        </w:rPr>
        <w:t>0.10%</w:t>
      </w:r>
      <w:r w:rsidRPr="004B24DA">
        <w:rPr>
          <w:rFonts w:ascii="宋体" w:hAnsi="宋体" w:hint="eastAsia"/>
          <w:bCs/>
        </w:rPr>
        <w:t>÷当年天数</w:t>
      </w:r>
    </w:p>
    <w:p w14:paraId="3E9105BA"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H为每日应计提的基金托管费</w:t>
      </w:r>
    </w:p>
    <w:p w14:paraId="5C958337"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E为前一日的基金资产净值扣除前一日所持有目标ETF基金份额部分基金资产后的余额（若为负数，则E取0）</w:t>
      </w:r>
    </w:p>
    <w:p w14:paraId="6ED7BC3B" w14:textId="087EE2CD" w:rsidR="004B24DA" w:rsidRPr="004B24DA" w:rsidRDefault="00E041C8" w:rsidP="004B24DA">
      <w:pPr>
        <w:adjustRightInd w:val="0"/>
        <w:snapToGrid w:val="0"/>
        <w:spacing w:line="360" w:lineRule="auto"/>
        <w:ind w:firstLineChars="200" w:firstLine="420"/>
        <w:rPr>
          <w:rFonts w:ascii="宋体" w:hAnsi="宋体"/>
          <w:bCs/>
        </w:rPr>
      </w:pPr>
      <w:r w:rsidRPr="00E041C8">
        <w:rPr>
          <w:rFonts w:ascii="宋体" w:hAnsi="宋体" w:hint="eastAsia"/>
          <w:bCs/>
        </w:rPr>
        <w:t>基金托管费</w:t>
      </w:r>
      <w:r w:rsidR="005F3BE1" w:rsidRPr="005F3BE1">
        <w:rPr>
          <w:rFonts w:ascii="宋体" w:hAnsi="宋体" w:hint="eastAsia"/>
          <w:bCs/>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655D08CF"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3、从C类基金份额的基金财产中计提的销售服务费</w:t>
      </w:r>
    </w:p>
    <w:p w14:paraId="3D27E443" w14:textId="6019668E"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本基金A类基金份额不收取销售服务费，C类基金份额的销售服务费年费率为0.</w:t>
      </w:r>
      <w:r w:rsidR="005F3BE1">
        <w:rPr>
          <w:rFonts w:ascii="宋体" w:hAnsi="宋体"/>
          <w:bCs/>
        </w:rPr>
        <w:t>30</w:t>
      </w:r>
      <w:r w:rsidRPr="004B24DA">
        <w:rPr>
          <w:rFonts w:ascii="宋体" w:hAnsi="宋体" w:hint="eastAsia"/>
          <w:bCs/>
        </w:rPr>
        <w:t>%。本基金销售服务费按前一日C类基金份额的基金资产净值的0.</w:t>
      </w:r>
      <w:r w:rsidR="005F3BE1">
        <w:rPr>
          <w:rFonts w:ascii="宋体" w:hAnsi="宋体"/>
          <w:bCs/>
        </w:rPr>
        <w:t>30</w:t>
      </w:r>
      <w:r w:rsidRPr="004B24DA">
        <w:rPr>
          <w:rFonts w:ascii="宋体" w:hAnsi="宋体" w:hint="eastAsia"/>
          <w:bCs/>
        </w:rPr>
        <w:t>%年费率计提。销售服务费的计算方法如下：</w:t>
      </w:r>
    </w:p>
    <w:p w14:paraId="3E6CA9DE" w14:textId="006A31BD"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H＝E×年销售服务费率÷当年天数</w:t>
      </w:r>
    </w:p>
    <w:p w14:paraId="69BD8715"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H为C类基金份额每日应计提的基金销售服务费</w:t>
      </w:r>
    </w:p>
    <w:p w14:paraId="26F41DE0" w14:textId="77777777" w:rsidR="004B24DA" w:rsidRP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E为C类基金份额前一日基金资产净值</w:t>
      </w:r>
    </w:p>
    <w:p w14:paraId="7E2AEDC4" w14:textId="7C1EEE64" w:rsidR="004B24DA" w:rsidRPr="004B24DA" w:rsidRDefault="00E041C8" w:rsidP="004B24DA">
      <w:pPr>
        <w:adjustRightInd w:val="0"/>
        <w:snapToGrid w:val="0"/>
        <w:spacing w:line="360" w:lineRule="auto"/>
        <w:ind w:firstLineChars="200" w:firstLine="420"/>
        <w:rPr>
          <w:rFonts w:ascii="宋体" w:hAnsi="宋体"/>
          <w:bCs/>
        </w:rPr>
      </w:pPr>
      <w:r w:rsidRPr="00E041C8">
        <w:rPr>
          <w:rFonts w:ascii="宋体" w:hAnsi="宋体" w:hint="eastAsia"/>
          <w:bCs/>
        </w:rPr>
        <w:t>销售服务费</w:t>
      </w:r>
      <w:r w:rsidR="005F3BE1" w:rsidRPr="005F3BE1">
        <w:rPr>
          <w:rFonts w:ascii="宋体" w:hAnsi="宋体" w:hint="eastAsia"/>
          <w:bCs/>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0A0193CE" w14:textId="4FF07EC6" w:rsidR="004B24DA" w:rsidRDefault="004B24DA" w:rsidP="004B24DA">
      <w:pPr>
        <w:adjustRightInd w:val="0"/>
        <w:snapToGrid w:val="0"/>
        <w:spacing w:line="360" w:lineRule="auto"/>
        <w:ind w:firstLineChars="200" w:firstLine="420"/>
        <w:rPr>
          <w:rFonts w:ascii="宋体" w:hAnsi="宋体"/>
          <w:bCs/>
        </w:rPr>
      </w:pPr>
      <w:r w:rsidRPr="004B24DA">
        <w:rPr>
          <w:rFonts w:ascii="宋体" w:hAnsi="宋体" w:hint="eastAsia"/>
          <w:bCs/>
        </w:rPr>
        <w:t>上述“一、基金费用的种类”中第4-12项费用，根据有关法规及相应协议规定，按费用实际支出金额列入当期费用，由基金托管人从基金财产中支付。</w:t>
      </w:r>
    </w:p>
    <w:p w14:paraId="5FB2C202"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三、不列入基金费用的项目</w:t>
      </w:r>
    </w:p>
    <w:p w14:paraId="67C9BA57"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下列费用不列入基金费用：</w:t>
      </w:r>
    </w:p>
    <w:p w14:paraId="40FE7FDC"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1、基金管理人和基金托管人因未履行或未完全履行义务导致的费用支出或基金财产的损失；</w:t>
      </w:r>
    </w:p>
    <w:p w14:paraId="7E7BF61B"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2、基金管理人和基金托管人处理与基金运作无关的事项发生的费用；</w:t>
      </w:r>
    </w:p>
    <w:p w14:paraId="749D6C2E"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3、《基金合同》生效前的相关费用；</w:t>
      </w:r>
    </w:p>
    <w:p w14:paraId="564C2303"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4、标的指数许可使用费；</w:t>
      </w:r>
    </w:p>
    <w:p w14:paraId="41E7FF22"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5、其他根据相关法律法规及中国证监会的有关规定不得列入基金费用的项目。</w:t>
      </w:r>
    </w:p>
    <w:p w14:paraId="7C339B68"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四、基金税收</w:t>
      </w:r>
    </w:p>
    <w:p w14:paraId="62DDDFBD"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74DD3258" w14:textId="77777777" w:rsidR="009C2D86" w:rsidRDefault="0027599D">
      <w:pPr>
        <w:adjustRightInd w:val="0"/>
        <w:snapToGrid w:val="0"/>
        <w:spacing w:line="360" w:lineRule="auto"/>
        <w:ind w:firstLineChars="200" w:firstLine="420"/>
        <w:rPr>
          <w:rFonts w:ascii="宋体" w:hAnsi="宋体"/>
          <w:bCs/>
        </w:rPr>
      </w:pPr>
      <w:r>
        <w:rPr>
          <w:rFonts w:ascii="宋体" w:hAnsi="宋体" w:hint="eastAsia"/>
          <w:bCs/>
        </w:rPr>
        <w:t>五、实施侧袋机制期间的基金费用</w:t>
      </w:r>
    </w:p>
    <w:p w14:paraId="64E14E41" w14:textId="77777777" w:rsidR="009C2D86" w:rsidRDefault="0027599D">
      <w:pPr>
        <w:snapToGrid w:val="0"/>
        <w:spacing w:line="360" w:lineRule="auto"/>
        <w:ind w:firstLineChars="200" w:firstLine="420"/>
        <w:rPr>
          <w:rFonts w:ascii="宋体" w:cs="Times New Roman"/>
          <w:b/>
          <w:bCs/>
          <w:color w:val="000000"/>
        </w:rPr>
      </w:pPr>
      <w:r>
        <w:rPr>
          <w:rFonts w:ascii="宋体" w:hAnsi="宋体" w:hint="eastAsia"/>
          <w:bCs/>
        </w:rPr>
        <w:t>本基金实施侧袋机制的，与侧袋账户有关的费用可以从侧袋账户中列支，但应待侧袋账户资产变现后方可列支，有关费用可酌情收取或减免，但不得收取管理费，详见招募说明书“侧袋机制”部分的规定。</w:t>
      </w:r>
      <w:bookmarkEnd w:id="72"/>
      <w:r>
        <w:rPr>
          <w:rFonts w:hAnsi="宋体"/>
          <w:bCs/>
        </w:rPr>
        <w:br w:type="page"/>
      </w:r>
    </w:p>
    <w:p w14:paraId="32841038"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35" w:name="_Toc360793506"/>
      <w:bookmarkStart w:id="136" w:name="_Toc360794416"/>
      <w:bookmarkStart w:id="137" w:name="_Toc362455191"/>
      <w:bookmarkStart w:id="138" w:name="_Toc360794108"/>
      <w:bookmarkStart w:id="139" w:name="_Toc362533463"/>
      <w:bookmarkStart w:id="140" w:name="_Toc360794524"/>
      <w:bookmarkStart w:id="141" w:name="_Toc360793858"/>
      <w:bookmarkStart w:id="142" w:name="_Toc48900081"/>
      <w:bookmarkStart w:id="143" w:name="_Hlk496537733"/>
      <w:r>
        <w:rPr>
          <w:rFonts w:ascii="宋体" w:eastAsia="宋体" w:hAnsi="宋体" w:cs="宋体" w:hint="eastAsia"/>
        </w:rPr>
        <w:t>基金的会计与审计</w:t>
      </w:r>
      <w:bookmarkEnd w:id="135"/>
      <w:bookmarkEnd w:id="136"/>
      <w:bookmarkEnd w:id="137"/>
      <w:bookmarkEnd w:id="138"/>
      <w:bookmarkEnd w:id="139"/>
      <w:bookmarkEnd w:id="140"/>
      <w:bookmarkEnd w:id="141"/>
      <w:bookmarkEnd w:id="142"/>
    </w:p>
    <w:p w14:paraId="0F6F10CF" w14:textId="77777777" w:rsidR="009C2D86" w:rsidRDefault="009C2D86">
      <w:pPr>
        <w:snapToGrid w:val="0"/>
        <w:spacing w:line="360" w:lineRule="auto"/>
        <w:ind w:firstLineChars="200" w:firstLine="422"/>
        <w:rPr>
          <w:rFonts w:ascii="宋体" w:cs="Times New Roman"/>
          <w:b/>
          <w:bCs/>
          <w:color w:val="000000"/>
        </w:rPr>
      </w:pPr>
    </w:p>
    <w:p w14:paraId="32E48E39" w14:textId="77777777" w:rsidR="009C2D86" w:rsidRDefault="0027599D">
      <w:pPr>
        <w:snapToGrid w:val="0"/>
        <w:spacing w:line="360" w:lineRule="auto"/>
        <w:ind w:firstLineChars="200" w:firstLine="420"/>
        <w:rPr>
          <w:rFonts w:ascii="宋体" w:cs="Times New Roman"/>
        </w:rPr>
      </w:pPr>
      <w:r>
        <w:rPr>
          <w:rFonts w:ascii="宋体" w:cs="Times New Roman" w:hint="eastAsia"/>
        </w:rPr>
        <w:t>一、基金会计政策</w:t>
      </w:r>
    </w:p>
    <w:p w14:paraId="0530DCF4" w14:textId="77777777" w:rsidR="009C2D86" w:rsidRDefault="0027599D">
      <w:pPr>
        <w:snapToGrid w:val="0"/>
        <w:spacing w:line="360" w:lineRule="auto"/>
        <w:ind w:firstLineChars="200" w:firstLine="420"/>
        <w:rPr>
          <w:rFonts w:ascii="宋体" w:cs="Times New Roman"/>
        </w:rPr>
      </w:pPr>
      <w:r>
        <w:rPr>
          <w:rFonts w:ascii="宋体" w:cs="Times New Roman" w:hint="eastAsia"/>
        </w:rPr>
        <w:t>1、基金管理人为本基金的基金会计责任方；</w:t>
      </w:r>
    </w:p>
    <w:p w14:paraId="3E99319E" w14:textId="77777777" w:rsidR="009C2D86" w:rsidRDefault="0027599D">
      <w:pPr>
        <w:snapToGrid w:val="0"/>
        <w:spacing w:line="360" w:lineRule="auto"/>
        <w:ind w:firstLineChars="200" w:firstLine="420"/>
        <w:rPr>
          <w:rFonts w:ascii="宋体" w:cs="Times New Roman"/>
        </w:rPr>
      </w:pPr>
      <w:r>
        <w:rPr>
          <w:rFonts w:ascii="宋体" w:cs="Times New Roman" w:hint="eastAsia"/>
        </w:rPr>
        <w:t>2、基金的会计年度为公历年度的1月1日至12月31日；基金首次募集的会计年度按如下原则：如果《基金合同》生效少于2个月，可以并入下一个会计年度披露；</w:t>
      </w:r>
    </w:p>
    <w:p w14:paraId="16113DFD" w14:textId="77777777" w:rsidR="009C2D86" w:rsidRDefault="0027599D">
      <w:pPr>
        <w:snapToGrid w:val="0"/>
        <w:spacing w:line="360" w:lineRule="auto"/>
        <w:ind w:firstLineChars="200" w:firstLine="420"/>
        <w:rPr>
          <w:rFonts w:ascii="宋体" w:cs="Times New Roman"/>
        </w:rPr>
      </w:pPr>
      <w:r>
        <w:rPr>
          <w:rFonts w:ascii="宋体" w:cs="Times New Roman" w:hint="eastAsia"/>
        </w:rPr>
        <w:t>3、基金核算以人民币为记账本位币，以人民币元为记账单位；</w:t>
      </w:r>
    </w:p>
    <w:p w14:paraId="2E83C03E" w14:textId="77777777" w:rsidR="009C2D86" w:rsidRDefault="0027599D">
      <w:pPr>
        <w:snapToGrid w:val="0"/>
        <w:spacing w:line="360" w:lineRule="auto"/>
        <w:ind w:firstLineChars="200" w:firstLine="420"/>
        <w:rPr>
          <w:rFonts w:ascii="宋体" w:cs="Times New Roman"/>
        </w:rPr>
      </w:pPr>
      <w:r>
        <w:rPr>
          <w:rFonts w:ascii="宋体" w:cs="Times New Roman" w:hint="eastAsia"/>
        </w:rPr>
        <w:t>4、会计制度执行国家有关会计制度；</w:t>
      </w:r>
    </w:p>
    <w:p w14:paraId="0F72E03F" w14:textId="77777777" w:rsidR="009C2D86" w:rsidRDefault="0027599D">
      <w:pPr>
        <w:snapToGrid w:val="0"/>
        <w:spacing w:line="360" w:lineRule="auto"/>
        <w:ind w:firstLineChars="200" w:firstLine="420"/>
        <w:rPr>
          <w:rFonts w:ascii="宋体" w:cs="Times New Roman"/>
        </w:rPr>
      </w:pPr>
      <w:r>
        <w:rPr>
          <w:rFonts w:ascii="宋体" w:cs="Times New Roman" w:hint="eastAsia"/>
        </w:rPr>
        <w:t>5、本基金独立建账、独立核算；</w:t>
      </w:r>
    </w:p>
    <w:p w14:paraId="45117C92" w14:textId="77777777" w:rsidR="009C2D86" w:rsidRDefault="0027599D">
      <w:pPr>
        <w:snapToGrid w:val="0"/>
        <w:spacing w:line="360" w:lineRule="auto"/>
        <w:ind w:firstLineChars="200" w:firstLine="420"/>
        <w:rPr>
          <w:rFonts w:ascii="宋体" w:cs="Times New Roman"/>
        </w:rPr>
      </w:pPr>
      <w:r>
        <w:rPr>
          <w:rFonts w:ascii="宋体" w:cs="Times New Roman" w:hint="eastAsia"/>
        </w:rPr>
        <w:t>6、基金管理人及基金托管人各自保留完整的会计账目、凭证并进行日常的会计核算，按照有关规定编制基金会计报表；</w:t>
      </w:r>
    </w:p>
    <w:p w14:paraId="4AE4C2E8" w14:textId="77777777" w:rsidR="009C2D86" w:rsidRDefault="0027599D">
      <w:pPr>
        <w:snapToGrid w:val="0"/>
        <w:spacing w:line="360" w:lineRule="auto"/>
        <w:ind w:firstLineChars="200" w:firstLine="420"/>
        <w:rPr>
          <w:rFonts w:ascii="宋体" w:cs="Times New Roman"/>
        </w:rPr>
      </w:pPr>
      <w:r>
        <w:rPr>
          <w:rFonts w:ascii="宋体" w:cs="Times New Roman" w:hint="eastAsia"/>
        </w:rPr>
        <w:t>7、基金托管人每月与基金管理人就基金的会计核算、报表编制等进行核对并以书面方式确认。</w:t>
      </w:r>
    </w:p>
    <w:p w14:paraId="45161E44" w14:textId="77777777" w:rsidR="009C2D86" w:rsidRDefault="0027599D">
      <w:pPr>
        <w:snapToGrid w:val="0"/>
        <w:spacing w:line="360" w:lineRule="auto"/>
        <w:ind w:firstLineChars="200" w:firstLine="420"/>
        <w:rPr>
          <w:rFonts w:ascii="宋体" w:cs="Times New Roman"/>
        </w:rPr>
      </w:pPr>
      <w:r>
        <w:rPr>
          <w:rFonts w:ascii="宋体" w:cs="Times New Roman" w:hint="eastAsia"/>
        </w:rPr>
        <w:t>二、基金的年度审计</w:t>
      </w:r>
    </w:p>
    <w:p w14:paraId="7C93E453" w14:textId="77777777" w:rsidR="009C2D86" w:rsidRDefault="0027599D">
      <w:pPr>
        <w:snapToGrid w:val="0"/>
        <w:spacing w:line="360" w:lineRule="auto"/>
        <w:ind w:firstLineChars="200" w:firstLine="420"/>
        <w:rPr>
          <w:rFonts w:ascii="宋体" w:cs="Times New Roman"/>
        </w:rPr>
      </w:pPr>
      <w:r>
        <w:rPr>
          <w:rFonts w:ascii="宋体" w:cs="Times New Roman" w:hint="eastAsia"/>
        </w:rPr>
        <w:t>1、基金管理人聘请与基金管理人、基金托管人相互独立的符合《证券法》规定的会计师事务所及其注册会计师对本基金的年度财务报表进行审计。</w:t>
      </w:r>
    </w:p>
    <w:p w14:paraId="50AB4B3F" w14:textId="77777777" w:rsidR="009C2D86" w:rsidRDefault="0027599D">
      <w:pPr>
        <w:snapToGrid w:val="0"/>
        <w:spacing w:line="360" w:lineRule="auto"/>
        <w:ind w:firstLineChars="200" w:firstLine="420"/>
        <w:rPr>
          <w:rFonts w:ascii="宋体" w:cs="Times New Roman"/>
        </w:rPr>
      </w:pPr>
      <w:r>
        <w:rPr>
          <w:rFonts w:ascii="宋体" w:cs="Times New Roman" w:hint="eastAsia"/>
        </w:rPr>
        <w:t>2、会计师事务所更换经办注册会计师，应事先征得基金管理人同意。</w:t>
      </w:r>
    </w:p>
    <w:p w14:paraId="56729CE8" w14:textId="77777777" w:rsidR="009C2D86" w:rsidRDefault="0027599D">
      <w:pPr>
        <w:snapToGrid w:val="0"/>
        <w:spacing w:line="360" w:lineRule="auto"/>
        <w:ind w:firstLineChars="200" w:firstLine="420"/>
        <w:rPr>
          <w:rFonts w:ascii="宋体" w:cs="Times New Roman"/>
          <w:color w:val="000000"/>
        </w:rPr>
      </w:pPr>
      <w:r>
        <w:rPr>
          <w:rFonts w:ascii="宋体" w:cs="Times New Roman" w:hint="eastAsia"/>
        </w:rPr>
        <w:t>3、基金管理人认为有充足理由更换会计师事务所，须通报基金托管人。更换会计师事务所需在2日内在规定媒介公告。</w:t>
      </w:r>
    </w:p>
    <w:p w14:paraId="05FA5523" w14:textId="77777777" w:rsidR="009C2D86" w:rsidRDefault="0027599D">
      <w:pPr>
        <w:pStyle w:val="ab"/>
        <w:snapToGrid w:val="0"/>
        <w:spacing w:line="360" w:lineRule="auto"/>
        <w:ind w:firstLineChars="200"/>
        <w:rPr>
          <w:rFonts w:ascii="宋体"/>
          <w:color w:val="000000"/>
        </w:rPr>
      </w:pPr>
      <w:r>
        <w:rPr>
          <w:rFonts w:ascii="宋体"/>
          <w:color w:val="000000"/>
          <w:kern w:val="0"/>
        </w:rPr>
        <w:br w:type="page"/>
      </w:r>
    </w:p>
    <w:p w14:paraId="6FA0E5EC"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44" w:name="_Toc360793507"/>
      <w:bookmarkStart w:id="145" w:name="_Toc360794109"/>
      <w:bookmarkStart w:id="146" w:name="_Toc362533464"/>
      <w:bookmarkStart w:id="147" w:name="_Toc360794525"/>
      <w:bookmarkStart w:id="148" w:name="_Toc48900082"/>
      <w:bookmarkStart w:id="149" w:name="_Toc362455192"/>
      <w:bookmarkStart w:id="150" w:name="_Toc360794417"/>
      <w:bookmarkStart w:id="151" w:name="_Toc360793859"/>
      <w:r>
        <w:rPr>
          <w:rFonts w:ascii="宋体" w:eastAsia="宋体" w:hAnsi="宋体" w:cs="宋体" w:hint="eastAsia"/>
        </w:rPr>
        <w:t>基金的信息披露</w:t>
      </w:r>
      <w:bookmarkEnd w:id="144"/>
      <w:bookmarkEnd w:id="145"/>
      <w:bookmarkEnd w:id="146"/>
      <w:bookmarkEnd w:id="147"/>
      <w:bookmarkEnd w:id="148"/>
      <w:bookmarkEnd w:id="149"/>
      <w:bookmarkEnd w:id="150"/>
      <w:bookmarkEnd w:id="151"/>
    </w:p>
    <w:p w14:paraId="0AA17025" w14:textId="77777777" w:rsidR="009C2D86" w:rsidRDefault="009C2D86">
      <w:pPr>
        <w:snapToGrid w:val="0"/>
        <w:spacing w:line="360" w:lineRule="auto"/>
        <w:ind w:firstLineChars="200" w:firstLine="420"/>
        <w:rPr>
          <w:rFonts w:cs="Times New Roman"/>
        </w:rPr>
      </w:pPr>
    </w:p>
    <w:bookmarkEnd w:id="143"/>
    <w:p w14:paraId="6E57F403" w14:textId="77777777" w:rsidR="009C2D86" w:rsidRDefault="0027599D">
      <w:pPr>
        <w:snapToGrid w:val="0"/>
        <w:spacing w:line="360" w:lineRule="auto"/>
        <w:ind w:firstLineChars="200" w:firstLine="420"/>
        <w:rPr>
          <w:rFonts w:ascii="宋体" w:cs="Times New Roman"/>
        </w:rPr>
      </w:pPr>
      <w:r>
        <w:rPr>
          <w:rFonts w:ascii="宋体" w:cs="Times New Roman" w:hint="eastAsia"/>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3F38F640" w14:textId="77777777" w:rsidR="009C2D86" w:rsidRDefault="009C2D86">
      <w:pPr>
        <w:snapToGrid w:val="0"/>
        <w:spacing w:line="360" w:lineRule="auto"/>
        <w:ind w:firstLineChars="200" w:firstLine="420"/>
        <w:rPr>
          <w:rFonts w:ascii="宋体" w:cs="Times New Roman"/>
        </w:rPr>
      </w:pPr>
    </w:p>
    <w:p w14:paraId="074BC31B" w14:textId="77777777" w:rsidR="009C2D86" w:rsidRDefault="0027599D">
      <w:pPr>
        <w:snapToGrid w:val="0"/>
        <w:spacing w:line="360" w:lineRule="auto"/>
        <w:ind w:firstLineChars="200" w:firstLine="420"/>
        <w:rPr>
          <w:rFonts w:ascii="宋体" w:cs="Times New Roman"/>
        </w:rPr>
      </w:pPr>
      <w:r>
        <w:rPr>
          <w:rFonts w:ascii="宋体" w:cs="Times New Roman" w:hint="eastAsia"/>
        </w:rPr>
        <w:t>二、信息披露义务人</w:t>
      </w:r>
    </w:p>
    <w:p w14:paraId="00888BB9"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本基金信息披露义务人包括基金管理人、基金托管人、召集基金份额持有人大会的基金份额持有人等法律法规和中国证监会规定的自然人、法人和非法人组织。</w:t>
      </w:r>
    </w:p>
    <w:p w14:paraId="1164F26E"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本基金信息披露义务人以保护基金份额持有人利益为根本出发点，按照法律法规和中国证监会的规定披露基金信息，并保证所披露信息的真实性、准确性、完整性、及时性、简明性和易得性。</w:t>
      </w:r>
    </w:p>
    <w:p w14:paraId="68B51E9B"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076411F1" w14:textId="77777777" w:rsidR="009C2D86" w:rsidRDefault="009C2D86">
      <w:pPr>
        <w:snapToGrid w:val="0"/>
        <w:spacing w:line="360" w:lineRule="auto"/>
        <w:ind w:firstLineChars="200" w:firstLine="420"/>
        <w:rPr>
          <w:rFonts w:ascii="宋体" w:cs="Times New Roman"/>
        </w:rPr>
      </w:pPr>
    </w:p>
    <w:p w14:paraId="2510FC74" w14:textId="77777777" w:rsidR="009C2D86" w:rsidRDefault="0027599D">
      <w:pPr>
        <w:snapToGrid w:val="0"/>
        <w:spacing w:line="360" w:lineRule="auto"/>
        <w:ind w:firstLineChars="200" w:firstLine="420"/>
        <w:rPr>
          <w:rFonts w:ascii="宋体" w:cs="Times New Roman"/>
        </w:rPr>
      </w:pPr>
      <w:r>
        <w:rPr>
          <w:rFonts w:ascii="宋体" w:cs="Times New Roman" w:hint="eastAsia"/>
        </w:rPr>
        <w:t>三、本基金信息披露义务人承诺公开披露的基金信息，不得有下列行为：</w:t>
      </w:r>
    </w:p>
    <w:p w14:paraId="17B1C6EF" w14:textId="77777777" w:rsidR="009C2D86" w:rsidRDefault="0027599D">
      <w:pPr>
        <w:snapToGrid w:val="0"/>
        <w:spacing w:line="360" w:lineRule="auto"/>
        <w:ind w:firstLineChars="200" w:firstLine="420"/>
        <w:rPr>
          <w:rFonts w:ascii="宋体" w:cs="Times New Roman"/>
        </w:rPr>
      </w:pPr>
      <w:r>
        <w:rPr>
          <w:rFonts w:ascii="宋体" w:cs="Times New Roman" w:hint="eastAsia"/>
        </w:rPr>
        <w:t>1、虚假记载、误导性陈述或者重大遗漏；</w:t>
      </w:r>
    </w:p>
    <w:p w14:paraId="1A297BAB" w14:textId="77777777" w:rsidR="009C2D86" w:rsidRDefault="0027599D">
      <w:pPr>
        <w:snapToGrid w:val="0"/>
        <w:spacing w:line="360" w:lineRule="auto"/>
        <w:ind w:firstLineChars="200" w:firstLine="420"/>
        <w:rPr>
          <w:rFonts w:ascii="宋体" w:cs="Times New Roman"/>
        </w:rPr>
      </w:pPr>
      <w:r>
        <w:rPr>
          <w:rFonts w:ascii="宋体" w:cs="Times New Roman" w:hint="eastAsia"/>
        </w:rPr>
        <w:t>2、对证券投资业绩进行预测；</w:t>
      </w:r>
    </w:p>
    <w:p w14:paraId="447A157B" w14:textId="77777777" w:rsidR="009C2D86" w:rsidRDefault="0027599D">
      <w:pPr>
        <w:snapToGrid w:val="0"/>
        <w:spacing w:line="360" w:lineRule="auto"/>
        <w:ind w:firstLineChars="200" w:firstLine="420"/>
        <w:rPr>
          <w:rFonts w:ascii="宋体" w:cs="Times New Roman"/>
        </w:rPr>
      </w:pPr>
      <w:r>
        <w:rPr>
          <w:rFonts w:ascii="宋体" w:cs="Times New Roman" w:hint="eastAsia"/>
        </w:rPr>
        <w:t>3、违规承诺收益或者承担损失；</w:t>
      </w:r>
    </w:p>
    <w:p w14:paraId="1A96D8AB" w14:textId="77777777" w:rsidR="009C2D86" w:rsidRDefault="0027599D">
      <w:pPr>
        <w:snapToGrid w:val="0"/>
        <w:spacing w:line="360" w:lineRule="auto"/>
        <w:ind w:firstLineChars="200" w:firstLine="420"/>
        <w:rPr>
          <w:rFonts w:ascii="宋体" w:cs="Times New Roman"/>
        </w:rPr>
      </w:pPr>
      <w:r>
        <w:rPr>
          <w:rFonts w:ascii="宋体" w:cs="Times New Roman" w:hint="eastAsia"/>
        </w:rPr>
        <w:t>4、诋毁其他基金管理人、基金托管人或者基金销售机构；</w:t>
      </w:r>
    </w:p>
    <w:p w14:paraId="2802C874" w14:textId="77777777" w:rsidR="009C2D86" w:rsidRDefault="0027599D">
      <w:pPr>
        <w:snapToGrid w:val="0"/>
        <w:spacing w:line="360" w:lineRule="auto"/>
        <w:ind w:firstLineChars="200" w:firstLine="420"/>
        <w:rPr>
          <w:rFonts w:ascii="宋体" w:cs="Times New Roman"/>
        </w:rPr>
      </w:pPr>
      <w:r>
        <w:rPr>
          <w:rFonts w:ascii="宋体" w:cs="Times New Roman" w:hint="eastAsia"/>
        </w:rPr>
        <w:t>5、登载任何自然人、法人或者非法人组织的祝贺性、恭维性或推荐性的文字；</w:t>
      </w:r>
    </w:p>
    <w:p w14:paraId="0DD0C3B0" w14:textId="77777777" w:rsidR="009C2D86" w:rsidRDefault="0027599D">
      <w:pPr>
        <w:snapToGrid w:val="0"/>
        <w:spacing w:line="360" w:lineRule="auto"/>
        <w:ind w:firstLineChars="200" w:firstLine="420"/>
        <w:rPr>
          <w:rFonts w:ascii="宋体" w:cs="Times New Roman"/>
        </w:rPr>
      </w:pPr>
      <w:r>
        <w:rPr>
          <w:rFonts w:ascii="宋体" w:cs="Times New Roman" w:hint="eastAsia"/>
        </w:rPr>
        <w:t>6、中国证监会禁止的其他行为。</w:t>
      </w:r>
    </w:p>
    <w:p w14:paraId="1CEFFD99" w14:textId="77777777" w:rsidR="009C2D86" w:rsidRDefault="009C2D86">
      <w:pPr>
        <w:snapToGrid w:val="0"/>
        <w:spacing w:line="360" w:lineRule="auto"/>
        <w:ind w:firstLineChars="200" w:firstLine="420"/>
        <w:rPr>
          <w:rFonts w:ascii="宋体" w:cs="Times New Roman"/>
        </w:rPr>
      </w:pPr>
    </w:p>
    <w:p w14:paraId="3DE09513" w14:textId="77777777" w:rsidR="009C2D86" w:rsidRDefault="0027599D">
      <w:pPr>
        <w:snapToGrid w:val="0"/>
        <w:spacing w:line="360" w:lineRule="auto"/>
        <w:ind w:firstLineChars="200" w:firstLine="420"/>
        <w:rPr>
          <w:rFonts w:ascii="宋体" w:cs="Times New Roman"/>
        </w:rPr>
      </w:pPr>
      <w:r>
        <w:rPr>
          <w:rFonts w:ascii="宋体" w:cs="Times New Roman" w:hint="eastAsia"/>
        </w:rPr>
        <w:t>四、本基金公开披露的信息应采用中文文本。如同时采用外文文本的，基金信息披露义务人应保证不同文本的内容一致。不同文本之间发生歧义的，以中文文本为准。</w:t>
      </w:r>
    </w:p>
    <w:p w14:paraId="6BC3C01C"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本基金公开披露的信息采用阿拉伯数字；除特别说明外，货币单位为人民币元。</w:t>
      </w:r>
    </w:p>
    <w:p w14:paraId="4FADD394" w14:textId="77777777" w:rsidR="009C2D86" w:rsidRDefault="009C2D86">
      <w:pPr>
        <w:snapToGrid w:val="0"/>
        <w:spacing w:line="360" w:lineRule="auto"/>
        <w:ind w:firstLineChars="200" w:firstLine="420"/>
        <w:rPr>
          <w:rFonts w:ascii="宋体" w:cs="Times New Roman"/>
        </w:rPr>
      </w:pPr>
    </w:p>
    <w:p w14:paraId="5A9AB3B3" w14:textId="77777777" w:rsidR="009C2D86" w:rsidRDefault="0027599D">
      <w:pPr>
        <w:snapToGrid w:val="0"/>
        <w:spacing w:line="360" w:lineRule="auto"/>
        <w:ind w:firstLineChars="200" w:firstLine="420"/>
        <w:rPr>
          <w:rFonts w:ascii="宋体" w:cs="Times New Roman"/>
        </w:rPr>
      </w:pPr>
      <w:r>
        <w:rPr>
          <w:rFonts w:ascii="宋体" w:cs="Times New Roman" w:hint="eastAsia"/>
        </w:rPr>
        <w:t>五、公开披露的基金信息</w:t>
      </w:r>
    </w:p>
    <w:p w14:paraId="7BECB92F" w14:textId="77777777" w:rsidR="009C2D86" w:rsidRDefault="0027599D">
      <w:pPr>
        <w:snapToGrid w:val="0"/>
        <w:spacing w:line="360" w:lineRule="auto"/>
        <w:ind w:firstLineChars="200" w:firstLine="420"/>
        <w:rPr>
          <w:rFonts w:ascii="宋体" w:cs="Times New Roman"/>
        </w:rPr>
      </w:pPr>
      <w:r>
        <w:rPr>
          <w:rFonts w:ascii="宋体" w:cs="Times New Roman" w:hint="eastAsia"/>
        </w:rPr>
        <w:t>公开披露的基金信息包括：</w:t>
      </w:r>
    </w:p>
    <w:p w14:paraId="43893423" w14:textId="77777777" w:rsidR="009C2D86" w:rsidRDefault="0027599D">
      <w:pPr>
        <w:snapToGrid w:val="0"/>
        <w:spacing w:line="360" w:lineRule="auto"/>
        <w:ind w:firstLineChars="200" w:firstLine="420"/>
        <w:rPr>
          <w:rFonts w:ascii="宋体" w:cs="Times New Roman"/>
        </w:rPr>
      </w:pPr>
      <w:r>
        <w:rPr>
          <w:rFonts w:ascii="宋体" w:cs="Times New Roman" w:hint="eastAsia"/>
        </w:rPr>
        <w:t>（一）基金招募说明书、《基金合同》、基金托管协议、基金产品资料概要</w:t>
      </w:r>
    </w:p>
    <w:p w14:paraId="01A20A7F" w14:textId="77777777" w:rsidR="009C2D86" w:rsidRDefault="0027599D">
      <w:pPr>
        <w:snapToGrid w:val="0"/>
        <w:spacing w:line="360" w:lineRule="auto"/>
        <w:ind w:firstLineChars="200" w:firstLine="420"/>
        <w:rPr>
          <w:rFonts w:ascii="宋体" w:cs="Times New Roman"/>
        </w:rPr>
      </w:pPr>
      <w:r>
        <w:rPr>
          <w:rFonts w:ascii="宋体" w:cs="Times New Roman" w:hint="eastAsia"/>
        </w:rPr>
        <w:t>1、《基金合同》是界定《基金合同》当事人的各项权利、义务关系，明确基金份额持有人大会召开的规则及具体程序，说明基金产品的特性等涉及基金投资者重大利益的事项的法律文件。</w:t>
      </w:r>
    </w:p>
    <w:p w14:paraId="40794D34" w14:textId="77777777" w:rsidR="009C2D86" w:rsidRDefault="0027599D">
      <w:pPr>
        <w:snapToGrid w:val="0"/>
        <w:spacing w:line="360" w:lineRule="auto"/>
        <w:ind w:firstLineChars="200" w:firstLine="420"/>
        <w:rPr>
          <w:rFonts w:ascii="宋体" w:cs="Times New Roman"/>
        </w:rPr>
      </w:pPr>
      <w:r>
        <w:rPr>
          <w:rFonts w:ascii="宋体" w:cs="Times New Roman" w:hint="eastAsia"/>
        </w:rPr>
        <w:t>2、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08939E09" w14:textId="77777777" w:rsidR="009C2D86" w:rsidRDefault="0027599D">
      <w:pPr>
        <w:snapToGrid w:val="0"/>
        <w:spacing w:line="360" w:lineRule="auto"/>
        <w:ind w:firstLineChars="200" w:firstLine="420"/>
        <w:rPr>
          <w:rFonts w:ascii="宋体" w:cs="Times New Roman"/>
        </w:rPr>
      </w:pPr>
      <w:r>
        <w:rPr>
          <w:rFonts w:ascii="宋体" w:cs="Times New Roman" w:hint="eastAsia"/>
        </w:rPr>
        <w:t>3、基金托管协议是界定基金托管人和基金管理人在基金财产保管及基金运作监督等活动中的权利、义务关系的法律文件。</w:t>
      </w:r>
    </w:p>
    <w:p w14:paraId="22226B8E" w14:textId="77777777" w:rsidR="009C2D86" w:rsidRDefault="0027599D">
      <w:pPr>
        <w:snapToGrid w:val="0"/>
        <w:spacing w:line="360" w:lineRule="auto"/>
        <w:ind w:firstLineChars="200" w:firstLine="420"/>
        <w:rPr>
          <w:rFonts w:ascii="宋体" w:cs="Times New Roman"/>
        </w:rPr>
      </w:pPr>
      <w:r>
        <w:rPr>
          <w:rFonts w:ascii="宋体" w:cs="Times New Roman" w:hint="eastAsia"/>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产品资料概要的正文应当包括产品概况、基金投资与净值表现、投资本基金涉及的费用、风险揭示与重要提示等中国证监会规定的披露事项，相关内容不得与基金合同、招募说明书有实质性差异。基金管理人按照《信息披露办法》、《基金合同》及基金招募说明书规定的基金产品资料概要编制、披露与更新要求执行。基金终止运作的，基金管理人不再更新基金产品资料概要。</w:t>
      </w:r>
    </w:p>
    <w:p w14:paraId="1D84E77A" w14:textId="77777777" w:rsidR="009C2D86" w:rsidRDefault="0027599D">
      <w:pPr>
        <w:snapToGrid w:val="0"/>
        <w:spacing w:line="360" w:lineRule="auto"/>
        <w:ind w:firstLineChars="200" w:firstLine="420"/>
        <w:rPr>
          <w:rFonts w:ascii="宋体" w:cs="Times New Roman"/>
        </w:rPr>
      </w:pPr>
      <w:r>
        <w:rPr>
          <w:rFonts w:ascii="宋体" w:cs="Times New Roman" w:hint="eastAsia"/>
        </w:rPr>
        <w:t>基金募集申请经中国证监会注册后，基金管理人在基金份额发售的3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0EB0F257" w14:textId="77777777" w:rsidR="009C2D86" w:rsidRDefault="0027599D">
      <w:pPr>
        <w:snapToGrid w:val="0"/>
        <w:spacing w:line="360" w:lineRule="auto"/>
        <w:ind w:firstLineChars="200" w:firstLine="420"/>
        <w:rPr>
          <w:rFonts w:ascii="宋体" w:cs="Times New Roman"/>
        </w:rPr>
      </w:pPr>
      <w:r>
        <w:rPr>
          <w:rFonts w:ascii="宋体" w:cs="Times New Roman" w:hint="eastAsia"/>
        </w:rPr>
        <w:t>（二）基金份额发售公告</w:t>
      </w:r>
    </w:p>
    <w:p w14:paraId="354D9DDE"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基金管理人应当就基金份额发售的具体事宜编制基金份额发售公告，并在披露招募说明书的当日登载于规定媒介上。</w:t>
      </w:r>
    </w:p>
    <w:p w14:paraId="7DAE1234" w14:textId="77777777" w:rsidR="009C2D86" w:rsidRDefault="0027599D">
      <w:pPr>
        <w:snapToGrid w:val="0"/>
        <w:spacing w:line="360" w:lineRule="auto"/>
        <w:ind w:firstLineChars="200" w:firstLine="420"/>
        <w:rPr>
          <w:rFonts w:ascii="宋体" w:cs="Times New Roman"/>
        </w:rPr>
      </w:pPr>
      <w:r>
        <w:rPr>
          <w:rFonts w:ascii="宋体" w:cs="Times New Roman" w:hint="eastAsia"/>
        </w:rPr>
        <w:t>（三）《基金合同》生效公告</w:t>
      </w:r>
    </w:p>
    <w:p w14:paraId="19FD5CD0"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基金管理人应当在收到中国证监会确认文件的次日在规定媒介上登载《基金合同》生效公告。</w:t>
      </w:r>
    </w:p>
    <w:p w14:paraId="27DE5E39" w14:textId="77777777" w:rsidR="009C2D86" w:rsidRDefault="0027599D">
      <w:pPr>
        <w:snapToGrid w:val="0"/>
        <w:spacing w:line="360" w:lineRule="auto"/>
        <w:ind w:firstLineChars="200" w:firstLine="420"/>
        <w:rPr>
          <w:rFonts w:ascii="宋体" w:cs="Times New Roman"/>
        </w:rPr>
      </w:pPr>
      <w:r>
        <w:rPr>
          <w:rFonts w:ascii="宋体" w:cs="Times New Roman" w:hint="eastAsia"/>
        </w:rPr>
        <w:t>（四）基金净值信息</w:t>
      </w:r>
    </w:p>
    <w:p w14:paraId="18D16F33" w14:textId="77777777" w:rsidR="009C2D86" w:rsidRDefault="0027599D">
      <w:pPr>
        <w:snapToGrid w:val="0"/>
        <w:spacing w:line="360" w:lineRule="auto"/>
        <w:ind w:firstLineChars="200" w:firstLine="420"/>
        <w:rPr>
          <w:rFonts w:ascii="宋体" w:cs="Times New Roman"/>
        </w:rPr>
      </w:pPr>
      <w:r>
        <w:rPr>
          <w:rFonts w:ascii="宋体" w:cs="Times New Roman" w:hint="eastAsia"/>
        </w:rPr>
        <w:t>《基金合同》生效后，在开始办理基金份额申购或者赎回前，基金管理人应当至少每周在规定网站披露一次各类基金份额净值和基金份额累计净值。</w:t>
      </w:r>
    </w:p>
    <w:p w14:paraId="35A3BDBC" w14:textId="77777777" w:rsidR="009C2D86" w:rsidRDefault="0027599D">
      <w:pPr>
        <w:snapToGrid w:val="0"/>
        <w:spacing w:line="360" w:lineRule="auto"/>
        <w:ind w:firstLineChars="200" w:firstLine="420"/>
        <w:rPr>
          <w:rFonts w:ascii="宋体" w:cs="Times New Roman"/>
        </w:rPr>
      </w:pPr>
      <w:r>
        <w:rPr>
          <w:rFonts w:ascii="宋体" w:cs="Times New Roman" w:hint="eastAsia"/>
        </w:rPr>
        <w:t>在开始办理基金份额申购或者赎回后，基金管理人应当在不晚于每个开放日的次日，通过规定网站、基金销售机构网站或者营业网点披露开放日的各类基金份额净值和基金份额累计净值。</w:t>
      </w:r>
    </w:p>
    <w:p w14:paraId="65B2B6B4"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基金管理人应当在不晚于半年度和年度最后一日的次日，在规定网站披露半年度和年度最后一日的各类基金份额净值和基金份额累计净值。</w:t>
      </w:r>
    </w:p>
    <w:p w14:paraId="1417F654" w14:textId="77777777" w:rsidR="009C2D86" w:rsidRDefault="0027599D">
      <w:pPr>
        <w:snapToGrid w:val="0"/>
        <w:spacing w:line="360" w:lineRule="auto"/>
        <w:ind w:firstLineChars="200" w:firstLine="420"/>
        <w:rPr>
          <w:rFonts w:ascii="宋体" w:cs="Times New Roman"/>
        </w:rPr>
      </w:pPr>
      <w:r>
        <w:rPr>
          <w:rFonts w:ascii="宋体" w:cs="Times New Roman" w:hint="eastAsia"/>
        </w:rPr>
        <w:t>（五）基金份额申购、赎回价格</w:t>
      </w:r>
    </w:p>
    <w:p w14:paraId="7651AD4F"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3672A3C4" w14:textId="77777777" w:rsidR="009C2D86" w:rsidRDefault="0027599D">
      <w:pPr>
        <w:snapToGrid w:val="0"/>
        <w:spacing w:line="360" w:lineRule="auto"/>
        <w:ind w:firstLineChars="200" w:firstLine="420"/>
        <w:rPr>
          <w:rFonts w:ascii="宋体" w:cs="Times New Roman"/>
        </w:rPr>
      </w:pPr>
      <w:r>
        <w:rPr>
          <w:rFonts w:ascii="宋体" w:cs="Times New Roman" w:hint="eastAsia"/>
        </w:rPr>
        <w:t>（六）基金定期报告，包括基金年度报告、基金中期报告和基金季度报告</w:t>
      </w:r>
    </w:p>
    <w:p w14:paraId="6701579D"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398B11D4"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基金管理人应当在上半年结束之日起两个月内，编制完成基金中期报告，将中期报告登载在规定网站上，并将中期报告提示性公告登载在规定报刊上。</w:t>
      </w:r>
    </w:p>
    <w:p w14:paraId="2737CC28"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基金管理人应当在季度结束之日起15个工作日内，编制完成基金季度报告，将季度报告登载在规定网站上，并将季度报告提示性公告登载在规定报刊上。</w:t>
      </w:r>
    </w:p>
    <w:p w14:paraId="229FE1B7" w14:textId="77777777" w:rsidR="009C2D86" w:rsidRDefault="0027599D">
      <w:pPr>
        <w:snapToGrid w:val="0"/>
        <w:spacing w:line="360" w:lineRule="auto"/>
        <w:ind w:firstLineChars="200" w:firstLine="420"/>
        <w:rPr>
          <w:rFonts w:ascii="宋体" w:cs="Times New Roman"/>
        </w:rPr>
      </w:pPr>
      <w:r>
        <w:rPr>
          <w:rFonts w:ascii="宋体" w:cs="Times New Roman" w:hint="eastAsia"/>
        </w:rPr>
        <w:t>《基金合同》生效不足2个月的，基金管理人可以不编制当期季度报告、中期报告或者年度报告。</w:t>
      </w:r>
    </w:p>
    <w:p w14:paraId="6AA2F262" w14:textId="77777777" w:rsidR="009C2D86" w:rsidRDefault="0027599D">
      <w:pPr>
        <w:snapToGrid w:val="0"/>
        <w:spacing w:line="360" w:lineRule="auto"/>
        <w:ind w:firstLineChars="200" w:firstLine="420"/>
        <w:rPr>
          <w:rFonts w:ascii="宋体" w:cs="Times New Roman"/>
        </w:rPr>
      </w:pPr>
      <w:r>
        <w:rPr>
          <w:rFonts w:ascii="宋体" w:cs="Times New Roman" w:hint="eastAsia"/>
        </w:rPr>
        <w:t>如报告期内出现单一投资者持有基金份额达到或超过基金总份额20%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08398FB1"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基金管理人应当在基金年度报告和中期报告中披露基金组合资产情况及其流动性风险分析等。</w:t>
      </w:r>
    </w:p>
    <w:p w14:paraId="234A36F8" w14:textId="77777777" w:rsidR="009C2D86" w:rsidRDefault="0027599D">
      <w:pPr>
        <w:snapToGrid w:val="0"/>
        <w:spacing w:line="360" w:lineRule="auto"/>
        <w:ind w:firstLineChars="200" w:firstLine="420"/>
        <w:rPr>
          <w:rFonts w:ascii="宋体" w:cs="Times New Roman"/>
        </w:rPr>
      </w:pPr>
      <w:r>
        <w:rPr>
          <w:rFonts w:ascii="宋体" w:cs="Times New Roman" w:hint="eastAsia"/>
        </w:rPr>
        <w:t>（七）临时报告</w:t>
      </w:r>
    </w:p>
    <w:p w14:paraId="712B8E60"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本基金发生重大事件，有关信息披露义务人应当在2日内编制临时报告书，并登载在规定报刊和规定网站上。</w:t>
      </w:r>
    </w:p>
    <w:p w14:paraId="2F01E140" w14:textId="77777777" w:rsidR="009C2D86" w:rsidRDefault="0027599D">
      <w:pPr>
        <w:snapToGrid w:val="0"/>
        <w:spacing w:line="360" w:lineRule="auto"/>
        <w:ind w:firstLineChars="200" w:firstLine="420"/>
        <w:rPr>
          <w:rFonts w:ascii="宋体" w:cs="Times New Roman"/>
        </w:rPr>
      </w:pPr>
      <w:r>
        <w:rPr>
          <w:rFonts w:ascii="宋体" w:cs="Times New Roman" w:hint="eastAsia"/>
        </w:rPr>
        <w:t>前款所称重大事件，是指可能对基金份额持有人权益或者基金份额的价格产生重大影响的下列事件：</w:t>
      </w:r>
    </w:p>
    <w:p w14:paraId="762B2F23" w14:textId="77777777" w:rsidR="009C2D86" w:rsidRDefault="0027599D">
      <w:pPr>
        <w:snapToGrid w:val="0"/>
        <w:spacing w:line="360" w:lineRule="auto"/>
        <w:ind w:firstLineChars="200" w:firstLine="420"/>
        <w:rPr>
          <w:rFonts w:ascii="宋体" w:cs="Times New Roman"/>
        </w:rPr>
      </w:pPr>
      <w:r>
        <w:rPr>
          <w:rFonts w:ascii="宋体" w:cs="Times New Roman" w:hint="eastAsia"/>
        </w:rPr>
        <w:t>1、基金份额持有人大会的召开及决定的事项；</w:t>
      </w:r>
    </w:p>
    <w:p w14:paraId="71BC3837" w14:textId="77777777" w:rsidR="009C2D86" w:rsidRDefault="0027599D">
      <w:pPr>
        <w:snapToGrid w:val="0"/>
        <w:spacing w:line="360" w:lineRule="auto"/>
        <w:ind w:firstLineChars="200" w:firstLine="420"/>
        <w:rPr>
          <w:rFonts w:ascii="宋体" w:cs="Times New Roman"/>
        </w:rPr>
      </w:pPr>
      <w:r>
        <w:rPr>
          <w:rFonts w:ascii="宋体" w:cs="Times New Roman" w:hint="eastAsia"/>
        </w:rPr>
        <w:t>2、《基金合同》终止、基金清算；</w:t>
      </w:r>
    </w:p>
    <w:p w14:paraId="5CC58266" w14:textId="77777777" w:rsidR="009C2D86" w:rsidRDefault="0027599D">
      <w:pPr>
        <w:snapToGrid w:val="0"/>
        <w:spacing w:line="360" w:lineRule="auto"/>
        <w:ind w:firstLineChars="200" w:firstLine="420"/>
        <w:rPr>
          <w:rFonts w:ascii="宋体" w:cs="Times New Roman"/>
        </w:rPr>
      </w:pPr>
      <w:r>
        <w:rPr>
          <w:rFonts w:ascii="宋体" w:cs="Times New Roman" w:hint="eastAsia"/>
        </w:rPr>
        <w:t>3、转换基金运作方式、基金合并；</w:t>
      </w:r>
    </w:p>
    <w:p w14:paraId="20287CF7" w14:textId="77777777" w:rsidR="009C2D86" w:rsidRDefault="0027599D">
      <w:pPr>
        <w:snapToGrid w:val="0"/>
        <w:spacing w:line="360" w:lineRule="auto"/>
        <w:ind w:firstLineChars="200" w:firstLine="420"/>
        <w:rPr>
          <w:rFonts w:ascii="宋体" w:cs="Times New Roman"/>
        </w:rPr>
      </w:pPr>
      <w:r>
        <w:rPr>
          <w:rFonts w:ascii="宋体" w:cs="Times New Roman" w:hint="eastAsia"/>
        </w:rPr>
        <w:t>4、更换基金管理人、基金托管人、基金份额登记机构，基金改聘会计师事务所；</w:t>
      </w:r>
    </w:p>
    <w:p w14:paraId="4C4ED783" w14:textId="77777777" w:rsidR="009C2D86" w:rsidRDefault="0027599D">
      <w:pPr>
        <w:snapToGrid w:val="0"/>
        <w:spacing w:line="360" w:lineRule="auto"/>
        <w:ind w:firstLineChars="200" w:firstLine="420"/>
        <w:rPr>
          <w:rFonts w:ascii="宋体" w:cs="Times New Roman"/>
        </w:rPr>
      </w:pPr>
      <w:r>
        <w:rPr>
          <w:rFonts w:ascii="宋体" w:cs="Times New Roman" w:hint="eastAsia"/>
        </w:rPr>
        <w:t>5、基金管理人委托基金服务机构代为办理基金的份额登记、核算、估值等事项，基金托管人委托基金服务机构代为办理基金的核算、估值、复核等事项；</w:t>
      </w:r>
    </w:p>
    <w:p w14:paraId="07AE96E2" w14:textId="77777777" w:rsidR="009C2D86" w:rsidRDefault="0027599D">
      <w:pPr>
        <w:snapToGrid w:val="0"/>
        <w:spacing w:line="360" w:lineRule="auto"/>
        <w:ind w:firstLineChars="200" w:firstLine="420"/>
        <w:rPr>
          <w:rFonts w:ascii="宋体" w:cs="Times New Roman"/>
        </w:rPr>
      </w:pPr>
      <w:r>
        <w:rPr>
          <w:rFonts w:ascii="宋体" w:cs="Times New Roman" w:hint="eastAsia"/>
        </w:rPr>
        <w:t>6、基金管理人、基金托管人的法定名称、住所发生变更；</w:t>
      </w:r>
    </w:p>
    <w:p w14:paraId="4FDF0ADB" w14:textId="77777777" w:rsidR="009C2D86" w:rsidRDefault="0027599D">
      <w:pPr>
        <w:snapToGrid w:val="0"/>
        <w:spacing w:line="360" w:lineRule="auto"/>
        <w:ind w:firstLineChars="200" w:firstLine="420"/>
        <w:rPr>
          <w:rFonts w:ascii="宋体" w:cs="Times New Roman"/>
        </w:rPr>
      </w:pPr>
      <w:r>
        <w:rPr>
          <w:rFonts w:ascii="宋体" w:cs="Times New Roman" w:hint="eastAsia"/>
        </w:rPr>
        <w:t>7、基金管理人变更持有百分之五以上股权的股东、基金管理人的实际控制人变更；</w:t>
      </w:r>
    </w:p>
    <w:p w14:paraId="3AB05A96" w14:textId="77777777" w:rsidR="009C2D86" w:rsidRDefault="0027599D">
      <w:pPr>
        <w:snapToGrid w:val="0"/>
        <w:spacing w:line="360" w:lineRule="auto"/>
        <w:ind w:firstLineChars="200" w:firstLine="420"/>
        <w:rPr>
          <w:rFonts w:ascii="宋体" w:cs="Times New Roman"/>
        </w:rPr>
      </w:pPr>
      <w:r>
        <w:rPr>
          <w:rFonts w:ascii="宋体" w:cs="Times New Roman" w:hint="eastAsia"/>
        </w:rPr>
        <w:t>8、基金募集期延长或提前结束募集；</w:t>
      </w:r>
    </w:p>
    <w:p w14:paraId="1A8FFCF8" w14:textId="77777777" w:rsidR="009C2D86" w:rsidRDefault="0027599D">
      <w:pPr>
        <w:snapToGrid w:val="0"/>
        <w:spacing w:line="360" w:lineRule="auto"/>
        <w:ind w:firstLineChars="200" w:firstLine="420"/>
        <w:rPr>
          <w:rFonts w:ascii="宋体" w:cs="Times New Roman"/>
        </w:rPr>
      </w:pPr>
      <w:r>
        <w:rPr>
          <w:rFonts w:ascii="宋体" w:cs="Times New Roman" w:hint="eastAsia"/>
        </w:rPr>
        <w:t>9、基金管理人的高级管理人员、基金经理和基金托管人专门基金托管部门负责人发生变动；</w:t>
      </w:r>
    </w:p>
    <w:p w14:paraId="20E86CB8" w14:textId="77777777" w:rsidR="009C2D86" w:rsidRDefault="0027599D">
      <w:pPr>
        <w:snapToGrid w:val="0"/>
        <w:spacing w:line="360" w:lineRule="auto"/>
        <w:ind w:firstLineChars="200" w:firstLine="420"/>
        <w:rPr>
          <w:rFonts w:ascii="宋体" w:cs="Times New Roman"/>
        </w:rPr>
      </w:pPr>
      <w:r>
        <w:rPr>
          <w:rFonts w:ascii="宋体" w:cs="Times New Roman" w:hint="eastAsia"/>
        </w:rPr>
        <w:t>10、基金管理人的董事在最近12个月内变更超过百分之五十，基金管理人、基金托管人专门基金托管部门的主要业务人员在最近12个月内变动超过百分之三十；</w:t>
      </w:r>
    </w:p>
    <w:p w14:paraId="0F9F9248" w14:textId="77777777" w:rsidR="009C2D86" w:rsidRDefault="0027599D">
      <w:pPr>
        <w:snapToGrid w:val="0"/>
        <w:spacing w:line="360" w:lineRule="auto"/>
        <w:ind w:firstLineChars="200" w:firstLine="420"/>
        <w:rPr>
          <w:rFonts w:ascii="宋体" w:cs="Times New Roman"/>
        </w:rPr>
      </w:pPr>
      <w:r>
        <w:rPr>
          <w:rFonts w:ascii="宋体" w:cs="Times New Roman" w:hint="eastAsia"/>
        </w:rPr>
        <w:t>11、涉及基金管理业务、基金财产、基金托管业务的诉讼或仲裁；</w:t>
      </w:r>
    </w:p>
    <w:p w14:paraId="77BB99E9" w14:textId="77777777" w:rsidR="009C2D86" w:rsidRDefault="0027599D">
      <w:pPr>
        <w:snapToGrid w:val="0"/>
        <w:spacing w:line="360" w:lineRule="auto"/>
        <w:ind w:firstLineChars="200" w:firstLine="420"/>
        <w:rPr>
          <w:rFonts w:ascii="宋体" w:cs="Times New Roman"/>
        </w:rPr>
      </w:pPr>
      <w:r>
        <w:rPr>
          <w:rFonts w:ascii="宋体" w:cs="Times New Roman" w:hint="eastAsia"/>
        </w:rPr>
        <w:t>12、基金管理人或其高级管理人员、基金经理因基金管理业务相关行为受到重大行政处罚、刑事处罚；基金托管人或其专门基金托管部门负责人因基金托管业务相关行为受到重大行政处罚、刑事处罚；</w:t>
      </w:r>
    </w:p>
    <w:p w14:paraId="730C83F7" w14:textId="77777777" w:rsidR="009C2D86" w:rsidRDefault="0027599D">
      <w:pPr>
        <w:snapToGrid w:val="0"/>
        <w:spacing w:line="360" w:lineRule="auto"/>
        <w:ind w:firstLineChars="200" w:firstLine="420"/>
        <w:rPr>
          <w:rFonts w:ascii="宋体" w:cs="Times New Roman"/>
        </w:rPr>
      </w:pPr>
      <w:r>
        <w:rPr>
          <w:rFonts w:ascii="宋体" w:cs="Times New Roman" w:hint="eastAsia"/>
        </w:rPr>
        <w:t>13、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422F928A" w14:textId="77777777" w:rsidR="009C2D86" w:rsidRDefault="0027599D">
      <w:pPr>
        <w:snapToGrid w:val="0"/>
        <w:spacing w:line="360" w:lineRule="auto"/>
        <w:ind w:firstLineChars="200" w:firstLine="420"/>
        <w:rPr>
          <w:rFonts w:ascii="宋体" w:cs="Times New Roman"/>
        </w:rPr>
      </w:pPr>
      <w:r>
        <w:rPr>
          <w:rFonts w:ascii="宋体" w:cs="Times New Roman" w:hint="eastAsia"/>
        </w:rPr>
        <w:t>14、基金收益分配事项；</w:t>
      </w:r>
    </w:p>
    <w:p w14:paraId="3615A30E" w14:textId="77777777" w:rsidR="009C2D86" w:rsidRDefault="0027599D">
      <w:pPr>
        <w:snapToGrid w:val="0"/>
        <w:spacing w:line="360" w:lineRule="auto"/>
        <w:ind w:firstLineChars="200" w:firstLine="420"/>
        <w:rPr>
          <w:rFonts w:ascii="宋体" w:cs="Times New Roman"/>
        </w:rPr>
      </w:pPr>
      <w:r>
        <w:rPr>
          <w:rFonts w:ascii="宋体" w:cs="Times New Roman" w:hint="eastAsia"/>
        </w:rPr>
        <w:t>15、管理费、托管费、销售服务费、申购费、赎回费等费用计提标准、计提方式和费率发生变更；</w:t>
      </w:r>
    </w:p>
    <w:p w14:paraId="771D31A4" w14:textId="77777777" w:rsidR="009C2D86" w:rsidRDefault="0027599D">
      <w:pPr>
        <w:snapToGrid w:val="0"/>
        <w:spacing w:line="360" w:lineRule="auto"/>
        <w:ind w:firstLineChars="200" w:firstLine="420"/>
        <w:rPr>
          <w:rFonts w:ascii="宋体" w:cs="Times New Roman"/>
        </w:rPr>
      </w:pPr>
      <w:r>
        <w:rPr>
          <w:rFonts w:ascii="宋体" w:cs="Times New Roman" w:hint="eastAsia"/>
        </w:rPr>
        <w:t>16、任一类基金份额净值计价错误达该类基金份额净值百分之零点五；</w:t>
      </w:r>
    </w:p>
    <w:p w14:paraId="36064D73" w14:textId="77777777" w:rsidR="009C2D86" w:rsidRDefault="0027599D">
      <w:pPr>
        <w:snapToGrid w:val="0"/>
        <w:spacing w:line="360" w:lineRule="auto"/>
        <w:ind w:firstLineChars="200" w:firstLine="420"/>
        <w:rPr>
          <w:rFonts w:ascii="宋体" w:cs="Times New Roman"/>
        </w:rPr>
      </w:pPr>
      <w:r>
        <w:rPr>
          <w:rFonts w:ascii="宋体" w:cs="Times New Roman" w:hint="eastAsia"/>
        </w:rPr>
        <w:t>17、本基金开始办理申购、赎回；</w:t>
      </w:r>
    </w:p>
    <w:p w14:paraId="2AD60BC5" w14:textId="77777777" w:rsidR="009C2D86" w:rsidRDefault="0027599D">
      <w:pPr>
        <w:snapToGrid w:val="0"/>
        <w:spacing w:line="360" w:lineRule="auto"/>
        <w:ind w:firstLineChars="200" w:firstLine="420"/>
        <w:rPr>
          <w:rFonts w:ascii="宋体" w:cs="Times New Roman"/>
        </w:rPr>
      </w:pPr>
      <w:r>
        <w:rPr>
          <w:rFonts w:ascii="宋体" w:cs="Times New Roman" w:hint="eastAsia"/>
        </w:rPr>
        <w:t>18、本基金发生巨额赎回并延期办理；</w:t>
      </w:r>
    </w:p>
    <w:p w14:paraId="708E59FB" w14:textId="77777777" w:rsidR="009C2D86" w:rsidRDefault="0027599D">
      <w:pPr>
        <w:snapToGrid w:val="0"/>
        <w:spacing w:line="360" w:lineRule="auto"/>
        <w:ind w:firstLineChars="200" w:firstLine="420"/>
        <w:rPr>
          <w:rFonts w:ascii="宋体" w:cs="Times New Roman"/>
        </w:rPr>
      </w:pPr>
      <w:r>
        <w:rPr>
          <w:rFonts w:ascii="宋体" w:cs="Times New Roman" w:hint="eastAsia"/>
        </w:rPr>
        <w:t>19、本基金连续发生巨额赎回并暂停接受赎回申请或延缓支付赎回款项；</w:t>
      </w:r>
    </w:p>
    <w:p w14:paraId="201EF516" w14:textId="77777777" w:rsidR="009C2D86" w:rsidRDefault="0027599D">
      <w:pPr>
        <w:snapToGrid w:val="0"/>
        <w:spacing w:line="360" w:lineRule="auto"/>
        <w:ind w:firstLineChars="200" w:firstLine="420"/>
        <w:rPr>
          <w:rFonts w:ascii="宋体" w:cs="Times New Roman"/>
        </w:rPr>
      </w:pPr>
      <w:r>
        <w:rPr>
          <w:rFonts w:ascii="宋体" w:cs="Times New Roman" w:hint="eastAsia"/>
        </w:rPr>
        <w:t>20、本基金暂停接受申购、赎回申请或重新接受申购、赎回申请；</w:t>
      </w:r>
    </w:p>
    <w:p w14:paraId="5EAD0D0E" w14:textId="77777777" w:rsidR="009C2D86" w:rsidRDefault="0027599D">
      <w:pPr>
        <w:snapToGrid w:val="0"/>
        <w:spacing w:line="360" w:lineRule="auto"/>
        <w:ind w:firstLineChars="200" w:firstLine="420"/>
        <w:rPr>
          <w:rFonts w:ascii="宋体" w:cs="Times New Roman"/>
        </w:rPr>
      </w:pPr>
      <w:r>
        <w:rPr>
          <w:rFonts w:ascii="宋体" w:cs="Times New Roman" w:hint="eastAsia"/>
        </w:rPr>
        <w:t>21、目标ETF变更；</w:t>
      </w:r>
    </w:p>
    <w:p w14:paraId="2FDAB78A" w14:textId="77777777" w:rsidR="009C2D86" w:rsidRDefault="0027599D">
      <w:pPr>
        <w:snapToGrid w:val="0"/>
        <w:spacing w:line="360" w:lineRule="auto"/>
        <w:ind w:firstLineChars="200" w:firstLine="420"/>
        <w:rPr>
          <w:rFonts w:ascii="宋体" w:cs="Times New Roman"/>
        </w:rPr>
      </w:pPr>
      <w:r>
        <w:rPr>
          <w:rFonts w:ascii="宋体" w:cs="Times New Roman" w:hint="eastAsia"/>
        </w:rPr>
        <w:t>22、发生涉及基金申购、赎回事项调整或潜在影响投资者赎回等重大事项时；</w:t>
      </w:r>
    </w:p>
    <w:p w14:paraId="74C000B9" w14:textId="77777777" w:rsidR="009C2D86" w:rsidRDefault="0027599D">
      <w:pPr>
        <w:snapToGrid w:val="0"/>
        <w:spacing w:line="360" w:lineRule="auto"/>
        <w:ind w:firstLineChars="200" w:firstLine="420"/>
        <w:rPr>
          <w:rFonts w:ascii="宋体" w:cs="Times New Roman"/>
        </w:rPr>
      </w:pPr>
      <w:r>
        <w:rPr>
          <w:rFonts w:ascii="宋体" w:cs="Times New Roman" w:hint="eastAsia"/>
        </w:rPr>
        <w:t>23、基金管理人采用摆动定价机制进行估值；</w:t>
      </w:r>
    </w:p>
    <w:p w14:paraId="04E8A003" w14:textId="77777777" w:rsidR="009C2D86" w:rsidRDefault="0027599D">
      <w:pPr>
        <w:snapToGrid w:val="0"/>
        <w:spacing w:line="360" w:lineRule="auto"/>
        <w:ind w:firstLineChars="200" w:firstLine="420"/>
        <w:rPr>
          <w:rFonts w:ascii="宋体" w:cs="Times New Roman"/>
        </w:rPr>
      </w:pPr>
      <w:r>
        <w:rPr>
          <w:rFonts w:ascii="宋体" w:cs="Times New Roman" w:hint="eastAsia"/>
        </w:rPr>
        <w:t>24、调整基金份额类别设置；</w:t>
      </w:r>
    </w:p>
    <w:p w14:paraId="6B4F4EA8" w14:textId="77777777" w:rsidR="009C2D86" w:rsidRDefault="0027599D">
      <w:pPr>
        <w:snapToGrid w:val="0"/>
        <w:spacing w:line="360" w:lineRule="auto"/>
        <w:ind w:firstLineChars="200" w:firstLine="420"/>
        <w:rPr>
          <w:rFonts w:ascii="宋体" w:cs="Times New Roman"/>
          <w:bCs/>
        </w:rPr>
      </w:pPr>
      <w:r>
        <w:rPr>
          <w:rFonts w:ascii="宋体" w:cs="Times New Roman" w:hint="eastAsia"/>
        </w:rPr>
        <w:t>25、</w:t>
      </w:r>
      <w:r>
        <w:rPr>
          <w:rFonts w:ascii="宋体" w:cs="Times New Roman"/>
          <w:bCs/>
        </w:rPr>
        <w:t>本基金变更标的指数；</w:t>
      </w:r>
    </w:p>
    <w:p w14:paraId="5C896C61" w14:textId="77777777" w:rsidR="009C2D86" w:rsidRDefault="0027599D">
      <w:pPr>
        <w:snapToGrid w:val="0"/>
        <w:spacing w:line="360" w:lineRule="auto"/>
        <w:ind w:firstLineChars="200" w:firstLine="420"/>
        <w:rPr>
          <w:rFonts w:ascii="宋体" w:cs="Times New Roman"/>
        </w:rPr>
      </w:pPr>
      <w:r>
        <w:rPr>
          <w:rFonts w:ascii="宋体" w:cs="Times New Roman"/>
          <w:bCs/>
        </w:rPr>
        <w:t>26</w:t>
      </w:r>
      <w:r>
        <w:rPr>
          <w:rFonts w:ascii="宋体" w:cs="Times New Roman" w:hint="eastAsia"/>
          <w:bCs/>
        </w:rPr>
        <w:t>、</w:t>
      </w:r>
      <w:r>
        <w:rPr>
          <w:rFonts w:ascii="宋体" w:cs="Times New Roman" w:hint="eastAsia"/>
        </w:rPr>
        <w:t>基金信息披露义务人认为可能对基金份额持有人权益或者基金份额的价格产生重大影响的其他事项或中国证监会规定和基金合同约定的其他事项。</w:t>
      </w:r>
    </w:p>
    <w:p w14:paraId="1F0FAE11" w14:textId="77777777" w:rsidR="009C2D86" w:rsidRDefault="0027599D">
      <w:pPr>
        <w:snapToGrid w:val="0"/>
        <w:spacing w:line="360" w:lineRule="auto"/>
        <w:ind w:firstLineChars="200" w:firstLine="420"/>
        <w:rPr>
          <w:rFonts w:ascii="宋体" w:cs="Times New Roman"/>
        </w:rPr>
      </w:pPr>
      <w:r>
        <w:rPr>
          <w:rFonts w:ascii="宋体" w:cs="Times New Roman" w:hint="eastAsia"/>
        </w:rPr>
        <w:t>（八）澄清公告</w:t>
      </w:r>
    </w:p>
    <w:p w14:paraId="37957A13" w14:textId="77777777" w:rsidR="009C2D86" w:rsidRDefault="0027599D">
      <w:pPr>
        <w:snapToGrid w:val="0"/>
        <w:spacing w:line="360" w:lineRule="auto"/>
        <w:ind w:firstLineChars="200" w:firstLine="420"/>
        <w:rPr>
          <w:rFonts w:ascii="宋体" w:cs="Times New Roman"/>
        </w:rPr>
      </w:pPr>
      <w:r>
        <w:rPr>
          <w:rFonts w:ascii="宋体" w:cs="Times New Roman" w:hint="eastAsia"/>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7C78F1B5" w14:textId="77777777" w:rsidR="009C2D86" w:rsidRDefault="0027599D">
      <w:pPr>
        <w:snapToGrid w:val="0"/>
        <w:spacing w:line="360" w:lineRule="auto"/>
        <w:ind w:firstLineChars="200" w:firstLine="420"/>
        <w:rPr>
          <w:rFonts w:ascii="宋体" w:cs="Times New Roman"/>
        </w:rPr>
      </w:pPr>
      <w:r>
        <w:rPr>
          <w:rFonts w:ascii="宋体" w:cs="Times New Roman" w:hint="eastAsia"/>
        </w:rPr>
        <w:t>（九）基金份额持有人大会决议</w:t>
      </w:r>
    </w:p>
    <w:p w14:paraId="46DD9F8B" w14:textId="77777777" w:rsidR="009C2D86" w:rsidRDefault="0027599D">
      <w:pPr>
        <w:snapToGrid w:val="0"/>
        <w:spacing w:line="360" w:lineRule="auto"/>
        <w:ind w:firstLineChars="200" w:firstLine="420"/>
        <w:rPr>
          <w:rFonts w:ascii="宋体" w:cs="Times New Roman"/>
        </w:rPr>
      </w:pPr>
      <w:r>
        <w:rPr>
          <w:rFonts w:ascii="宋体" w:cs="Times New Roman" w:hint="eastAsia"/>
        </w:rPr>
        <w:t>基金份额持有人大会决定的事项，应当依法报中国证监会备案，并予以公告。</w:t>
      </w:r>
    </w:p>
    <w:p w14:paraId="3F3E7BD3" w14:textId="77777777" w:rsidR="009C2D86" w:rsidRDefault="0027599D">
      <w:pPr>
        <w:snapToGrid w:val="0"/>
        <w:spacing w:line="360" w:lineRule="auto"/>
        <w:ind w:firstLineChars="200" w:firstLine="420"/>
        <w:rPr>
          <w:rFonts w:ascii="宋体" w:cs="Times New Roman"/>
        </w:rPr>
      </w:pPr>
      <w:r>
        <w:rPr>
          <w:rFonts w:ascii="宋体" w:cs="Times New Roman" w:hint="eastAsia"/>
        </w:rPr>
        <w:t>（十）基金投资股指期货的信息披露</w:t>
      </w:r>
    </w:p>
    <w:p w14:paraId="5B212FCF"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2333F018" w14:textId="77777777" w:rsidR="009C2D86" w:rsidRDefault="0027599D">
      <w:pPr>
        <w:snapToGrid w:val="0"/>
        <w:spacing w:line="360" w:lineRule="auto"/>
        <w:ind w:firstLineChars="200" w:firstLine="420"/>
        <w:rPr>
          <w:rFonts w:ascii="宋体" w:cs="Times New Roman"/>
        </w:rPr>
      </w:pPr>
      <w:r>
        <w:rPr>
          <w:rFonts w:ascii="宋体" w:cs="Times New Roman" w:hint="eastAsia"/>
        </w:rPr>
        <w:t>（十一）基金投资股票期权的信息披露</w:t>
      </w:r>
    </w:p>
    <w:p w14:paraId="1A8E7EAB"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679E3791" w14:textId="77777777" w:rsidR="009C2D86" w:rsidRDefault="0027599D">
      <w:pPr>
        <w:snapToGrid w:val="0"/>
        <w:spacing w:line="360" w:lineRule="auto"/>
        <w:ind w:firstLineChars="200" w:firstLine="420"/>
        <w:rPr>
          <w:rFonts w:ascii="宋体" w:cs="Times New Roman"/>
        </w:rPr>
      </w:pPr>
      <w:r>
        <w:rPr>
          <w:rFonts w:ascii="宋体" w:cs="Times New Roman" w:hint="eastAsia"/>
        </w:rPr>
        <w:t>（十二）基金参与融资业务的信息披露</w:t>
      </w:r>
    </w:p>
    <w:p w14:paraId="3BC6A086"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本基金在季度报告、中期报告、年度报告等定期报告和招募说明书（更新）等文件中披露参与融资情况，包括投资策略、业务开展情况、损益情况、风险及其管理情况等。</w:t>
      </w:r>
    </w:p>
    <w:p w14:paraId="4E090F44" w14:textId="77777777" w:rsidR="009C2D86" w:rsidRDefault="0027599D">
      <w:pPr>
        <w:snapToGrid w:val="0"/>
        <w:spacing w:line="360" w:lineRule="auto"/>
        <w:ind w:firstLineChars="200" w:firstLine="420"/>
        <w:rPr>
          <w:rFonts w:ascii="宋体" w:cs="Times New Roman"/>
        </w:rPr>
      </w:pPr>
      <w:r>
        <w:rPr>
          <w:rFonts w:ascii="宋体" w:cs="Times New Roman" w:hint="eastAsia"/>
        </w:rPr>
        <w:t>（十三）基金参与转融通证券出借业务的信息披露</w:t>
      </w:r>
    </w:p>
    <w:p w14:paraId="4C9B94B2"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在季度报告、中期报告、年度报告等定期报告和招募说明书（更新）等文件中披露参与转融通证券出借交易情况，包括投资策略、业务开展情况、损益情况、风险及其管理情况等，并就报告期内本基金参与转融通证券出借业务发生的重大关联交易事项做详细说明。</w:t>
      </w:r>
    </w:p>
    <w:p w14:paraId="07A44736" w14:textId="77777777" w:rsidR="009C2D86" w:rsidRDefault="0027599D">
      <w:pPr>
        <w:snapToGrid w:val="0"/>
        <w:spacing w:line="360" w:lineRule="auto"/>
        <w:ind w:firstLineChars="200" w:firstLine="420"/>
        <w:rPr>
          <w:rFonts w:ascii="宋体" w:cs="Times New Roman"/>
        </w:rPr>
      </w:pPr>
      <w:r>
        <w:rPr>
          <w:rFonts w:ascii="宋体" w:cs="Times New Roman" w:hint="eastAsia"/>
        </w:rPr>
        <w:t>（十四）基金投资资产支持证券的信息披露</w:t>
      </w:r>
    </w:p>
    <w:p w14:paraId="444C8E3A"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在中期报告、年度报告中披露其持有的资产支持证券总额、资产支持证券市值占基金净资产的比例和报告期内所有的资产支持证券明细。本基金在季度报告中披露其持有的资产支持证券总额、资产支持证券市值占基金净资产的比例和报告期末按市值占基金净资产比例大小排序的前10名资产支持证券明细。</w:t>
      </w:r>
    </w:p>
    <w:p w14:paraId="47F915F8" w14:textId="77777777" w:rsidR="009C2D86" w:rsidRDefault="0027599D">
      <w:pPr>
        <w:snapToGrid w:val="0"/>
        <w:spacing w:line="360" w:lineRule="auto"/>
        <w:ind w:firstLineChars="200" w:firstLine="420"/>
        <w:rPr>
          <w:rFonts w:ascii="宋体" w:cs="Times New Roman"/>
        </w:rPr>
      </w:pPr>
      <w:r>
        <w:rPr>
          <w:rFonts w:ascii="宋体" w:cs="Times New Roman" w:hint="eastAsia"/>
        </w:rPr>
        <w:t>（十五）投资目标ETF的信息披露</w:t>
      </w:r>
    </w:p>
    <w:p w14:paraId="39CCAF33"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本基金在定期报告和招募说明书（更新）中应设立专门章节披露所持目标ETF的相关情况并揭示相关风险：</w:t>
      </w:r>
    </w:p>
    <w:p w14:paraId="7C6A04C6" w14:textId="77777777" w:rsidR="009C2D86" w:rsidRDefault="0027599D">
      <w:pPr>
        <w:snapToGrid w:val="0"/>
        <w:spacing w:line="360" w:lineRule="auto"/>
        <w:ind w:firstLineChars="200" w:firstLine="420"/>
        <w:rPr>
          <w:rFonts w:ascii="宋体" w:cs="Times New Roman"/>
        </w:rPr>
      </w:pPr>
      <w:r>
        <w:rPr>
          <w:rFonts w:ascii="宋体" w:cs="Times New Roman" w:hint="eastAsia"/>
        </w:rPr>
        <w:t>1、投资政策、持仓情况、损益情况、净值披露时间等；</w:t>
      </w:r>
    </w:p>
    <w:p w14:paraId="0A462A8D" w14:textId="77777777" w:rsidR="009C2D86" w:rsidRDefault="0027599D">
      <w:pPr>
        <w:snapToGrid w:val="0"/>
        <w:spacing w:line="360" w:lineRule="auto"/>
        <w:ind w:firstLineChars="200" w:firstLine="420"/>
        <w:rPr>
          <w:rFonts w:ascii="宋体" w:cs="Times New Roman"/>
        </w:rPr>
      </w:pPr>
      <w:r>
        <w:rPr>
          <w:rFonts w:ascii="宋体" w:cs="Times New Roman" w:hint="eastAsia"/>
        </w:rPr>
        <w:t>2、交易及持有目标ETF产生的费用，包括申购费、赎回费、销售服务费、管理费、托管费等，在招募说明书（更新）中列明计算方法并举例说明；</w:t>
      </w:r>
    </w:p>
    <w:p w14:paraId="40DB1832" w14:textId="77777777" w:rsidR="009C2D86" w:rsidRDefault="0027599D">
      <w:pPr>
        <w:snapToGrid w:val="0"/>
        <w:spacing w:line="360" w:lineRule="auto"/>
        <w:ind w:firstLineChars="200" w:firstLine="420"/>
        <w:rPr>
          <w:rFonts w:ascii="宋体" w:cs="Times New Roman"/>
        </w:rPr>
      </w:pPr>
      <w:r>
        <w:rPr>
          <w:rFonts w:ascii="宋体" w:cs="Times New Roman" w:hint="eastAsia"/>
        </w:rPr>
        <w:t>3、持有的目标ETF发生的重大影响事件，如转换运作方式、与其他基金合并、终止基金合同以及召开基金份额持有人大会等；</w:t>
      </w:r>
    </w:p>
    <w:p w14:paraId="303C201D" w14:textId="77777777" w:rsidR="009C2D86" w:rsidRDefault="0027599D">
      <w:pPr>
        <w:snapToGrid w:val="0"/>
        <w:spacing w:line="360" w:lineRule="auto"/>
        <w:ind w:firstLineChars="200" w:firstLine="420"/>
        <w:rPr>
          <w:rFonts w:ascii="宋体" w:cs="Times New Roman"/>
        </w:rPr>
      </w:pPr>
      <w:r>
        <w:rPr>
          <w:rFonts w:ascii="宋体" w:cs="Times New Roman" w:hint="eastAsia"/>
        </w:rPr>
        <w:t>4、本基金投资于基金管理人以及基金管理人关联方所管理基金的情况。</w:t>
      </w:r>
    </w:p>
    <w:p w14:paraId="0DA8CC3C" w14:textId="77777777" w:rsidR="009C2D86" w:rsidRDefault="0027599D">
      <w:pPr>
        <w:snapToGrid w:val="0"/>
        <w:spacing w:line="360" w:lineRule="auto"/>
        <w:ind w:firstLineChars="200" w:firstLine="420"/>
        <w:rPr>
          <w:rFonts w:ascii="宋体" w:cs="Times New Roman"/>
        </w:rPr>
      </w:pPr>
      <w:r>
        <w:rPr>
          <w:rFonts w:ascii="宋体" w:cs="Times New Roman" w:hint="eastAsia"/>
        </w:rPr>
        <w:t>（十六）清算报告</w:t>
      </w:r>
    </w:p>
    <w:p w14:paraId="1FAFC927" w14:textId="77777777" w:rsidR="009C2D86" w:rsidRDefault="0027599D">
      <w:pPr>
        <w:snapToGrid w:val="0"/>
        <w:spacing w:line="360" w:lineRule="auto"/>
        <w:ind w:firstLineChars="200" w:firstLine="420"/>
        <w:rPr>
          <w:rFonts w:ascii="宋体" w:cs="Times New Roman"/>
        </w:rPr>
      </w:pPr>
      <w:r>
        <w:rPr>
          <w:rFonts w:ascii="宋体" w:cs="Times New Roman" w:hint="eastAsia"/>
        </w:rPr>
        <w:t>基金合同终止的，基金管理人应当组织基金财产清算小组对基金财产进行清算并作出清算报告。基金财产清算小组应当将清算报告登载在规定网站上，并将清算报告提示性公告登载在规定报刊上。</w:t>
      </w:r>
    </w:p>
    <w:p w14:paraId="35C4AF37" w14:textId="77777777" w:rsidR="009C2D86" w:rsidRDefault="0027599D">
      <w:pPr>
        <w:snapToGrid w:val="0"/>
        <w:spacing w:line="360" w:lineRule="auto"/>
        <w:ind w:firstLineChars="200" w:firstLine="420"/>
        <w:rPr>
          <w:rFonts w:ascii="宋体" w:cs="Times New Roman"/>
        </w:rPr>
      </w:pPr>
      <w:r>
        <w:rPr>
          <w:rFonts w:ascii="宋体" w:cs="Times New Roman" w:hint="eastAsia"/>
        </w:rPr>
        <w:t>（十七）实施侧袋机制期间的信息披露</w:t>
      </w:r>
    </w:p>
    <w:p w14:paraId="5582A6D9" w14:textId="77777777" w:rsidR="009C2D86" w:rsidRDefault="0027599D">
      <w:pPr>
        <w:snapToGrid w:val="0"/>
        <w:spacing w:line="360" w:lineRule="auto"/>
        <w:ind w:firstLineChars="200" w:firstLine="420"/>
        <w:rPr>
          <w:rFonts w:ascii="宋体" w:cs="Times New Roman"/>
        </w:rPr>
      </w:pPr>
      <w:r>
        <w:rPr>
          <w:rFonts w:ascii="宋体" w:cs="Times New Roman" w:hint="eastAsia"/>
        </w:rPr>
        <w:t>本基金实施侧袋机制的，相关信息披露义务人应当根据法律法规、基金合同和招募说明书的规定进行信息披露，详见招募说明书</w:t>
      </w:r>
      <w:r>
        <w:rPr>
          <w:rFonts w:ascii="宋体" w:cs="Times New Roman" w:hint="eastAsia"/>
          <w:bCs/>
        </w:rPr>
        <w:t>“侧袋机制”部分</w:t>
      </w:r>
      <w:r>
        <w:rPr>
          <w:rFonts w:ascii="宋体" w:cs="Times New Roman" w:hint="eastAsia"/>
        </w:rPr>
        <w:t>的规定。</w:t>
      </w:r>
    </w:p>
    <w:p w14:paraId="1047B2D2" w14:textId="77777777" w:rsidR="009C2D86" w:rsidRDefault="0027599D">
      <w:pPr>
        <w:snapToGrid w:val="0"/>
        <w:spacing w:line="360" w:lineRule="auto"/>
        <w:ind w:firstLineChars="200" w:firstLine="420"/>
        <w:rPr>
          <w:rFonts w:ascii="宋体" w:cs="Times New Roman"/>
        </w:rPr>
      </w:pPr>
      <w:r>
        <w:rPr>
          <w:rFonts w:ascii="宋体" w:cs="Times New Roman" w:hint="eastAsia"/>
        </w:rPr>
        <w:t>（十八）本基金投资存托凭证的信息披露依照境内上市交易的股票执行。</w:t>
      </w:r>
    </w:p>
    <w:p w14:paraId="29A3C98E" w14:textId="77777777" w:rsidR="009C2D86" w:rsidRDefault="0027599D">
      <w:pPr>
        <w:snapToGrid w:val="0"/>
        <w:spacing w:line="360" w:lineRule="auto"/>
        <w:ind w:firstLineChars="200" w:firstLine="420"/>
        <w:rPr>
          <w:rFonts w:ascii="宋体" w:cs="Times New Roman"/>
        </w:rPr>
      </w:pPr>
      <w:r>
        <w:rPr>
          <w:rFonts w:ascii="宋体" w:cs="Times New Roman" w:hint="eastAsia"/>
        </w:rPr>
        <w:t>（十九）中国证监会规定的其他信息。</w:t>
      </w:r>
    </w:p>
    <w:p w14:paraId="0B7806F5" w14:textId="77777777" w:rsidR="009C2D86" w:rsidRDefault="009C2D86">
      <w:pPr>
        <w:snapToGrid w:val="0"/>
        <w:spacing w:line="360" w:lineRule="auto"/>
        <w:ind w:firstLineChars="200" w:firstLine="420"/>
        <w:rPr>
          <w:rFonts w:ascii="宋体" w:cs="Times New Roman"/>
        </w:rPr>
      </w:pPr>
    </w:p>
    <w:p w14:paraId="16AFAB97" w14:textId="77777777" w:rsidR="009C2D86" w:rsidRDefault="0027599D">
      <w:pPr>
        <w:snapToGrid w:val="0"/>
        <w:spacing w:line="360" w:lineRule="auto"/>
        <w:ind w:firstLineChars="200" w:firstLine="420"/>
        <w:rPr>
          <w:rFonts w:ascii="宋体" w:cs="Times New Roman"/>
        </w:rPr>
      </w:pPr>
      <w:r>
        <w:rPr>
          <w:rFonts w:ascii="宋体" w:cs="Times New Roman" w:hint="eastAsia"/>
        </w:rPr>
        <w:t>六、信息披露事务管理</w:t>
      </w:r>
    </w:p>
    <w:p w14:paraId="6C567760" w14:textId="77777777" w:rsidR="009C2D86" w:rsidRDefault="0027599D">
      <w:pPr>
        <w:snapToGrid w:val="0"/>
        <w:spacing w:line="360" w:lineRule="auto"/>
        <w:ind w:firstLineChars="200" w:firstLine="420"/>
        <w:rPr>
          <w:rFonts w:ascii="宋体" w:cs="Times New Roman"/>
        </w:rPr>
      </w:pPr>
      <w:r>
        <w:rPr>
          <w:rFonts w:ascii="宋体" w:cs="Times New Roman" w:hint="eastAsia"/>
        </w:rPr>
        <w:t>基金管理人、基金托管人应当建立健全信息披露管理制度，指定专门部门及高级管理人员负责管理信息披露事务。</w:t>
      </w:r>
    </w:p>
    <w:p w14:paraId="4C2E8E91" w14:textId="77777777" w:rsidR="009C2D86" w:rsidRDefault="0027599D">
      <w:pPr>
        <w:snapToGrid w:val="0"/>
        <w:spacing w:line="360" w:lineRule="auto"/>
        <w:ind w:firstLineChars="200" w:firstLine="420"/>
        <w:rPr>
          <w:rFonts w:ascii="宋体" w:cs="Times New Roman"/>
        </w:rPr>
      </w:pPr>
      <w:r>
        <w:rPr>
          <w:rFonts w:ascii="宋体" w:cs="Times New Roman" w:hint="eastAsia"/>
        </w:rPr>
        <w:t>基金信息披露义务人公开披露基金信息，应当符合中国证监会相关基金信息披露内容与格式准则等法规的规定。</w:t>
      </w:r>
    </w:p>
    <w:p w14:paraId="312031B6" w14:textId="77777777" w:rsidR="009C2D86" w:rsidRDefault="0027599D">
      <w:pPr>
        <w:snapToGrid w:val="0"/>
        <w:spacing w:line="360" w:lineRule="auto"/>
        <w:ind w:firstLineChars="200" w:firstLine="420"/>
        <w:rPr>
          <w:rFonts w:ascii="宋体" w:cs="Times New Roman"/>
        </w:rPr>
      </w:pPr>
      <w:r>
        <w:rPr>
          <w:rFonts w:ascii="宋体" w:cs="Times New Roman" w:hint="eastAsia"/>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3B1FCF36" w14:textId="49A96875" w:rsidR="009C2D86" w:rsidRDefault="0027599D">
      <w:pPr>
        <w:snapToGrid w:val="0"/>
        <w:spacing w:line="360" w:lineRule="auto"/>
        <w:ind w:firstLineChars="200" w:firstLine="420"/>
        <w:rPr>
          <w:rFonts w:ascii="宋体" w:cs="Times New Roman"/>
        </w:rPr>
      </w:pPr>
      <w:r>
        <w:rPr>
          <w:rFonts w:ascii="宋体" w:cs="Times New Roman" w:hint="eastAsia"/>
        </w:rPr>
        <w:t>基金管理人、基金托管人应当在规定报刊中选择</w:t>
      </w:r>
      <w:r w:rsidR="000D48C9">
        <w:rPr>
          <w:rFonts w:ascii="宋体" w:cs="Times New Roman" w:hint="eastAsia"/>
        </w:rPr>
        <w:t>一家</w:t>
      </w:r>
      <w:r>
        <w:rPr>
          <w:rFonts w:ascii="宋体" w:cs="Times New Roman" w:hint="eastAsia"/>
        </w:rPr>
        <w:t>披露信息的报刊。基金管理人、基金托管人应当向中国证监会基金电子披露网站报送拟披露的基金信息，并保证相关报送信息的真实、准确、完整、及时。</w:t>
      </w:r>
    </w:p>
    <w:p w14:paraId="4E5D1804" w14:textId="13966244" w:rsidR="009C2D86" w:rsidRDefault="0027599D">
      <w:pPr>
        <w:snapToGrid w:val="0"/>
        <w:spacing w:line="360" w:lineRule="auto"/>
        <w:ind w:firstLineChars="200" w:firstLine="420"/>
        <w:rPr>
          <w:rFonts w:ascii="宋体" w:cs="Times New Roman"/>
        </w:rPr>
      </w:pPr>
      <w:r>
        <w:rPr>
          <w:rFonts w:ascii="宋体" w:cs="Times New Roman" w:hint="eastAsia"/>
        </w:rPr>
        <w:t>基金管理人、基金托管人除依法在规定媒介上披露信息外，还可以根据需要在其他公共媒介披露信息，但是其他公共媒介不得早于规定媒介披露信息，并且在不同媒介上披露同一信息的内容应当一致。</w:t>
      </w:r>
    </w:p>
    <w:p w14:paraId="0B4493C3" w14:textId="3FFCBDCB" w:rsidR="009A132C" w:rsidRDefault="009A132C">
      <w:pPr>
        <w:snapToGrid w:val="0"/>
        <w:spacing w:line="360" w:lineRule="auto"/>
        <w:ind w:firstLineChars="200" w:firstLine="420"/>
        <w:rPr>
          <w:rFonts w:ascii="宋体" w:cs="Times New Roman"/>
        </w:rPr>
      </w:pPr>
      <w:r w:rsidRPr="009A132C">
        <w:rPr>
          <w:rFonts w:ascii="宋体" w:cs="Times New Roman" w:hint="eastAsia"/>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646F43A4" w14:textId="77777777" w:rsidR="009C2D86" w:rsidRDefault="0027599D">
      <w:pPr>
        <w:snapToGrid w:val="0"/>
        <w:spacing w:line="360" w:lineRule="auto"/>
        <w:ind w:firstLineChars="200" w:firstLine="420"/>
        <w:rPr>
          <w:rFonts w:ascii="宋体" w:cs="Times New Roman"/>
        </w:rPr>
      </w:pPr>
      <w:r>
        <w:rPr>
          <w:rFonts w:ascii="宋体" w:cs="Times New Roman" w:hint="eastAsia"/>
        </w:rPr>
        <w:t>为基金信息披露义务人公开披露的基金信息出具审计报告、法律意见书的专业机构，应当制作工作底稿，并将相关档案</w:t>
      </w:r>
      <w:r>
        <w:rPr>
          <w:rFonts w:ascii="宋体" w:cs="Times New Roman" w:hint="eastAsia"/>
          <w:bCs/>
        </w:rPr>
        <w:t>在《基金合同》终止后保存不少于法律法规规定的最低期限</w:t>
      </w:r>
      <w:r>
        <w:rPr>
          <w:rFonts w:ascii="宋体" w:cs="Times New Roman" w:hint="eastAsia"/>
        </w:rPr>
        <w:t>。</w:t>
      </w:r>
    </w:p>
    <w:p w14:paraId="1B82E3E4" w14:textId="77777777" w:rsidR="009C2D86" w:rsidRDefault="009C2D86">
      <w:pPr>
        <w:snapToGrid w:val="0"/>
        <w:spacing w:line="360" w:lineRule="auto"/>
        <w:ind w:firstLineChars="200" w:firstLine="420"/>
        <w:rPr>
          <w:rFonts w:ascii="宋体" w:cs="Times New Roman"/>
        </w:rPr>
      </w:pPr>
    </w:p>
    <w:p w14:paraId="076D583B" w14:textId="77777777" w:rsidR="009C2D86" w:rsidRDefault="0027599D">
      <w:pPr>
        <w:snapToGrid w:val="0"/>
        <w:spacing w:line="360" w:lineRule="auto"/>
        <w:ind w:firstLineChars="200" w:firstLine="420"/>
        <w:rPr>
          <w:rFonts w:ascii="宋体" w:cs="Times New Roman"/>
        </w:rPr>
      </w:pPr>
      <w:r>
        <w:rPr>
          <w:rFonts w:ascii="宋体" w:cs="Times New Roman" w:hint="eastAsia"/>
        </w:rPr>
        <w:t>七、信息披露文件的存放与查阅</w:t>
      </w:r>
    </w:p>
    <w:p w14:paraId="08DE7DF8" w14:textId="77777777" w:rsidR="009C2D86" w:rsidRDefault="0027599D">
      <w:pPr>
        <w:snapToGrid w:val="0"/>
        <w:spacing w:line="360" w:lineRule="auto"/>
        <w:ind w:firstLineChars="200" w:firstLine="420"/>
        <w:rPr>
          <w:rFonts w:ascii="宋体" w:cs="Times New Roman"/>
        </w:rPr>
      </w:pPr>
      <w:r>
        <w:rPr>
          <w:rFonts w:ascii="宋体" w:cs="Times New Roman" w:hint="eastAsia"/>
        </w:rPr>
        <w:t>依法必须披露的信息发布后，基金管理人、基金托管人应当按照相关法律法规规定将信息置备于各自住所，供社会公众查阅、复制。</w:t>
      </w:r>
    </w:p>
    <w:p w14:paraId="5A933EDA" w14:textId="77777777" w:rsidR="009C2D86" w:rsidRDefault="009C2D86">
      <w:pPr>
        <w:snapToGrid w:val="0"/>
        <w:spacing w:line="360" w:lineRule="auto"/>
        <w:ind w:firstLineChars="200" w:firstLine="420"/>
        <w:rPr>
          <w:rFonts w:ascii="宋体" w:cs="Times New Roman"/>
        </w:rPr>
      </w:pPr>
    </w:p>
    <w:p w14:paraId="5DDF0E08" w14:textId="77777777" w:rsidR="009C2D86" w:rsidRDefault="0027599D">
      <w:pPr>
        <w:snapToGrid w:val="0"/>
        <w:spacing w:line="360" w:lineRule="auto"/>
        <w:ind w:firstLineChars="200" w:firstLine="420"/>
        <w:rPr>
          <w:rFonts w:ascii="宋体" w:cs="Times New Roman"/>
        </w:rPr>
      </w:pPr>
      <w:r>
        <w:rPr>
          <w:rFonts w:ascii="宋体" w:cs="Times New Roman" w:hint="eastAsia"/>
        </w:rPr>
        <w:t>八、暂停或延迟信息披露的情形</w:t>
      </w:r>
    </w:p>
    <w:p w14:paraId="512A24C5" w14:textId="77777777" w:rsidR="009C2D86" w:rsidRDefault="0027599D">
      <w:pPr>
        <w:snapToGrid w:val="0"/>
        <w:spacing w:line="360" w:lineRule="auto"/>
        <w:ind w:firstLineChars="200" w:firstLine="420"/>
        <w:rPr>
          <w:rFonts w:ascii="宋体" w:cs="Times New Roman"/>
        </w:rPr>
      </w:pPr>
      <w:r>
        <w:rPr>
          <w:rFonts w:ascii="宋体" w:cs="Times New Roman" w:hint="eastAsia"/>
        </w:rPr>
        <w:t>当出现下述情况时，基金管理人和基金托管人可暂停或延迟披露基金相关信息：</w:t>
      </w:r>
    </w:p>
    <w:p w14:paraId="58D16791" w14:textId="77777777" w:rsidR="009C2D86" w:rsidRDefault="0027599D">
      <w:pPr>
        <w:snapToGrid w:val="0"/>
        <w:spacing w:line="360" w:lineRule="auto"/>
        <w:ind w:firstLineChars="200" w:firstLine="420"/>
        <w:rPr>
          <w:rFonts w:ascii="宋体" w:cs="Times New Roman"/>
        </w:rPr>
      </w:pPr>
      <w:r>
        <w:rPr>
          <w:rFonts w:ascii="宋体" w:cs="Times New Roman" w:hint="eastAsia"/>
        </w:rPr>
        <w:t>1、不可抗力；</w:t>
      </w:r>
    </w:p>
    <w:p w14:paraId="747F02E2" w14:textId="77777777" w:rsidR="009C2D86" w:rsidRDefault="0027599D">
      <w:pPr>
        <w:snapToGrid w:val="0"/>
        <w:spacing w:line="360" w:lineRule="auto"/>
        <w:ind w:firstLineChars="200" w:firstLine="420"/>
        <w:rPr>
          <w:rFonts w:ascii="宋体" w:cs="Times New Roman"/>
        </w:rPr>
      </w:pPr>
      <w:r>
        <w:rPr>
          <w:rFonts w:ascii="宋体" w:cs="Times New Roman" w:hint="eastAsia"/>
        </w:rPr>
        <w:t>2、基金投资所涉及的证券/期货交易市场遇法定节假日或因其他原因暂停营业时；</w:t>
      </w:r>
    </w:p>
    <w:p w14:paraId="479E96CE" w14:textId="3D29511A" w:rsidR="009C2D86" w:rsidRDefault="0027599D">
      <w:pPr>
        <w:snapToGrid w:val="0"/>
        <w:spacing w:line="360" w:lineRule="auto"/>
        <w:ind w:firstLineChars="200" w:firstLine="420"/>
        <w:rPr>
          <w:rFonts w:ascii="宋体" w:cs="Times New Roman"/>
        </w:rPr>
      </w:pPr>
      <w:r>
        <w:rPr>
          <w:rFonts w:ascii="宋体" w:cs="Times New Roman" w:hint="eastAsia"/>
        </w:rPr>
        <w:t>3、</w:t>
      </w:r>
      <w:r w:rsidR="000D48C9" w:rsidRPr="000D48C9">
        <w:rPr>
          <w:rFonts w:ascii="宋体" w:cs="Times New Roman" w:hint="eastAsia"/>
        </w:rPr>
        <w:t>当前一估值日基金资产净值50%以上的资产出现无可参</w:t>
      </w:r>
      <w:r w:rsidR="000D48C9">
        <w:rPr>
          <w:rFonts w:ascii="宋体" w:cs="Times New Roman" w:hint="eastAsia"/>
        </w:rPr>
        <w:t>考的活跃市场价格且采用估值技术仍导致公允价值存在重大不确定性时</w:t>
      </w:r>
      <w:r>
        <w:rPr>
          <w:rFonts w:ascii="宋体" w:cs="Times New Roman" w:hint="eastAsia"/>
        </w:rPr>
        <w:t>，经与基金托管人协商确认后暂停估值的；</w:t>
      </w:r>
    </w:p>
    <w:p w14:paraId="2A0C3CAC" w14:textId="77777777" w:rsidR="009C2D86" w:rsidRDefault="0027599D">
      <w:pPr>
        <w:snapToGrid w:val="0"/>
        <w:spacing w:line="360" w:lineRule="auto"/>
        <w:ind w:firstLineChars="200" w:firstLine="420"/>
        <w:rPr>
          <w:rFonts w:ascii="宋体" w:cs="Times New Roman"/>
          <w:bCs/>
        </w:rPr>
      </w:pPr>
      <w:r>
        <w:rPr>
          <w:rFonts w:ascii="宋体" w:cs="Times New Roman" w:hint="eastAsia"/>
        </w:rPr>
        <w:t>4、法律法规、基金合同或中国证监会规定的情况。</w:t>
      </w:r>
    </w:p>
    <w:p w14:paraId="3280522D" w14:textId="77777777" w:rsidR="009C2D86" w:rsidRDefault="0027599D">
      <w:pPr>
        <w:snapToGrid w:val="0"/>
        <w:spacing w:line="360" w:lineRule="auto"/>
        <w:ind w:firstLineChars="200" w:firstLine="420"/>
        <w:rPr>
          <w:rFonts w:ascii="宋体" w:cs="Times New Roman"/>
          <w:bCs/>
        </w:rPr>
      </w:pPr>
      <w:r>
        <w:rPr>
          <w:rFonts w:ascii="宋体" w:cs="Times New Roman"/>
          <w:bCs/>
        </w:rPr>
        <w:br w:type="page"/>
      </w:r>
    </w:p>
    <w:p w14:paraId="7FDD4AF5"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52" w:name="_Toc48900083"/>
      <w:r>
        <w:rPr>
          <w:rFonts w:ascii="宋体" w:eastAsia="宋体" w:hAnsi="宋体" w:cs="宋体" w:hint="eastAsia"/>
        </w:rPr>
        <w:t>侧袋机制</w:t>
      </w:r>
      <w:bookmarkEnd w:id="152"/>
    </w:p>
    <w:p w14:paraId="67918533" w14:textId="77777777" w:rsidR="009C2D86" w:rsidRDefault="009C2D86">
      <w:pPr>
        <w:snapToGrid w:val="0"/>
        <w:spacing w:line="360" w:lineRule="auto"/>
        <w:ind w:firstLine="420"/>
        <w:rPr>
          <w:rFonts w:ascii="宋体" w:cs="Times New Roman"/>
          <w:b/>
          <w:bCs/>
        </w:rPr>
      </w:pPr>
    </w:p>
    <w:p w14:paraId="54AFDA74"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一、侧袋机制的实施条件、实施程序</w:t>
      </w:r>
    </w:p>
    <w:p w14:paraId="795C87AD"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基金管理人应当在启用侧袋机制当日报中国证监会及公司所在地中国证监会派出机构备案。</w:t>
      </w:r>
    </w:p>
    <w:p w14:paraId="6DCDFB7F"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侧袋机制启用后，基金管理人应及时向基金销售机构提示侧袋机制启用的相关事宜。</w:t>
      </w:r>
    </w:p>
    <w:p w14:paraId="12361686" w14:textId="77777777" w:rsidR="009C2D86" w:rsidRDefault="0027599D">
      <w:pPr>
        <w:snapToGrid w:val="0"/>
        <w:spacing w:line="360" w:lineRule="auto"/>
        <w:ind w:firstLine="420"/>
        <w:rPr>
          <w:rFonts w:ascii="Times New Roman" w:hAnsi="Times New Roman" w:cs="Times New Roman"/>
        </w:rPr>
      </w:pPr>
      <w:r>
        <w:rPr>
          <w:rFonts w:ascii="宋体" w:hAnsi="宋体" w:hint="eastAsia"/>
          <w:color w:val="000000"/>
          <w:kern w:val="0"/>
        </w:rPr>
        <w:t>侧袋机制启用后五个工作日内，基金管理人应聘请于侧袋机制启用日发表意见的会计师事务所针对侧袋机制启用日本基金持有的特定资产情况出具专项审计意见，内容应包含侧袋账户的初始资产、份额、净资产等信息。</w:t>
      </w:r>
    </w:p>
    <w:p w14:paraId="400ACEFF" w14:textId="77777777" w:rsidR="009C2D86" w:rsidRDefault="009C2D86">
      <w:pPr>
        <w:snapToGrid w:val="0"/>
        <w:spacing w:line="360" w:lineRule="auto"/>
        <w:ind w:firstLine="420"/>
        <w:rPr>
          <w:rFonts w:ascii="Times New Roman" w:hAnsi="Times New Roman" w:cs="Times New Roman"/>
        </w:rPr>
      </w:pPr>
    </w:p>
    <w:p w14:paraId="79B3EEF0"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二、侧袋账户的设立</w:t>
      </w:r>
    </w:p>
    <w:p w14:paraId="06E27962" w14:textId="77777777" w:rsidR="009C2D86" w:rsidRDefault="0027599D">
      <w:pPr>
        <w:snapToGrid w:val="0"/>
        <w:spacing w:line="360" w:lineRule="auto"/>
        <w:ind w:firstLine="420"/>
        <w:rPr>
          <w:rFonts w:ascii="Times New Roman" w:hAnsi="Times New Roman" w:cs="Times New Roman"/>
        </w:rPr>
      </w:pPr>
      <w:r>
        <w:rPr>
          <w:rFonts w:ascii="宋体" w:hAnsi="宋体" w:hint="eastAsia"/>
          <w:color w:val="000000"/>
          <w:kern w:val="0"/>
        </w:rPr>
        <w:t>侧袋机制启用时，可将多个特定资产一并放入同一个侧袋账户。</w:t>
      </w:r>
      <w:r>
        <w:rPr>
          <w:rFonts w:ascii="Times New Roman" w:hAnsi="Times New Roman" w:cs="Times New Roman" w:hint="eastAsia"/>
        </w:rPr>
        <w:t>基金管理人可为本基金设立多个侧袋账户，但每个侧袋账户应单独设置账套，实行独立核算。</w:t>
      </w:r>
    </w:p>
    <w:p w14:paraId="39575262"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基金管理人应对侧袋账户份额实行独立管理，主袋账户沿用原基金代码，侧袋账户使用独立的基金代码。份额登记系统和销售系统中，侧袋账户份额的名称应以“产品简称+侧袋标识S+侧袋账户建立日期”格式设定，同时主袋账户份额的名称增加大写字母M标识作为后缀。</w:t>
      </w:r>
    </w:p>
    <w:p w14:paraId="660052C4"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侧袋机制启用当日，基金管理人和基金服务机构应以原基金账户基金份额持有人情况为基础，确认侧袋账户持有人名册和份额。</w:t>
      </w:r>
    </w:p>
    <w:p w14:paraId="357408E3" w14:textId="77777777" w:rsidR="009C2D86" w:rsidRDefault="0027599D">
      <w:pPr>
        <w:snapToGrid w:val="0"/>
        <w:spacing w:line="360" w:lineRule="auto"/>
        <w:ind w:firstLine="420"/>
        <w:rPr>
          <w:rFonts w:ascii="Times New Roman" w:hAnsi="Times New Roman" w:cs="Times New Roman"/>
        </w:rPr>
      </w:pPr>
      <w:r>
        <w:rPr>
          <w:rFonts w:ascii="宋体" w:hAnsi="宋体" w:hint="eastAsia"/>
          <w:color w:val="000000"/>
          <w:kern w:val="0"/>
        </w:rPr>
        <w:t>侧袋账户资产完全清算后，基金管理人应注销侧袋账户。</w:t>
      </w:r>
    </w:p>
    <w:p w14:paraId="3F85C495" w14:textId="77777777" w:rsidR="009C2D86" w:rsidRDefault="009C2D86">
      <w:pPr>
        <w:snapToGrid w:val="0"/>
        <w:spacing w:line="360" w:lineRule="auto"/>
        <w:ind w:firstLine="420"/>
        <w:rPr>
          <w:rFonts w:ascii="Times New Roman" w:hAnsi="Times New Roman" w:cs="Times New Roman"/>
        </w:rPr>
      </w:pPr>
    </w:p>
    <w:p w14:paraId="09D352FC"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三、实施侧袋机制期间的基金销售</w:t>
      </w:r>
    </w:p>
    <w:p w14:paraId="0B2352A2"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、本基金实施侧袋机制的，基金管理人将在基金合同和招募说明书约定的开放日办理主袋账户份额的赎回，并根据主袋账户运作情况确定是否暂停申购。</w:t>
      </w:r>
    </w:p>
    <w:p w14:paraId="6525D675"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除基金管理人应按照主袋账户的份额净值办理主袋账户份额的申购和赎回外，本招募说明书“基金份额的申购和赎回”部分的申购、赎回规定适用于主袋账户份额。巨额赎回按照单个开放日内主袋账户份额净赎回申请超过前一开放日主袋账户总份额的</w:t>
      </w:r>
      <w:r>
        <w:rPr>
          <w:rFonts w:ascii="Times New Roman" w:hAnsi="Times New Roman" w:cs="Times New Roman" w:hint="eastAsia"/>
        </w:rPr>
        <w:t>10%</w:t>
      </w:r>
      <w:r>
        <w:rPr>
          <w:rFonts w:ascii="Times New Roman" w:hAnsi="Times New Roman" w:cs="Times New Roman" w:hint="eastAsia"/>
        </w:rPr>
        <w:t>认定。</w:t>
      </w:r>
    </w:p>
    <w:p w14:paraId="77A13CE3"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对于启用侧袋机制之日起（含当日）收到的赎回申请，基金管理人仅办理主袋账户的赎回申请并支付赎回款项。在启用侧袋机制之日起（含当日）收到的申购申请，视为投资者对侧袋机制启用后的主袋账户提交的申购申请。</w:t>
      </w:r>
    </w:p>
    <w:p w14:paraId="7FA9D05D"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、侧袋机制实施期间，基金管理人不得办理侧袋账户份额的申购、赎回、定投和转换。</w:t>
      </w:r>
    </w:p>
    <w:p w14:paraId="30AB8263" w14:textId="77777777" w:rsidR="009C2D86" w:rsidRDefault="009C2D86">
      <w:pPr>
        <w:snapToGrid w:val="0"/>
        <w:spacing w:line="360" w:lineRule="auto"/>
        <w:ind w:firstLine="420"/>
        <w:rPr>
          <w:rFonts w:ascii="Times New Roman" w:hAnsi="Times New Roman" w:cs="Times New Roman"/>
        </w:rPr>
      </w:pPr>
    </w:p>
    <w:p w14:paraId="3EB5DA85"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四、实施侧袋机制期间的基金投资</w:t>
      </w:r>
    </w:p>
    <w:p w14:paraId="618CEFE3"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侧袋机制实施期间，招募说明书“基金的投资”部分约定的投资组合比例、投资策略、组合限制、业绩比较基准、风险收益特征等约定仅适用于主袋账户。基金的各项投资运作指标和基金业绩指标应当以主袋账户资产为基准。</w:t>
      </w:r>
    </w:p>
    <w:p w14:paraId="76DBD3EB"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基金管理人原则上应当在侧袋机制启用后</w:t>
      </w:r>
      <w:r>
        <w:rPr>
          <w:rFonts w:ascii="Times New Roman" w:hAnsi="Times New Roman" w:cs="Times New Roman" w:hint="eastAsia"/>
        </w:rPr>
        <w:t>20</w:t>
      </w:r>
      <w:r>
        <w:rPr>
          <w:rFonts w:ascii="Times New Roman" w:hAnsi="Times New Roman" w:cs="Times New Roman" w:hint="eastAsia"/>
        </w:rPr>
        <w:t>个交易日内完成对主袋账户投资组合的调整，因资产流动性受限等中国证监会规定的情形除外。</w:t>
      </w:r>
    </w:p>
    <w:p w14:paraId="6A5DD342" w14:textId="77777777" w:rsidR="009C2D86" w:rsidRDefault="009C2D86">
      <w:pPr>
        <w:snapToGrid w:val="0"/>
        <w:spacing w:line="360" w:lineRule="auto"/>
        <w:ind w:firstLine="420"/>
        <w:rPr>
          <w:rFonts w:ascii="Times New Roman" w:hAnsi="Times New Roman" w:cs="Times New Roman"/>
        </w:rPr>
      </w:pPr>
    </w:p>
    <w:p w14:paraId="2C7E729B"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五、实施侧袋机制期间的基金估值</w:t>
      </w:r>
    </w:p>
    <w:p w14:paraId="09FF5FCE"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本基金实施侧袋机制的，基金管理人和基金托管人应对主袋账户资产进行估值并披露主袋账户的基金净值信息，暂停披露侧袋账户份额净值。</w:t>
      </w:r>
    </w:p>
    <w:p w14:paraId="250B1DDB" w14:textId="77777777" w:rsidR="009C2D86" w:rsidRDefault="009C2D86">
      <w:pPr>
        <w:snapToGrid w:val="0"/>
        <w:spacing w:line="360" w:lineRule="auto"/>
        <w:ind w:firstLine="420"/>
        <w:rPr>
          <w:rFonts w:ascii="Times New Roman" w:hAnsi="Times New Roman" w:cs="Times New Roman"/>
        </w:rPr>
      </w:pPr>
    </w:p>
    <w:p w14:paraId="368520FE"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六、实施侧袋机制期间的收益分配</w:t>
      </w:r>
    </w:p>
    <w:p w14:paraId="2C4F8039"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本基金实施侧袋机制的，招募说明书“基金的收益与分配”部分规定的收益分配约定仅适用于主袋账户份额。侧袋账户份额不进行收益分配。</w:t>
      </w:r>
    </w:p>
    <w:p w14:paraId="00F6DD48" w14:textId="77777777" w:rsidR="009C2D86" w:rsidRDefault="009C2D86">
      <w:pPr>
        <w:snapToGrid w:val="0"/>
        <w:spacing w:line="360" w:lineRule="auto"/>
        <w:ind w:firstLine="420"/>
        <w:rPr>
          <w:rFonts w:ascii="Times New Roman" w:hAnsi="Times New Roman" w:cs="Times New Roman"/>
        </w:rPr>
      </w:pPr>
    </w:p>
    <w:p w14:paraId="1993CD14"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七、实施侧袋账户期间的基金费用</w:t>
      </w:r>
    </w:p>
    <w:p w14:paraId="562F3B67"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侧袋机制实施期间，侧袋账户资产不收取管理费。</w:t>
      </w:r>
    </w:p>
    <w:p w14:paraId="6D06BA2A" w14:textId="77777777" w:rsidR="009C2D86" w:rsidRDefault="0027599D">
      <w:pPr>
        <w:snapToGrid w:val="0"/>
        <w:spacing w:line="360" w:lineRule="auto"/>
        <w:ind w:firstLineChars="200" w:firstLine="420"/>
        <w:rPr>
          <w:rFonts w:ascii="宋体" w:hAnsi="宋体"/>
          <w:color w:val="000000"/>
          <w:kern w:val="0"/>
        </w:rPr>
      </w:pPr>
      <w:r>
        <w:rPr>
          <w:rFonts w:ascii="Times New Roman" w:hAnsi="Times New Roman" w:cs="Times New Roman" w:hint="eastAsia"/>
        </w:rPr>
        <w:t>基金管理人可以将与侧袋账户有关的费用从侧袋账户资产中列支，但应待特定资产变现后方可列支。</w:t>
      </w:r>
      <w:r>
        <w:rPr>
          <w:rFonts w:ascii="宋体" w:hAnsi="宋体" w:hint="eastAsia"/>
          <w:color w:val="000000"/>
          <w:kern w:val="0"/>
        </w:rPr>
        <w:t>因启用侧袋机制产生的咨询、审计费用等由基金管理人承担。</w:t>
      </w:r>
    </w:p>
    <w:p w14:paraId="3620DA64" w14:textId="77777777" w:rsidR="009C2D86" w:rsidRDefault="009C2D86">
      <w:pPr>
        <w:snapToGrid w:val="0"/>
        <w:spacing w:line="360" w:lineRule="auto"/>
        <w:ind w:firstLine="420"/>
        <w:rPr>
          <w:rFonts w:ascii="Times New Roman" w:hAnsi="Times New Roman" w:cs="Times New Roman"/>
        </w:rPr>
      </w:pPr>
    </w:p>
    <w:p w14:paraId="2566EEFE"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八、特定资产的处置变现和支付</w:t>
      </w:r>
    </w:p>
    <w:p w14:paraId="78EB56BE"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当侧袋账户资产恢复流动性后，基金管理人应当按照基金份额持有人利益最大化原则制定变现方案，将侧袋账户资产处置变现。无论侧袋账户资产是否全部完成变现，基金管理人都应及时向侧袋账户全部份额持有人支付已变现部分对应的款项。</w:t>
      </w:r>
    </w:p>
    <w:p w14:paraId="776BBA5F"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基金管理人不得在侧袋账户中进行除特定资产处置变现以外的其他投资操作。</w:t>
      </w:r>
    </w:p>
    <w:p w14:paraId="7AD9B862"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侧袋账户资产全部完成变现后，基金管理人应参照基金清算报告的相关要求，在终止侧袋机制后及时聘请符合《证券法》规定的会计师事务所进行审计并出具专项审计意见。侧袋账户资产完全清算后，基金管理人应当注销侧袋账户，并取消主袋账户份额名称中的特殊标识。</w:t>
      </w:r>
    </w:p>
    <w:p w14:paraId="0D837AC5" w14:textId="77777777" w:rsidR="009C2D86" w:rsidRDefault="009C2D86">
      <w:pPr>
        <w:snapToGrid w:val="0"/>
        <w:spacing w:line="360" w:lineRule="auto"/>
        <w:ind w:firstLine="420"/>
        <w:rPr>
          <w:rFonts w:ascii="Times New Roman" w:hAnsi="Times New Roman" w:cs="Times New Roman"/>
        </w:rPr>
      </w:pPr>
    </w:p>
    <w:p w14:paraId="08099217" w14:textId="77777777" w:rsidR="009C2D86" w:rsidRDefault="0027599D">
      <w:pPr>
        <w:snapToGrid w:val="0"/>
        <w:spacing w:line="360" w:lineRule="auto"/>
        <w:ind w:firstLine="420"/>
        <w:rPr>
          <w:rFonts w:ascii="Times New Roman" w:hAnsi="Times New Roman" w:cs="Times New Roman"/>
          <w:bCs/>
        </w:rPr>
      </w:pPr>
      <w:r>
        <w:rPr>
          <w:rFonts w:ascii="Times New Roman" w:hAnsi="Times New Roman" w:cs="Times New Roman" w:hint="eastAsia"/>
          <w:bCs/>
        </w:rPr>
        <w:t>九、侧袋机制的信息披露</w:t>
      </w:r>
    </w:p>
    <w:p w14:paraId="72362A82"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、临时公告</w:t>
      </w:r>
    </w:p>
    <w:p w14:paraId="2309B93C"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在启用侧袋机制、处置特定资产、终止侧袋机制以及发生其他可能对投资者利益产生重大影响的事项后，基金管理人应及时发布临时公告；其中，启用和终止侧袋机制后，还应披露会计师事务所出具的专项审计意见。</w:t>
      </w:r>
    </w:p>
    <w:p w14:paraId="4713FDF3"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启用侧袋机制的临时公告内容应当包括启用原因及程序、特定资产流动性和估值情况、对投资者申购赎回的影响、风险提示等重要信息。</w:t>
      </w:r>
    </w:p>
    <w:p w14:paraId="6502343C"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处置特定资产的临时公告内容应当包括特定资产处置价格和时间、向侧袋账户份额持有人支付的款项、相关费用发生情况等重要信息。</w:t>
      </w:r>
    </w:p>
    <w:p w14:paraId="209ABD49"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侧袋机制实施期间，若侧袋账户资产无法一次性完成处置变现，基金管理人在每次处置变现后均应按照相关法律、法规要求及时发布临时公告。</w:t>
      </w:r>
    </w:p>
    <w:p w14:paraId="6B5C6B0A"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、基金净值信息</w:t>
      </w:r>
    </w:p>
    <w:p w14:paraId="53835073"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基金管理人应按照招募说明书“基金的信息披露”部分规定的基金净值信息披露方式和频率披露主袋账户份额的基金份额净值和基金份额累计净值。实施侧袋机制期间本基金暂停披露侧袋账户份额净值和份额累计净值。</w:t>
      </w:r>
    </w:p>
    <w:p w14:paraId="6FB22251"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、定期报告</w:t>
      </w:r>
    </w:p>
    <w:p w14:paraId="1FDB75C3"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侧袋机制实施期间，基金定期报告中的基金会计报表仅需针对主袋账户进行编制。</w:t>
      </w:r>
      <w:r>
        <w:rPr>
          <w:rFonts w:ascii="宋体" w:hAnsi="宋体" w:hint="eastAsia"/>
          <w:color w:val="000000"/>
          <w:kern w:val="0"/>
        </w:rPr>
        <w:t>侧袋账户相关信息在定期报告中单独进行披露，包括但不限于：</w:t>
      </w:r>
    </w:p>
    <w:p w14:paraId="414188E4"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（1）侧袋账户的基金代码、基金名称、侧袋账户成立日期等基本信息；</w:t>
      </w:r>
    </w:p>
    <w:p w14:paraId="0A2D5E82"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（2）侧袋账户的初始资产、初始负债；</w:t>
      </w:r>
    </w:p>
    <w:p w14:paraId="098F663D"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（3）特定资产的名称、代码、发行人等基本信息；</w:t>
      </w:r>
    </w:p>
    <w:p w14:paraId="5D51F0CC"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（4）报告期内的特定资产处置进展情况、与处置特定资产相关的费用情况及其他与特定资产状况相关的信息（</w:t>
      </w:r>
      <w:r>
        <w:rPr>
          <w:rFonts w:ascii="宋体" w:hAnsi="宋体"/>
          <w:color w:val="000000"/>
          <w:kern w:val="0"/>
        </w:rPr>
        <w:t>如有）</w:t>
      </w:r>
      <w:r>
        <w:rPr>
          <w:rFonts w:ascii="宋体" w:hAnsi="宋体" w:hint="eastAsia"/>
          <w:color w:val="000000"/>
          <w:kern w:val="0"/>
        </w:rPr>
        <w:t>；</w:t>
      </w:r>
    </w:p>
    <w:p w14:paraId="2B8FBC9E" w14:textId="77777777" w:rsidR="009C2D86" w:rsidRDefault="0027599D">
      <w:pPr>
        <w:snapToGrid w:val="0"/>
        <w:spacing w:line="360" w:lineRule="auto"/>
        <w:ind w:firstLineChars="200" w:firstLine="420"/>
        <w:rPr>
          <w:rFonts w:ascii="宋体" w:hAnsi="宋体"/>
          <w:color w:val="000000"/>
          <w:kern w:val="0"/>
        </w:rPr>
      </w:pPr>
      <w:r>
        <w:rPr>
          <w:rFonts w:ascii="宋体" w:hAnsi="宋体" w:hint="eastAsia"/>
          <w:color w:val="000000"/>
          <w:kern w:val="0"/>
        </w:rPr>
        <w:t>（5）可能对投资者利益存在重大影响的其他情况及相关风险提示。</w:t>
      </w:r>
    </w:p>
    <w:p w14:paraId="4443D290" w14:textId="77777777" w:rsidR="009C2D86" w:rsidRDefault="0027599D">
      <w:pPr>
        <w:snapToGrid w:val="0"/>
        <w:spacing w:line="360" w:lineRule="auto"/>
        <w:ind w:firstLine="420"/>
        <w:rPr>
          <w:rFonts w:ascii="Times New Roman" w:hAnsi="Times New Roman" w:cs="Times New Roman"/>
        </w:rPr>
      </w:pPr>
      <w:r>
        <w:rPr>
          <w:rFonts w:ascii="Times New Roman" w:hAnsi="Times New Roman" w:cs="Times New Roman" w:hint="eastAsia"/>
        </w:rPr>
        <w:t>基金管理人可根据特定资产处置进展情况披露报告期末特定资产可变现净值或净值区间，但上述可变现净值或净值区间（如有）不作为基金管理人对于特定资产最终变现价格的承诺。</w:t>
      </w:r>
    </w:p>
    <w:p w14:paraId="78F1BDFE" w14:textId="77777777" w:rsidR="009C2D86" w:rsidRDefault="009C2D86">
      <w:pPr>
        <w:snapToGrid w:val="0"/>
        <w:spacing w:line="360" w:lineRule="auto"/>
        <w:ind w:firstLine="420"/>
        <w:rPr>
          <w:rFonts w:ascii="Times New Roman" w:hAnsi="Times New Roman" w:cs="Times New Roman"/>
        </w:rPr>
      </w:pPr>
    </w:p>
    <w:p w14:paraId="6D12B7C0" w14:textId="77777777" w:rsidR="009C2D86" w:rsidRDefault="0027599D">
      <w:pPr>
        <w:snapToGrid w:val="0"/>
        <w:spacing w:line="360" w:lineRule="auto"/>
        <w:ind w:firstLine="420"/>
        <w:rPr>
          <w:rFonts w:ascii="Times New Roman" w:hAnsi="Times New Roman" w:cs="Times New Roman"/>
          <w:b/>
          <w:bCs/>
        </w:rPr>
      </w:pPr>
      <w:r>
        <w:rPr>
          <w:rFonts w:ascii="Times New Roman" w:hAnsi="Times New Roman" w:cs="Times New Roman" w:hint="eastAsia"/>
          <w:b/>
          <w:bCs/>
        </w:rPr>
        <w:t>十、本部分关于侧袋机制的相关规定，如将来法律法规或监管规则修改导致相关内容被取消或应被变更的，本基金将相应调整，无需召开基金份额持有人大会审议。</w:t>
      </w:r>
    </w:p>
    <w:p w14:paraId="022031F9" w14:textId="77777777" w:rsidR="009C2D86" w:rsidRDefault="009C2D86">
      <w:pPr>
        <w:pStyle w:val="HD"/>
      </w:pPr>
    </w:p>
    <w:p w14:paraId="2829BC41" w14:textId="77777777" w:rsidR="009C2D86" w:rsidRDefault="009C2D86">
      <w:pPr>
        <w:snapToGrid w:val="0"/>
        <w:spacing w:line="360" w:lineRule="auto"/>
        <w:ind w:firstLineChars="200" w:firstLine="420"/>
        <w:rPr>
          <w:rFonts w:ascii="宋体" w:cs="Times New Roman"/>
        </w:rPr>
      </w:pPr>
    </w:p>
    <w:p w14:paraId="6427D631" w14:textId="77777777" w:rsidR="009C2D86" w:rsidRDefault="0027599D">
      <w:pPr>
        <w:pStyle w:val="36"/>
        <w:snapToGrid w:val="0"/>
        <w:rPr>
          <w:rFonts w:hAnsi="宋体" w:cs="Times New Roman"/>
          <w:color w:val="000000"/>
        </w:rPr>
      </w:pPr>
      <w:r>
        <w:rPr>
          <w:rFonts w:hAnsi="宋体" w:cs="Times New Roman"/>
          <w:color w:val="000000"/>
          <w:kern w:val="0"/>
        </w:rPr>
        <w:br w:type="page"/>
      </w:r>
    </w:p>
    <w:p w14:paraId="6750F8B4"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53" w:name="_Toc360794110"/>
      <w:bookmarkStart w:id="154" w:name="_Toc360793860"/>
      <w:bookmarkStart w:id="155" w:name="_Toc360794418"/>
      <w:bookmarkStart w:id="156" w:name="_Toc360794526"/>
      <w:bookmarkStart w:id="157" w:name="_Toc48900084"/>
      <w:bookmarkStart w:id="158" w:name="_Toc360793508"/>
      <w:bookmarkStart w:id="159" w:name="_Toc362533465"/>
      <w:bookmarkStart w:id="160" w:name="_Toc362455193"/>
      <w:r>
        <w:rPr>
          <w:rFonts w:ascii="宋体" w:eastAsia="宋体" w:hAnsi="宋体" w:cs="宋体" w:hint="eastAsia"/>
        </w:rPr>
        <w:t>风险揭示</w:t>
      </w:r>
      <w:bookmarkEnd w:id="153"/>
      <w:bookmarkEnd w:id="154"/>
      <w:bookmarkEnd w:id="155"/>
      <w:bookmarkEnd w:id="156"/>
      <w:bookmarkEnd w:id="157"/>
      <w:bookmarkEnd w:id="158"/>
      <w:bookmarkEnd w:id="159"/>
      <w:bookmarkEnd w:id="160"/>
    </w:p>
    <w:p w14:paraId="2862089A" w14:textId="77777777" w:rsidR="009C2D86" w:rsidRDefault="009C2D86">
      <w:pPr>
        <w:snapToGrid w:val="0"/>
        <w:spacing w:line="360" w:lineRule="auto"/>
        <w:ind w:firstLine="420"/>
        <w:rPr>
          <w:rFonts w:ascii="宋体" w:cs="Times New Roman"/>
          <w:b/>
          <w:bCs/>
        </w:rPr>
      </w:pPr>
    </w:p>
    <w:p w14:paraId="53F0D569" w14:textId="28FF997C" w:rsidR="009C2D86" w:rsidRPr="00AB4C53" w:rsidRDefault="0027599D">
      <w:pPr>
        <w:pStyle w:val="HD"/>
      </w:pPr>
      <w:r>
        <w:rPr>
          <w:rFonts w:hint="eastAsia"/>
        </w:rPr>
        <w:t>本基金的目标</w:t>
      </w:r>
      <w:r>
        <w:rPr>
          <w:rFonts w:hint="eastAsia"/>
        </w:rPr>
        <w:t>ETF</w:t>
      </w:r>
      <w:r>
        <w:rPr>
          <w:rFonts w:hint="eastAsia"/>
        </w:rPr>
        <w:t>为股票型基金，一般而言，其长期平均风险与预期收益高于混合型基金、债券型基金与货币市场基金。本基金为</w:t>
      </w:r>
      <w:r>
        <w:rPr>
          <w:rFonts w:hint="eastAsia"/>
        </w:rPr>
        <w:t>ETF</w:t>
      </w:r>
      <w:r>
        <w:rPr>
          <w:rFonts w:hint="eastAsia"/>
        </w:rPr>
        <w:t>联接基金，通过投资于目标</w:t>
      </w:r>
      <w:r>
        <w:rPr>
          <w:rFonts w:hint="eastAsia"/>
        </w:rPr>
        <w:t>ETF</w:t>
      </w:r>
      <w:r>
        <w:rPr>
          <w:rFonts w:hint="eastAsia"/>
        </w:rPr>
        <w:t>跟踪标的指数表现，具有与标的指数以及标的指数所代表的市场相似的风险收益特征。</w:t>
      </w:r>
      <w:r w:rsidR="00AB4C53" w:rsidRPr="00AB4C53">
        <w:rPr>
          <w:rFonts w:hint="eastAsia"/>
        </w:rPr>
        <w:t>本基金投资创业板股票，会面临创业板机制下因投资标的、市场制度以及交易规则等差异带来的特有风险，包括流动性风险、退市风险和投资集中风险等。</w:t>
      </w:r>
    </w:p>
    <w:p w14:paraId="5937F256" w14:textId="12AFFEE7" w:rsidR="009C2D86" w:rsidRDefault="0027599D">
      <w:pPr>
        <w:pStyle w:val="HD"/>
      </w:pPr>
      <w:r>
        <w:rPr>
          <w:rFonts w:hint="eastAsia"/>
        </w:rPr>
        <w:t>本基金面临的主要风险有市场风险、管理风险、流动性风险、本基金特有风险</w:t>
      </w:r>
      <w:r w:rsidR="00AD0E04">
        <w:rPr>
          <w:rFonts w:hint="eastAsia"/>
        </w:rPr>
        <w:t>、</w:t>
      </w:r>
      <w:r>
        <w:rPr>
          <w:rFonts w:hint="eastAsia"/>
        </w:rPr>
        <w:t>其他风险</w:t>
      </w:r>
      <w:r w:rsidR="00A03201">
        <w:rPr>
          <w:rFonts w:hint="eastAsia"/>
        </w:rPr>
        <w:t>、</w:t>
      </w:r>
      <w:r w:rsidR="00AD0E04" w:rsidRPr="00AD0E04">
        <w:rPr>
          <w:rFonts w:hint="eastAsia"/>
        </w:rPr>
        <w:t>基金风险评价不一致的风险</w:t>
      </w:r>
      <w:r>
        <w:rPr>
          <w:rFonts w:hint="eastAsia"/>
        </w:rPr>
        <w:t>等。</w:t>
      </w:r>
      <w:r>
        <w:rPr>
          <w:rFonts w:hint="eastAsia"/>
        </w:rPr>
        <w:t xml:space="preserve">  </w:t>
      </w:r>
    </w:p>
    <w:p w14:paraId="5258BB3C" w14:textId="77777777" w:rsidR="009C2D86" w:rsidRDefault="009C2D86">
      <w:pPr>
        <w:pStyle w:val="HD"/>
      </w:pPr>
    </w:p>
    <w:p w14:paraId="3113DF83" w14:textId="77777777" w:rsidR="009C2D86" w:rsidRDefault="0027599D">
      <w:pPr>
        <w:pStyle w:val="HD"/>
      </w:pPr>
      <w:r>
        <w:rPr>
          <w:rFonts w:hint="eastAsia"/>
        </w:rPr>
        <w:t>一、市场风险</w:t>
      </w:r>
    </w:p>
    <w:p w14:paraId="627281F3" w14:textId="77777777" w:rsidR="009C2D86" w:rsidRDefault="0027599D">
      <w:pPr>
        <w:pStyle w:val="HD"/>
      </w:pPr>
      <w:r>
        <w:rPr>
          <w:rFonts w:hint="eastAsia"/>
        </w:rPr>
        <w:t>证券市场价格受到经济因素、政治因素、投资心理和交易制度等各种因素的影响，导致基金收益水平变化，产生风险，主要包括：</w:t>
      </w:r>
    </w:p>
    <w:p w14:paraId="5DF02D8E" w14:textId="77777777" w:rsidR="009C2D86" w:rsidRDefault="0027599D">
      <w:pPr>
        <w:pStyle w:val="HD"/>
      </w:pPr>
      <w:r>
        <w:rPr>
          <w:rFonts w:hint="eastAsia"/>
        </w:rPr>
        <w:t>1</w:t>
      </w:r>
      <w:r>
        <w:rPr>
          <w:rFonts w:hint="eastAsia"/>
        </w:rPr>
        <w:t>、政策风险。因国家宏观政策（如货币政策、财政政策、行业政策、地区发展政策等）发生变化，导致市场价格波动而产生风险。</w:t>
      </w:r>
    </w:p>
    <w:p w14:paraId="6210781A" w14:textId="77777777" w:rsidR="009C2D86" w:rsidRDefault="0027599D">
      <w:pPr>
        <w:pStyle w:val="HD"/>
      </w:pPr>
      <w:r>
        <w:rPr>
          <w:rFonts w:hint="eastAsia"/>
        </w:rPr>
        <w:t>2</w:t>
      </w:r>
      <w:r>
        <w:rPr>
          <w:rFonts w:hint="eastAsia"/>
        </w:rPr>
        <w:t>、经济周期风险。随经济运行的周期性变化，证券市场的收益水平也呈周期性变化。基金投资于债券与上市公司的股票，收益水平也会随之变化，从而产生风险。</w:t>
      </w:r>
    </w:p>
    <w:p w14:paraId="2CDC5D48" w14:textId="77777777" w:rsidR="009C2D86" w:rsidRDefault="0027599D">
      <w:pPr>
        <w:pStyle w:val="HD"/>
      </w:pPr>
      <w:r>
        <w:rPr>
          <w:rFonts w:hint="eastAsia"/>
        </w:rPr>
        <w:t>3</w:t>
      </w:r>
      <w:r>
        <w:rPr>
          <w:rFonts w:hint="eastAsia"/>
        </w:rPr>
        <w:t>、利率风险。金融市场利率的波动会导致证券市场价格和收益率的变动。利率直接影响着国债的价格和收益率，影响着企业的融资成本和利润。基金投资于债券和股票，其收益水平会受到利率变化的影响。</w:t>
      </w:r>
    </w:p>
    <w:p w14:paraId="1CF352D9" w14:textId="77777777" w:rsidR="009C2D86" w:rsidRDefault="0027599D">
      <w:pPr>
        <w:pStyle w:val="HD"/>
      </w:pPr>
      <w:r>
        <w:rPr>
          <w:rFonts w:hint="eastAsia"/>
        </w:rPr>
        <w:t>4</w:t>
      </w:r>
      <w:r>
        <w:rPr>
          <w:rFonts w:hint="eastAsia"/>
        </w:rPr>
        <w:t>、上市公司经营风险。上市公司的经营好坏受多种因素影响，如管理能力、财务状况、市场前景、行业竞争、人员素质等，这些都会导致企业的盈利发生变化。如果基金所投资的上市公司经营不善，其股票价格可能下跌，或者能够用于分配的利润减少，使基金投资收益下降。虽然基金可以通过投资多样化来分散这种非系统风险，但不能完全规避。</w:t>
      </w:r>
    </w:p>
    <w:p w14:paraId="3DBE1172" w14:textId="77777777" w:rsidR="009C2D86" w:rsidRDefault="0027599D">
      <w:pPr>
        <w:pStyle w:val="HD"/>
      </w:pPr>
      <w:r>
        <w:rPr>
          <w:rFonts w:hint="eastAsia"/>
        </w:rPr>
        <w:t>5</w:t>
      </w:r>
      <w:r>
        <w:rPr>
          <w:rFonts w:hint="eastAsia"/>
        </w:rPr>
        <w:t>、购买力风险。基金的利润将主要通过现金形式来分配，而现金可能因为通货膨胀的影响而导致购买力下降，从而使基金的实际收益下降。</w:t>
      </w:r>
    </w:p>
    <w:p w14:paraId="3FB0083F" w14:textId="77777777" w:rsidR="009C2D86" w:rsidRDefault="0027599D">
      <w:pPr>
        <w:pStyle w:val="HD"/>
      </w:pPr>
      <w:r>
        <w:rPr>
          <w:rFonts w:hint="eastAsia"/>
        </w:rPr>
        <w:t>6</w:t>
      </w:r>
      <w:r>
        <w:rPr>
          <w:rFonts w:hint="eastAsia"/>
        </w:rPr>
        <w:t>、信用风险。主要是指债务人的违约风险，若债务人经营不善，资不抵债，债权人可能会损失掉大部分的投资，这主要体现在企业债中。</w:t>
      </w:r>
    </w:p>
    <w:p w14:paraId="5F393DD0" w14:textId="77777777" w:rsidR="009C2D86" w:rsidRDefault="0027599D">
      <w:pPr>
        <w:pStyle w:val="HD"/>
      </w:pPr>
      <w:r>
        <w:rPr>
          <w:rFonts w:hint="eastAsia"/>
        </w:rPr>
        <w:t>7</w:t>
      </w:r>
      <w:r>
        <w:rPr>
          <w:rFonts w:hint="eastAsia"/>
        </w:rPr>
        <w:t>、债券收益率曲线变动风险。债券收益率曲线变动风险是指与收益率曲线非平行移动有关的风险，单一的久期指标并不能充分反映这一风险的存在。</w:t>
      </w:r>
    </w:p>
    <w:p w14:paraId="3205481A" w14:textId="77777777" w:rsidR="009C2D86" w:rsidRDefault="0027599D">
      <w:pPr>
        <w:pStyle w:val="HD"/>
      </w:pPr>
      <w:r>
        <w:rPr>
          <w:rFonts w:hint="eastAsia"/>
        </w:rPr>
        <w:t>8</w:t>
      </w:r>
      <w:r>
        <w:rPr>
          <w:rFonts w:hint="eastAsia"/>
        </w:rPr>
        <w:t>、再投资风险。再投资风险反映了利率下降对固定收益证券利息收入再投资收益的影响，这与利率上升所带来的价格风险（即前面所提到的利率风险）互为消长。具体为当利率下降时，基金从投资的固定收益证券所得的利息收入进行再投资时，将获得较少的收益率。</w:t>
      </w:r>
    </w:p>
    <w:p w14:paraId="0FABEABC" w14:textId="77777777" w:rsidR="009C2D86" w:rsidRDefault="009C2D86">
      <w:pPr>
        <w:pStyle w:val="HD"/>
      </w:pPr>
    </w:p>
    <w:p w14:paraId="5158E73E" w14:textId="77777777" w:rsidR="009C2D86" w:rsidRDefault="0027599D">
      <w:pPr>
        <w:pStyle w:val="HD"/>
      </w:pPr>
      <w:r>
        <w:rPr>
          <w:rFonts w:hint="eastAsia"/>
        </w:rPr>
        <w:t>二、管理风险</w:t>
      </w:r>
    </w:p>
    <w:p w14:paraId="5AAC1129" w14:textId="77777777" w:rsidR="009C2D86" w:rsidRDefault="0027599D">
      <w:pPr>
        <w:pStyle w:val="HD"/>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14:paraId="161B315B" w14:textId="77777777" w:rsidR="009C2D86" w:rsidRDefault="009C2D86">
      <w:pPr>
        <w:pStyle w:val="HD"/>
      </w:pPr>
    </w:p>
    <w:p w14:paraId="2C413345" w14:textId="77777777" w:rsidR="009C2D86" w:rsidRDefault="0027599D">
      <w:pPr>
        <w:pStyle w:val="HD"/>
      </w:pPr>
      <w:r>
        <w:rPr>
          <w:rFonts w:hint="eastAsia"/>
        </w:rPr>
        <w:t>三、流动性风险</w:t>
      </w:r>
    </w:p>
    <w:p w14:paraId="5C58B548" w14:textId="77777777" w:rsidR="009C2D86" w:rsidRDefault="0027599D">
      <w:pPr>
        <w:pStyle w:val="HD"/>
      </w:pPr>
      <w:r>
        <w:rPr>
          <w:rFonts w:hint="eastAsia"/>
        </w:rPr>
        <w:t>本基金属开放式基金，在所有开放日基金管理人有义务接受投资人的赎回。如果出现较大数额的赎回申请，则使基金资产变现困难，基金面临流动性风险。</w:t>
      </w:r>
    </w:p>
    <w:p w14:paraId="522F757B" w14:textId="77777777" w:rsidR="009C2D86" w:rsidRDefault="0027599D">
      <w:pPr>
        <w:pStyle w:val="HD"/>
      </w:pPr>
      <w:r>
        <w:rPr>
          <w:rFonts w:hint="eastAsia"/>
        </w:rPr>
        <w:t>1</w:t>
      </w:r>
      <w:r>
        <w:rPr>
          <w:rFonts w:hint="eastAsia"/>
        </w:rPr>
        <w:t>、本基金的申购、赎回安排</w:t>
      </w:r>
    </w:p>
    <w:p w14:paraId="01BABFDC" w14:textId="77777777" w:rsidR="009C2D86" w:rsidRDefault="0027599D">
      <w:pPr>
        <w:pStyle w:val="HD"/>
      </w:pPr>
      <w:r>
        <w:rPr>
          <w:rFonts w:hint="eastAsia"/>
        </w:rPr>
        <w:t>本基金采用开放方式运作，基金管理人在开放日办理基金份额的申购和赎回。本基金的申购与赎回的开放日为</w:t>
      </w:r>
      <w:r>
        <w:rPr>
          <w:bCs/>
        </w:rPr>
        <w:t>深圳证券交易所</w:t>
      </w:r>
      <w:r>
        <w:rPr>
          <w:rFonts w:hint="eastAsia"/>
        </w:rPr>
        <w:t>的正常交易日，但基金管理人根据法律法规、中国证监会的要求或基金合同的规定公告暂停申购、赎回时除外。基金管理人</w:t>
      </w:r>
      <w:r>
        <w:rPr>
          <w:rFonts w:hint="eastAsia"/>
          <w:bCs/>
        </w:rPr>
        <w:t>可根据实际情况依法决定本基金开始办理申购的具体日期，</w:t>
      </w:r>
      <w:r>
        <w:rPr>
          <w:rFonts w:hint="eastAsia"/>
        </w:rPr>
        <w:t>自基金合同生效之日起不超过</w:t>
      </w:r>
      <w:r>
        <w:rPr>
          <w:rFonts w:hint="eastAsia"/>
        </w:rPr>
        <w:t>3</w:t>
      </w:r>
      <w:r>
        <w:rPr>
          <w:rFonts w:hint="eastAsia"/>
        </w:rPr>
        <w:t>个月开始办理赎回业务，具体业务办理时间在申购赎回开始公告中规定。</w:t>
      </w:r>
    </w:p>
    <w:p w14:paraId="745F1C08" w14:textId="77777777" w:rsidR="009C2D86" w:rsidRDefault="0027599D">
      <w:pPr>
        <w:pStyle w:val="HD"/>
      </w:pPr>
      <w:r>
        <w:rPr>
          <w:rFonts w:hint="eastAsia"/>
        </w:rPr>
        <w:t>2</w:t>
      </w:r>
      <w:r>
        <w:rPr>
          <w:rFonts w:hint="eastAsia"/>
        </w:rPr>
        <w:t>、投资市场、行业及资产的流动性风险评估</w:t>
      </w:r>
    </w:p>
    <w:p w14:paraId="7FC35930" w14:textId="21C9B405" w:rsidR="009C2D86" w:rsidRPr="00AB4C53" w:rsidRDefault="0027599D">
      <w:pPr>
        <w:pStyle w:val="HD"/>
      </w:pPr>
      <w:r>
        <w:rPr>
          <w:rFonts w:hint="eastAsia"/>
        </w:rPr>
        <w:t>本基金主要投资于目标</w:t>
      </w:r>
      <w:r>
        <w:rPr>
          <w:rFonts w:hint="eastAsia"/>
        </w:rPr>
        <w:t>ETF</w:t>
      </w:r>
      <w:r>
        <w:rPr>
          <w:rFonts w:hint="eastAsia"/>
        </w:rPr>
        <w:t>基金份额、标的指数成份股、备选成份股</w:t>
      </w:r>
      <w:r w:rsidR="002B0402" w:rsidRPr="002B0402">
        <w:rPr>
          <w:rFonts w:hint="eastAsia"/>
        </w:rPr>
        <w:t>（含存托凭证）</w:t>
      </w:r>
      <w:r>
        <w:rPr>
          <w:rFonts w:hint="eastAsia"/>
        </w:rPr>
        <w:t>。目标</w:t>
      </w:r>
      <w:r>
        <w:rPr>
          <w:rFonts w:hint="eastAsia"/>
        </w:rPr>
        <w:t>ETF</w:t>
      </w:r>
      <w:r>
        <w:rPr>
          <w:rFonts w:hint="eastAsia"/>
        </w:rPr>
        <w:t>及本基金主要投资的标的指数成份股和备选成份股在信息披露、内部控制等方面治理总体良好。且目标</w:t>
      </w:r>
      <w:r>
        <w:rPr>
          <w:rFonts w:hint="eastAsia"/>
        </w:rPr>
        <w:t>ETF</w:t>
      </w:r>
      <w:r>
        <w:rPr>
          <w:rFonts w:hint="eastAsia"/>
        </w:rPr>
        <w:t>已依照指数权重进行了分散投资，故本基金可通过赎回目标</w:t>
      </w:r>
      <w:r>
        <w:rPr>
          <w:rFonts w:hint="eastAsia"/>
        </w:rPr>
        <w:t>ETF</w:t>
      </w:r>
      <w:r>
        <w:rPr>
          <w:rFonts w:hint="eastAsia"/>
        </w:rPr>
        <w:t>较好地获取流动性；另外，本基金还可以在二级市场卖出目标</w:t>
      </w:r>
      <w:r>
        <w:rPr>
          <w:rFonts w:hint="eastAsia"/>
        </w:rPr>
        <w:t>ETF</w:t>
      </w:r>
      <w:r>
        <w:rPr>
          <w:rFonts w:hint="eastAsia"/>
        </w:rPr>
        <w:t>获取流动性，以上均为基金平稳运作提供了良好的基础。根据《流动性风险管理规定》的相关要求，本基金所投资或持有的基金份额的基金管理人实施流动性风险管理，也会审慎评估所投资资产的流动性，并针对性制定流动性风险管理措施，因此本基金流动性风险也可以得到有效控制。</w:t>
      </w:r>
    </w:p>
    <w:p w14:paraId="04418824" w14:textId="77777777" w:rsidR="009C2D86" w:rsidRDefault="0027599D">
      <w:pPr>
        <w:pStyle w:val="HD"/>
      </w:pPr>
      <w:r>
        <w:rPr>
          <w:rFonts w:hint="eastAsia"/>
        </w:rPr>
        <w:t>3</w:t>
      </w:r>
      <w:r>
        <w:rPr>
          <w:rFonts w:hint="eastAsia"/>
        </w:rPr>
        <w:t>、巨额赎回情形下的流动性风险管理措施</w:t>
      </w:r>
    </w:p>
    <w:p w14:paraId="611090BD" w14:textId="6DAF0007" w:rsidR="009C2D86" w:rsidRDefault="0027599D">
      <w:pPr>
        <w:pStyle w:val="HD"/>
      </w:pPr>
      <w:r>
        <w:rPr>
          <w:rFonts w:hint="eastAsia"/>
        </w:rPr>
        <w:t>当单个开放日内的基金份额净赎回申请超过</w:t>
      </w:r>
      <w:r w:rsidR="002D7793">
        <w:rPr>
          <w:rFonts w:ascii="Calibri" w:hAnsi="Calibri" w:cs="Calibri" w:hint="eastAsia"/>
        </w:rPr>
        <w:t>前一开放日的</w:t>
      </w:r>
      <w:r>
        <w:rPr>
          <w:rFonts w:hint="eastAsia"/>
        </w:rPr>
        <w:t>基金总份额的</w:t>
      </w:r>
      <w:r>
        <w:rPr>
          <w:rFonts w:ascii="宋体" w:hAnsi="宋体" w:hint="eastAsia"/>
          <w:bCs/>
        </w:rPr>
        <w:t>10%</w:t>
      </w:r>
      <w:r>
        <w:rPr>
          <w:rFonts w:hint="eastAsia"/>
        </w:rPr>
        <w:t>时，即认为是发生了巨额赎回。当基金出现巨额赎回时，基金管理人可以根据基金当时的资产组合状况决定全额赎回或部分延期赎回。连续</w:t>
      </w:r>
      <w:r>
        <w:rPr>
          <w:rFonts w:hint="eastAsia"/>
        </w:rPr>
        <w:t>2</w:t>
      </w:r>
      <w:r>
        <w:rPr>
          <w:rFonts w:hint="eastAsia"/>
        </w:rPr>
        <w:t>个开放日以上</w:t>
      </w:r>
      <w:r>
        <w:rPr>
          <w:rFonts w:hint="eastAsia"/>
        </w:rPr>
        <w:t>(</w:t>
      </w:r>
      <w:r>
        <w:rPr>
          <w:rFonts w:hint="eastAsia"/>
        </w:rPr>
        <w:t>含本数</w:t>
      </w:r>
      <w:r>
        <w:rPr>
          <w:rFonts w:hint="eastAsia"/>
        </w:rPr>
        <w:t>)</w:t>
      </w:r>
      <w:r>
        <w:rPr>
          <w:rFonts w:hint="eastAsia"/>
        </w:rPr>
        <w:t>发生巨额赎回，如基金管理人认为有必要，可暂停接受基金的赎回申请；已经接受的赎回申请可以延缓支付赎回款项，但不得超过</w:t>
      </w:r>
      <w:r>
        <w:rPr>
          <w:rFonts w:hint="eastAsia"/>
        </w:rPr>
        <w:t>20</w:t>
      </w:r>
      <w:r>
        <w:rPr>
          <w:rFonts w:hint="eastAsia"/>
        </w:rPr>
        <w:t>个工作日，并应当在规定媒介上进行公告。</w:t>
      </w:r>
    </w:p>
    <w:p w14:paraId="538D7D53" w14:textId="77777777" w:rsidR="009C2D86" w:rsidRDefault="0027599D">
      <w:pPr>
        <w:pStyle w:val="HD"/>
      </w:pPr>
      <w:bookmarkStart w:id="161" w:name="_Hlk34143452"/>
      <w:r>
        <w:rPr>
          <w:rFonts w:hint="eastAsia"/>
        </w:rPr>
        <w:t>如发生单个开放日内单个基金份额持有人申请赎回的基金份额超过前一开放日的基金总份额的</w:t>
      </w:r>
      <w:r>
        <w:rPr>
          <w:rFonts w:hint="eastAsia"/>
        </w:rPr>
        <w:t>30%</w:t>
      </w:r>
      <w:r>
        <w:rPr>
          <w:rFonts w:hint="eastAsia"/>
        </w:rPr>
        <w:t>时，本基金管理人可以对该单个基金份额持有人持有的赎回申请实施延期办理。如基金管理人对于其超过基金总份额</w:t>
      </w:r>
      <w:r>
        <w:rPr>
          <w:rFonts w:hint="eastAsia"/>
        </w:rPr>
        <w:t>30%</w:t>
      </w:r>
      <w:r>
        <w:rPr>
          <w:rFonts w:hint="eastAsia"/>
        </w:rPr>
        <w:t>以上部分的赎回申请实施延期办理，延期的赎回申请与下一开放日赎回申请一并处理，无优先权并以下一开放日的该类基金份额净值为基础计算赎回金额，以此类推，直到全部赎回为止；如基金管理人只接受其基金总份额</w:t>
      </w:r>
      <w:r>
        <w:rPr>
          <w:rFonts w:hint="eastAsia"/>
        </w:rPr>
        <w:t>30%</w:t>
      </w:r>
      <w:r>
        <w:rPr>
          <w:rFonts w:hint="eastAsia"/>
        </w:rPr>
        <w:t>部分作为当日有效赎回申请，基金管理人可以根据“全额赎回”或“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bookmarkEnd w:id="161"/>
    </w:p>
    <w:p w14:paraId="760DAABF" w14:textId="77777777" w:rsidR="009C2D86" w:rsidRDefault="0027599D">
      <w:pPr>
        <w:pStyle w:val="HD"/>
      </w:pPr>
      <w:r>
        <w:rPr>
          <w:rFonts w:hint="eastAsia"/>
        </w:rPr>
        <w:t>4</w:t>
      </w:r>
      <w:r>
        <w:rPr>
          <w:rFonts w:hint="eastAsia"/>
        </w:rPr>
        <w:t>、实施备用的流动性风险管理工具的情形、程序及对投资者的潜在影响</w:t>
      </w:r>
    </w:p>
    <w:p w14:paraId="055C5A2D" w14:textId="77777777" w:rsidR="009C2D86" w:rsidRDefault="0027599D">
      <w:pPr>
        <w:pStyle w:val="HD"/>
      </w:pPr>
      <w:r>
        <w:rPr>
          <w:rFonts w:hint="eastAsia"/>
        </w:rPr>
        <w:t>本基金在面临大规模赎回的情况下有可能因为无法变现造成流动性风险。</w:t>
      </w:r>
    </w:p>
    <w:p w14:paraId="42FC1C55" w14:textId="77777777" w:rsidR="009C2D86" w:rsidRDefault="0027599D">
      <w:pPr>
        <w:pStyle w:val="HD"/>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14:paraId="5CD7B441" w14:textId="77777777" w:rsidR="009C2D86" w:rsidRDefault="009C2D86">
      <w:pPr>
        <w:pStyle w:val="HD"/>
      </w:pPr>
    </w:p>
    <w:p w14:paraId="5A2B1779" w14:textId="77777777" w:rsidR="009C2D86" w:rsidRDefault="0027599D">
      <w:pPr>
        <w:pStyle w:val="HD"/>
      </w:pPr>
      <w:r>
        <w:rPr>
          <w:rFonts w:hint="eastAsia"/>
        </w:rPr>
        <w:t>四、本基金特有的风险</w:t>
      </w:r>
    </w:p>
    <w:p w14:paraId="42307272" w14:textId="77777777" w:rsidR="009C2D86" w:rsidRDefault="0027599D">
      <w:pPr>
        <w:pStyle w:val="HD"/>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14:paraId="57A3520F" w14:textId="77777777" w:rsidR="009C2D86" w:rsidRDefault="0027599D">
      <w:pPr>
        <w:pStyle w:val="HD"/>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14:paraId="2F8FF0B4" w14:textId="77777777" w:rsidR="009C2D86" w:rsidRDefault="0027599D">
      <w:pPr>
        <w:pStyle w:val="HD"/>
      </w:pPr>
      <w:r>
        <w:rPr>
          <w:rFonts w:hint="eastAsia"/>
        </w:rPr>
        <w:t>3</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14:paraId="4011E868" w14:textId="77777777" w:rsidR="009C2D86" w:rsidRDefault="0027599D">
      <w:pPr>
        <w:pStyle w:val="HD"/>
      </w:pPr>
      <w:r>
        <w:rPr>
          <w:rFonts w:hint="eastAsia"/>
        </w:rPr>
        <w:t>（</w:t>
      </w:r>
      <w:r>
        <w:rPr>
          <w:rFonts w:hint="eastAsia"/>
        </w:rPr>
        <w:t>1</w:t>
      </w:r>
      <w:r>
        <w:rPr>
          <w:rFonts w:hint="eastAsia"/>
        </w:rPr>
        <w:t>）标的指数成份股的配股、增发、分红等公司行为；</w:t>
      </w:r>
    </w:p>
    <w:p w14:paraId="0A0DAE68" w14:textId="77777777" w:rsidR="009C2D86" w:rsidRDefault="0027599D">
      <w:pPr>
        <w:pStyle w:val="HD"/>
      </w:pPr>
      <w:r>
        <w:rPr>
          <w:rFonts w:hint="eastAsia"/>
        </w:rPr>
        <w:t>（</w:t>
      </w:r>
      <w:r>
        <w:rPr>
          <w:rFonts w:hint="eastAsia"/>
        </w:rPr>
        <w:t>2</w:t>
      </w:r>
      <w:r>
        <w:rPr>
          <w:rFonts w:hint="eastAsia"/>
        </w:rPr>
        <w:t>）标的指数成份股的调整；</w:t>
      </w:r>
    </w:p>
    <w:p w14:paraId="49E89057" w14:textId="77777777" w:rsidR="009C2D86" w:rsidRDefault="0027599D">
      <w:pPr>
        <w:pStyle w:val="HD"/>
      </w:pPr>
      <w:r>
        <w:rPr>
          <w:rFonts w:hint="eastAsia"/>
        </w:rPr>
        <w:t>（</w:t>
      </w:r>
      <w:r>
        <w:rPr>
          <w:rFonts w:hint="eastAsia"/>
        </w:rPr>
        <w:t>3</w:t>
      </w:r>
      <w:r>
        <w:rPr>
          <w:rFonts w:hint="eastAsia"/>
        </w:rPr>
        <w:t>）基金买卖股票时产生的交易成本和交易冲击；</w:t>
      </w:r>
    </w:p>
    <w:p w14:paraId="79F63B29" w14:textId="77777777" w:rsidR="009C2D86" w:rsidRDefault="0027599D">
      <w:pPr>
        <w:pStyle w:val="HD"/>
      </w:pPr>
      <w:r>
        <w:rPr>
          <w:rFonts w:hint="eastAsia"/>
        </w:rPr>
        <w:t>（</w:t>
      </w:r>
      <w:r>
        <w:rPr>
          <w:rFonts w:hint="eastAsia"/>
        </w:rPr>
        <w:t>4</w:t>
      </w:r>
      <w:r>
        <w:rPr>
          <w:rFonts w:hint="eastAsia"/>
        </w:rPr>
        <w:t>）申购、赎回因素带来的跟踪误差；</w:t>
      </w:r>
    </w:p>
    <w:p w14:paraId="764880C3" w14:textId="77777777" w:rsidR="009C2D86" w:rsidRDefault="0027599D">
      <w:pPr>
        <w:pStyle w:val="HD"/>
      </w:pPr>
      <w:r>
        <w:rPr>
          <w:rFonts w:hint="eastAsia"/>
        </w:rPr>
        <w:t>（</w:t>
      </w:r>
      <w:r>
        <w:rPr>
          <w:rFonts w:hint="eastAsia"/>
        </w:rPr>
        <w:t>5</w:t>
      </w:r>
      <w:r>
        <w:rPr>
          <w:rFonts w:hint="eastAsia"/>
        </w:rPr>
        <w:t>）新股市值配售、新股认购带来的跟踪误差；</w:t>
      </w:r>
    </w:p>
    <w:p w14:paraId="5680B632" w14:textId="77777777" w:rsidR="009C2D86" w:rsidRDefault="0027599D">
      <w:pPr>
        <w:pStyle w:val="HD"/>
      </w:pPr>
      <w:r>
        <w:rPr>
          <w:rFonts w:hint="eastAsia"/>
        </w:rPr>
        <w:t>（</w:t>
      </w:r>
      <w:r>
        <w:rPr>
          <w:rFonts w:hint="eastAsia"/>
        </w:rPr>
        <w:t>6</w:t>
      </w:r>
      <w:r>
        <w:rPr>
          <w:rFonts w:hint="eastAsia"/>
        </w:rPr>
        <w:t>）基金现金资产的拖累；</w:t>
      </w:r>
    </w:p>
    <w:p w14:paraId="22DA71A9" w14:textId="77777777" w:rsidR="009C2D86" w:rsidRDefault="0027599D">
      <w:pPr>
        <w:pStyle w:val="HD"/>
      </w:pPr>
      <w:r>
        <w:rPr>
          <w:rFonts w:hint="eastAsia"/>
        </w:rPr>
        <w:t>（</w:t>
      </w:r>
      <w:r>
        <w:rPr>
          <w:rFonts w:hint="eastAsia"/>
        </w:rPr>
        <w:t>7</w:t>
      </w:r>
      <w:r>
        <w:rPr>
          <w:rFonts w:hint="eastAsia"/>
        </w:rPr>
        <w:t>）基金的管理费、托管费和销售服务费等带来的跟踪误差；</w:t>
      </w:r>
    </w:p>
    <w:p w14:paraId="31471D8A" w14:textId="47A725EF" w:rsidR="009C2D86" w:rsidRDefault="0027599D">
      <w:pPr>
        <w:pStyle w:val="HD"/>
      </w:pPr>
      <w:r>
        <w:rPr>
          <w:rFonts w:hint="eastAsia"/>
        </w:rPr>
        <w:t>（</w:t>
      </w:r>
      <w:r>
        <w:rPr>
          <w:rFonts w:hint="eastAsia"/>
        </w:rPr>
        <w:t>8</w:t>
      </w:r>
      <w:r>
        <w:rPr>
          <w:rFonts w:hint="eastAsia"/>
        </w:rPr>
        <w:t>）指数成份股停牌、摘牌，成份股涨、跌停板等因素带来的偏差；</w:t>
      </w:r>
    </w:p>
    <w:p w14:paraId="1044F301" w14:textId="77777777" w:rsidR="009C2D86" w:rsidRDefault="0027599D">
      <w:pPr>
        <w:pStyle w:val="HD"/>
      </w:pPr>
      <w:r>
        <w:rPr>
          <w:rFonts w:hint="eastAsia"/>
        </w:rPr>
        <w:t>（</w:t>
      </w:r>
      <w:r>
        <w:rPr>
          <w:rFonts w:hint="eastAsia"/>
        </w:rPr>
        <w:t>9</w:t>
      </w:r>
      <w:r>
        <w:rPr>
          <w:rFonts w:hint="eastAsia"/>
        </w:rPr>
        <w:t>）基金管理人的买入卖出时机选择；</w:t>
      </w:r>
    </w:p>
    <w:p w14:paraId="402B25DC" w14:textId="77777777" w:rsidR="009C2D86" w:rsidRDefault="0027599D">
      <w:pPr>
        <w:pStyle w:val="HD"/>
      </w:pPr>
      <w:r>
        <w:rPr>
          <w:rFonts w:hint="eastAsia"/>
        </w:rPr>
        <w:t>（</w:t>
      </w:r>
      <w:r>
        <w:rPr>
          <w:rFonts w:hint="eastAsia"/>
        </w:rPr>
        <w:t>10</w:t>
      </w:r>
      <w:r>
        <w:rPr>
          <w:rFonts w:hint="eastAsia"/>
        </w:rPr>
        <w:t>）其他因素带来的偏差。</w:t>
      </w:r>
    </w:p>
    <w:p w14:paraId="5258411D" w14:textId="77777777" w:rsidR="009C2D86" w:rsidRDefault="0027599D">
      <w:pPr>
        <w:pStyle w:val="HD"/>
        <w:adjustRightInd w:val="0"/>
        <w:rPr>
          <w:rFonts w:ascii="宋体" w:hAnsi="宋体"/>
        </w:rPr>
      </w:pPr>
      <w:r>
        <w:rPr>
          <w:rFonts w:hint="eastAsia"/>
        </w:rPr>
        <w:t>4</w:t>
      </w:r>
      <w:r>
        <w:rPr>
          <w:rFonts w:hint="eastAsia"/>
        </w:rPr>
        <w:t>、</w:t>
      </w:r>
      <w:r>
        <w:rPr>
          <w:rFonts w:ascii="宋体" w:hAnsi="宋体" w:hint="eastAsia"/>
        </w:rPr>
        <w:t>投资于目标ETF带来的风险</w:t>
      </w:r>
    </w:p>
    <w:p w14:paraId="1EC6C75C" w14:textId="77777777" w:rsidR="009C2D86" w:rsidRDefault="0027599D">
      <w:pPr>
        <w:adjustRightInd w:val="0"/>
        <w:snapToGrid w:val="0"/>
        <w:spacing w:line="360" w:lineRule="auto"/>
        <w:ind w:firstLine="420"/>
        <w:rPr>
          <w:rFonts w:ascii="宋体" w:hAnsi="宋体"/>
        </w:rPr>
      </w:pPr>
      <w:r>
        <w:rPr>
          <w:rFonts w:ascii="宋体" w:hAnsi="宋体" w:hint="eastAsia"/>
        </w:rPr>
        <w:t>由于主要投资于目标ETF，所以本基金会面临诸如目标ETF的管理风险与操作风险、目标ETF基金份额二级市场交易价格波动风险和折溢价的风险、目标ETF的技术风险等风险。</w:t>
      </w:r>
    </w:p>
    <w:p w14:paraId="4ADAD562" w14:textId="77777777" w:rsidR="009C2D86" w:rsidRDefault="0027599D">
      <w:pPr>
        <w:adjustRightInd w:val="0"/>
        <w:snapToGrid w:val="0"/>
        <w:spacing w:line="360" w:lineRule="auto"/>
        <w:ind w:firstLine="420"/>
        <w:rPr>
          <w:rFonts w:ascii="宋体" w:hAnsi="宋体"/>
        </w:rPr>
      </w:pPr>
      <w:r>
        <w:rPr>
          <w:rFonts w:ascii="宋体" w:hAnsi="宋体" w:hint="eastAsia"/>
        </w:rPr>
        <w:t>5、基金投资组合收益率与业绩比较基准收益率偏离的风险</w:t>
      </w:r>
    </w:p>
    <w:p w14:paraId="4838FCF3" w14:textId="77777777" w:rsidR="009C2D86" w:rsidRDefault="0027599D">
      <w:pPr>
        <w:adjustRightInd w:val="0"/>
        <w:snapToGrid w:val="0"/>
        <w:spacing w:line="360" w:lineRule="auto"/>
        <w:ind w:firstLine="420"/>
        <w:rPr>
          <w:rFonts w:ascii="宋体" w:hAnsi="宋体"/>
        </w:rPr>
      </w:pPr>
      <w:r>
        <w:rPr>
          <w:rFonts w:ascii="宋体" w:hAnsi="宋体"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14:paraId="4D4CC2C7" w14:textId="77777777" w:rsidR="009C2D86" w:rsidRDefault="0027599D">
      <w:pPr>
        <w:adjustRightInd w:val="0"/>
        <w:snapToGrid w:val="0"/>
        <w:spacing w:line="360" w:lineRule="auto"/>
        <w:ind w:firstLine="420"/>
        <w:rPr>
          <w:rFonts w:ascii="宋体" w:hAnsi="宋体"/>
        </w:rPr>
      </w:pPr>
      <w:r>
        <w:rPr>
          <w:rFonts w:ascii="宋体" w:hAnsi="宋体" w:hint="eastAsia"/>
        </w:rPr>
        <w:t>6、投资于存托凭证的风险</w:t>
      </w:r>
    </w:p>
    <w:p w14:paraId="14D93798" w14:textId="77777777" w:rsidR="009C2D86" w:rsidRDefault="0027599D">
      <w:pPr>
        <w:adjustRightInd w:val="0"/>
        <w:snapToGrid w:val="0"/>
        <w:spacing w:line="360" w:lineRule="auto"/>
        <w:ind w:firstLine="420"/>
        <w:rPr>
          <w:rFonts w:ascii="宋体" w:hAnsi="宋体"/>
        </w:rPr>
      </w:pPr>
      <w:r>
        <w:rPr>
          <w:rFonts w:ascii="宋体" w:hAnsi="宋体"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6C3679E3" w14:textId="77777777" w:rsidR="009C2D86" w:rsidRDefault="0027599D">
      <w:pPr>
        <w:adjustRightInd w:val="0"/>
        <w:snapToGrid w:val="0"/>
        <w:spacing w:line="360" w:lineRule="auto"/>
        <w:ind w:firstLine="420"/>
        <w:rPr>
          <w:rFonts w:ascii="宋体" w:hAnsi="宋体"/>
        </w:rPr>
      </w:pPr>
      <w:r>
        <w:rPr>
          <w:rFonts w:ascii="宋体" w:hAnsi="宋体" w:hint="eastAsia"/>
        </w:rPr>
        <w:t>但基金资产并非必然参与存托凭证的投资，基金可根据投资策略需要或不同市场环境的变化，选择是否采用存托凭证投资策略。</w:t>
      </w:r>
    </w:p>
    <w:p w14:paraId="00EEF819" w14:textId="77777777" w:rsidR="009C2D86" w:rsidRDefault="0027599D">
      <w:pPr>
        <w:adjustRightInd w:val="0"/>
        <w:snapToGrid w:val="0"/>
        <w:spacing w:line="360" w:lineRule="auto"/>
        <w:ind w:firstLine="420"/>
        <w:rPr>
          <w:rFonts w:ascii="宋体" w:hAnsi="宋体"/>
        </w:rPr>
      </w:pPr>
      <w:r>
        <w:rPr>
          <w:rFonts w:ascii="宋体" w:hAnsi="宋体" w:cs="Times New Roman" w:hint="eastAsia"/>
        </w:rPr>
        <w:t>7、</w:t>
      </w:r>
      <w:r>
        <w:rPr>
          <w:rFonts w:ascii="宋体" w:hAnsi="宋体" w:hint="eastAsia"/>
        </w:rPr>
        <w:t>指数编制机构停止服务的风险</w:t>
      </w:r>
    </w:p>
    <w:p w14:paraId="6AB089A8" w14:textId="77777777" w:rsidR="009C2D86" w:rsidRDefault="0027599D">
      <w:pPr>
        <w:pStyle w:val="HD"/>
        <w:rPr>
          <w:rFonts w:ascii="宋体" w:hAnsi="宋体"/>
        </w:rPr>
      </w:pPr>
      <w:r>
        <w:rPr>
          <w:rFonts w:ascii="宋体" w:hAnsi="宋体"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6个月内召集基金份额持有人大会进行表决，基金份额持有人大会未成功召开或就上述事项表决未通过的，基金合同终止。投资人将面临转换运作方式、与其他基金合并或者终止基金合同等风险。</w:t>
      </w:r>
    </w:p>
    <w:p w14:paraId="119DE32D" w14:textId="77777777" w:rsidR="009C2D86" w:rsidRDefault="0027599D">
      <w:pPr>
        <w:pStyle w:val="HD"/>
        <w:rPr>
          <w:rFonts w:ascii="宋体" w:hAnsi="宋体"/>
        </w:rPr>
      </w:pPr>
      <w:r>
        <w:rPr>
          <w:rFonts w:ascii="宋体" w:hAnsi="宋体" w:hint="eastAsia"/>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14:paraId="7120FEED" w14:textId="77777777" w:rsidR="009C2D86" w:rsidRDefault="0027599D">
      <w:pPr>
        <w:pStyle w:val="HD"/>
        <w:rPr>
          <w:rFonts w:ascii="宋体" w:hAnsi="宋体"/>
        </w:rPr>
      </w:pPr>
      <w:r>
        <w:rPr>
          <w:rFonts w:ascii="宋体" w:hAnsi="宋体" w:hint="eastAsia"/>
        </w:rPr>
        <w:t>8、成份股停牌、摘牌的风险</w:t>
      </w:r>
    </w:p>
    <w:p w14:paraId="19E0B22D" w14:textId="77777777" w:rsidR="009C2D86" w:rsidRDefault="0027599D">
      <w:pPr>
        <w:pStyle w:val="HD"/>
        <w:rPr>
          <w:rFonts w:ascii="宋体" w:hAnsi="宋体"/>
        </w:rPr>
      </w:pPr>
      <w:r>
        <w:rPr>
          <w:rFonts w:ascii="宋体" w:hAnsi="宋体"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14:paraId="5C20275C" w14:textId="6C04E138" w:rsidR="009C2D86" w:rsidRDefault="0027599D">
      <w:pPr>
        <w:pStyle w:val="HD"/>
        <w:rPr>
          <w:rFonts w:ascii="宋体"/>
        </w:rPr>
      </w:pPr>
      <w:r>
        <w:rPr>
          <w:rFonts w:ascii="宋体" w:hAnsi="宋体"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w:t>
      </w:r>
      <w:r w:rsidR="00C857D1">
        <w:rPr>
          <w:rFonts w:ascii="宋体" w:hAnsi="宋体" w:hint="eastAsia"/>
        </w:rPr>
        <w:t>股</w:t>
      </w:r>
      <w:r>
        <w:rPr>
          <w:rFonts w:ascii="宋体" w:hAnsi="宋体" w:hint="eastAsia"/>
        </w:rPr>
        <w:t>对本基金基金财产的影响，当基金管理人对该成份股予以调整时也可能产生跟踪偏离度和跟踪误差扩大等风险。</w:t>
      </w:r>
    </w:p>
    <w:p w14:paraId="5892EB68" w14:textId="77777777" w:rsidR="009C2D86" w:rsidRDefault="0027599D">
      <w:pPr>
        <w:pStyle w:val="HD"/>
      </w:pPr>
      <w:r>
        <w:rPr>
          <w:rFonts w:hint="eastAsia"/>
        </w:rPr>
        <w:t>9</w:t>
      </w:r>
      <w:r>
        <w:rPr>
          <w:rFonts w:hint="eastAsia"/>
        </w:rPr>
        <w:t>、投资股指期货的风险</w:t>
      </w:r>
    </w:p>
    <w:p w14:paraId="175DDFB5" w14:textId="77777777" w:rsidR="009C2D86" w:rsidRDefault="0027599D">
      <w:pPr>
        <w:pStyle w:val="HD"/>
        <w:rPr>
          <w:rFonts w:hAnsi="宋体"/>
        </w:rPr>
      </w:pPr>
      <w:r>
        <w:rPr>
          <w:rFonts w:hAnsi="宋体" w:hint="eastAsia"/>
        </w:rPr>
        <w:t>本基金可投资于股指期货，股指期货作为一种金融衍生品，主要存在以下风险：</w:t>
      </w:r>
    </w:p>
    <w:p w14:paraId="075BDDF3"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（1）市场风险：是指由于股指期货价格变动而给投资人带来的风险。</w:t>
      </w:r>
    </w:p>
    <w:p w14:paraId="6A5E79C8"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（2）流动性风险：是指由于股指期货合约无法及时变现所带来的风险。</w:t>
      </w:r>
    </w:p>
    <w:p w14:paraId="4572EAF0"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（3）基差风险：是指股指期货合约价格和标的指数价格之间的价格差的波动所造成的风险。</w:t>
      </w:r>
    </w:p>
    <w:p w14:paraId="64ABC7A3"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（4）保证金风险：是指由于无法及时筹措资金满足建立或者维持股指期货合约头寸所要求的保证金而带来的风险。</w:t>
      </w:r>
      <w:r>
        <w:rPr>
          <w:rFonts w:hAnsi="宋体"/>
          <w:sz w:val="21"/>
          <w:szCs w:val="21"/>
        </w:rPr>
        <w:cr/>
        <w:t xml:space="preserve">    （5）杠杆风险：因股指期货采用保证金交易而存在杠杆，基金财产可能因此产生更大的收益波动。</w:t>
      </w:r>
    </w:p>
    <w:p w14:paraId="2D1698E0"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（6）信用风险：是指期货经纪公司违约而产生损失的风险。</w:t>
      </w:r>
    </w:p>
    <w:p w14:paraId="56F388FD"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（7）操作风险：是指由于内部流程的不完善，业务人员出现差错或者疏漏，或者系统出现故障等原因造成损失的风险。</w:t>
      </w:r>
    </w:p>
    <w:p w14:paraId="57DB33EA"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10、投资股票期权的风险</w:t>
      </w:r>
    </w:p>
    <w:p w14:paraId="0F638854"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股票期权价格主要受到标的资产价格水平、标的资产价格波动率、期权到期时间、市场利率水平等因素的影响。因此，投资股票期权主要存在 Delta 风险、Gamma 风险、Vega 风险、Theta 风险以及 Rho 风险。同时，进行股票期权投资还面临流动性风险、信用风险、操作风险等。</w:t>
      </w:r>
    </w:p>
    <w:p w14:paraId="7871BCB4"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11、本基金投资资产支持证券的风险</w:t>
      </w:r>
    </w:p>
    <w:p w14:paraId="3E613C74"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14:paraId="3358F9BF" w14:textId="77777777" w:rsidR="009C2D86" w:rsidRDefault="0027599D">
      <w:pPr>
        <w:pStyle w:val="34"/>
        <w:snapToGrid w:val="0"/>
        <w:spacing w:line="360" w:lineRule="auto"/>
        <w:ind w:firstLineChars="200" w:firstLine="420"/>
        <w:rPr>
          <w:rFonts w:hAnsi="宋体"/>
          <w:sz w:val="21"/>
          <w:szCs w:val="21"/>
        </w:rPr>
      </w:pPr>
      <w:r>
        <w:rPr>
          <w:rFonts w:hAnsi="宋体"/>
          <w:sz w:val="21"/>
          <w:szCs w:val="21"/>
        </w:rPr>
        <w:t>1</w:t>
      </w:r>
      <w:r>
        <w:rPr>
          <w:rFonts w:hAnsi="宋体" w:hint="eastAsia"/>
          <w:sz w:val="21"/>
          <w:szCs w:val="21"/>
        </w:rPr>
        <w:t>2、本基金投资流通受限证券的风险</w:t>
      </w:r>
    </w:p>
    <w:p w14:paraId="7771D26D"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14:paraId="64A288B8"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13、本基金参与转融通证券出借业务的风险</w:t>
      </w:r>
    </w:p>
    <w:p w14:paraId="4A63F50D"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本基金可根据法律法规和基金合同的约定参与转融通证券出借业务，可能存在转融通业务特有风险，包括但不限于以下风险：</w:t>
      </w:r>
    </w:p>
    <w:p w14:paraId="77BCD760"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（1）流动性风险</w:t>
      </w:r>
    </w:p>
    <w:p w14:paraId="229F6E0B"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面对大额赎回时，可能因证券出借原因发生无法及时变现、支付赎回款项的风险；</w:t>
      </w:r>
    </w:p>
    <w:p w14:paraId="594D72B0"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（2）信用风险</w:t>
      </w:r>
    </w:p>
    <w:p w14:paraId="0B35A9D9"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证券出借对手方可能无法及时归还证券、无法支付相应权益补偿及借券费用的风险；</w:t>
      </w:r>
    </w:p>
    <w:p w14:paraId="24C1B07E"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（3）市场风险</w:t>
      </w:r>
    </w:p>
    <w:p w14:paraId="359C9044"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证券出借后可能面临出借期间无法及时处置证券的风险；</w:t>
      </w:r>
    </w:p>
    <w:p w14:paraId="525746E9"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（4）操作风险</w:t>
      </w:r>
    </w:p>
    <w:p w14:paraId="79483A0C"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由于不完善或有问题的内部操作流程、人员违规或失误、系统故障或外部事件所导致的直接或间接损失的风险。</w:t>
      </w:r>
    </w:p>
    <w:p w14:paraId="62E7E3A8" w14:textId="77777777"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14:paraId="75158343" w14:textId="3C997D28" w:rsidR="009C2D86" w:rsidRDefault="0027599D">
      <w:pPr>
        <w:pStyle w:val="34"/>
        <w:snapToGrid w:val="0"/>
        <w:spacing w:line="360" w:lineRule="auto"/>
        <w:ind w:firstLineChars="200" w:firstLine="420"/>
        <w:rPr>
          <w:rFonts w:hAnsi="宋体"/>
          <w:sz w:val="21"/>
          <w:szCs w:val="21"/>
        </w:rPr>
      </w:pPr>
      <w:r>
        <w:rPr>
          <w:rFonts w:hAnsi="宋体" w:hint="eastAsia"/>
          <w:sz w:val="21"/>
          <w:szCs w:val="21"/>
        </w:rPr>
        <w:t>除上述风险外，本基金参与转融通证券出借业务还应关注外部监管机构或基金管理人要求关注的其他风险。</w:t>
      </w:r>
    </w:p>
    <w:p w14:paraId="0A88598D" w14:textId="77777777" w:rsidR="00AB4C53" w:rsidRPr="00AB4C53" w:rsidRDefault="00AB4C53" w:rsidP="00AB4C53">
      <w:pPr>
        <w:pStyle w:val="34"/>
        <w:snapToGrid w:val="0"/>
        <w:spacing w:line="360" w:lineRule="auto"/>
        <w:ind w:firstLineChars="200" w:firstLine="420"/>
        <w:rPr>
          <w:rFonts w:hAnsi="宋体"/>
          <w:sz w:val="21"/>
          <w:szCs w:val="21"/>
        </w:rPr>
      </w:pPr>
      <w:r w:rsidRPr="00AB4C53">
        <w:rPr>
          <w:rFonts w:hAnsi="宋体" w:hint="eastAsia"/>
          <w:sz w:val="21"/>
          <w:szCs w:val="21"/>
        </w:rPr>
        <w:t>14、投资创业板股票的风险</w:t>
      </w:r>
    </w:p>
    <w:p w14:paraId="2BE02CC6" w14:textId="77777777" w:rsidR="00AB4C53" w:rsidRPr="00AB4C53" w:rsidRDefault="00AB4C53" w:rsidP="00AB4C53">
      <w:pPr>
        <w:pStyle w:val="34"/>
        <w:snapToGrid w:val="0"/>
        <w:spacing w:line="360" w:lineRule="auto"/>
        <w:ind w:firstLineChars="200" w:firstLine="420"/>
        <w:rPr>
          <w:rFonts w:hAnsi="宋体"/>
          <w:sz w:val="21"/>
          <w:szCs w:val="21"/>
        </w:rPr>
      </w:pPr>
      <w:r w:rsidRPr="00AB4C53">
        <w:rPr>
          <w:rFonts w:hAnsi="宋体" w:hint="eastAsia"/>
          <w:sz w:val="21"/>
          <w:szCs w:val="21"/>
        </w:rPr>
        <w:t>（1）退市风险：创业板注册制改革后，创业板的退市标准将比A股主板更加严格，且不设置暂停上市、恢复上市和重新上市等环节，因此上市公司退市风险更大，可能给基金净值带来不利影响。</w:t>
      </w:r>
    </w:p>
    <w:p w14:paraId="67633A2D" w14:textId="52226465" w:rsidR="00AB4C53" w:rsidRPr="00AB4C53" w:rsidRDefault="00AB4C53" w:rsidP="00AB4C53">
      <w:pPr>
        <w:pStyle w:val="34"/>
        <w:snapToGrid w:val="0"/>
        <w:spacing w:line="360" w:lineRule="auto"/>
        <w:ind w:firstLineChars="200" w:firstLine="420"/>
        <w:rPr>
          <w:rFonts w:hAnsi="宋体"/>
          <w:sz w:val="21"/>
          <w:szCs w:val="21"/>
        </w:rPr>
      </w:pPr>
      <w:r w:rsidRPr="00AB4C53">
        <w:rPr>
          <w:rFonts w:hAnsi="宋体" w:hint="eastAsia"/>
          <w:sz w:val="21"/>
          <w:szCs w:val="21"/>
        </w:rPr>
        <w:t>（2）股价波动风险。创业板注册制改革后，创业板股票价格涨跌幅限制将调整为20%，涨跌幅限制大于A股主板，可能给基金净值带来较大的波动风险。</w:t>
      </w:r>
    </w:p>
    <w:p w14:paraId="55599C5F" w14:textId="77777777" w:rsidR="009C2D86" w:rsidRDefault="009C2D86">
      <w:pPr>
        <w:pStyle w:val="HD"/>
        <w:rPr>
          <w:rFonts w:ascii="宋体"/>
        </w:rPr>
      </w:pPr>
    </w:p>
    <w:p w14:paraId="69D0CC3D" w14:textId="77777777" w:rsidR="009C2D86" w:rsidRDefault="0027599D">
      <w:pPr>
        <w:pStyle w:val="HD"/>
      </w:pPr>
      <w:r>
        <w:rPr>
          <w:rFonts w:hint="eastAsia"/>
        </w:rPr>
        <w:t>五、其他风险</w:t>
      </w:r>
    </w:p>
    <w:p w14:paraId="0A38374D" w14:textId="77777777" w:rsidR="009C2D86" w:rsidRDefault="0027599D">
      <w:pPr>
        <w:pStyle w:val="HD"/>
      </w:pPr>
      <w:r>
        <w:t>1</w:t>
      </w:r>
      <w:r>
        <w:rPr>
          <w:rFonts w:hint="eastAsia"/>
        </w:rPr>
        <w:t>、因技术因素而产生的风险，如电脑系统不可靠产生的风险；</w:t>
      </w:r>
    </w:p>
    <w:p w14:paraId="29AE311B" w14:textId="77777777" w:rsidR="009C2D86" w:rsidRDefault="0027599D">
      <w:pPr>
        <w:pStyle w:val="HD"/>
      </w:pPr>
      <w:r>
        <w:t>2</w:t>
      </w:r>
      <w:r>
        <w:rPr>
          <w:rFonts w:hint="eastAsia"/>
        </w:rPr>
        <w:t>、因业务快速发展而在制度建设、人员配备、内控制度建立等不完善而产生的风险；</w:t>
      </w:r>
    </w:p>
    <w:p w14:paraId="1A9EB220" w14:textId="77777777" w:rsidR="009C2D86" w:rsidRDefault="0027599D">
      <w:pPr>
        <w:pStyle w:val="HD"/>
      </w:pPr>
      <w:r>
        <w:t>3</w:t>
      </w:r>
      <w:r>
        <w:rPr>
          <w:rFonts w:hint="eastAsia"/>
        </w:rPr>
        <w:t>、因人为因素而产生的风险、如内幕交易、欺诈行为等产生的风险；</w:t>
      </w:r>
    </w:p>
    <w:p w14:paraId="55243CE1" w14:textId="77777777" w:rsidR="009C2D86" w:rsidRDefault="0027599D">
      <w:pPr>
        <w:pStyle w:val="HD"/>
      </w:pPr>
      <w:r>
        <w:t>4</w:t>
      </w:r>
      <w:r>
        <w:rPr>
          <w:rFonts w:hint="eastAsia"/>
        </w:rPr>
        <w:t>、对主要业务人员如基金经理的依赖而可能产生的风险；</w:t>
      </w:r>
    </w:p>
    <w:p w14:paraId="6A4079F9" w14:textId="77777777" w:rsidR="009C2D86" w:rsidRDefault="0027599D">
      <w:pPr>
        <w:pStyle w:val="HD"/>
      </w:pPr>
      <w:r>
        <w:t>5</w:t>
      </w:r>
      <w:r>
        <w:rPr>
          <w:rFonts w:hint="eastAsia"/>
        </w:rPr>
        <w:t>、因业务竞争压力可能产生的风险；</w:t>
      </w:r>
    </w:p>
    <w:p w14:paraId="4694376C" w14:textId="77777777" w:rsidR="009C2D86" w:rsidRDefault="0027599D">
      <w:pPr>
        <w:pStyle w:val="HD"/>
      </w:pPr>
      <w:r>
        <w:t>6</w:t>
      </w:r>
      <w:r>
        <w:rPr>
          <w:rFonts w:hint="eastAsia"/>
        </w:rPr>
        <w:t>、不可抗力可能导致基金资产的损失，影响基金收益水平，从而带来风险；</w:t>
      </w:r>
    </w:p>
    <w:p w14:paraId="3F1F0EA3" w14:textId="77777777" w:rsidR="009C2D86" w:rsidRDefault="0027599D">
      <w:pPr>
        <w:pStyle w:val="HD"/>
      </w:pPr>
      <w:r>
        <w:t>7</w:t>
      </w:r>
      <w:r>
        <w:rPr>
          <w:rFonts w:hint="eastAsia"/>
        </w:rPr>
        <w:t>、其他意外导致的风险。</w:t>
      </w:r>
    </w:p>
    <w:p w14:paraId="25816C57" w14:textId="77777777" w:rsidR="009C2D86" w:rsidRDefault="009C2D86">
      <w:pPr>
        <w:pStyle w:val="HD"/>
      </w:pPr>
    </w:p>
    <w:p w14:paraId="7126195F" w14:textId="77777777" w:rsidR="009C2D86" w:rsidRDefault="0027599D">
      <w:pPr>
        <w:pStyle w:val="HD"/>
      </w:pPr>
      <w:r>
        <w:rPr>
          <w:rFonts w:hint="eastAsia"/>
        </w:rPr>
        <w:t>六、本基金法律文件风险收益特征表述与销售机构基金风险评价、销售机构之间的基金风险评价可能不一致的风险</w:t>
      </w:r>
    </w:p>
    <w:p w14:paraId="5DA8548F" w14:textId="77777777" w:rsidR="009C2D86" w:rsidRDefault="0027599D">
      <w:pPr>
        <w:pStyle w:val="HD"/>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14:paraId="1DC0E651" w14:textId="77777777" w:rsidR="009C2D86" w:rsidRDefault="009C2D86">
      <w:pPr>
        <w:pStyle w:val="HD"/>
      </w:pPr>
    </w:p>
    <w:p w14:paraId="0C506847" w14:textId="77777777" w:rsidR="009C2D86" w:rsidRDefault="0027599D">
      <w:pPr>
        <w:pStyle w:val="HD"/>
      </w:pPr>
      <w:r>
        <w:rPr>
          <w:rFonts w:hint="eastAsia"/>
        </w:rPr>
        <w:t>七、实施侧袋机制对投资者的影响</w:t>
      </w:r>
    </w:p>
    <w:p w14:paraId="03BD1DC6" w14:textId="77777777" w:rsidR="009C2D86" w:rsidRDefault="0027599D">
      <w:pPr>
        <w:pStyle w:val="HD"/>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092BEE54" w14:textId="77777777" w:rsidR="009C2D86" w:rsidRDefault="0027599D">
      <w:pPr>
        <w:pStyle w:val="HD"/>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14:paraId="7562C53C" w14:textId="77777777" w:rsidR="009C2D86" w:rsidRDefault="0027599D">
      <w:pPr>
        <w:pStyle w:val="HD"/>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14:paraId="69357BE4" w14:textId="77777777" w:rsidR="009C2D86" w:rsidRDefault="0027599D">
      <w:pPr>
        <w:pStyle w:val="HD"/>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14:paraId="43DEC5A6" w14:textId="77777777" w:rsidR="009C2D86" w:rsidRDefault="0027599D">
      <w:pPr>
        <w:pStyle w:val="HD"/>
      </w:pPr>
      <w:r>
        <w:br w:type="page"/>
      </w:r>
    </w:p>
    <w:p w14:paraId="545159C1"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62" w:name="_Toc360794419"/>
      <w:bookmarkStart w:id="163" w:name="_Toc362533466"/>
      <w:bookmarkStart w:id="164" w:name="_Toc360793509"/>
      <w:bookmarkStart w:id="165" w:name="_Toc360794527"/>
      <w:bookmarkStart w:id="166" w:name="_Toc48900085"/>
      <w:bookmarkStart w:id="167" w:name="_Toc360793861"/>
      <w:bookmarkStart w:id="168" w:name="_Toc360794111"/>
      <w:bookmarkStart w:id="169" w:name="_Toc362455194"/>
      <w:r>
        <w:rPr>
          <w:rFonts w:ascii="宋体" w:eastAsia="宋体" w:hAnsi="宋体" w:cs="宋体" w:hint="eastAsia"/>
        </w:rPr>
        <w:t>基金合同的变更、终止和基金财产的清算</w:t>
      </w:r>
      <w:bookmarkEnd w:id="162"/>
      <w:bookmarkEnd w:id="163"/>
      <w:bookmarkEnd w:id="164"/>
      <w:bookmarkEnd w:id="165"/>
      <w:bookmarkEnd w:id="166"/>
      <w:bookmarkEnd w:id="167"/>
      <w:bookmarkEnd w:id="168"/>
      <w:bookmarkEnd w:id="169"/>
    </w:p>
    <w:p w14:paraId="4FED22E5" w14:textId="77777777" w:rsidR="009C2D86" w:rsidRDefault="009C2D86">
      <w:pPr>
        <w:snapToGrid w:val="0"/>
        <w:spacing w:line="360" w:lineRule="auto"/>
        <w:ind w:firstLineChars="200" w:firstLine="420"/>
        <w:rPr>
          <w:rFonts w:ascii="宋体" w:cs="Times New Roman"/>
        </w:rPr>
      </w:pPr>
    </w:p>
    <w:p w14:paraId="5760869A" w14:textId="77777777" w:rsidR="009C2D86" w:rsidRDefault="0027599D">
      <w:pPr>
        <w:numPr>
          <w:ilvl w:val="12"/>
          <w:numId w:val="0"/>
        </w:numPr>
        <w:snapToGrid w:val="0"/>
        <w:spacing w:line="360" w:lineRule="auto"/>
        <w:ind w:firstLineChars="200" w:firstLine="420"/>
        <w:rPr>
          <w:rFonts w:ascii="Times New Roman" w:hAnsi="Times New Roman" w:cs="Times New Roman"/>
        </w:rPr>
      </w:pPr>
      <w:bookmarkStart w:id="170" w:name="_Toc79392639"/>
      <w:r>
        <w:rPr>
          <w:rFonts w:ascii="Times New Roman" w:hAnsi="Times New Roman" w:cs="Times New Roman" w:hint="eastAsia"/>
        </w:rPr>
        <w:t>一、《基金合同》的变更</w:t>
      </w:r>
    </w:p>
    <w:p w14:paraId="2D18B2D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变更基金合同涉及法律法规规定或基金合同约定应经基金份额持有人大会决议通过的事项的，应召开基金份额持有人大会决议通过。对于法律法规规定和基金合同约定可不经基金份额持有人大会决议通过的事项，经履行适当程序，由基金管理人和基金托管人同意后变更并公告。</w:t>
      </w:r>
    </w:p>
    <w:p w14:paraId="279297DC"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、关于《基金合同》变更的基金份额持有人大会决议自生效后方可执行，自决议生效后两日内在规定媒介公告。</w:t>
      </w:r>
    </w:p>
    <w:p w14:paraId="3DD8A904"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二、《基金合同》的终止事由</w:t>
      </w:r>
    </w:p>
    <w:p w14:paraId="3BD8CCF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有下列情形之一的，经履行相关程序后，《基金合同》应当终止：</w:t>
      </w:r>
    </w:p>
    <w:p w14:paraId="073C7A73"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、基金份额持有人大会决定终止的；</w:t>
      </w:r>
    </w:p>
    <w:p w14:paraId="36324945"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、基金管理人、基金托管人职责终止，在</w:t>
      </w:r>
      <w:r>
        <w:rPr>
          <w:rFonts w:ascii="Times New Roman" w:hAnsi="Times New Roman" w:cs="Times New Roman" w:hint="eastAsia"/>
        </w:rPr>
        <w:t>6</w:t>
      </w:r>
      <w:r>
        <w:rPr>
          <w:rFonts w:ascii="Times New Roman" w:hAnsi="Times New Roman" w:cs="Times New Roman" w:hint="eastAsia"/>
        </w:rPr>
        <w:t>个月内没有新基金管理人、新基金托管人承接的；</w:t>
      </w:r>
    </w:p>
    <w:p w14:paraId="4231BE73"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09640837"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、《基金合同》约定的其他情形；</w:t>
      </w:r>
    </w:p>
    <w:p w14:paraId="5D9BCF9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rPr>
        <w:t>5</w:t>
      </w:r>
      <w:r>
        <w:rPr>
          <w:rFonts w:ascii="Times New Roman" w:hAnsi="Times New Roman" w:cs="Times New Roman" w:hint="eastAsia"/>
        </w:rPr>
        <w:t>、相关法律法规和中国证监会规定的其他情况。</w:t>
      </w:r>
    </w:p>
    <w:p w14:paraId="3D76C03F"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三、基金财产的清算</w:t>
      </w:r>
    </w:p>
    <w:p w14:paraId="0FBA112C"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、基金财产清算小组：自出现《基金合同》终止事由之日起</w:t>
      </w:r>
      <w:r>
        <w:rPr>
          <w:rFonts w:ascii="Times New Roman" w:hAnsi="Times New Roman" w:cs="Times New Roman" w:hint="eastAsia"/>
        </w:rPr>
        <w:t>30</w:t>
      </w:r>
      <w:r>
        <w:rPr>
          <w:rFonts w:ascii="Times New Roman" w:hAnsi="Times New Roman" w:cs="Times New Roman" w:hint="eastAsia"/>
        </w:rPr>
        <w:t>个工作日内成立清算小组，基金管理人组织基金财产清算小组并在中国证监会的监督下进行基金清算。</w:t>
      </w:r>
    </w:p>
    <w:p w14:paraId="7031881E"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、基金财产清算小组组成：基金财产清算小组成员由基金管理人、基金托管人、</w:t>
      </w:r>
      <w:r>
        <w:rPr>
          <w:rFonts w:ascii="Times New Roman" w:hAnsi="Times New Roman" w:cs="Times New Roman" w:hint="eastAsia"/>
          <w:bCs/>
        </w:rPr>
        <w:t>符合《证券法》规定的</w:t>
      </w:r>
      <w:r>
        <w:rPr>
          <w:rFonts w:ascii="Times New Roman" w:hAnsi="Times New Roman" w:cs="Times New Roman" w:hint="eastAsia"/>
        </w:rPr>
        <w:t>注册会计师、律师以及中国证监会指定的人员组成。基金财产清算小组可以聘用必要的工作人员。</w:t>
      </w:r>
    </w:p>
    <w:p w14:paraId="373FDD83"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、基金财产清算小组职责：基金财产清算小组负责基金财产的保管、清理、估价、变现和分配。基金财产清算小组可以依法进行必要的民事活动。</w:t>
      </w:r>
    </w:p>
    <w:p w14:paraId="2821B2BF"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、基金财产清算程序：</w:t>
      </w:r>
    </w:p>
    <w:p w14:paraId="2FD32028"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1</w:t>
      </w:r>
      <w:r>
        <w:rPr>
          <w:rFonts w:ascii="Times New Roman" w:hAnsi="Times New Roman" w:cs="Times New Roman" w:hint="eastAsia"/>
        </w:rPr>
        <w:t>）《基金合同》终止情形出现时，由基金财产清算小组统一接管基金；</w:t>
      </w:r>
    </w:p>
    <w:p w14:paraId="51855F0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2</w:t>
      </w:r>
      <w:r>
        <w:rPr>
          <w:rFonts w:ascii="Times New Roman" w:hAnsi="Times New Roman" w:cs="Times New Roman" w:hint="eastAsia"/>
        </w:rPr>
        <w:t>）对基金财产和债权债务进行清理和确认；</w:t>
      </w:r>
    </w:p>
    <w:p w14:paraId="049C11E6"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3</w:t>
      </w:r>
      <w:r>
        <w:rPr>
          <w:rFonts w:ascii="Times New Roman" w:hAnsi="Times New Roman" w:cs="Times New Roman" w:hint="eastAsia"/>
        </w:rPr>
        <w:t>）对基金财产进行估值和变现；</w:t>
      </w:r>
    </w:p>
    <w:p w14:paraId="7267636B"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4</w:t>
      </w:r>
      <w:r>
        <w:rPr>
          <w:rFonts w:ascii="Times New Roman" w:hAnsi="Times New Roman" w:cs="Times New Roman" w:hint="eastAsia"/>
        </w:rPr>
        <w:t>）制作清算报告；</w:t>
      </w:r>
    </w:p>
    <w:p w14:paraId="035DE8ED"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5</w:t>
      </w:r>
      <w:r>
        <w:rPr>
          <w:rFonts w:ascii="Times New Roman" w:hAnsi="Times New Roman" w:cs="Times New Roman" w:hint="eastAsia"/>
        </w:rPr>
        <w:t>）聘请符合《证券法》规定的会计师事务所对清算报告进行外部审计，聘请律师事务所对清算报告出具法律意见书；</w:t>
      </w:r>
    </w:p>
    <w:p w14:paraId="44BD72B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6</w:t>
      </w:r>
      <w:r>
        <w:rPr>
          <w:rFonts w:ascii="Times New Roman" w:hAnsi="Times New Roman" w:cs="Times New Roman" w:hint="eastAsia"/>
        </w:rPr>
        <w:t>）将清算报告报中国证监会备案并公告；</w:t>
      </w:r>
    </w:p>
    <w:p w14:paraId="32E59252"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rPr>
        <w:t>7</w:t>
      </w:r>
      <w:r>
        <w:rPr>
          <w:rFonts w:ascii="Times New Roman" w:hAnsi="Times New Roman" w:cs="Times New Roman" w:hint="eastAsia"/>
        </w:rPr>
        <w:t>）对基金剩余财产进行分配。</w:t>
      </w:r>
    </w:p>
    <w:p w14:paraId="2C2B1919"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、基金财产清算的期限为</w:t>
      </w:r>
      <w:r>
        <w:rPr>
          <w:rFonts w:ascii="Times New Roman" w:hAnsi="Times New Roman" w:cs="Times New Roman" w:hint="eastAsia"/>
        </w:rPr>
        <w:t>6</w:t>
      </w:r>
      <w:r>
        <w:rPr>
          <w:rFonts w:ascii="Times New Roman" w:hAnsi="Times New Roman" w:cs="Times New Roman" w:hint="eastAsia"/>
        </w:rPr>
        <w:t>个月，但因本基金所持证券的流动性受到限制而不能及时变现的，清算期限相应顺延。</w:t>
      </w:r>
    </w:p>
    <w:p w14:paraId="0C6EAE99"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6</w:t>
      </w:r>
      <w:r>
        <w:rPr>
          <w:rFonts w:ascii="Times New Roman" w:hAnsi="Times New Roman" w:cs="Times New Roman" w:hint="eastAsia"/>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0D2CE73F"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四、清算费用</w:t>
      </w:r>
    </w:p>
    <w:p w14:paraId="0EB01031"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清算费用是指基金财产清算小组在进行基金清算过程中发生的所有合理费用，清算费用由基金财产清算小组优先从基金财产中支付。</w:t>
      </w:r>
    </w:p>
    <w:p w14:paraId="1369D30A"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五、基金财产清算剩余资产的分配</w:t>
      </w:r>
    </w:p>
    <w:p w14:paraId="5DD1D2B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558CA2A5"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六、基金财产清算的公告</w:t>
      </w:r>
    </w:p>
    <w:p w14:paraId="0F4885B0"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ascii="Times New Roman" w:hAnsi="Times New Roman" w:cs="Times New Roman" w:hint="eastAsia"/>
        </w:rPr>
        <w:t>5</w:t>
      </w:r>
      <w:r>
        <w:rPr>
          <w:rFonts w:ascii="Times New Roman" w:hAnsi="Times New Roman" w:cs="Times New Roman" w:hint="eastAsia"/>
        </w:rPr>
        <w:t>个工作日内由基金财产清算小组进行公告，基金财产清算小组应当将清算报告登载在规定网站上，并将清算报告提示性公告登载在规定报刊上。</w:t>
      </w:r>
    </w:p>
    <w:p w14:paraId="6C3D5A12"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七、基金财产清算账册及文件的保存</w:t>
      </w:r>
    </w:p>
    <w:p w14:paraId="08B55A08" w14:textId="77777777" w:rsidR="009C2D86" w:rsidRDefault="0027599D">
      <w:pPr>
        <w:numPr>
          <w:ilvl w:val="12"/>
          <w:numId w:val="0"/>
        </w:numPr>
        <w:snapToGrid w:val="0"/>
        <w:spacing w:line="360" w:lineRule="auto"/>
        <w:ind w:firstLineChars="200" w:firstLine="420"/>
        <w:rPr>
          <w:rFonts w:ascii="Times New Roman" w:hAnsi="Times New Roman" w:cs="Times New Roman"/>
        </w:rPr>
      </w:pPr>
      <w:r>
        <w:rPr>
          <w:rFonts w:ascii="Times New Roman" w:hAnsi="Times New Roman" w:cs="Times New Roman" w:hint="eastAsia"/>
        </w:rPr>
        <w:t>基金财产清算账册及有关文件由基金托管人保存不少于法律法规规定的最低年限。</w:t>
      </w:r>
    </w:p>
    <w:p w14:paraId="304B9131" w14:textId="77777777" w:rsidR="009C2D86" w:rsidRDefault="009C2D86">
      <w:pPr>
        <w:numPr>
          <w:ilvl w:val="12"/>
          <w:numId w:val="0"/>
        </w:numPr>
        <w:snapToGrid w:val="0"/>
        <w:spacing w:line="360" w:lineRule="auto"/>
        <w:ind w:firstLineChars="200" w:firstLine="420"/>
        <w:rPr>
          <w:rFonts w:ascii="Times New Roman" w:hAnsi="Times New Roman" w:cs="Times New Roman"/>
        </w:rPr>
      </w:pPr>
    </w:p>
    <w:bookmarkEnd w:id="170"/>
    <w:p w14:paraId="5E0DC5B0" w14:textId="77777777" w:rsidR="009C2D86" w:rsidRDefault="009C2D86">
      <w:pPr>
        <w:snapToGrid w:val="0"/>
        <w:spacing w:line="360" w:lineRule="auto"/>
        <w:ind w:firstLineChars="200" w:firstLine="420"/>
        <w:rPr>
          <w:rFonts w:ascii="宋体" w:cs="Times New Roman"/>
        </w:rPr>
      </w:pPr>
    </w:p>
    <w:p w14:paraId="5165D651" w14:textId="77777777" w:rsidR="009C2D86" w:rsidRDefault="009C2D86">
      <w:pPr>
        <w:snapToGrid w:val="0"/>
        <w:spacing w:line="360" w:lineRule="auto"/>
        <w:ind w:firstLineChars="200" w:firstLine="420"/>
        <w:rPr>
          <w:rFonts w:ascii="宋体" w:cs="Times New Roman"/>
        </w:rPr>
      </w:pPr>
    </w:p>
    <w:p w14:paraId="4ADBB20C" w14:textId="77777777" w:rsidR="009C2D86" w:rsidRDefault="0027599D">
      <w:pPr>
        <w:snapToGrid w:val="0"/>
        <w:spacing w:line="360" w:lineRule="auto"/>
        <w:ind w:firstLineChars="200" w:firstLine="480"/>
        <w:rPr>
          <w:rFonts w:ascii="宋体" w:cs="Times New Roman"/>
          <w:color w:val="000000"/>
        </w:rPr>
      </w:pPr>
      <w:r>
        <w:rPr>
          <w:rFonts w:ascii="宋体" w:cs="Times New Roman"/>
          <w:color w:val="000000"/>
          <w:kern w:val="0"/>
          <w:sz w:val="24"/>
          <w:szCs w:val="24"/>
        </w:rPr>
        <w:br w:type="page"/>
      </w:r>
    </w:p>
    <w:p w14:paraId="694A6148" w14:textId="6BF0CF9E" w:rsidR="009C2D86" w:rsidRDefault="0027599D">
      <w:pPr>
        <w:pStyle w:val="21"/>
        <w:numPr>
          <w:ilvl w:val="0"/>
          <w:numId w:val="22"/>
        </w:numPr>
        <w:snapToGrid w:val="0"/>
        <w:spacing w:before="0" w:after="0" w:line="360" w:lineRule="auto"/>
        <w:jc w:val="left"/>
        <w:rPr>
          <w:rFonts w:ascii="宋体" w:eastAsia="宋体" w:hAnsi="宋体" w:cs="宋体"/>
        </w:rPr>
      </w:pPr>
      <w:bookmarkStart w:id="171" w:name="_Toc48900086"/>
      <w:bookmarkStart w:id="172" w:name="_Toc360793510"/>
      <w:bookmarkStart w:id="173" w:name="_Toc360794420"/>
      <w:bookmarkStart w:id="174" w:name="_Toc360794112"/>
      <w:bookmarkStart w:id="175" w:name="_Toc360794528"/>
      <w:bookmarkStart w:id="176" w:name="_Toc362533467"/>
      <w:bookmarkStart w:id="177" w:name="_Toc360793862"/>
      <w:bookmarkStart w:id="178" w:name="_Toc362455195"/>
      <w:r>
        <w:rPr>
          <w:rFonts w:ascii="宋体" w:eastAsia="宋体" w:hAnsi="宋体" w:cs="宋体" w:hint="eastAsia"/>
        </w:rPr>
        <w:t>基金合同的内容摘要</w:t>
      </w:r>
      <w:bookmarkEnd w:id="171"/>
    </w:p>
    <w:p w14:paraId="1059D511" w14:textId="20E61749" w:rsidR="00E449E6" w:rsidRDefault="00E449E6" w:rsidP="004F5A23"/>
    <w:p w14:paraId="0C6B1F7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一、基金合同当事人的权利、义务</w:t>
      </w:r>
    </w:p>
    <w:p w14:paraId="04A2A7F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（一）基金管理人的权利与义务</w:t>
      </w:r>
    </w:p>
    <w:p w14:paraId="6F128E1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1、根据《基金法》、《运作办法》及其他有关规定，基金管理人的权利包括但不限于：</w:t>
      </w:r>
    </w:p>
    <w:p w14:paraId="35E2D12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（1）依法募集资金；</w:t>
      </w:r>
    </w:p>
    <w:p w14:paraId="597E2D6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（2）自《基金合同》生效之日起，根据法律法规和《基金合同》独立运用并管理基金财产；</w:t>
      </w:r>
    </w:p>
    <w:p w14:paraId="58A1257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（3）依照《基金合同》收取基金管理费以及法律法规规定或中国证监会批准的其他费用；</w:t>
      </w:r>
    </w:p>
    <w:p w14:paraId="3926CD3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（4）销售基金份额；</w:t>
      </w:r>
    </w:p>
    <w:p w14:paraId="209AF33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（5）按照规定召集基金份额持有人大会；</w:t>
      </w:r>
    </w:p>
    <w:p w14:paraId="737289E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（6）依据《基金合同》及有关法律规定监督基金托管人，如认为基金托管人违反了《基金合同》及国家有关法律规定，应呈报中国证监会和其他监管部门，并采取必要措施保护基金投资者的利益；</w:t>
      </w:r>
    </w:p>
    <w:p w14:paraId="0C226BB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（7）在基金托管人更换时，提名新的基金托管人；</w:t>
      </w:r>
    </w:p>
    <w:p w14:paraId="1F8A457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（8）选择、更换基金销售机构，对基金销售机构的相关行为进行监督和处理； </w:t>
      </w:r>
    </w:p>
    <w:p w14:paraId="16968EE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（9）担任或委托其他符合条件的机构担任基金登记机构办理基金登记业务并获得《基金合同》规定的费用； </w:t>
      </w:r>
    </w:p>
    <w:p w14:paraId="28F472F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（10）依据《基金合同》及有关法律规定决定基金收益的分配方案；</w:t>
      </w:r>
      <w:r w:rsidRPr="004F5A23">
        <w:rPr>
          <w:rFonts w:ascii="宋体" w:hAnsi="宋体" w:hint="eastAsia"/>
          <w:bCs/>
        </w:rPr>
        <w:tab/>
      </w:r>
    </w:p>
    <w:p w14:paraId="44EAE85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（11）在《基金合同》约定的范围内，拒绝或暂停受理申购与赎回申请； </w:t>
      </w:r>
    </w:p>
    <w:p w14:paraId="02E0021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（12）依照法律法规为基金的利益对被投资公司行使股东权利，为基金的利益行使因基金财产投资于证券所产生的权利；</w:t>
      </w:r>
      <w:r w:rsidRPr="004F5A23">
        <w:rPr>
          <w:rFonts w:ascii="宋体" w:hAnsi="宋体" w:hint="eastAsia"/>
          <w:bCs/>
        </w:rPr>
        <w:tab/>
      </w:r>
    </w:p>
    <w:p w14:paraId="66BCCD7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（13）在法律法规允许的前提下，为基金的利益依法为基金进行融资融券和转融通证券出借业务； </w:t>
      </w:r>
    </w:p>
    <w:p w14:paraId="74237FB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（14）以基金管理人的名义，代表基金份额持有人的利益行使诉讼权利或者实施其他法律行为；</w:t>
      </w:r>
      <w:r w:rsidRPr="004F5A23">
        <w:rPr>
          <w:rFonts w:ascii="宋体" w:hAnsi="宋体" w:hint="eastAsia"/>
          <w:bCs/>
        </w:rPr>
        <w:tab/>
      </w:r>
    </w:p>
    <w:p w14:paraId="10E84BE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（15）选择、更换律师事务所、会计师事务所、证券/期货经纪商或其他为基金提供服务的外部机构；</w:t>
      </w:r>
      <w:r w:rsidRPr="004F5A23">
        <w:rPr>
          <w:rFonts w:ascii="宋体" w:hAnsi="宋体" w:hint="eastAsia"/>
          <w:bCs/>
        </w:rPr>
        <w:tab/>
      </w:r>
    </w:p>
    <w:p w14:paraId="3AB4B97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（16）在符合有关法律、法规的前提下，制订和调整有关基金认购、申购、赎回、转换、非交易过户、转托管和定投等的业务规则；</w:t>
      </w:r>
    </w:p>
    <w:p w14:paraId="423B7D7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（17）自行或委托第三方机构办理本基金的交易、清算、估值、结算等业务；</w:t>
      </w:r>
    </w:p>
    <w:p w14:paraId="7F4A294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（18）经与基金托管人协商一致，代表基金份额持有人的利益行使因基金财产投资于目标ETF所产生的权利；</w:t>
      </w:r>
    </w:p>
    <w:p w14:paraId="5B1DA4B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（19）法律法规及中国证监会规定的和《基金合同》约定的其他权利。</w:t>
      </w:r>
    </w:p>
    <w:p w14:paraId="1B43DA5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2、根据《基金法》、《运作办法》及其他有关规定，基金管理人的义务包括但不限于：</w:t>
      </w:r>
    </w:p>
    <w:p w14:paraId="151D073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（1）依法募集资金，办理或者委托经中国证监会认定的其他机构代为办理基金份额的发售、申购、赎回和登记事宜；</w:t>
      </w:r>
    </w:p>
    <w:p w14:paraId="15AB86C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（2）办理基金备案手续；</w:t>
      </w:r>
    </w:p>
    <w:p w14:paraId="705D5A8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（3）自《基金合同》生效之日起，以诚实信用、谨慎勤勉的原则管理和运用基金财产；</w:t>
      </w:r>
    </w:p>
    <w:p w14:paraId="4867B52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（4）配备足够的具有专业资格的人员进行基金投资分析、决策，以专业化的经营方式管理和运作基金财产；</w:t>
      </w:r>
    </w:p>
    <w:p w14:paraId="4D9D829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（5）建立健全内部风险控制、监察与稽核、财务管理及人事管理等制度，保证所管理的基金财产和基金管理人的财产相互独立，对所管理的不同基金分别管理，分别记账，进行证券投资；</w:t>
      </w:r>
    </w:p>
    <w:p w14:paraId="2EA7CA8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（6）除依据《基金法》、《基金合同》及其他有关规定外，不得利用基金财产为自己及任何第三人谋取利益，不得委托第三人运作基金财产；</w:t>
      </w:r>
    </w:p>
    <w:p w14:paraId="76105CB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（7）依法接受基金托管人的监督；</w:t>
      </w:r>
    </w:p>
    <w:p w14:paraId="6CC134D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（8）采取适当合理的措施使计算基金份额认购、申购、赎回和注销价格的方法符合《基金合同》等法律文件的规定，按有关规定计算并披露基金净值信息，确定基金份额申购、赎回的价格；</w:t>
      </w:r>
    </w:p>
    <w:p w14:paraId="4B13FE1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（9）进行基金会计核算并编制基金财务会计报告；</w:t>
      </w:r>
    </w:p>
    <w:p w14:paraId="5907427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（10）编制季度报告、中期报告和年度报告；</w:t>
      </w:r>
    </w:p>
    <w:p w14:paraId="068DE37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（11）严格按照《基金法》、《基金合同》及其他有关规定，履行信息披露及报告义务；</w:t>
      </w:r>
    </w:p>
    <w:p w14:paraId="0C5B247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12）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1F92CED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（13）按《基金合同》的约定确定基金收益分配方案，及时向基金份额持有人分配基金收益；</w:t>
      </w:r>
    </w:p>
    <w:p w14:paraId="5E15A6E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（14）按规定受理申购与赎回申请，及时、足额支付赎回款项；</w:t>
      </w:r>
    </w:p>
    <w:p w14:paraId="7FB0F0D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（15）依据《基金法》、《基金合同》及其他有关规定召集基金份额持有人大会或配合基金托管人、基金份额持有人依法召集基金份额持有人大会；</w:t>
      </w:r>
    </w:p>
    <w:p w14:paraId="42144AC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（16）按规定保存基金财产管理业务活动的会计账册、报表、记录和其他相关资料不低于法律法规规定的最低期限；</w:t>
      </w:r>
    </w:p>
    <w:p w14:paraId="1F85E36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E71ACD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（18）组织并参加基金财产清算小组，参与基金财产的保管、清理、估价、变现和分配；</w:t>
      </w:r>
    </w:p>
    <w:p w14:paraId="1A00F72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（19）面临解散、依法被撤销或者被依法宣告破产时，及时报告中国证监会并通知基金托管人；</w:t>
      </w:r>
    </w:p>
    <w:p w14:paraId="3216191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（20）因违反《基金合同》导致基金财产的损失或损害基金份额持有人合法权益时，应当承担赔偿责任，其赔偿责任不因其退任而免除；</w:t>
      </w:r>
    </w:p>
    <w:p w14:paraId="14CD483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（21）监督基金托管人按法律法规和《基金合同》规定履行自己的义务，基金托管人违反《基金合同》造成基金财产损失时，基金管理人应为基金份额持有人利益向基金托管人追偿；</w:t>
      </w:r>
    </w:p>
    <w:p w14:paraId="225957E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（22）当基金管理人将其义务委托第三方处理时，应当对第三方处理有关基金事务的行为承担责任；</w:t>
      </w:r>
    </w:p>
    <w:p w14:paraId="588E098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（23）以基金管理人名义，代表基金份额持有人利益行使诉讼权利或实施其他法律行为；</w:t>
      </w:r>
    </w:p>
    <w:p w14:paraId="5C10DE0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（24）基金管理人在募集期间未能达到基金的备案条件，《基金合同》不能生效，基金管理人承担全部募集费用，将已募集资金并加计银行同期活期存款利息在基金募集期结束后30日内退还基金认购人；</w:t>
      </w:r>
    </w:p>
    <w:p w14:paraId="0E23A0A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（25）执行生效的基金份额持有人大会的决议；</w:t>
      </w:r>
    </w:p>
    <w:p w14:paraId="07D6A07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（26）建立并保存基金份额持有人名册；</w:t>
      </w:r>
    </w:p>
    <w:p w14:paraId="4FD632B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（27）法律法规及中国证监会规定的和《基金合同》约定的其他义务。</w:t>
      </w:r>
    </w:p>
    <w:p w14:paraId="6763A51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（二）基金托管人的权利与义务</w:t>
      </w:r>
    </w:p>
    <w:p w14:paraId="74C22A3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1、根据《基金法》、《运作办法》及其他有关规定，基金托管人的权利包括但不限于：</w:t>
      </w:r>
    </w:p>
    <w:p w14:paraId="57D97FC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（1）自《基金合同》生效之日起，依法律法规和《基金合同》的规定安全保管基金财产；</w:t>
      </w:r>
    </w:p>
    <w:p w14:paraId="4E07D76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（2）依《基金合同》约定获得基金托管费以及法律法规规定或监管部门批准的其他费用；</w:t>
      </w:r>
    </w:p>
    <w:p w14:paraId="1DDE4EC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481C88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（4）根据相关市场规则，为基金开设证券账户、资金账户等投资所需账户，为基金办理证券交易资金清算；</w:t>
      </w:r>
    </w:p>
    <w:p w14:paraId="31F74D9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（5）提议召开或召集基金份额持有人大会；</w:t>
      </w:r>
    </w:p>
    <w:p w14:paraId="7767A23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（6）在基金管理人更换时，提名新的基金管理人；</w:t>
      </w:r>
    </w:p>
    <w:p w14:paraId="5DC62EE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（7）法律法规及中国证监会规定的和《基金合同》约定的其他权利。</w:t>
      </w:r>
    </w:p>
    <w:p w14:paraId="1703477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2、根据《基金法》、《运作办法》及其他有关规定，基金托管人的义务包括但不限于：</w:t>
      </w:r>
    </w:p>
    <w:p w14:paraId="73DA56E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（1）以诚实信用、勤勉尽责的原则持有并安全保管基金财产；</w:t>
      </w:r>
    </w:p>
    <w:p w14:paraId="1A43F91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（2）设立专门的基金托管部门，具有符合要求的营业场所，配备足够的、合格的熟悉基金托管业务的专职人员，负责基金财产托管事宜；</w:t>
      </w:r>
    </w:p>
    <w:p w14:paraId="3CB7AAD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D22D35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（4）除依据《基金法》、《基金合同》及其他有关规定外，不得利用基金财产为自己及任何第三人谋取利益，不得委托第三人托管基金财产；</w:t>
      </w:r>
    </w:p>
    <w:p w14:paraId="6C13E3B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（5）保管由基金管理人代表基金签订的与基金有关的重大合同及有关凭证；</w:t>
      </w:r>
    </w:p>
    <w:p w14:paraId="5213B53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（6）按规定开设基金财产的资金账户、证券账户等投资所需账户，按照《基金合同》的约定，根据基金管理人的投资指令，及时办理清算、交割事宜；</w:t>
      </w:r>
    </w:p>
    <w:p w14:paraId="591C528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（7）保守基金商业秘密，除《基金法》、《基金合同》及其他有关规定另有规定外，在基金信息公开披露前予以保密，不得向他人泄露，但依法向监管机构、司法机关及审计、法律等外部专业顾问提供的除外；</w:t>
      </w:r>
    </w:p>
    <w:p w14:paraId="2E95EFF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（8）复核、审查基金管理人计算的基金资产净值、各类基金份额净值、基金份额申购、赎回价格；</w:t>
      </w:r>
    </w:p>
    <w:p w14:paraId="4922923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（9）办理与基金托管业务活动有关的信息披露事项；</w:t>
      </w:r>
    </w:p>
    <w:p w14:paraId="4E4F50F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3E30F6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（11）保存基金托管业务活动的记录、账册、报表和其他相关资料不低于法律法规规定的最低期限；</w:t>
      </w:r>
    </w:p>
    <w:p w14:paraId="48D2577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（12）从基金管理人或其委托的登记机构处接收并保存基金份额持有人名册；</w:t>
      </w:r>
    </w:p>
    <w:p w14:paraId="4872CF9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（13）按规定制作相关账册并与基金管理人核对；</w:t>
      </w:r>
    </w:p>
    <w:p w14:paraId="7792BFC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（14）依据基金管理人的指令或有关规定向基金份额持有人支付基金收益和赎回款项；</w:t>
      </w:r>
    </w:p>
    <w:p w14:paraId="53D3182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（15）依据《基金法》、《基金合同》及其他有关规定，召集基金份额持有人大会或配合基金管理人、基金份额持有人依法召集基金份额持有人大会；</w:t>
      </w:r>
    </w:p>
    <w:p w14:paraId="6453075B" w14:textId="0432A429"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（16）按照法律法规和《基金合同》</w:t>
      </w:r>
      <w:r w:rsidR="000D48C9" w:rsidRPr="000D48C9">
        <w:rPr>
          <w:rFonts w:ascii="宋体" w:hAnsi="宋体" w:hint="eastAsia"/>
          <w:bCs/>
        </w:rPr>
        <w:t>、《托管协议》</w:t>
      </w:r>
      <w:r w:rsidRPr="004F5A23">
        <w:rPr>
          <w:rFonts w:ascii="宋体" w:hAnsi="宋体" w:hint="eastAsia"/>
          <w:bCs/>
        </w:rPr>
        <w:t>的规定监督基金管理人的投资运作；</w:t>
      </w:r>
    </w:p>
    <w:p w14:paraId="604E10D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（17）参加基金财产清算小组，参与基金财产的保管、清理、估价、变现和分配；</w:t>
      </w:r>
    </w:p>
    <w:p w14:paraId="2DE7E4D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（18）面临解散、依法被撤销或者被依法宣告破产时，及时报告中国证监会和银行业监督管理机构，并通知基金管理人；</w:t>
      </w:r>
    </w:p>
    <w:p w14:paraId="3442C77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（19）因违反《基金合同》导致基金财产损失时，应承担赔偿责任，其赔偿责任不因其退任而免除；</w:t>
      </w:r>
    </w:p>
    <w:p w14:paraId="00EA5B3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（20）按规定监督基金管理人按法律法规和《基金合同》规定履行自己的义务，基金管理人因违反《基金合同》造成基金财产损失时，应为基金份额持有人利益向基金管理人追偿；</w:t>
      </w:r>
    </w:p>
    <w:p w14:paraId="39BA686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（21）执行生效的基金份额持有人大会的决议；</w:t>
      </w:r>
    </w:p>
    <w:p w14:paraId="3F4346C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（22）法律法规及中国证监会规定的和《基金合同》约定的其他义务。</w:t>
      </w:r>
    </w:p>
    <w:p w14:paraId="13000B8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（三）基金份额持有人</w:t>
      </w:r>
    </w:p>
    <w:p w14:paraId="03C7FB5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14:paraId="2A01E74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同一类别每份基金份额具有同等的合法权益。</w:t>
      </w:r>
    </w:p>
    <w:p w14:paraId="2612BB9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1、根据《基金法》、《运作办法》及其他有关规定，基金份额持有人的权利包括但不限于：</w:t>
      </w:r>
    </w:p>
    <w:p w14:paraId="37B2F15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（1）分享基金财产收益；</w:t>
      </w:r>
    </w:p>
    <w:p w14:paraId="66E2330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（2）参与分配清算后的剩余基金财产；</w:t>
      </w:r>
    </w:p>
    <w:p w14:paraId="0ECCA73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（3）依法转让或者申请赎回其持有的基金份额；</w:t>
      </w:r>
    </w:p>
    <w:p w14:paraId="5C38366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（4）按照规定要求召开基金份额持有人大会或者召集基金份额持有人大会；</w:t>
      </w:r>
    </w:p>
    <w:p w14:paraId="738D1C6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（5）出席或者委派代表出席基金份额持有人大会，对基金份额持有人大会审议事项行使表决权；</w:t>
      </w:r>
    </w:p>
    <w:p w14:paraId="0787CB0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（6）出席或者委派代表出席目标ETF基金份额持有人大会，对目标ETF基金份额持有人大会审议事项行使表决权；</w:t>
      </w:r>
    </w:p>
    <w:p w14:paraId="7F85829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（7）查阅或者复制公开披露的基金信息资料；</w:t>
      </w:r>
    </w:p>
    <w:p w14:paraId="3FEEF48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（8）监督基金管理人的投资运作；</w:t>
      </w:r>
    </w:p>
    <w:p w14:paraId="4D26CE3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（9）对基金管理人、基金托管人、基金服务机构损害其合法权益的行为依法提起诉讼或仲裁；</w:t>
      </w:r>
    </w:p>
    <w:p w14:paraId="64C19CD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（10）法律法规及中国证监会规定的和《基金合同》约定的其他权利。</w:t>
      </w:r>
    </w:p>
    <w:p w14:paraId="72AA0EC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2、根据《基金法》、《运作办法》及其他有关规定，基金份额持有人的义务包括但不限于：</w:t>
      </w:r>
    </w:p>
    <w:p w14:paraId="01052CF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（1）认真阅读并遵守《基金合同》、招募说明书等信息披露文件；</w:t>
      </w:r>
    </w:p>
    <w:p w14:paraId="3E9A458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（2）了解所投资基金产品，了解自身风险承受能力，自主判断基金的投资价值，自主做出投资决策，自行承担投资风险；</w:t>
      </w:r>
    </w:p>
    <w:p w14:paraId="3F69874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（3）关注基金信息披露，及时行使权利和履行义务；</w:t>
      </w:r>
    </w:p>
    <w:p w14:paraId="4E76DE0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（4）缴纳基金认购、申购款项及法律法规和《基金合同》所规定的费用；</w:t>
      </w:r>
    </w:p>
    <w:p w14:paraId="4130470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（5）在其持有的基金份额范围内，承担基金亏损或者《基金合同》终止的有限责任；</w:t>
      </w:r>
    </w:p>
    <w:p w14:paraId="7420950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（6）不从事任何有损基金及其他《基金合同》当事人合法权益的活动；</w:t>
      </w:r>
    </w:p>
    <w:p w14:paraId="2102191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（7）执行生效的基金份额持有人大会的决议；</w:t>
      </w:r>
    </w:p>
    <w:p w14:paraId="68886DD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（8）返还在基金交易过程中因任何原因获得的不当得利；</w:t>
      </w:r>
    </w:p>
    <w:p w14:paraId="54EA30E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（9）法律法规及中国证监会规定的和《基金合同》约定的其他义务。</w:t>
      </w:r>
    </w:p>
    <w:p w14:paraId="37624A42" w14:textId="77777777" w:rsidR="00E449E6" w:rsidRPr="004F5A23" w:rsidRDefault="00E449E6" w:rsidP="00E449E6">
      <w:pPr>
        <w:spacing w:line="360" w:lineRule="auto"/>
        <w:ind w:firstLineChars="200" w:firstLine="420"/>
        <w:rPr>
          <w:rFonts w:ascii="宋体" w:hAnsi="宋体"/>
          <w:bCs/>
        </w:rPr>
      </w:pPr>
    </w:p>
    <w:p w14:paraId="50C79EF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二、基金份额持有人大会召集、议事及表决的程序和规则</w:t>
      </w:r>
    </w:p>
    <w:p w14:paraId="152B480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基金份额持有人大会由基金份额持有人组成，基金份额持有人的合法授权代表有权代表基金份额持有人出席会议并表决。基金份额持有人持有的每一基金份额拥有平等的投票权。</w:t>
      </w:r>
    </w:p>
    <w:p w14:paraId="3876C82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是目标ETF的联接基金，鉴于本基金和目标ETF的相关性，本基金的基金份额持有人可以凭所持有的本基金份额出席或者委派代表出席目标ETF基金份额持有人大会并参与表决。在计算参会份额和计票时，本基金的基金份额持有人持有的享有表决权的参会份额数和表决票数为：在目标ETF基金份额持有人大会的权益登记日，本基金持有目标ETF基金份额的总数乘以该持有人所持有的本基金份额占本基金总份额的比例，计算结果按照四舍五入的方法，保留到整数位。本基金份额折算为目标ETF后的每一参会份额和目标ETF的每一参会份额拥有平等的投票权。</w:t>
      </w:r>
    </w:p>
    <w:p w14:paraId="3FEA307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的基金管理人不应以本基金的名义代表本基金的全体基金份额持有人以目标ETF的基金份额持有人的身份行使表决权，但可接受本基金的特定基金份额持有人的委托以本基金的基金份额持有人代理人的身份出席目标ETF的基金份额持有人大会并参与表决。</w:t>
      </w:r>
    </w:p>
    <w:p w14:paraId="16519E4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的基金管理人代表本基金的基金份额持有人提议召开或召集目标ETF基金份额持有人大会的，须先遵照本基金《基金合同》的约定召开本基金的基金份额持有人大会，本基金的基金份额持有人大会决定提议召开或召集目标ETF基金份额持有人大会的，由本基金基金管理人代表本基金的基金份额持有人提议召开或召集目标ETF基金份额持有人大会。</w:t>
      </w:r>
    </w:p>
    <w:p w14:paraId="5431858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本基金份额持有人大会不设日常机构。若将来法律法规对基金份额持有人大会另有规定的，以届时有效的法律法规为准。</w:t>
      </w:r>
    </w:p>
    <w:p w14:paraId="0ADC31F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（一）召开事由</w:t>
      </w:r>
    </w:p>
    <w:p w14:paraId="3C755A6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1、当出现或需要决定下列事由之一的，应当召开基金份额持有人大会，但法律法规、中国证监会另有规定或基金合同另有约定的除外：</w:t>
      </w:r>
    </w:p>
    <w:p w14:paraId="7D19BF1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（1）终止《基金合同》；</w:t>
      </w:r>
    </w:p>
    <w:p w14:paraId="5FC4AC7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（2）更换基金管理人；</w:t>
      </w:r>
    </w:p>
    <w:p w14:paraId="171A679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（3）更换基金托管人；</w:t>
      </w:r>
    </w:p>
    <w:p w14:paraId="6B0400F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（4）转换基金运作方式；</w:t>
      </w:r>
    </w:p>
    <w:p w14:paraId="13A4DA2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（5）调整基金管理人、基金托管人的报酬标准或提高销售服务费率；</w:t>
      </w:r>
    </w:p>
    <w:p w14:paraId="36527B8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（6）变更基金类别；</w:t>
      </w:r>
    </w:p>
    <w:p w14:paraId="15592CE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（7）本基金与其他基金的合并；</w:t>
      </w:r>
    </w:p>
    <w:p w14:paraId="191C6B5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（8）变更基金投资目标、范围或策略，但由于目标ETF交易方式变更、终止上市或目标ETF基金合同终止而变更本基金投资目标、范围或策略的情况除外；</w:t>
      </w:r>
    </w:p>
    <w:p w14:paraId="724FB9A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（9）变更基金份额持有人大会程序；</w:t>
      </w:r>
    </w:p>
    <w:p w14:paraId="7791567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（10）基金管理人或基金托管人要求召开基金份额持有人大会；</w:t>
      </w:r>
    </w:p>
    <w:p w14:paraId="1DADF7C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（11）单独或合计持有本基金总份额10%以上（含10%）基金份额的基金份额持有人（以基金管理人收到提议当日的基金份额计算，下同）就同一事项书面要求召开基金份额持有人大会；</w:t>
      </w:r>
    </w:p>
    <w:p w14:paraId="360684B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（12）对基金合同当事人权利和义务产生重大影响的其他事项；</w:t>
      </w:r>
    </w:p>
    <w:p w14:paraId="331D9BD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（13）基金管理人代表本基金的基金份额持有人提议召开或召集目标ETF基金份额持有人大会；</w:t>
      </w:r>
    </w:p>
    <w:p w14:paraId="11F09EF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（14）法律法规、《基金合同》或中国证监会规定的其他应当召开基金份额持有人大会的事项。</w:t>
      </w:r>
    </w:p>
    <w:p w14:paraId="57100A8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2、在法律法规规定和《基金合同》约定的范围内且对基金份额持有人利益无实质性不利影响的前提下，以下情况可由基金管理人和基金托管人协商后修改，不需召开基金份额持有人大会：</w:t>
      </w:r>
    </w:p>
    <w:p w14:paraId="1D6FD25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（1）法律法规要求增加的基金费用的收取；</w:t>
      </w:r>
    </w:p>
    <w:p w14:paraId="65E59837" w14:textId="192AEA4C"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（2）调整本基金的申购费率、调低销售服务费率或变更收费方式，调整有关基金认购、申购、赎回、转换、非交易过户、转托管、定投等业务的规则；</w:t>
      </w:r>
    </w:p>
    <w:p w14:paraId="340D67C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（3）增加、减少或调整基金份额类别设置、停止现有基金份额类别的销售及对基金份额分类办法、规则进行调整；</w:t>
      </w:r>
    </w:p>
    <w:p w14:paraId="0153D39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（4）因相应的法律法规发生变动而应当对《基金合同》进行修改；</w:t>
      </w:r>
    </w:p>
    <w:p w14:paraId="07E89FC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（5）对《基金合同》的修改对基金份额持有人利益无实质性不利影响或修改不涉及《基金合同》当事人权利义务关系发生重大变化；</w:t>
      </w:r>
    </w:p>
    <w:p w14:paraId="02461B98" w14:textId="154F9842"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（6）基金</w:t>
      </w:r>
      <w:r w:rsidR="00455A58" w:rsidRPr="00455A58">
        <w:rPr>
          <w:rFonts w:ascii="宋体" w:hAnsi="宋体" w:hint="eastAsia"/>
          <w:bCs/>
        </w:rPr>
        <w:t>管理人履行适当程序，</w:t>
      </w:r>
      <w:r w:rsidRPr="004F5A23">
        <w:rPr>
          <w:rFonts w:ascii="宋体" w:hAnsi="宋体" w:hint="eastAsia"/>
          <w:bCs/>
        </w:rPr>
        <w:t>推出新业务或服务；</w:t>
      </w:r>
    </w:p>
    <w:p w14:paraId="6895F0A1" w14:textId="576BB9B9" w:rsidR="00E449E6" w:rsidRPr="004F5A23" w:rsidRDefault="00E449E6" w:rsidP="004021BE">
      <w:pPr>
        <w:spacing w:line="360" w:lineRule="auto"/>
        <w:ind w:firstLineChars="200" w:firstLine="420"/>
        <w:rPr>
          <w:rFonts w:ascii="宋体" w:hAnsi="宋体"/>
          <w:bCs/>
        </w:rPr>
      </w:pPr>
      <w:r w:rsidRPr="004F5A23">
        <w:rPr>
          <w:rFonts w:ascii="宋体" w:hAnsi="宋体" w:hint="eastAsia"/>
          <w:bCs/>
        </w:rPr>
        <w:t>（7）按照法律法规和《基金合同》规定不需召开基金份额持有人大会的其他情形。</w:t>
      </w:r>
    </w:p>
    <w:p w14:paraId="5B3D3A5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（二）会议召集人及召集方式</w:t>
      </w:r>
    </w:p>
    <w:p w14:paraId="56F4CE8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1、除法律法规规定或《基金合同》另有约定外，基金份额持有人大会由基金管理人召集。</w:t>
      </w:r>
    </w:p>
    <w:p w14:paraId="08A3516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2、基金管理人未按规定召集或不能召集时，由基金托管人召集。</w:t>
      </w:r>
    </w:p>
    <w:p w14:paraId="7C77BAA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14:paraId="183FB23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14:paraId="5EA5C2D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14:paraId="182FEB6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6、基金份额持有人会议的召集人负责选择确定开会时间、地点、方式和权益登记日。</w:t>
      </w:r>
    </w:p>
    <w:p w14:paraId="016589B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（三）召开基金份额持有人大会的通知时间、通知内容、通知方式</w:t>
      </w:r>
    </w:p>
    <w:p w14:paraId="2F61AC3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1、召开基金份额持有人大会，召集人应于会议召开前30日，在规定媒介公告。基金份额持有人大会通知应至少载明以下内容：</w:t>
      </w:r>
    </w:p>
    <w:p w14:paraId="5117A4C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（1）会议召开的时间、地点和会议形式；</w:t>
      </w:r>
    </w:p>
    <w:p w14:paraId="131A190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（2）会议拟审议的事项、议事程序和表决方式；</w:t>
      </w:r>
    </w:p>
    <w:p w14:paraId="6B3E63A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（3）有权出席基金份额持有人大会的基金份额持有人的权益登记日；</w:t>
      </w:r>
    </w:p>
    <w:p w14:paraId="5381D62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（4）授权委托证明的内容要求（包括但不限于代理人身份，代理权限和代理有效期限等）、送达时间和地点；</w:t>
      </w:r>
    </w:p>
    <w:p w14:paraId="3701AA4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（5）会务常设联系人姓名及联系电话；</w:t>
      </w:r>
    </w:p>
    <w:p w14:paraId="55EF29C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（6）出席会议者必须准备的文件和必须履行的手续；</w:t>
      </w:r>
    </w:p>
    <w:p w14:paraId="5322C76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（7）召集人需要通知的其他事项。</w:t>
      </w:r>
    </w:p>
    <w:p w14:paraId="7847B96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2A0136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0215742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（四）基金份额持有人出席会议的方式</w:t>
      </w:r>
    </w:p>
    <w:p w14:paraId="0C15708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基金份额持有人大会可通过现场开会方式、通讯开会方式或法律法规、监管机构允许的其他方式召开，会议的召开方式由会议召集人确定。</w:t>
      </w:r>
    </w:p>
    <w:p w14:paraId="2D8BCB8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670B157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F43E36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5A7845D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2、通讯开会。通讯开会系指基金份额持有人将其对表决事项的投票以召集人通知的非现场方式在表决截止日以前送达至召集人指定的地址或系统。通讯开会应以召集人通知的非现场方式进行表决。</w:t>
      </w:r>
    </w:p>
    <w:p w14:paraId="531CAF0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在同时符合以下条件时，通讯开会的方式视为有效：</w:t>
      </w:r>
    </w:p>
    <w:p w14:paraId="0E74BDC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（1）会议召集人按《基金合同》约定公布会议通知后，在2个工作日内连续公布相关提示性公告；</w:t>
      </w:r>
    </w:p>
    <w:p w14:paraId="2FA0266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2DEED58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14:paraId="3E81684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058AC217" w14:textId="124103CD"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w:t>
      </w:r>
      <w:r w:rsidR="000D48C9" w:rsidRPr="000D48C9">
        <w:rPr>
          <w:rFonts w:ascii="宋体" w:hAnsi="宋体" w:hint="eastAsia"/>
          <w:bCs/>
        </w:rPr>
        <w:t>在法律法规或监管机构允许的前提下</w:t>
      </w:r>
      <w:r w:rsidRPr="004F5A23">
        <w:rPr>
          <w:rFonts w:ascii="宋体" w:hAnsi="宋体" w:hint="eastAsia"/>
          <w:bCs/>
        </w:rPr>
        <w:t>，基金份额持有人大会可通过网络、电话或其他方式召开，基金份额持有人可以采用书面、网络、电话、短信或其他方式进行表决，具体方式由会议召集人确定并在会议通知中列明。</w:t>
      </w:r>
    </w:p>
    <w:p w14:paraId="3744B2B7" w14:textId="633B9D06"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w:t>
      </w:r>
      <w:r w:rsidR="000D48C9" w:rsidRPr="000D48C9">
        <w:rPr>
          <w:rFonts w:ascii="宋体" w:hAnsi="宋体" w:hint="eastAsia"/>
          <w:bCs/>
        </w:rPr>
        <w:t>在法律法规或监管机构允许的前提下</w:t>
      </w:r>
      <w:r w:rsidRPr="004F5A23">
        <w:rPr>
          <w:rFonts w:ascii="宋体" w:hAnsi="宋体" w:hint="eastAsia"/>
          <w:bCs/>
        </w:rPr>
        <w:t>，基金份额持有人授权他人代为出席会议并表决的，授权方式可以采用书面、网络、电话、短信或其他方式，具体方式在会议通知中列明。</w:t>
      </w:r>
    </w:p>
    <w:p w14:paraId="6188DF7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（五）议事内容与程序</w:t>
      </w:r>
    </w:p>
    <w:p w14:paraId="5AF1888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1、议事内容及提案权</w:t>
      </w:r>
    </w:p>
    <w:p w14:paraId="7F10B5D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F1D7F9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基金份额持有人大会的召集人发出召集会议的通知后，对原有提案的修改应当在基金份额持有人大会召开前及时公告。</w:t>
      </w:r>
    </w:p>
    <w:p w14:paraId="69B435B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基金份额持有人大会不得对未事先公告的议事内容进行表决。</w:t>
      </w:r>
    </w:p>
    <w:p w14:paraId="417CBAD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2、议事程序</w:t>
      </w:r>
    </w:p>
    <w:p w14:paraId="6918A76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（1）现场开会</w:t>
      </w:r>
    </w:p>
    <w:p w14:paraId="71DA86A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作出的决议的效力。</w:t>
      </w:r>
    </w:p>
    <w:p w14:paraId="676BF6D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会议召集人应当制作出席会议人员的签名册。签名册载明参加会议人员姓名（或单位名称）、身份证明文件号码、持有或代表有表决权的基金份额、委托人姓名（或单位名称）和联系方式等事项。</w:t>
      </w:r>
    </w:p>
    <w:p w14:paraId="33E9E8B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（2）通讯开会</w:t>
      </w:r>
    </w:p>
    <w:p w14:paraId="2F92181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在通讯开会的情况下，首先由召集人提前30日公布提案，在所通知的表决截止日期后2个工作日内在公证机关监督下由召集人统计全部有效表决，在公证机关监督下形成决议。</w:t>
      </w:r>
    </w:p>
    <w:p w14:paraId="12B3E3A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（六）表决</w:t>
      </w:r>
    </w:p>
    <w:p w14:paraId="1A30823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除法律法规另有规定或《基金合同》另有约定外，基金份额持有人所持每份基金份额有同等表决权。</w:t>
      </w:r>
    </w:p>
    <w:p w14:paraId="51FF381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基金份额持有人大会决议分为一般决议和特别决议：</w:t>
      </w:r>
    </w:p>
    <w:p w14:paraId="47179D3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14:paraId="6FF78FD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0756EA4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基金份额持有人大会采取记名方式进行投票表决。</w:t>
      </w:r>
    </w:p>
    <w:p w14:paraId="2C675DB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4833C3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基金份额持有人大会的各项提案或同一项提案内并列的各项议题应当分开审议、逐项表决。</w:t>
      </w:r>
    </w:p>
    <w:p w14:paraId="09A9610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在符合上述规则的前提下，具体规则以召集人发布的基金份额持有人大会通知为准。</w:t>
      </w:r>
    </w:p>
    <w:p w14:paraId="41FAE2C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（七）计票</w:t>
      </w:r>
    </w:p>
    <w:p w14:paraId="50DA41A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1、现场开会</w:t>
      </w:r>
    </w:p>
    <w:p w14:paraId="6015BCA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CF3E8E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（2）监票人应当在基金份额持有人表决后立即进行清点并由大会主持人当场公布计票结果。</w:t>
      </w:r>
    </w:p>
    <w:p w14:paraId="7439C3C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67185A1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（4）计票过程应由公证机关予以公证，基金管理人或基金托管人拒不出席大会的，不影响计票的效力。</w:t>
      </w:r>
    </w:p>
    <w:p w14:paraId="2C4447F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2、通讯开会</w:t>
      </w:r>
    </w:p>
    <w:p w14:paraId="5289D05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0C0B160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（八）生效与公告</w:t>
      </w:r>
    </w:p>
    <w:p w14:paraId="2059557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基金份额持有人大会的决议，召集人应当自通过之日起5日内报中国证监会备案。</w:t>
      </w:r>
    </w:p>
    <w:p w14:paraId="1E2FF22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基金份额持有人大会的决议自表决通过之日起生效。</w:t>
      </w:r>
    </w:p>
    <w:p w14:paraId="306864D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基金份额持有人大会决议自生效之日起2日内在规定媒介上公告。如果采用通讯方式进行表决，在公告基金份额持有人大会决议时，必须将公证书全文、公证机构、公证员姓名等一同公告。</w:t>
      </w:r>
    </w:p>
    <w:p w14:paraId="2FF1037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基金管理人、基金托管人和基金份额持有人应当执行生效的基金份额持有人大会的决议。生效的基金份额持有人大会决议对全体基金份额持有人、基金管理人、基金托管人均有约束力。</w:t>
      </w:r>
    </w:p>
    <w:p w14:paraId="4C1FB08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（九）实施侧袋机制期间基金份额持有人大会的特殊约定</w:t>
      </w:r>
    </w:p>
    <w:p w14:paraId="76C3BD8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E4B9EE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1、基金份额持有人行使提议权、召集权、提名权所需单独或合计代表相关基金份额10%以上（含10%）；</w:t>
      </w:r>
    </w:p>
    <w:p w14:paraId="461B748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2、现场开会的到会者在权益登记日代表的基金份额不少于本基金在权益登记日相关基金份额的二分之一（含二分之一）；</w:t>
      </w:r>
    </w:p>
    <w:p w14:paraId="265362B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3、通讯开会的直接出具表决意见或授权他人代表出具表决意见的基金份额持有人所持有的基金份额不小于在权益登记日相关基金份额的二分之一（含二分之一）；</w:t>
      </w:r>
    </w:p>
    <w:p w14:paraId="67FF25B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在参与基金份额持有人大会投票的基金份额持有人所持有的基金份额小于在权益登记日相关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14:paraId="425643B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5、现场开会由出席大会的基金份额持有人和代理人所持表决权的50%以上（含50%）选举产生一名基金份额持有人作为该次基金份额持有人大会的主持人；</w:t>
      </w:r>
    </w:p>
    <w:p w14:paraId="02703E0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6、一般决议须经参加大会的基金份额持有人或其代理人所持表决权的二分之一以上（含二分之一）通过；</w:t>
      </w:r>
    </w:p>
    <w:p w14:paraId="2707C8F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7、特别决议应当经参加大会的基金份额持有人或其代理人所持表决权的三分之二以上（含三分之二）通过。</w:t>
      </w:r>
    </w:p>
    <w:p w14:paraId="70B5775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7CAFF34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侧袋机制实施期间，关于基金份额持有人大会的相关规定以本节特殊约定内容为准，本节没有规定的适用上文相关约定。</w:t>
      </w:r>
    </w:p>
    <w:p w14:paraId="051517A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15393D4F" w14:textId="77777777" w:rsidR="00E449E6" w:rsidRPr="004F5A23" w:rsidRDefault="00E449E6" w:rsidP="00E449E6">
      <w:pPr>
        <w:spacing w:line="360" w:lineRule="auto"/>
        <w:ind w:firstLineChars="200" w:firstLine="420"/>
        <w:rPr>
          <w:rFonts w:ascii="宋体" w:hAnsi="宋体"/>
          <w:bCs/>
        </w:rPr>
      </w:pPr>
    </w:p>
    <w:p w14:paraId="4FF1B8C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三、基金收益分配原则、执行方式</w:t>
      </w:r>
    </w:p>
    <w:p w14:paraId="074B2D5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（一）基金收益分配原则</w:t>
      </w:r>
    </w:p>
    <w:p w14:paraId="6A167A0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1、在符合有关基金分红条件的前提下，基金管理人可以根据实际情况进行收益分配，具体分配方案详见届时基金管理人发布的公告，若《基金合同》生效不满3个月可不进行收益分配；</w:t>
      </w:r>
    </w:p>
    <w:p w14:paraId="7B5362AF" w14:textId="0940B69F"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2、基金管理人可每</w:t>
      </w:r>
      <w:r w:rsidR="00455A58">
        <w:rPr>
          <w:rFonts w:ascii="宋体" w:hAnsi="宋体" w:hint="eastAsia"/>
          <w:bCs/>
        </w:rPr>
        <w:t>季度</w:t>
      </w:r>
      <w:r w:rsidRPr="004F5A23">
        <w:rPr>
          <w:rFonts w:ascii="宋体" w:hAnsi="宋体" w:hint="eastAsia"/>
          <w:bCs/>
        </w:rPr>
        <w:t>评估是否进行收益分配。基金管理人可每</w:t>
      </w:r>
      <w:r w:rsidR="00455A58">
        <w:rPr>
          <w:rFonts w:ascii="宋体" w:hAnsi="宋体" w:hint="eastAsia"/>
          <w:bCs/>
        </w:rPr>
        <w:t>季度</w:t>
      </w:r>
      <w:r w:rsidRPr="004F5A23">
        <w:rPr>
          <w:rFonts w:ascii="宋体" w:hAnsi="宋体" w:hint="eastAsia"/>
          <w:bCs/>
        </w:rPr>
        <w:t>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48FDCA1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3、本基金收益分配方式分两种：现金分红与红利再投资，投资者可选择现金红利或将现金红利自动转为相应类别的基金份额进行再投资；若投资者不选择，本基金默认的收益分配方式是现金分红；</w:t>
      </w:r>
    </w:p>
    <w:p w14:paraId="4B3F7BC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4、由于本基金A类基金份额不收取销售服务费，而C类基金份额收取销售服务费，各基金份额类别对应的可供分配利润将有所不同。本基金同一类别的每一基金份额享有同等分配权；</w:t>
      </w:r>
    </w:p>
    <w:p w14:paraId="5D7D22F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5、法律法规或监管机关另有规定的，从其规定。</w:t>
      </w:r>
    </w:p>
    <w:p w14:paraId="24B3401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管理人、登记机构可在法律法规允许、对基金份额持有人利益无实质性不利影响的前提下，按照监管部门要求履行适当程序后，经与基金托管人协商一致酌情调整以上基金收益分配原则，但应于变更实施日前在规定媒介公告。</w:t>
      </w:r>
    </w:p>
    <w:p w14:paraId="0BAF5EF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（二）收益分配方案</w:t>
      </w:r>
    </w:p>
    <w:p w14:paraId="61DB200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基金收益分配方案中应载明截止收益分配基准日的可供分配利润、基金收益分配对象、分配时间、分配数额及比例、分配方式等内容。</w:t>
      </w:r>
    </w:p>
    <w:p w14:paraId="2E69189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（三）收益分配方案的确定、公告与实施</w:t>
      </w:r>
    </w:p>
    <w:p w14:paraId="10E052F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本基金收益分配方案由基金管理人拟定，并由基金托管人复核，在2日内在规定媒介公告。</w:t>
      </w:r>
    </w:p>
    <w:p w14:paraId="08DB6A82" w14:textId="77777777" w:rsidR="00E449E6" w:rsidRPr="004F5A23" w:rsidRDefault="00E449E6" w:rsidP="00E449E6">
      <w:pPr>
        <w:spacing w:line="360" w:lineRule="auto"/>
        <w:ind w:firstLineChars="200" w:firstLine="420"/>
        <w:rPr>
          <w:rFonts w:ascii="宋体" w:hAnsi="宋体"/>
          <w:bCs/>
        </w:rPr>
      </w:pPr>
    </w:p>
    <w:p w14:paraId="6491A71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四、基金费用与税收</w:t>
      </w:r>
    </w:p>
    <w:p w14:paraId="42C4CB9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（一）基金费用的种类</w:t>
      </w:r>
    </w:p>
    <w:p w14:paraId="12C43C3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1、基金管理人的管理费；</w:t>
      </w:r>
    </w:p>
    <w:p w14:paraId="0D46352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2、基金托管人的托管费；</w:t>
      </w:r>
    </w:p>
    <w:p w14:paraId="59724E6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3、从C类基金份额的基金财产中计提的销售服务费；</w:t>
      </w:r>
    </w:p>
    <w:p w14:paraId="113747A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4、《基金合同》生效后与基金相关的信息披露费用；</w:t>
      </w:r>
    </w:p>
    <w:p w14:paraId="10C3760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5、《基金合同》生效后与基金相关的会计师费、律师费、公证费、诉讼费和仲裁费；</w:t>
      </w:r>
    </w:p>
    <w:p w14:paraId="3594C20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6、基金份额持有人大会费用；</w:t>
      </w:r>
    </w:p>
    <w:p w14:paraId="26E3DF8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7、基金的证券/期货/期权交易费用；</w:t>
      </w:r>
    </w:p>
    <w:p w14:paraId="0F023FB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8、基金的银行汇划费用；</w:t>
      </w:r>
    </w:p>
    <w:p w14:paraId="64531FE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9、基金相关账户的开户及维护费用；</w:t>
      </w:r>
    </w:p>
    <w:p w14:paraId="63FAD0C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10、因参与融资及转融通证券出借业务而产生的各项合理费用；</w:t>
      </w:r>
    </w:p>
    <w:p w14:paraId="28276A0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11、基金投资目标ETF的相关费用（包括但不限于目标ETF的交易费用、申赎费用等）；</w:t>
      </w:r>
    </w:p>
    <w:p w14:paraId="0B1BA0A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12、按照国家有关规定和《基金合同》约定，可以在基金财产中列支的其他费用。</w:t>
      </w:r>
    </w:p>
    <w:p w14:paraId="3DEF082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（二）基金费用计提方法、计提标准和支付方式</w:t>
      </w:r>
    </w:p>
    <w:p w14:paraId="16187FB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1、基金管理人的管理费 </w:t>
      </w:r>
    </w:p>
    <w:p w14:paraId="44E81DCB" w14:textId="12AAA8EA"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本基金基金财产中投资于目标ETF的部分不收取管理费。本基金的管理费按前一日基金资产净值扣除所持有目标ETF基金份额部分基金资产后的余额（若为负数，则取0）的</w:t>
      </w:r>
      <w:r w:rsidR="00E041C8">
        <w:rPr>
          <w:rFonts w:ascii="宋体" w:hAnsi="宋体" w:hint="eastAsia"/>
          <w:bCs/>
        </w:rPr>
        <w:t>0.50%</w:t>
      </w:r>
      <w:r w:rsidRPr="004F5A23">
        <w:rPr>
          <w:rFonts w:ascii="宋体" w:hAnsi="宋体" w:hint="eastAsia"/>
          <w:bCs/>
        </w:rPr>
        <w:t>年费率计提。管理费的计算方法如下：</w:t>
      </w:r>
    </w:p>
    <w:p w14:paraId="17CBC2D3" w14:textId="381ECBFF"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H＝E×</w:t>
      </w:r>
      <w:r w:rsidR="00E041C8">
        <w:rPr>
          <w:rFonts w:ascii="宋体" w:hAnsi="宋体" w:hint="eastAsia"/>
          <w:bCs/>
        </w:rPr>
        <w:t>0.50%</w:t>
      </w:r>
      <w:r w:rsidRPr="004F5A23">
        <w:rPr>
          <w:rFonts w:ascii="宋体" w:hAnsi="宋体" w:hint="eastAsia"/>
          <w:bCs/>
        </w:rPr>
        <w:t>÷当年天数</w:t>
      </w:r>
    </w:p>
    <w:p w14:paraId="7EFDD67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H为每日应计提的基金管理费</w:t>
      </w:r>
    </w:p>
    <w:p w14:paraId="6B198DD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E为前一日的基金资产净值扣除前一日所持有目标ETF基金份额部分基金资产后的余额（若为负数，则E取0）</w:t>
      </w:r>
    </w:p>
    <w:p w14:paraId="4E6244B2" w14:textId="034AA0C6"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基金管理费</w:t>
      </w:r>
      <w:r w:rsidR="001558F4" w:rsidRPr="001558F4">
        <w:rPr>
          <w:rFonts w:ascii="宋体" w:hAnsi="宋体" w:hint="eastAsia"/>
          <w:bCs/>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2AF23C4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2、基金托管人的托管费</w:t>
      </w:r>
    </w:p>
    <w:p w14:paraId="2A00356F" w14:textId="61067716"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本基金基金财产中投资于目标ETF的部分不收取托管费。本基金的托管费按前一日基金资产净值扣除所持有目标ETF基金份额部分基金资产后的余额（若为负数，则取0）的</w:t>
      </w:r>
      <w:r w:rsidR="00E041C8">
        <w:rPr>
          <w:rFonts w:ascii="宋体" w:hAnsi="宋体" w:hint="eastAsia"/>
          <w:bCs/>
        </w:rPr>
        <w:t>0.10%</w:t>
      </w:r>
      <w:r w:rsidRPr="004F5A23">
        <w:rPr>
          <w:rFonts w:ascii="宋体" w:hAnsi="宋体" w:hint="eastAsia"/>
          <w:bCs/>
        </w:rPr>
        <w:t>的年费率计提。托管费的计算方法如下：</w:t>
      </w:r>
    </w:p>
    <w:p w14:paraId="650EA688" w14:textId="501378CF"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H＝E×</w:t>
      </w:r>
      <w:r w:rsidR="00E041C8">
        <w:rPr>
          <w:rFonts w:ascii="宋体" w:hAnsi="宋体" w:hint="eastAsia"/>
          <w:bCs/>
        </w:rPr>
        <w:t>0.10%</w:t>
      </w:r>
      <w:r w:rsidRPr="004F5A23">
        <w:rPr>
          <w:rFonts w:ascii="宋体" w:hAnsi="宋体" w:hint="eastAsia"/>
          <w:bCs/>
        </w:rPr>
        <w:t>÷当年天数</w:t>
      </w:r>
    </w:p>
    <w:p w14:paraId="7E17ACF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H为每日应计提的基金托管费</w:t>
      </w:r>
    </w:p>
    <w:p w14:paraId="6D5429D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E为前一日的基金资产净值扣除前一日所持有目标ETF基金份额部分基金资产后的余额（若为负数，则E取0）</w:t>
      </w:r>
    </w:p>
    <w:p w14:paraId="50D72042" w14:textId="3398C515"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基金托管费</w:t>
      </w:r>
      <w:r w:rsidR="001558F4" w:rsidRPr="001558F4">
        <w:rPr>
          <w:rFonts w:ascii="宋体" w:hAnsi="宋体" w:hint="eastAsia"/>
          <w:bCs/>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67FD727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3、从C类基金份额的基金财产中计提的销售服务费</w:t>
      </w:r>
    </w:p>
    <w:p w14:paraId="011E48E8" w14:textId="12E4EE8B"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本基金A类基金份额不收取销售服务费，C类基金份额的销售服务费年费率为0.</w:t>
      </w:r>
      <w:r w:rsidR="001558F4">
        <w:rPr>
          <w:rFonts w:ascii="宋体" w:hAnsi="宋体"/>
          <w:bCs/>
        </w:rPr>
        <w:t>30</w:t>
      </w:r>
      <w:r w:rsidRPr="004F5A23">
        <w:rPr>
          <w:rFonts w:ascii="宋体" w:hAnsi="宋体" w:hint="eastAsia"/>
          <w:bCs/>
        </w:rPr>
        <w:t>%。本基金销售服务费按前一日C类基金份额的基金资产净值的0.</w:t>
      </w:r>
      <w:r w:rsidR="001558F4">
        <w:rPr>
          <w:rFonts w:ascii="宋体" w:hAnsi="宋体"/>
          <w:bCs/>
        </w:rPr>
        <w:t>30</w:t>
      </w:r>
      <w:r w:rsidRPr="004F5A23">
        <w:rPr>
          <w:rFonts w:ascii="宋体" w:hAnsi="宋体" w:hint="eastAsia"/>
          <w:bCs/>
        </w:rPr>
        <w:t>%年费率计提。销售服务费的计算方法如下：</w:t>
      </w:r>
    </w:p>
    <w:p w14:paraId="01DFACC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H＝E×年销售服务费率÷当年天数</w:t>
      </w:r>
    </w:p>
    <w:p w14:paraId="7CF4D0A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H为C类基金份额每日应计提的基金销售服务费</w:t>
      </w:r>
    </w:p>
    <w:p w14:paraId="56F53AA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E为C类基金份额前一日基金资产净值</w:t>
      </w:r>
    </w:p>
    <w:p w14:paraId="18D892DB" w14:textId="10E70128"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销售服务费</w:t>
      </w:r>
      <w:r w:rsidR="001558F4" w:rsidRPr="001558F4">
        <w:rPr>
          <w:rFonts w:ascii="宋体" w:hAnsi="宋体" w:hint="eastAsia"/>
          <w:bCs/>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4786A224" w14:textId="0924209E"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上述“</w:t>
      </w:r>
      <w:r w:rsidR="00455A58">
        <w:rPr>
          <w:rFonts w:ascii="宋体" w:hAnsi="宋体" w:hint="eastAsia"/>
          <w:bCs/>
        </w:rPr>
        <w:t>（</w:t>
      </w:r>
      <w:r w:rsidRPr="004F5A23">
        <w:rPr>
          <w:rFonts w:ascii="宋体" w:hAnsi="宋体" w:hint="eastAsia"/>
          <w:bCs/>
        </w:rPr>
        <w:t>一</w:t>
      </w:r>
      <w:r w:rsidR="00455A58">
        <w:rPr>
          <w:rFonts w:ascii="宋体" w:hAnsi="宋体" w:hint="eastAsia"/>
          <w:bCs/>
        </w:rPr>
        <w:t>）</w:t>
      </w:r>
      <w:r w:rsidRPr="004F5A23">
        <w:rPr>
          <w:rFonts w:ascii="宋体" w:hAnsi="宋体" w:hint="eastAsia"/>
          <w:bCs/>
        </w:rPr>
        <w:t>基金费用的种类”中第4-12项费用，根据有关法规及相应协议规定，按费用实际支出金额列入当期费用，由基金托管人从基金财产中支付。</w:t>
      </w:r>
    </w:p>
    <w:p w14:paraId="13071CF7" w14:textId="77777777" w:rsidR="00E449E6" w:rsidRPr="004F5A23" w:rsidRDefault="00E449E6" w:rsidP="00E449E6">
      <w:pPr>
        <w:spacing w:line="360" w:lineRule="auto"/>
        <w:ind w:firstLineChars="200" w:firstLine="420"/>
        <w:rPr>
          <w:rFonts w:ascii="宋体" w:hAnsi="宋体"/>
          <w:bCs/>
        </w:rPr>
      </w:pPr>
    </w:p>
    <w:p w14:paraId="12EEFA1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五、基金财产的投资范围和投资限制</w:t>
      </w:r>
    </w:p>
    <w:p w14:paraId="74FBF27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（一）投资范围</w:t>
      </w:r>
    </w:p>
    <w:p w14:paraId="00923B25" w14:textId="76422B78"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主要投资于目标ETF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w:t>
      </w:r>
      <w:r w:rsidR="00455A58" w:rsidRPr="00455A58">
        <w:rPr>
          <w:rFonts w:ascii="宋体" w:hAnsi="宋体" w:hint="eastAsia"/>
          <w:bCs/>
        </w:rPr>
        <w:t>法律法规或</w:t>
      </w:r>
      <w:r w:rsidRPr="004F5A23">
        <w:rPr>
          <w:rFonts w:ascii="宋体" w:hAnsi="宋体" w:hint="eastAsia"/>
          <w:bCs/>
        </w:rPr>
        <w:t>中国证监会允许基金投资的其他金融工具（但须符合中国证监会的相关规定）。</w:t>
      </w:r>
    </w:p>
    <w:p w14:paraId="04F3A1A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本基金根据相关规定可参与融资、转融通证券出借业务。</w:t>
      </w:r>
    </w:p>
    <w:p w14:paraId="118C774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如法律法规或监管机构以后允许基金投资其他品种，基金管理人在履行适当程序后，可以将其纳入投资范围。</w:t>
      </w:r>
    </w:p>
    <w:p w14:paraId="54C7CED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的投资组合比例为：在建仓完成后，本基金投资于目标ETF的比例不低于基金资产净值的90%。每个交易日日终在扣除金融衍生品合约需缴纳的交易保证金后，现金或到期日在一年以内的政府债券的投资比例不低于基金资产净值的5%，其中现金不包括结算备付金、存出保证金、应收申购款等。</w:t>
      </w:r>
    </w:p>
    <w:p w14:paraId="1055E61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如法律法规或监管机构变更投资品种的投资比例限制，基金管理人在履行适当程序后，可以调整上述投资品种的投资比例。</w:t>
      </w:r>
    </w:p>
    <w:p w14:paraId="4A6925A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（二）投资限制</w:t>
      </w:r>
    </w:p>
    <w:p w14:paraId="3ED61F9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1、组合限制</w:t>
      </w:r>
    </w:p>
    <w:p w14:paraId="3787500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基金的投资组合应遵循以下限制：</w:t>
      </w:r>
    </w:p>
    <w:p w14:paraId="5D160AC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（1）本基金投资于目标ETF的比例不低于基金资产净值的90%；</w:t>
      </w:r>
    </w:p>
    <w:p w14:paraId="31A7BC1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（2）每个交易日日终在扣除金融衍生品合约需缴纳的交易保证金后，现金或到期日在一年以内的政府债券的投资比例不低于基金资产净值的5％，其中现金不包括结算备付金、存出保证金、应收申购款等；</w:t>
      </w:r>
    </w:p>
    <w:p w14:paraId="0AE7DC1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（3）本基金投资于同一原始权益人的各类资产支持证券的比例，不得超过基金资产净值的10％；</w:t>
      </w:r>
    </w:p>
    <w:p w14:paraId="7BF2D2A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（4）本基金持有的全部资产支持证券，其市值不得超过基金资产净值的20％；</w:t>
      </w:r>
    </w:p>
    <w:p w14:paraId="2D88B71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（5）本基金持有的同一(指同一信用级别)资产支持证券的比例，不得超过该资产支持证券规模的10％；</w:t>
      </w:r>
    </w:p>
    <w:p w14:paraId="70E41C5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（6）本基金管理人管理的全部基金投资于同一原始权益人的各类资产支持证券，不得超过其各类资产支持证券合计规模的10％；</w:t>
      </w:r>
    </w:p>
    <w:p w14:paraId="7A20C1B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（7）本基金应投资于信用级别评级为BBB以上(含BBB)的资产支持证券。基金持有资产支持证券期间，如果其信用等级下降、不再符合投资标准，应在评级报告发布之日起3个月内予以全部卖出；</w:t>
      </w:r>
    </w:p>
    <w:p w14:paraId="55B3C69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（8）基金财产参与股票发行申购，本基金所申报的金额不超过本基金的总资产，本基金所申报的股票数量不超过拟发行股票公司本次发行股票的总量；</w:t>
      </w:r>
    </w:p>
    <w:p w14:paraId="6CD5A11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5A919ED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（10）本基金与私募类证券资管产品及中国证监会认定的其他主体为交易对手开展逆回购交易的，可接受质押品的资质要求应当与基金合同约定的投资范围保持一致；</w:t>
      </w:r>
    </w:p>
    <w:p w14:paraId="1F883E0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（11）本基金资产总值不超过基金资产净值的140%；</w:t>
      </w:r>
    </w:p>
    <w:p w14:paraId="48C17AA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（12）本基金参与股指期货交易，应当符合下列投资限制：</w:t>
      </w:r>
    </w:p>
    <w:p w14:paraId="418B0AC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1）本基金在任何交易日日终，持有的买入股指期货合约价值，不得超过基金资产净值的10%；</w:t>
      </w:r>
    </w:p>
    <w:p w14:paraId="0E29FB72"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7B9FF4E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3）本基金在任何交易日日终，持有的卖出股指期货合约价值不得超过基金持有的股票总市值的20%；</w:t>
      </w:r>
    </w:p>
    <w:p w14:paraId="4282BCA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4）本基金所持有的股票市值和买入、卖出股指期货合约价值，合计（轧差计算）应当符合基金合同关于股票投资比例的有关约定；</w:t>
      </w:r>
    </w:p>
    <w:p w14:paraId="2C8CF76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5）本基金在任何交易日内交易（不包括平仓）的股指期货合约的成交金额不得超过上一交易日基金资产净值的20%；</w:t>
      </w:r>
    </w:p>
    <w:p w14:paraId="36FC6AA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（13）本基金参与股票期权交易，应当符合下列投资限制：</w:t>
      </w:r>
    </w:p>
    <w:p w14:paraId="0C9598D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1）基金因未平仓的期权合约支付和收取的权利金总额不得超过基金资产净值的10%；</w:t>
      </w:r>
    </w:p>
    <w:p w14:paraId="62160F3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2）开仓卖出认购期权的，应持有足额标的证券；开仓卖出认沽期权的，应持有合约行权所需的全额现金或交易所规则认可的可冲抵期权保证金的现金等价物；</w:t>
      </w:r>
    </w:p>
    <w:p w14:paraId="0353261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3）未平仓的期权合约面值不得超过基金资产净值的20%。其中，合约面值按照行权价乘以合约乘数计算；</w:t>
      </w:r>
    </w:p>
    <w:p w14:paraId="27E8600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（14）本基金参与转融通证券出借业务的，应当符合下列要求：</w:t>
      </w:r>
    </w:p>
    <w:p w14:paraId="18B7A33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1）本基金在任何交易日日终，参与转融通证券出借业务的资产不得超过基金资产净值的30%，其中出借期限在10个交易日以上的出借证券应纳入《流动性风险管理规定》所述流动性受限证券的范围；</w:t>
      </w:r>
    </w:p>
    <w:p w14:paraId="57FD3CD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2）本基金在任何交易日日终，参与出借业务的单只证券不得超过基金持有该证券总量的50%；</w:t>
      </w:r>
    </w:p>
    <w:p w14:paraId="2913BF0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3）证券出借的平均剩余期限不得超过30天，平均剩余期限按市值加权平均计算；</w:t>
      </w:r>
    </w:p>
    <w:p w14:paraId="759333F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4）最近6个月内日均基金资产净值不得低于2亿元；</w:t>
      </w:r>
    </w:p>
    <w:p w14:paraId="2B3EA50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（15）本基金投资存托凭证的比例限制依照境内上市交易的股票执行，与境内上市交易的股票合并计算，法律法规或监管部门另有要求的除外；</w:t>
      </w:r>
    </w:p>
    <w:p w14:paraId="1D4E3D9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（16）法律法规及中国证监会规定的和《基金合同》约定的其他投资限制。</w:t>
      </w:r>
    </w:p>
    <w:p w14:paraId="5D9D6BD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因证券/期货市场波动、证券发行人合并、基金规模变动、标的指数成份股调整、标的指数成份股流动性限制、目标ETF暂停申购、赎回或二级市场交易停牌等基金管理人之外的因素致使基金投资比例不符合上述第（1）项规定投资比例的，基金管理人应当在20个交易日内进行调整，但中国证监会规定的特殊情形除外；除上述第（1）、（2）、（7）、（9）、（10）、（14）项另有约定外，因证券/期货市场波动、证券发行人合并、基金规模变动、标的指数成份股调整、标的指数成份股流动性限制、目标 ETF 暂停申购、赎回或二级市场交易停牌等基金管理人之外的因素致使基金投资比例不符合上述规定投资比例的，基金管理人应当在10个交易日内进行调整，但中国证监会规定的特殊情形除外。法律法规另有规定的，从其规定。</w:t>
      </w:r>
    </w:p>
    <w:p w14:paraId="7B4035A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本基金参与转融通证券出借业务，因证券/期货市场波动、证券发行人合并、基金规模变动等基金管理人之外的因素致使基金投资不符合上述第（14）项规定的，基金管理人不得新增出借业务。</w:t>
      </w:r>
    </w:p>
    <w:p w14:paraId="6958551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7CC51703" w14:textId="195A03C1"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法律法规或监管部门取消</w:t>
      </w:r>
      <w:r w:rsidR="00455A58" w:rsidRPr="00455A58">
        <w:rPr>
          <w:rFonts w:ascii="宋体" w:hAnsi="宋体" w:hint="eastAsia"/>
          <w:bCs/>
        </w:rPr>
        <w:t>或变更</w:t>
      </w:r>
      <w:r w:rsidRPr="004F5A23">
        <w:rPr>
          <w:rFonts w:ascii="宋体" w:hAnsi="宋体" w:hint="eastAsia"/>
          <w:bCs/>
        </w:rPr>
        <w:t>上述限制，如适用于本基金，基金管理人在履行适当程序后，则本基金投资不再受相关限制</w:t>
      </w:r>
      <w:r w:rsidR="00455A58" w:rsidRPr="00455A58">
        <w:rPr>
          <w:rFonts w:ascii="宋体" w:hAnsi="宋体" w:hint="eastAsia"/>
          <w:bCs/>
        </w:rPr>
        <w:t>或按变更后的规定执行</w:t>
      </w:r>
      <w:r w:rsidRPr="004F5A23">
        <w:rPr>
          <w:rFonts w:ascii="宋体" w:hAnsi="宋体" w:hint="eastAsia"/>
          <w:bCs/>
        </w:rPr>
        <w:t>。</w:t>
      </w:r>
    </w:p>
    <w:p w14:paraId="3010CF1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2、禁止行为</w:t>
      </w:r>
    </w:p>
    <w:p w14:paraId="0FE683A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为维护基金份额持有人的合法权益，基金财产不得用于下列投资或者活动：</w:t>
      </w:r>
    </w:p>
    <w:p w14:paraId="1955314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（1）承销证券；</w:t>
      </w:r>
    </w:p>
    <w:p w14:paraId="7451211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（2）违反规定向他人贷款或者提供担保；</w:t>
      </w:r>
    </w:p>
    <w:p w14:paraId="676EC86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（3）从事承担无限责任的投资；</w:t>
      </w:r>
    </w:p>
    <w:p w14:paraId="200A932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（4）买卖除目标ETF以外的其他基金份额，但是中国证监会另有规定的除外；</w:t>
      </w:r>
    </w:p>
    <w:p w14:paraId="50BBE51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（5）向其基金管理人、基金托管人出资； </w:t>
      </w:r>
    </w:p>
    <w:p w14:paraId="53502D0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 xml:space="preserve">（6）从事内幕交易、操纵证券交易价格及其他不正当的证券交易活动； </w:t>
      </w:r>
    </w:p>
    <w:p w14:paraId="45DC033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（7）法律、行政法规和中国证监会规定禁止的其他活动。</w:t>
      </w:r>
    </w:p>
    <w:p w14:paraId="24742C2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7CD849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法律、行政法规或监管部门取消或变更上述限制，如适用于本基金，基金管理人在履行适当程序后，则本基金投资不再受相关限制或按变更后的规定执行。</w:t>
      </w:r>
    </w:p>
    <w:p w14:paraId="426575B1" w14:textId="77777777" w:rsidR="00E449E6" w:rsidRPr="004F5A23" w:rsidRDefault="00E449E6" w:rsidP="00E449E6">
      <w:pPr>
        <w:spacing w:line="360" w:lineRule="auto"/>
        <w:ind w:firstLineChars="200" w:firstLine="420"/>
        <w:rPr>
          <w:rFonts w:ascii="宋体" w:hAnsi="宋体"/>
          <w:bCs/>
        </w:rPr>
      </w:pPr>
    </w:p>
    <w:p w14:paraId="4960EE6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六、基金资产净值的计算方法和公告方式</w:t>
      </w:r>
    </w:p>
    <w:p w14:paraId="26A6BCD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各类基金份额净值是按照每个估值日闭市后，各类基金份额的基金资产净值除以当日该类基金份额的余额数量计算，精确到0.0001元，小数点后第5位四舍五入。基金管理人可以设立大额赎回情形下的净值精度应急调整机制。国家另有规定的，从其规定。</w:t>
      </w:r>
    </w:p>
    <w:p w14:paraId="65A81CC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基金管理人应每个估值日计算基金资产净值及各类基金份额的基金份额净值，并按规定披露。</w:t>
      </w:r>
    </w:p>
    <w:p w14:paraId="7D65353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管理人应每个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按规定对外公布。</w:t>
      </w:r>
    </w:p>
    <w:p w14:paraId="2EB68167" w14:textId="77777777" w:rsidR="00E449E6" w:rsidRPr="004F5A23" w:rsidRDefault="00E449E6" w:rsidP="00E449E6">
      <w:pPr>
        <w:spacing w:line="360" w:lineRule="auto"/>
        <w:ind w:firstLineChars="200" w:firstLine="420"/>
        <w:rPr>
          <w:rFonts w:ascii="宋体" w:hAnsi="宋体"/>
          <w:bCs/>
        </w:rPr>
      </w:pPr>
    </w:p>
    <w:p w14:paraId="2A8F15C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七、基金合同的变更、终止与基金财产的清算</w:t>
      </w:r>
    </w:p>
    <w:p w14:paraId="4E43201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（一）《基金合同》的变更</w:t>
      </w:r>
    </w:p>
    <w:p w14:paraId="003350C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变更基金合同涉及法律法规规定或本基金合同约定应经基金份额持有人大会决议通过的事项的，应召开基金份额持有人大会决议通过。对于法律法规规定和基金合同约定可不经基金份额持有人大会决议通过的事项，经履行适当程序，由基金管理人和基金托管人同意后变更并公告。</w:t>
      </w:r>
    </w:p>
    <w:p w14:paraId="4BAD9E48"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2、关于《基金合同》变更的基金份额持有人大会决议自生效后方可执行，自决议生效后两日内在规定媒介公告。</w:t>
      </w:r>
    </w:p>
    <w:p w14:paraId="5E9E036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（二）《基金合同》的终止事由</w:t>
      </w:r>
    </w:p>
    <w:p w14:paraId="6EF5671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有下列情形之一的，经履行相关程序后，《基金合同》应当终止：</w:t>
      </w:r>
    </w:p>
    <w:p w14:paraId="578029E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1、基金份额持有人大会决定终止的；</w:t>
      </w:r>
    </w:p>
    <w:p w14:paraId="6AD37ED1"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2、基金管理人、基金托管人职责终止，在6个月内没有新基金管理人、新基金托管人承接的；</w:t>
      </w:r>
    </w:p>
    <w:p w14:paraId="4EB50F3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13156B0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4、《基金合同》约定的其他情形；</w:t>
      </w:r>
    </w:p>
    <w:p w14:paraId="37B8A2C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5、相关法律法规和中国证监会规定的其他情况。</w:t>
      </w:r>
    </w:p>
    <w:p w14:paraId="414A341E"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（三）基金财产的清算</w:t>
      </w:r>
    </w:p>
    <w:p w14:paraId="56BE2BB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1、基金财产清算小组：自出现《基金合同》终止事由之日起30个工作日内成立清算小组，基金管理人组织基金财产清算小组并在中国证监会的监督下进行基金清算。</w:t>
      </w:r>
    </w:p>
    <w:p w14:paraId="58A06DB0"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2、基金财产清算小组组成：基金财产清算小组成员由基金管理人、基金托管人、符合《证券法》规定的注册会计师、律师以及中国证监会指定的人员组成。基金财产清算小组可以聘用必要的工作人员。</w:t>
      </w:r>
    </w:p>
    <w:p w14:paraId="1D9CE11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3、基金财产清算小组职责：基金财产清算小组负责基金财产的保管、清理、估价、变现和分配。基金财产清算小组可以依法进行必要的民事活动。</w:t>
      </w:r>
    </w:p>
    <w:p w14:paraId="2673F54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4、基金财产清算程序：</w:t>
      </w:r>
    </w:p>
    <w:p w14:paraId="4994F73C"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（1）《基金合同》终止情形出现时，由基金财产清算小组统一接管基金；</w:t>
      </w:r>
    </w:p>
    <w:p w14:paraId="72DDA836"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（2）对基金财产和债权债务进行清理和确认；</w:t>
      </w:r>
    </w:p>
    <w:p w14:paraId="3C8B23A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（3）对基金财产进行估值和变现；</w:t>
      </w:r>
    </w:p>
    <w:p w14:paraId="40E3268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（4）制作清算报告；</w:t>
      </w:r>
    </w:p>
    <w:p w14:paraId="65496AEB"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（5）聘请符合《证券法》规定的会计师事务所对清算报告进行外部审计，聘请律师事务所对清算报告出具法律意见书；</w:t>
      </w:r>
    </w:p>
    <w:p w14:paraId="4C97B8D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（6）将清算报告报中国证监会备案并公告；</w:t>
      </w:r>
    </w:p>
    <w:p w14:paraId="739A4F5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（7）对基金剩余财产进行分配。</w:t>
      </w:r>
    </w:p>
    <w:p w14:paraId="01E3A56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5、基金财产清算的期限为6个月，但因本基金所持证券的流动性受到限制而不能及时变现的，清算期限相应顺延。</w:t>
      </w:r>
    </w:p>
    <w:p w14:paraId="154C918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35776AE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（四）清算费用</w:t>
      </w:r>
    </w:p>
    <w:p w14:paraId="414C99E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清算费用是指基金财产清算小组在进行基金清算过程中发生的所有合理费用，清算费用由基金财产清算小组优先从基金财产中支付。</w:t>
      </w:r>
    </w:p>
    <w:p w14:paraId="32B9DE8F"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（五）基金财产清算剩余资产的分配</w:t>
      </w:r>
    </w:p>
    <w:p w14:paraId="1F9BD60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386EF90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（六）基金财产清算的公告</w:t>
      </w:r>
    </w:p>
    <w:p w14:paraId="1455432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25FD604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（七）基金财产清算账册及文件的保存</w:t>
      </w:r>
    </w:p>
    <w:p w14:paraId="046306A5"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基金财产清算账册及有关文件由基金托管人保存不少于法律法规规定的最低年限。</w:t>
      </w:r>
    </w:p>
    <w:p w14:paraId="660297AB" w14:textId="77777777" w:rsidR="00E449E6" w:rsidRPr="004F5A23" w:rsidRDefault="00E449E6" w:rsidP="00E449E6">
      <w:pPr>
        <w:spacing w:line="360" w:lineRule="auto"/>
        <w:ind w:firstLineChars="200" w:firstLine="420"/>
        <w:rPr>
          <w:rFonts w:ascii="宋体" w:hAnsi="宋体"/>
          <w:bCs/>
        </w:rPr>
      </w:pPr>
    </w:p>
    <w:p w14:paraId="0C817003"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八、争议解决方式</w:t>
      </w:r>
    </w:p>
    <w:p w14:paraId="5CB2E45A" w14:textId="5E9FE26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各方当事人同意，因《基金合同》而产生的或与《基金合同》有关的一切争议，如经友好协商未能解决的，</w:t>
      </w:r>
      <w:r w:rsidR="00DF65FD" w:rsidRPr="00DF65FD">
        <w:rPr>
          <w:rFonts w:ascii="宋体" w:hAnsi="宋体" w:hint="eastAsia"/>
          <w:bCs/>
        </w:rPr>
        <w:t>任何一方均有权将争议提交中国国际经济贸易仲裁委员会，按照中国国际经济贸易仲裁委员会届时有效的仲裁规则进行仲裁。仲裁地点为北京市。</w:t>
      </w:r>
      <w:r w:rsidRPr="004F5A23">
        <w:rPr>
          <w:rFonts w:ascii="宋体" w:hAnsi="宋体" w:hint="eastAsia"/>
          <w:bCs/>
        </w:rPr>
        <w:t>仲裁裁决是终局的，对当事人均有约束力。除非仲裁裁决另有规定，仲裁费由败诉方承担。</w:t>
      </w:r>
    </w:p>
    <w:p w14:paraId="55EF328D"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争议处理期间，基金合同当事人应恪守各自的职责，继续忠实、勤勉、尽责地履行基金合同规定的义务，维护基金份额持有人的合法权益。</w:t>
      </w:r>
    </w:p>
    <w:p w14:paraId="54732D9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《基金合同》受中国法律（为《基金合同》之目的，不包括香港特别行政区、澳门特别行政区和台湾地区法律）管辖并从其解释。</w:t>
      </w:r>
    </w:p>
    <w:p w14:paraId="61A959BD" w14:textId="77777777" w:rsidR="00E449E6" w:rsidRPr="004F5A23" w:rsidRDefault="00E449E6" w:rsidP="00E449E6">
      <w:pPr>
        <w:spacing w:line="360" w:lineRule="auto"/>
        <w:ind w:firstLineChars="200" w:firstLine="420"/>
        <w:rPr>
          <w:rFonts w:ascii="宋体" w:hAnsi="宋体"/>
          <w:bCs/>
        </w:rPr>
      </w:pPr>
    </w:p>
    <w:p w14:paraId="38E49DF9"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九、基金合同的效力</w:t>
      </w:r>
    </w:p>
    <w:p w14:paraId="358D2C0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《基金合同》是约定基金合同当事人之间权利义务关系的法律文件。</w:t>
      </w:r>
    </w:p>
    <w:p w14:paraId="03DEE8D4"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1、《基金合同》经基金管理人、基金托管人双方盖章以及双方法定代表人或授权代表签字或签章并在募集结束后经基金管理人向中国证监会办理基金备案手续，并经中国证监会书面确认后生效。</w:t>
      </w:r>
    </w:p>
    <w:p w14:paraId="1996D027"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2、《基金合同》的有效期自其生效之日起至基金财产清算结果报中国证监会备案并公告之日止。</w:t>
      </w:r>
    </w:p>
    <w:p w14:paraId="49BC386A" w14:textId="77777777"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3、《基金合同》自生效之日起对包括基金管理人、基金托管人和基金份额持有人在内的《基金合同》各方当事人具有同等的法律约束力。</w:t>
      </w:r>
    </w:p>
    <w:p w14:paraId="54CD28F3" w14:textId="3FB4110C" w:rsidR="00E449E6" w:rsidRPr="004F5A23" w:rsidRDefault="00E449E6" w:rsidP="00E449E6">
      <w:pPr>
        <w:spacing w:line="360" w:lineRule="auto"/>
        <w:ind w:firstLineChars="200" w:firstLine="420"/>
        <w:rPr>
          <w:rFonts w:ascii="宋体" w:hAnsi="宋体"/>
          <w:bCs/>
        </w:rPr>
      </w:pPr>
      <w:r w:rsidRPr="004F5A23">
        <w:rPr>
          <w:rFonts w:ascii="宋体" w:hAnsi="宋体" w:hint="eastAsia"/>
          <w:bCs/>
        </w:rPr>
        <w:t>4、</w:t>
      </w:r>
      <w:r w:rsidR="001558F4" w:rsidRPr="001558F4">
        <w:rPr>
          <w:rFonts w:ascii="宋体" w:hAnsi="宋体" w:hint="eastAsia"/>
          <w:bCs/>
        </w:rPr>
        <w:t>《基金合同》正本一式六份，除上报有关监管机构一式两份外，基金管理人、基金托管人各持有两份，每份具有同等的法律效力。</w:t>
      </w:r>
    </w:p>
    <w:p w14:paraId="33E9FBB0" w14:textId="34A6A638" w:rsidR="00E449E6" w:rsidRPr="004F5A23" w:rsidRDefault="00E449E6" w:rsidP="004F5A23">
      <w:pPr>
        <w:spacing w:line="360" w:lineRule="auto"/>
        <w:ind w:firstLineChars="200" w:firstLine="420"/>
        <w:rPr>
          <w:rFonts w:ascii="宋体" w:hAnsi="宋体"/>
          <w:bCs/>
        </w:rPr>
        <w:sectPr w:rsidR="00E449E6" w:rsidRPr="004F5A23">
          <w:headerReference w:type="default" r:id="rId8"/>
          <w:pgSz w:w="11906" w:h="16838"/>
          <w:pgMar w:top="1440" w:right="1800" w:bottom="1440" w:left="1800" w:header="851" w:footer="992" w:gutter="0"/>
          <w:pgNumType w:start="1"/>
          <w:cols w:space="720"/>
          <w:docGrid w:type="lines" w:linePitch="312"/>
        </w:sectPr>
      </w:pPr>
      <w:r w:rsidRPr="004F5A23">
        <w:rPr>
          <w:rFonts w:ascii="宋体" w:hAnsi="宋体" w:hint="eastAsia"/>
          <w:bCs/>
        </w:rPr>
        <w:t>5、《基金合同》可印制成册，供投</w:t>
      </w:r>
      <w:r w:rsidR="009A70AE" w:rsidRPr="009A70AE">
        <w:rPr>
          <w:rFonts w:ascii="宋体" w:hAnsi="宋体" w:hint="eastAsia"/>
          <w:bCs/>
        </w:rPr>
        <w:t>资者在基金管理人、基金托管人、销售机构的办公场所和营业场所查阅</w:t>
      </w:r>
      <w:r w:rsidR="00DF65FD">
        <w:rPr>
          <w:rFonts w:ascii="宋体" w:hAnsi="宋体" w:hint="eastAsia"/>
          <w:bCs/>
        </w:rPr>
        <w:t>。</w:t>
      </w:r>
    </w:p>
    <w:p w14:paraId="0DD6AA6E" w14:textId="40C2A525" w:rsidR="009C2D86" w:rsidRDefault="009C2D86" w:rsidP="00030F71">
      <w:pPr>
        <w:autoSpaceDE w:val="0"/>
        <w:autoSpaceDN w:val="0"/>
        <w:adjustRightInd w:val="0"/>
        <w:snapToGrid w:val="0"/>
        <w:spacing w:line="360" w:lineRule="auto"/>
        <w:jc w:val="left"/>
        <w:rPr>
          <w:rFonts w:ascii="宋体" w:cs="Times New Roman"/>
          <w:color w:val="000000"/>
        </w:rPr>
      </w:pPr>
      <w:bookmarkStart w:id="179" w:name="_Hlt88897298"/>
      <w:bookmarkStart w:id="180" w:name="_Hlt88825574"/>
      <w:bookmarkEnd w:id="179"/>
      <w:bookmarkEnd w:id="180"/>
    </w:p>
    <w:p w14:paraId="7F54F2B5" w14:textId="77777777" w:rsidR="009C2D86" w:rsidRDefault="0027599D">
      <w:pPr>
        <w:pStyle w:val="21"/>
        <w:numPr>
          <w:ilvl w:val="0"/>
          <w:numId w:val="22"/>
        </w:numPr>
        <w:snapToGrid w:val="0"/>
        <w:spacing w:before="0" w:after="0" w:line="360" w:lineRule="auto"/>
        <w:jc w:val="left"/>
        <w:rPr>
          <w:rFonts w:ascii="宋体" w:eastAsia="宋体" w:hAnsi="宋体" w:cs="Times New Roman"/>
          <w:b w:val="0"/>
        </w:rPr>
      </w:pPr>
      <w:bookmarkStart w:id="181" w:name="_Toc360794529"/>
      <w:bookmarkStart w:id="182" w:name="_Toc360793511"/>
      <w:bookmarkStart w:id="183" w:name="_Toc360794421"/>
      <w:bookmarkStart w:id="184" w:name="_Toc362455196"/>
      <w:bookmarkStart w:id="185" w:name="_Toc360793863"/>
      <w:bookmarkStart w:id="186" w:name="_Toc48900087"/>
      <w:bookmarkStart w:id="187" w:name="_Toc362533468"/>
      <w:bookmarkStart w:id="188" w:name="_Toc360794113"/>
      <w:bookmarkStart w:id="189" w:name="_Hlk155972056"/>
      <w:bookmarkEnd w:id="172"/>
      <w:bookmarkEnd w:id="173"/>
      <w:bookmarkEnd w:id="174"/>
      <w:bookmarkEnd w:id="175"/>
      <w:bookmarkEnd w:id="176"/>
      <w:bookmarkEnd w:id="177"/>
      <w:bookmarkEnd w:id="178"/>
      <w:r>
        <w:rPr>
          <w:rFonts w:ascii="宋体" w:eastAsia="宋体" w:hAnsi="宋体" w:cs="宋体" w:hint="eastAsia"/>
        </w:rPr>
        <w:t>基金托管协议的内容摘要</w:t>
      </w:r>
      <w:bookmarkEnd w:id="181"/>
      <w:bookmarkEnd w:id="182"/>
      <w:bookmarkEnd w:id="183"/>
      <w:bookmarkEnd w:id="184"/>
      <w:bookmarkEnd w:id="185"/>
      <w:bookmarkEnd w:id="186"/>
      <w:bookmarkEnd w:id="187"/>
      <w:bookmarkEnd w:id="188"/>
    </w:p>
    <w:p w14:paraId="78F00528" w14:textId="77777777" w:rsidR="009C2D86" w:rsidRDefault="009C2D86">
      <w:pPr>
        <w:snapToGrid w:val="0"/>
        <w:spacing w:line="360" w:lineRule="auto"/>
        <w:rPr>
          <w:rFonts w:cs="Times New Roman"/>
        </w:rPr>
      </w:pPr>
    </w:p>
    <w:p w14:paraId="1912F7B2" w14:textId="77777777" w:rsidR="007D7131" w:rsidRPr="007D7131" w:rsidRDefault="007D7131" w:rsidP="007D7131">
      <w:pPr>
        <w:snapToGrid w:val="0"/>
        <w:spacing w:line="360" w:lineRule="auto"/>
        <w:ind w:firstLineChars="200" w:firstLine="420"/>
        <w:rPr>
          <w:rFonts w:ascii="宋体" w:cs="Times New Roman"/>
        </w:rPr>
      </w:pPr>
      <w:bookmarkStart w:id="190" w:name="_Hlt112616834"/>
      <w:bookmarkEnd w:id="190"/>
      <w:r w:rsidRPr="007D7131">
        <w:rPr>
          <w:rFonts w:ascii="宋体" w:cs="Times New Roman" w:hint="eastAsia"/>
        </w:rPr>
        <w:t>一、基金托管协议当事人</w:t>
      </w:r>
    </w:p>
    <w:p w14:paraId="6EE8CCB8"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（一）基金管理人</w:t>
      </w:r>
    </w:p>
    <w:p w14:paraId="7402AF45"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名称：南方基金管理股份有限公司</w:t>
      </w:r>
    </w:p>
    <w:p w14:paraId="260AD0CC"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注册地址：深圳市福田区莲花街道益田路5999号基金大厦32-42楼</w:t>
      </w:r>
    </w:p>
    <w:p w14:paraId="07F8D6CA"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办公地址：深圳市福田区莲花街道益田路5999号基金大厦32-42楼</w:t>
      </w:r>
    </w:p>
    <w:p w14:paraId="7054AB18"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邮政编码：518048</w:t>
      </w:r>
    </w:p>
    <w:p w14:paraId="7B349BE5"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法定代表人：周易</w:t>
      </w:r>
    </w:p>
    <w:p w14:paraId="2C4D9ADA"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成立日期：1998年3月6日</w:t>
      </w:r>
    </w:p>
    <w:p w14:paraId="383A5E02"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批准设立机关及批准设立文号：中国证券监督管理委员会证监基字[1998]4号</w:t>
      </w:r>
    </w:p>
    <w:p w14:paraId="32355123"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组织形式：股份有限公司</w:t>
      </w:r>
    </w:p>
    <w:p w14:paraId="42768075"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注册资本：人民币3.6172亿元</w:t>
      </w:r>
    </w:p>
    <w:p w14:paraId="572AF30D"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存续期间：持续经营</w:t>
      </w:r>
    </w:p>
    <w:p w14:paraId="25BB1ECE"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经营范围：基金募集、基金销售、资产管理、中国证监会许可的其他业务</w:t>
      </w:r>
    </w:p>
    <w:p w14:paraId="16997997"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（二）基金托管人</w:t>
      </w:r>
    </w:p>
    <w:p w14:paraId="18DA448A"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名称：中国建设银行股份有限公司</w:t>
      </w:r>
    </w:p>
    <w:p w14:paraId="08841BD5"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住所：北京市西城区金融大街25号</w:t>
      </w:r>
    </w:p>
    <w:p w14:paraId="4F2C689C"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办公地址：北京市西城区闹市口大街1号院1号楼</w:t>
      </w:r>
    </w:p>
    <w:p w14:paraId="75B60548"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邮政编码：100033</w:t>
      </w:r>
    </w:p>
    <w:p w14:paraId="62F5887A"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 xml:space="preserve">法定代表人：张金良 </w:t>
      </w:r>
    </w:p>
    <w:p w14:paraId="00818AC3"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成立日期：2004年09月17日</w:t>
      </w:r>
    </w:p>
    <w:p w14:paraId="04B51789"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批准设立机关和批准设立文号：中国银行业监督管理委员会银监复[2004]143号</w:t>
      </w:r>
    </w:p>
    <w:p w14:paraId="32549B31"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基金托管业务批准文号：中国证监会证监基字[1998]12号</w:t>
      </w:r>
    </w:p>
    <w:p w14:paraId="72D28384"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组织形式：股份有限公司</w:t>
      </w:r>
    </w:p>
    <w:p w14:paraId="110C6245"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注册资本：贰仟伍佰亿壹仟零玖拾柒万柒仟肆佰捌拾陆元整</w:t>
      </w:r>
    </w:p>
    <w:p w14:paraId="23229DF3" w14:textId="77777777" w:rsidR="00945A21" w:rsidRPr="00945A21" w:rsidRDefault="00945A21" w:rsidP="00945A21">
      <w:pPr>
        <w:snapToGrid w:val="0"/>
        <w:spacing w:line="360" w:lineRule="auto"/>
        <w:ind w:firstLineChars="200" w:firstLine="420"/>
        <w:rPr>
          <w:rFonts w:ascii="宋体" w:cs="Times New Roman"/>
          <w:bCs/>
        </w:rPr>
      </w:pPr>
      <w:r w:rsidRPr="00945A21">
        <w:rPr>
          <w:rFonts w:ascii="宋体" w:cs="Times New Roman" w:hint="eastAsia"/>
          <w:bCs/>
        </w:rPr>
        <w:t>存续期间：持续经营</w:t>
      </w:r>
    </w:p>
    <w:p w14:paraId="11735FBD" w14:textId="0C1BBEF4" w:rsidR="007D7131" w:rsidRPr="007D7131" w:rsidRDefault="00945A21" w:rsidP="007D7131">
      <w:pPr>
        <w:snapToGrid w:val="0"/>
        <w:spacing w:line="360" w:lineRule="auto"/>
        <w:ind w:firstLineChars="200" w:firstLine="420"/>
        <w:rPr>
          <w:rFonts w:ascii="宋体" w:cs="Times New Roman"/>
          <w:bCs/>
        </w:rPr>
      </w:pPr>
      <w:r w:rsidRPr="00945A21">
        <w:rPr>
          <w:rFonts w:ascii="宋体" w:cs="Times New Roman" w:hint="eastAsia"/>
          <w:bCs/>
        </w:rPr>
        <w:t>经营范围：吸收公众存款；发放短期、中期、长期贷款；办理国内外结算；办理票据承兑与贴现；发行金融债券；代理发行、代理兑付、承销政府债券；买卖政府债券、金融债券；从事同业拆借；买卖、代理买卖外汇；从事银行卡业务；提供信用证服务及担保；代理收付款项及代理保险业务；提供保管箱服务；经中国银行业监督管理机构等监管部门批准的其他业务。</w:t>
      </w:r>
    </w:p>
    <w:p w14:paraId="1000E5F0" w14:textId="77777777" w:rsidR="007D7131" w:rsidRPr="007D7131" w:rsidRDefault="007D7131" w:rsidP="007D7131">
      <w:pPr>
        <w:snapToGrid w:val="0"/>
        <w:spacing w:line="360" w:lineRule="auto"/>
        <w:ind w:firstLineChars="200" w:firstLine="420"/>
        <w:rPr>
          <w:rFonts w:ascii="宋体" w:cs="Times New Roman"/>
        </w:rPr>
      </w:pPr>
    </w:p>
    <w:p w14:paraId="0D81E555" w14:textId="77777777"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二、基金托管人对基金管理人的业务监督和核查</w:t>
      </w:r>
    </w:p>
    <w:p w14:paraId="61ECF4D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一）基金托管人根据有关法律法规的规定及《基金合同》的约定，对基金投资范围、投资对象进行监督。《基金合同》明确约定基金投资风格或证券选择标准的，基金管理人应按照基金托管人要求的格式，将拟投资的标的证券库提供给基金托管人，基金管理人可以根据实际情况的变化，对标的证券库予以更新和调整并及时书面通知基金托管人。基金托管人根据上述投资范围对基金实际投资是否符合《基金合同》关于证券选择标准的约定进行监督。</w:t>
      </w:r>
    </w:p>
    <w:p w14:paraId="5A791D9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主要投资于目标ETF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法律法规或中国证监会允许基金投资的其他金融工具（但须符合中国证监会的相关规定）。</w:t>
      </w:r>
    </w:p>
    <w:p w14:paraId="7371FD8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本基金根据相关规定可参与融资、转融通证券出借业务。</w:t>
      </w:r>
    </w:p>
    <w:p w14:paraId="7717262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如法律法规或监管机构以后允许基金投资其他品种，基金管理人在履行适当程序后，可以将其纳入投资范围。</w:t>
      </w:r>
    </w:p>
    <w:p w14:paraId="4E1FED1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的投资组合比例为：本基金投资于目标ETF的比例不低于基金资产净值的90%。每个交易日日终在扣除金融衍生品合约需缴纳的交易保证金后，现金或到期日在一年以内的政府债券的投资比例不低于基金资产净值的5%，其中现金不包括结算备付金、存出保证金、应收申购款等。</w:t>
      </w:r>
    </w:p>
    <w:p w14:paraId="39D7E22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如法律法规或监管机构变更投资品种的投资比例限制，基金管理人在履行适当程序后，可以调整上述投资品种的投资比例。</w:t>
      </w:r>
    </w:p>
    <w:p w14:paraId="2A0CA91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（二）基金托管人根据有关法律法规的规定及《基金合同》的约定，对基金投资、融资比例进行监督。基金托管人按下述比例和调整期限进行监督：</w:t>
      </w:r>
    </w:p>
    <w:p w14:paraId="42C0DCC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（1）本基金投资于目标ETF的比例不低于基金资产净值的90%；</w:t>
      </w:r>
    </w:p>
    <w:p w14:paraId="7BE1D7C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（2）每个交易日日终在扣除金融衍生品合约需缴纳的交易保证金后，现金或到期日在一年以内的政府债券的投资比例不低于基金资产净值的5％，其中现金不包括结算备付金、存出保证金、应收申购款等；</w:t>
      </w:r>
    </w:p>
    <w:p w14:paraId="22204E0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（3）本基金投资于同一原始权益人的各类资产支持证券的比例，不得超过基金资产净值的10％；</w:t>
      </w:r>
    </w:p>
    <w:p w14:paraId="4C5D4C5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（4）本基金持有的全部资产支持证券，其市值不得超过基金资产净值的20％；</w:t>
      </w:r>
    </w:p>
    <w:p w14:paraId="32456BA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（5）本基金持有的同一(指同一信用级别)资产支持证券的比例，不得超过该资产支持证券规模的10％；</w:t>
      </w:r>
    </w:p>
    <w:p w14:paraId="2C3F062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（6）本基金管理人管理的且在本基金托管人处托管的全部基金投资于同一原始权益人的各类资产支持证券，不得超过其各类资产支持证券合计规模的10％；</w:t>
      </w:r>
    </w:p>
    <w:p w14:paraId="08DB2FD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（7）本基金应投资于信用级别评级为BBB以上(含BBB)的资产支持证券。基金持有资产支持证券期间，如果其信用等级下降、不再符合投资标准，应在评级报告发布之日起3个月内予以全部卖出；</w:t>
      </w:r>
    </w:p>
    <w:p w14:paraId="5BC78E7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（8）基金财产参与股票发行申购，本基金所申报的金额不超过本基金的总资产，本基金所申报的股票数量不超过拟发行股票公司本次发行股票的总量；</w:t>
      </w:r>
    </w:p>
    <w:p w14:paraId="11B0738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394B9EF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（10）本基金资产总值不超过基金资产净值的140%；</w:t>
      </w:r>
    </w:p>
    <w:p w14:paraId="251D21D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（11）本基金参与股指期货交易，应当符合下列投资限制：</w:t>
      </w:r>
    </w:p>
    <w:p w14:paraId="69A75DD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1）本基金在任何交易日日终，持有的买入股指期货合约价值，不得超过基金资产净值的10%；</w:t>
      </w:r>
    </w:p>
    <w:p w14:paraId="54C6DD5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6C251D5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3）本基金在任何交易日日终，持有的卖出股指期货合约价值不得超过基金持有的股票总市值的20%；</w:t>
      </w:r>
    </w:p>
    <w:p w14:paraId="66E3F6F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4）本基金所持有的股票市值和买入、卖出股指期货合约价值，合计（轧差计算）应当符合基金合同关于股票投资比例的有关约定；</w:t>
      </w:r>
    </w:p>
    <w:p w14:paraId="528713F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5）本基金在任何交易日内交易（不包括平仓）的股指期货合约的成交金额不得超过上一交易日基金资产净值的20%；</w:t>
      </w:r>
    </w:p>
    <w:p w14:paraId="2315AC3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（12）本基金参与股票期权交易，应当符合下列投资限制：</w:t>
      </w:r>
    </w:p>
    <w:p w14:paraId="117CB0B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1）基金因未平仓的期权合约支付和收取的权利金总额不得超过基金资产净值的10%；</w:t>
      </w:r>
    </w:p>
    <w:p w14:paraId="77953F0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2）未平仓的期权合约面值不得超过基金资产净值的20%。其中，合约面值按照行权价乘以合约乘数计算；</w:t>
      </w:r>
    </w:p>
    <w:p w14:paraId="33A0508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（13）本基金参与转融通证券出借业务的，应当符合下列要求：</w:t>
      </w:r>
    </w:p>
    <w:p w14:paraId="283F1D0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1）本基金在任何交易日日终，参与转融通证券出借业务的资产不得超过基金资产净值的30%，其中出借期限在10个交易日以上的出借证券应纳入《流动性风险管理规定》所述流动性受限证券的范围；</w:t>
      </w:r>
    </w:p>
    <w:p w14:paraId="184A177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2）本基金在任何交易日日终，参与出借业务的单只证券不得超过基金持有该证券总量的50%；</w:t>
      </w:r>
    </w:p>
    <w:p w14:paraId="6D72523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3）证券出借的平均剩余期限不得超过30天，平均剩余期限按市值加权平均计算；</w:t>
      </w:r>
    </w:p>
    <w:p w14:paraId="55C8239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4）最近6个月内日均基金资产净值不得低于2亿元；</w:t>
      </w:r>
    </w:p>
    <w:p w14:paraId="7A09AF5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（14）本基金投资存托凭证的比例限制依照境内上市交易的股票执行，与境内上市交易的股票合并计算，法律法规或监管部门另有要求的除外；</w:t>
      </w:r>
    </w:p>
    <w:p w14:paraId="6097AC5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（15）法律法规及中国证监会规定的和《基金合同》约定的其他投资限制。</w:t>
      </w:r>
    </w:p>
    <w:p w14:paraId="35BC4207" w14:textId="252DD0C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因证券/期货市场波动、证券发行人合并、基金规模变动、标的指数成份股调整、标的指数成份股流动性限制、目标ETF暂停申购、赎回或二级市场交易停牌等基金管理人之外的因素致使基金投资比例不符合上述第（1）项规定投资比例的，基金管理人应当在20个交易日内进行调整，但中国证监会规定的特殊情形除外；除上述第（1）、（2）、（7）、（9）、（</w:t>
      </w:r>
      <w:r w:rsidR="00583158">
        <w:rPr>
          <w:rFonts w:ascii="宋体" w:cs="Times New Roman"/>
        </w:rPr>
        <w:t>13</w:t>
      </w:r>
      <w:r w:rsidRPr="0063214C">
        <w:rPr>
          <w:rFonts w:ascii="宋体" w:cs="Times New Roman" w:hint="eastAsia"/>
        </w:rPr>
        <w:t>）项另有约定外，因证券/期货市场波动、证券发行人合并、基金规模变动、标的指数成份股调整、标的指数成份股流动性限制、目标 ETF 暂停申购、赎回或二级市场交易停牌等基金管理人之外的因素致使基金投资比例不符合上述规定投资比例的，基金管理人应当在10个交易日内进行调整，但中国证监会规定的特殊情形除外。法律法规另有规定的，从其规定。</w:t>
      </w:r>
    </w:p>
    <w:p w14:paraId="123DE302" w14:textId="69AF1D56"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本基金参与转融通证券出借业务，因证券/期货市场波动、证券发行人合并、基金规模变动等基金管理人之外的因素致使基金投资不符合上述第（</w:t>
      </w:r>
      <w:r w:rsidR="00583158" w:rsidRPr="0063214C">
        <w:rPr>
          <w:rFonts w:ascii="宋体" w:cs="Times New Roman" w:hint="eastAsia"/>
        </w:rPr>
        <w:t>1</w:t>
      </w:r>
      <w:r w:rsidR="00583158">
        <w:rPr>
          <w:rFonts w:ascii="宋体" w:cs="Times New Roman"/>
        </w:rPr>
        <w:t>3</w:t>
      </w:r>
      <w:r w:rsidRPr="0063214C">
        <w:rPr>
          <w:rFonts w:ascii="宋体" w:cs="Times New Roman" w:hint="eastAsia"/>
        </w:rPr>
        <w:t>）项规定的，基金管理人不得新增出借业务。</w:t>
      </w:r>
    </w:p>
    <w:p w14:paraId="6B3A7CB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3DD08DF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法律法规或监管部门取消或变更上述限制，如适用于本基金，基金管理人在履行适当程序后，则本基金投资不再受相关限制或按变更后的规定执行。</w:t>
      </w:r>
    </w:p>
    <w:p w14:paraId="04E4249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（三）基金托管人根据有关法律法规的规定及《基金合同》的约定，对本托管协议第十五条第（九）款基金投资禁止行为通过事后监督方式进行监督。</w:t>
      </w:r>
    </w:p>
    <w:p w14:paraId="3F5D5E9F" w14:textId="1202F6A3"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w:t>
      </w:r>
      <w:r w:rsidR="00945A21">
        <w:rPr>
          <w:rFonts w:ascii="宋体" w:cs="Times New Roman" w:hint="eastAsia"/>
        </w:rPr>
        <w:t>，</w:t>
      </w:r>
      <w:r w:rsidRPr="0063214C">
        <w:rPr>
          <w:rFonts w:ascii="宋体" w:cs="Times New Roman" w:hint="eastAsia"/>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法律、行政法规或监管部门取消或变更上述限制，如适用于本基金，基金管理人在履行适当程序后，则本基金投资不再受相关限制或按变更后的规定执行。</w:t>
      </w:r>
    </w:p>
    <w:p w14:paraId="7C03CD7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（四）基金托管人根据有关法律法规的规定及《基金合同》的约定，对基金管理人投资流通受限证券进行监督。</w:t>
      </w:r>
    </w:p>
    <w:p w14:paraId="38EDD73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基金管理人投资流通受限证券，应事先根据中国证监会相关规定，明确基金投资流通受限证券的比例，制订严格的投资决策流程和风险控制制度，防范流动性风险、法律风险和操作风险等各种风险。</w:t>
      </w:r>
    </w:p>
    <w:p w14:paraId="176677C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14:paraId="510CFCF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本基金投资的流通受限证券限于可由中国证券登记结算有限责任公司或中央国债登记结算有限责任公司负责登记和存管，并可在证券交易所或全国银行间债券市场交易的证券。</w:t>
      </w:r>
    </w:p>
    <w:p w14:paraId="7A52092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投资的流通受限证券应保证登记存管在本基金名下，基金管理人负责相关工作的落实和协调，并确保基金托管人能够正常查询。因基金管理人原因产生的流通受限证券登记存管问题，造成基金托管人无法安全保管本基金资产的责任与损失，及因流通受限证券存管直接影响本基金安全的责任及损失，由基金管理人承担。</w:t>
      </w:r>
    </w:p>
    <w:p w14:paraId="3836843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本基金投资流通受限证券，不得预付任何形式的保证金，若有最新监管政策根据最新政策进行。</w:t>
      </w:r>
    </w:p>
    <w:p w14:paraId="1E7C459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14:paraId="2087AB5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任何责任。如因基金管理人原因导致本基金出现损失致使基金托管人承担连带赔偿责任的，基金管理人应赔偿基金托管人由此遭受的损失。</w:t>
      </w:r>
    </w:p>
    <w:p w14:paraId="0FC52CD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w:t>
      </w:r>
    </w:p>
    <w:p w14:paraId="1A5697E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（1）中国证监会批准发行非公开发行股票的批准文件。</w:t>
      </w:r>
    </w:p>
    <w:p w14:paraId="070DC08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（2）非公开发行股票有关发行数量、发行价格、锁定期等发行资料。</w:t>
      </w:r>
    </w:p>
    <w:p w14:paraId="359EAA9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（3）基金拟认购的数量、价格、总成本、账面价值。</w:t>
      </w:r>
    </w:p>
    <w:p w14:paraId="2303569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基金管理人应在本基金投资非公开发行股票后两个交易日内，在中国证监会规定媒介披露所投资非公开发行股票的名称、数量、总成本、账面价值，以及总成本和账面价值占基金资产净值的比例、锁定期等信息。</w:t>
      </w:r>
    </w:p>
    <w:p w14:paraId="521EDD9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本基金有关投资流通受限证券比例如违反有关限制规定，在合理期限内未能进行及时调整，基金管理人应在两日内编制临时报告书，并登载在规定报刊和规定网站上。</w:t>
      </w:r>
    </w:p>
    <w:p w14:paraId="0527BCC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5.相关法律法规对基金投资流通受限证券有新规定的，从其规定。</w:t>
      </w:r>
    </w:p>
    <w:p w14:paraId="6082E13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五）基金托管人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18078FB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六）基金参与转融通证券出借业务，基金管理人应当遵守审慎经营原则，配备技术系统和专业人员，制定科学合理的投资策略和风险管理制度，完善业务流程，有效防范和控制风险。基金托管人将对基金参与出借业务进行监督。</w:t>
      </w:r>
    </w:p>
    <w:p w14:paraId="75204B6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七）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前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72FA4B1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八）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071ECD7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（九）若基金托管人发现基金管理人依据交易程序已经生效的指令违反法律、行政法规和其他有关规定，或者违反《基金合同》约定的，应当及时通知基金管理人，由此造成的损失由基金管理人承担。</w:t>
      </w:r>
    </w:p>
    <w:p w14:paraId="23F149C5" w14:textId="785A7B38" w:rsidR="007A69D4" w:rsidRDefault="0063214C" w:rsidP="007A69D4">
      <w:pPr>
        <w:snapToGrid w:val="0"/>
        <w:spacing w:line="360" w:lineRule="auto"/>
        <w:ind w:firstLineChars="200" w:firstLine="420"/>
        <w:rPr>
          <w:rFonts w:ascii="宋体" w:cs="Times New Roman"/>
        </w:rPr>
      </w:pPr>
      <w:r w:rsidRPr="0063214C">
        <w:rPr>
          <w:rFonts w:ascii="宋体" w:cs="Times New Roman" w:hint="eastAsia"/>
        </w:rPr>
        <w:t>（十）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14:paraId="3B1105A3" w14:textId="77777777" w:rsidR="007D7131" w:rsidRPr="007A69D4" w:rsidRDefault="007D7131" w:rsidP="007D7131">
      <w:pPr>
        <w:snapToGrid w:val="0"/>
        <w:spacing w:line="360" w:lineRule="auto"/>
        <w:ind w:firstLineChars="200" w:firstLine="420"/>
        <w:rPr>
          <w:rFonts w:ascii="宋体" w:cs="Times New Roman"/>
        </w:rPr>
      </w:pPr>
    </w:p>
    <w:p w14:paraId="17121270" w14:textId="77777777"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三、基金管理人对基金托管人的业务核查</w:t>
      </w:r>
    </w:p>
    <w:p w14:paraId="11AE622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一）基金管理人对基金托管人履行托管职责情况进行核查，核查事项包括基金托管人安全保管基金财产、开设基金财产的资金账户和证券账户等投资所需账户、复核基金管理人计算的基金资产净值和各类基金份额净值、根据基金管理人指令办理清算交收、相关信息披露和监督基金投资运作等行为。</w:t>
      </w:r>
    </w:p>
    <w:p w14:paraId="69F80F1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性，在规定时间内答复基金管理人并改正。</w:t>
      </w:r>
    </w:p>
    <w:p w14:paraId="6C67C38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38547607" w14:textId="77777777" w:rsidR="007D7131" w:rsidRPr="007D7131" w:rsidRDefault="007D7131" w:rsidP="007D7131">
      <w:pPr>
        <w:snapToGrid w:val="0"/>
        <w:spacing w:line="360" w:lineRule="auto"/>
        <w:ind w:firstLineChars="200" w:firstLine="420"/>
        <w:rPr>
          <w:rFonts w:ascii="宋体" w:cs="Times New Roman"/>
        </w:rPr>
      </w:pPr>
    </w:p>
    <w:p w14:paraId="1B40CF53" w14:textId="77777777"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四、基金财产的保管</w:t>
      </w:r>
    </w:p>
    <w:p w14:paraId="084F821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（一）基金财产保管的原则</w:t>
      </w:r>
    </w:p>
    <w:p w14:paraId="6D3E610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1.基金财产应独立于基金管理人、基金托管人和证券经纪机构的固有财产。</w:t>
      </w:r>
    </w:p>
    <w:p w14:paraId="0D1D3DF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2.基金托管人应安全保管基金财产。</w:t>
      </w:r>
    </w:p>
    <w:p w14:paraId="35DFAA8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3.基金托管人按照规定开设基金财产的资金账户和证券账户等投资所需账户。</w:t>
      </w:r>
    </w:p>
    <w:p w14:paraId="609D45B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4.基金托管人对所托管的不同基金财产分别设置账户，独立核算，确保基金财产的完整与独立。</w:t>
      </w:r>
    </w:p>
    <w:p w14:paraId="0C89884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基金托管人按照《基金合同》和本协议的约定保管基金财产，如有特殊情况双方可另行协商解决。基金托管人未经基金管理人的指令，不得自行运用、处分、分配本基金的任何资产（不包含托管人开户银行或交易/登记结算机构扣收交易费、结算费和账户维护费等费用）。</w:t>
      </w:r>
    </w:p>
    <w:p w14:paraId="133DE81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应予以必要的协助和配合，但对此不承担任何责任。</w:t>
      </w:r>
    </w:p>
    <w:p w14:paraId="48FE254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7.除依据法律法规和《基金合同》的规定外，基金托管人不得委托第三人托管基金财产。</w:t>
      </w:r>
    </w:p>
    <w:p w14:paraId="58E8197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（二）基金募集期间及募集资金的验资</w:t>
      </w:r>
    </w:p>
    <w:p w14:paraId="5B259E7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1.基金募集期间募集的资金应存于基金管理人在基金托管人处开立的基金募集专户中。该账户由基金管理人开立并管理。</w:t>
      </w:r>
    </w:p>
    <w:p w14:paraId="4D3CB92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募集期满或基金停止募集时，募集的基金份额总额、基金募集金额、基金份额持有人人数符合《基金法》、《运作办法》等有关规定后，基金管理人应将属于基金财产的全部资金划入基金托管人开立的基金托管资金账户，同时在规定时间内，聘请符合《证券法》规定的会计师事务所进行验资，出具验资报告。出具的验资报告由参加验资的2名或2名以上中国注册会计师签字方为有效。</w:t>
      </w:r>
    </w:p>
    <w:p w14:paraId="2D9723E5"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3.若基金募集期限届满，未能达到《基金合同》生效的条件，由基金管理人按规定办理退款等事宜，基金托管人应予以必要的协助与配合。</w:t>
      </w:r>
    </w:p>
    <w:p w14:paraId="1A48DA2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（三）基金托管资金账户的开立和管理</w:t>
      </w:r>
    </w:p>
    <w:p w14:paraId="77E64C2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1.基金托管人应以基金的名义在其营业机构开立基金的托管资金账户，并根据基金管理人合法合规的指令办理资金收付。本基金的银行预留印鉴由基金托管人保管和使用。</w:t>
      </w:r>
    </w:p>
    <w:p w14:paraId="59047EA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2.基金托管资金账户的开立和使用，限于满足开展本基金业务的需要。基金托管人和基金管理人不得假借本基金的名义开立任何其他银行账户；亦不得使用基金的任何账户进行本基金业务以外的活动。</w:t>
      </w:r>
    </w:p>
    <w:p w14:paraId="1C7B007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3.基金托管资金账户的开立和管理应符合法律法规和银行业监督管理机构的有关规定。</w:t>
      </w:r>
    </w:p>
    <w:p w14:paraId="35CDB97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4.在符合法律法规规定的条件下，基金托管人可以通过基金托管人专用账户办理基金资产的支付。</w:t>
      </w:r>
    </w:p>
    <w:p w14:paraId="3051A53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5.基金管理人应于基金终止运作后及时完成收益兑付、费用结清及其他应收应付款项资金划转，在确保后续不再发生款项进出后的10个工作日内向基金托管人发出销户申请。</w:t>
      </w:r>
    </w:p>
    <w:p w14:paraId="473CCAC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（四）基金证券账户和证券资金账户的开立和管理</w:t>
      </w:r>
    </w:p>
    <w:p w14:paraId="023D432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1.基金托管人在中国证券登记结算有限责任公司为基金开立基金托管人与基金联名的证券账户。</w:t>
      </w:r>
    </w:p>
    <w:p w14:paraId="03456AB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191A94A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3.基金证券账户的开立和证券账户卡的保管由基金托管人负责，账户资产的管理和运用由基金管理人负责。</w:t>
      </w:r>
    </w:p>
    <w:p w14:paraId="2BC62D7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证券账户开户费由基金管理人先行垫付,待本基金启始运营后,基金管理人可向基金托管人发送划款指令,将代垫开户费从本基金托管资金账户中扣还基金管理人。</w:t>
      </w:r>
    </w:p>
    <w:p w14:paraId="6CCB468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基金管理人为基金财产在证券经纪机构开立证券资金账户，用于基金财产证券交易结算资金的存管、记载交易结算资金的变动明细以及场内证券交易清算，并与基金托管人开立的基金托管资金账户建立第三方存管关系。</w:t>
      </w:r>
    </w:p>
    <w:p w14:paraId="4D5C986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交易所证券交易资金采用第三方存管模式，即用于证券交易结算资金全额存放在基金管理人为基金开立的证券资金账户中，场内的证券交易资金清算由基金管理人所选择的证券经纪机构负责，证券资金账户内的资金，只能通过证银转账方式将资金划转至基金托管资金账户，不得将资金划转至任何其他银行账户。第三方存管对应关系一经确定，不得更改，如果必须更改，应由基金管理人发起，经过基金托管人书面确认后，重新建立第三方存管对应关系。基金托管人和基金管理人不得出借或转让证券账户、证券资金账户，亦不得使用证券账户或证券资金账户进行本基金业务以外的活动。基金管理人承诺证券资金账户为主资金账户，不开立任何辅助资金账户；不为证券资金账户另行开立托管资金账户以外的其他银行账户。基金托管人不负责办理场内的证券交易资金清算，也不负责保管证券资金账户内存放的资金。</w:t>
      </w:r>
    </w:p>
    <w:p w14:paraId="74509E95"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5.账户注销时，在遵守中国证券登记结算有限责任公司的相关规定下，由基金管理人和基金托管人协商确认主要办理人。账户注销期间，主要办理人如需另一方提供配合的，另一方应予以配合。</w:t>
      </w:r>
    </w:p>
    <w:p w14:paraId="53E0A62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6.若中国证监会或其他监管机构在本托管协议订立日之后允许基金从事其他投资品种的投资业务，涉及相关账户的开立、使用的，若无相关规定，则基金托管人比照上述关于账户开立、使用的规定执行。</w:t>
      </w:r>
    </w:p>
    <w:p w14:paraId="6C53E37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（五）银行间账户的开设和管理</w:t>
      </w:r>
    </w:p>
    <w:p w14:paraId="694B15C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合同》生效后，基金管理人负责以基金的名义申请并取得进入全国银行间同业拆借市场的交易资格，并代表基金进行交易；基金托管人根据中国人民银行、银行间债券市场登记结算机构的有关规定，在银行间债券市场登记结算机构开立债券托管账户和资金结算专户，并代表基金进行银行间市场债券的结算。</w:t>
      </w:r>
    </w:p>
    <w:p w14:paraId="008ED4A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（六）其他账户的开立和管理</w:t>
      </w:r>
    </w:p>
    <w:p w14:paraId="0280B2F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在本托管协议订立日之后，本基金被允许从事符合法律法规规定和《基金合同》约定的其他投资品种的投资业务时，如果涉及相关账户的开设和使用，由基金管理人协助基金托管人根据有关法律法规的规定、《基金合同》及本协议的约定，开立有关账户。该账户按有关规则使用并管理。</w:t>
      </w:r>
    </w:p>
    <w:p w14:paraId="1E5F166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2.本基金在开始进行期货投资之前，应与基金托管人、期货公司三方一同就期货开户、清算、估值、交收等事宜另行签署《期货投资托管操作三方备忘录》。</w:t>
      </w:r>
    </w:p>
    <w:p w14:paraId="40EA92B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如需参加期权交易，应当按照现有证券账户开立方式向中国证券登记结算有限责任公司申请新开立一个普通证券账户，基金管理人负责将该证券账户指定交易在证券公司或期货公司，由相应证券公司（或期货公司）为本基金开立衍生品合约账户后，再通过该证券公司（或期货公司）参与期权交易。</w:t>
      </w:r>
    </w:p>
    <w:p w14:paraId="020B514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3.法律法规等有关规定对相关账户的开立和管理另有规定的，从其规定办理。</w:t>
      </w:r>
    </w:p>
    <w:p w14:paraId="073919D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（七）基金财产投资的有关有价凭证等的保管</w:t>
      </w:r>
    </w:p>
    <w:p w14:paraId="349FE2F5"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财产投资的有关实物证券、银行存款开户证实书等有价凭证由基金托管人存放于基金托管人的保管库，也可存入法律法规有关规定允许的各类代保管库，保管凭证由基金托管人持有。实物证券、银行定期存款证实书等有价凭证的购买和转让，按基金管理人和基金托管人双方约定办理。基金托管人对由基金托管人以外机构实际有效控制或保管的资产不承担任何责任。</w:t>
      </w:r>
    </w:p>
    <w:p w14:paraId="74D2A9C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（八）与基金财产有关的重大合同的保管</w:t>
      </w:r>
    </w:p>
    <w:p w14:paraId="1F12CBE4" w14:textId="666D775F" w:rsidR="008D4FFE" w:rsidRDefault="0063214C">
      <w:pPr>
        <w:snapToGrid w:val="0"/>
        <w:spacing w:line="360" w:lineRule="auto"/>
        <w:ind w:firstLineChars="200" w:firstLine="420"/>
        <w:rPr>
          <w:rFonts w:ascii="宋体" w:cs="Times New Roman"/>
        </w:rPr>
      </w:pPr>
      <w:r w:rsidRPr="0063214C">
        <w:rPr>
          <w:rFonts w:ascii="宋体" w:cs="Times New Roman" w:hint="eastAsia"/>
        </w:rPr>
        <w:t>由基金管理人代表基金签署的、与基金有关的重大合同的原件分别由基金管理人、基金托管人保管。除本协议另有规定外，基金管理人在代表基金签署与基金有关的重大合同时应保证基金一方持有两份以上的正本，以保证基金管理人和基金托管人至少各持有一份正本的原件。基金管理人应在重大合同签署后及时将重大合同传真给基金托管人，并在三十个工作日内将正本送达基金托管人处。重大合同的保管期限不低于法律法规规定的最低期限。</w:t>
      </w:r>
    </w:p>
    <w:p w14:paraId="7EDC4202" w14:textId="77777777" w:rsidR="007D7131" w:rsidRPr="007D7131" w:rsidRDefault="007D7131" w:rsidP="007D7131">
      <w:pPr>
        <w:snapToGrid w:val="0"/>
        <w:spacing w:line="360" w:lineRule="auto"/>
        <w:ind w:firstLineChars="200" w:firstLine="420"/>
        <w:rPr>
          <w:rFonts w:ascii="宋体" w:cs="Times New Roman"/>
        </w:rPr>
      </w:pPr>
    </w:p>
    <w:p w14:paraId="62DD3B50" w14:textId="1B9510BD"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五、</w:t>
      </w:r>
      <w:r w:rsidR="008D4FFE" w:rsidRPr="008D4FFE">
        <w:rPr>
          <w:rFonts w:ascii="宋体" w:cs="Times New Roman" w:hint="eastAsia"/>
        </w:rPr>
        <w:t>基金资产净值计算、估值和会计核算</w:t>
      </w:r>
    </w:p>
    <w:p w14:paraId="7F5DE63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（一）基金资产净值的计算、复核与完成的时间及程序</w:t>
      </w:r>
    </w:p>
    <w:p w14:paraId="505567B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资产净值是指基金资产总值减去基金负债后的价值。各类基金份额净值是按照每个估值日闭市后，各类基金份额的基金资产净值除以当日该类基金份额的余额数量计算，精确到0.0001元，小数点后第5位四舍五入。基金管理人可以设立大额赎回情形下的净值精度应急调整机制。国家另有规定的，从其规定。</w:t>
      </w:r>
    </w:p>
    <w:p w14:paraId="7778465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基金管理人应每个估值日计算基金资产净值及各类基金份额的基金份额净值，并按规定披露。</w:t>
      </w:r>
    </w:p>
    <w:p w14:paraId="5C2EA12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管理人应每个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03E8A48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（二）基金资产估值方法和特殊情形的处理</w:t>
      </w:r>
    </w:p>
    <w:p w14:paraId="0EFD2065"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1.估值对象</w:t>
      </w:r>
    </w:p>
    <w:p w14:paraId="1FD0898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基金所拥有的目标ETF基金份额、股票、债券、银行存款本息、应收款项、金融衍生品、资产支持证券和其他投资等资产及负债。</w:t>
      </w:r>
    </w:p>
    <w:p w14:paraId="1E37BFE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2.估值方法</w:t>
      </w:r>
    </w:p>
    <w:p w14:paraId="5BCACB6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A、目标ETF的估值</w:t>
      </w:r>
    </w:p>
    <w:p w14:paraId="0DEAF6C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本基金投资的目标ETF份额以其估值日基金份额净值估值，如该日目标ETF未公布净值，则按目标ETF最近公布的净值估值。</w:t>
      </w:r>
    </w:p>
    <w:p w14:paraId="0A09220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B、以公允价值计量的权益品种的估值</w:t>
      </w:r>
    </w:p>
    <w:p w14:paraId="1B6A5CA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5A722A4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（2）交易所上市不存在活跃市场的有价证券，采用估值技术确定公允价值。</w:t>
      </w:r>
    </w:p>
    <w:p w14:paraId="68CD6A1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（3）交易所处于未上市期间的有价权益证券应区分如下情况处理：</w:t>
      </w:r>
    </w:p>
    <w:p w14:paraId="2B6BF54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1）送股、转增股、配股和公开增发的新股，按估值日在证券交易所挂牌的同一股票的估值方法估值；该日无交易的，以最近一日的市价（收盘价）估值。</w:t>
      </w:r>
    </w:p>
    <w:p w14:paraId="67AEA25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2）首次公开发行未上市的股票，采用估值技术确定公允价值。</w:t>
      </w:r>
    </w:p>
    <w:p w14:paraId="3196470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D30DC6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C、以公允价值计量的固定收益品种的估值</w:t>
      </w:r>
    </w:p>
    <w:p w14:paraId="0684EA2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（1）对于已上市或已挂牌转让的不含权固定收益品种（另有规定的除外），选取第三方估值基准服务机构提供的相应品种当日的估值全价，基金管理人应根据相关法律、法规的规定进行涉税处理（下同）。</w:t>
      </w:r>
    </w:p>
    <w:p w14:paraId="3416FE8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（2）对于已上市或已挂牌转让的含权固定收益品种（另有规定的除外），选取第三方估值基准服务机构提供的相应品种当日的唯一估值全价或推荐估值全价。</w:t>
      </w:r>
    </w:p>
    <w:p w14:paraId="712F7B9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45A68942"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20EC849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（4）对于未上市或未挂牌转让且不存在活跃市场的固定收益品种，应采用在当前情况下适用并且有足够可利用数据和其他信息支持的估值技术确定其公允价值。</w:t>
      </w:r>
    </w:p>
    <w:p w14:paraId="2CA85A7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51A47D5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6）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2E69968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D、同一证券同时在两个或两个以上市场交易的，按证券所处的市场分别估值。</w:t>
      </w:r>
    </w:p>
    <w:p w14:paraId="23C1632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E、本基金投资股指期货合约，一般以估值当日结算价进行估值，估值当日无结算价的，且最近交易日后经济环境未发生重大变化的，采用最近交易日结算价估值。如法律法规今后另有规定的，从其规定。</w:t>
      </w:r>
    </w:p>
    <w:p w14:paraId="4D06D23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本基金投资股票期权合约，根据相关法律法规以及监管部门的规定估值。</w:t>
      </w:r>
    </w:p>
    <w:p w14:paraId="19BCA25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F、基金参与融资和转融通证券出借业务的，应参照相关法律法规和中国证券投资基金业协会发布的相关规定进行估值，确保估值的公允性。</w:t>
      </w:r>
    </w:p>
    <w:p w14:paraId="74AD9DB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G、当发生大额申购或赎回情形时，基金管理人可以采用摆动定价机制，以确保基金估值的公平性。具体处理原则与操作规范遵循相关法律法规以及监管部门、自律组织的规定。</w:t>
      </w:r>
    </w:p>
    <w:p w14:paraId="4387ED0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H、本基金投资存托凭证的估值核算依照境内上市交易的股票执行。</w:t>
      </w:r>
    </w:p>
    <w:p w14:paraId="509C783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I、如有确凿证据表明按原有方法进行估值不能客观反映上述资产或负债公允价值的，基金管理人可根据具体情况与基金托管人商定后，按最能反映公允价值的方法估值。</w:t>
      </w:r>
    </w:p>
    <w:p w14:paraId="1DBC8D9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J、相关法律法规以及监管部门、自律规则另有规定的，从其规定。如有新增事项，按国家最新规定估值。</w:t>
      </w:r>
    </w:p>
    <w:p w14:paraId="6590381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68C39AB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基金管理人向基金托管人出具盖章的书面说明后，按照基金管理人对基金净值信息的计算结果对外予以公布。</w:t>
      </w:r>
    </w:p>
    <w:p w14:paraId="33138E0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3.特殊情形的处理</w:t>
      </w:r>
    </w:p>
    <w:p w14:paraId="103CDF8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（1）基金管理人或基金托管人按估值方法的第I项进行估值时，所造成的误差不作为基金资产估值错误处理。</w:t>
      </w:r>
    </w:p>
    <w:p w14:paraId="0A57822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由于不可抗力，或由于证券/期货交易所、登记机构、指数编制机构、估值基准服务机构等第三方机构发送的数据错误，或国家会计政策变更、市场规则变更等非基金管理人与基金托管人原因，基金管理人和基金托管人虽然已经采取必要、适当、合理的措施进行检查，但未能发现错误或因上述原因未能及时更正，由此造成的基金资产估值错误，基金管理人和基金托管人免除赔偿责任。但基金管理人、基金托管人应当积极采取必要的措施减轻或消除由此造成的影响。</w:t>
      </w:r>
    </w:p>
    <w:p w14:paraId="5A29CD2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（三）基金份额净值错误的处理方式</w:t>
      </w:r>
    </w:p>
    <w:p w14:paraId="10B0B5C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任一类当基金份额净值小数点后4位以内(含第4位)发生差错时，视为该类基金份额净值错误；基金份额净值计算出现错误时，基金管理人应当立即予以纠正，通报基金托管人，并采取合理的措施防止损失进一步扩大。</w:t>
      </w:r>
    </w:p>
    <w:p w14:paraId="663A4DE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错误偏差达到该类基金份额净值的0.25%时，基金管理人应当通报基金托管人并报中国证监会备案；错误偏差达到该类基金份额净值的0.5%时，基金管理人应当公告并报中国证监会备案，当发生净值计算错误时，由基金管理人负责处理，由此给基金份额持有人和基金造成损失的，应由基金管理人先行赔付，基金管理人按差错情形，有权向其他当事人追偿。</w:t>
      </w:r>
    </w:p>
    <w:p w14:paraId="65CAD8F3"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3、当基金份额净值计算差错给基金和基金份额持有人造成损失需要进行赔偿时，基金管理人和基金托管人应根据实际情况界定双方承担的责任，经确认后按以下条款进行赔偿：</w:t>
      </w:r>
    </w:p>
    <w:p w14:paraId="31F1DA2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264B48B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②若基金管理人计算的各类基金份额净值已由基金托管人复核确认后公告，而且基金托管人未对计算过程提出疑义或要求基金管理人书面说明，基金份额净值出错且由此给基金份额持有人造成损失的，应根据法律法规的规定对投资者或基金支付赔偿金，就实际向投资者或基金支付的赔偿金额，基金管理人与基金托管人按照管理费和托管费的比例各自承担相应的责任。</w:t>
      </w:r>
    </w:p>
    <w:p w14:paraId="3131449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③如基金管理人和基金托管人对各类基金份额净值的计算结果，虽然多次重新计算和核对，尚不能达成一致时，为避免不能按时公布各类基金份额净值的情形，以基金管理人的计算结果对外公布，由此给基金份额持有人和基金造成的损失，由基金管理人负责赔付。</w:t>
      </w:r>
    </w:p>
    <w:p w14:paraId="4A20F97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 xml:space="preserve">④由于基金管理人提供的信息错误（包括但不限于基金申购或赎回金额等），进而导致基金份额净值计算错误而引起的基金份额持有人和基金财产的损失，由基金管理人负责赔付。 </w:t>
      </w:r>
    </w:p>
    <w:p w14:paraId="6E10502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4、前述内容如法律法规或监管机关另有规定的，从其规定处理。如果行业另有通行做法，双方当事人应本着平等和保护基金份额持有人利益的原则进行协商。</w:t>
      </w:r>
    </w:p>
    <w:p w14:paraId="02DFF24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（四）暂停估值的情形</w:t>
      </w:r>
    </w:p>
    <w:p w14:paraId="645DC53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1、基金投资所涉及的证券/期货交易市场遇法定节假日或因其他原因暂停营业时；</w:t>
      </w:r>
    </w:p>
    <w:p w14:paraId="7C629BE7"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2、基金所投资的目标ETF发生暂停估值、暂停公告基金份额净值的情形；</w:t>
      </w:r>
    </w:p>
    <w:p w14:paraId="6E03D91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3、因不可抗力致使基金管理人、基金托管人无法准确评估基金资产价值时；</w:t>
      </w:r>
    </w:p>
    <w:p w14:paraId="24AD1277" w14:textId="7E054B2C"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4、当前一估值日基金资产净值50%以上的资产出现无可参考的活跃市场价格且采用估值技术仍导致公允价值存在重大不确定性时，经与基金托管人协商确认后，基金管理人应当暂停估值；</w:t>
      </w:r>
    </w:p>
    <w:p w14:paraId="1EAA2C7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5、中国证监会和基金合同认定的其他情形。</w:t>
      </w:r>
    </w:p>
    <w:p w14:paraId="01794EF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（五）基金会计制度</w:t>
      </w:r>
    </w:p>
    <w:p w14:paraId="25D62861"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按国家有关部门规定的会计制度执行。</w:t>
      </w:r>
    </w:p>
    <w:p w14:paraId="23D7C6E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（六）基金账册的建立</w:t>
      </w:r>
    </w:p>
    <w:p w14:paraId="27F5D9E8"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信息的计算和披露的，以基金管理人的账册为准。</w:t>
      </w:r>
    </w:p>
    <w:p w14:paraId="1DB5568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（七）基金财务报表与报告的编制和复核</w:t>
      </w:r>
    </w:p>
    <w:p w14:paraId="50C59F45"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1.财务报表的编制</w:t>
      </w:r>
    </w:p>
    <w:p w14:paraId="487C05ED"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基金财务报表由基金管理人编制，基金托管人复核。</w:t>
      </w:r>
    </w:p>
    <w:p w14:paraId="58FC2DD0"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2.报表复核</w:t>
      </w:r>
    </w:p>
    <w:p w14:paraId="5D7660CC"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基金托管人在收到基金管理人编制的基金财务报表后，进行独立的复核。核对不符时，应及时通知基金管理人共同查出原因，进行调整，直至双方数据完全一致。</w:t>
      </w:r>
    </w:p>
    <w:p w14:paraId="216C62F4"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3.财务报表的编制与复核时间安排</w:t>
      </w:r>
    </w:p>
    <w:p w14:paraId="561CF33F"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(1)报表的编制</w:t>
      </w:r>
    </w:p>
    <w:p w14:paraId="2FAC921A"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应当在每月结束后5个工作日内完成月度报表的编制；在季度结束之日起15个工作日内完成基金季度报告的编制；在上半年结束之日起两个月内完成基金中期报告的编制；在每年结束之日起三个月内完成基金年度报告的编制。基金年度报告的财务会计报告应当经过符合《证券法》规定的会计师事务所审计。《基金合同》生效不足两个月的，基金管理人可以不编制当期季度报告、中期报告或者年度报告。</w:t>
      </w:r>
    </w:p>
    <w:p w14:paraId="0A6DBD99"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(2)报表的复核</w:t>
      </w:r>
    </w:p>
    <w:p w14:paraId="2F0F5B5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7B30F53E"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基金管理人应留足充分的时间，便于基金托管人复核相关报表及报告。如果基金管理人与基金托管人不能于应当发布公告之日之前就相关报表达成一致，基金管理人按照其编制的报表对外发布公告，基金托管人有权就相关情况报中国证监会备案。</w:t>
      </w:r>
    </w:p>
    <w:p w14:paraId="203D5266"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（八）基金管理人应在编制季度报告、中期报告或者年度报告之前及时向基金托管人提供基金业绩比较基准的基础数据和编制结果。</w:t>
      </w:r>
    </w:p>
    <w:p w14:paraId="6B8EC4BB" w14:textId="77777777" w:rsidR="0063214C" w:rsidRPr="0063214C" w:rsidRDefault="0063214C" w:rsidP="0063214C">
      <w:pPr>
        <w:snapToGrid w:val="0"/>
        <w:spacing w:line="360" w:lineRule="auto"/>
        <w:ind w:firstLineChars="200" w:firstLine="420"/>
        <w:rPr>
          <w:rFonts w:ascii="宋体" w:cs="Times New Roman"/>
        </w:rPr>
      </w:pPr>
      <w:r w:rsidRPr="0063214C">
        <w:rPr>
          <w:rFonts w:ascii="宋体" w:cs="Times New Roman" w:hint="eastAsia"/>
        </w:rPr>
        <w:t>（九）实施侧袋机制期间的基金资产估值</w:t>
      </w:r>
    </w:p>
    <w:p w14:paraId="73AE68E1" w14:textId="7A8A6EA4" w:rsidR="008D4FFE" w:rsidRDefault="0063214C" w:rsidP="008D4FFE">
      <w:pPr>
        <w:snapToGrid w:val="0"/>
        <w:spacing w:line="360" w:lineRule="auto"/>
        <w:ind w:firstLineChars="200" w:firstLine="420"/>
        <w:rPr>
          <w:rFonts w:ascii="宋体" w:cs="Times New Roman"/>
        </w:rPr>
      </w:pPr>
      <w:r w:rsidRPr="0063214C">
        <w:rPr>
          <w:rFonts w:ascii="宋体" w:cs="Times New Roman" w:hint="eastAsia"/>
        </w:rPr>
        <w:t>本基金实施侧袋机制的，应根据本部分的约定对主袋账户资产进行估值并披露主袋账户的基金净值信息，暂停披露侧袋账户份额净值。</w:t>
      </w:r>
    </w:p>
    <w:p w14:paraId="41FABD27" w14:textId="77777777" w:rsidR="007D7131" w:rsidRPr="008D4FFE" w:rsidRDefault="007D7131" w:rsidP="007D7131">
      <w:pPr>
        <w:snapToGrid w:val="0"/>
        <w:spacing w:line="360" w:lineRule="auto"/>
        <w:ind w:firstLineChars="200" w:firstLine="420"/>
        <w:rPr>
          <w:rFonts w:ascii="宋体" w:cs="Times New Roman"/>
        </w:rPr>
      </w:pPr>
    </w:p>
    <w:p w14:paraId="4B376473" w14:textId="77777777"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六、基金份额持有人名册的保管</w:t>
      </w:r>
    </w:p>
    <w:p w14:paraId="157725C4" w14:textId="77777777" w:rsidR="00D4540C" w:rsidRPr="00D4540C" w:rsidRDefault="00D4540C" w:rsidP="00D4540C">
      <w:pPr>
        <w:snapToGrid w:val="0"/>
        <w:spacing w:line="360" w:lineRule="auto"/>
        <w:ind w:firstLineChars="200" w:firstLine="420"/>
        <w:rPr>
          <w:rFonts w:ascii="宋体" w:cs="Times New Roman"/>
        </w:rPr>
      </w:pPr>
      <w:r w:rsidRPr="00D4540C">
        <w:rPr>
          <w:rFonts w:ascii="宋体" w:cs="Times New Roman" w:hint="eastAsia"/>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不少于法律法规规定的最低年限。如不能妥善保管，则按相关法规承担责任。</w:t>
      </w:r>
    </w:p>
    <w:p w14:paraId="15C97354" w14:textId="4594C04E" w:rsidR="008A2374" w:rsidRDefault="00D4540C" w:rsidP="008A2374">
      <w:pPr>
        <w:snapToGrid w:val="0"/>
        <w:spacing w:line="360" w:lineRule="auto"/>
        <w:ind w:firstLineChars="200" w:firstLine="420"/>
        <w:rPr>
          <w:rFonts w:ascii="宋体" w:cs="Times New Roman"/>
        </w:rPr>
      </w:pPr>
      <w:r w:rsidRPr="00D4540C">
        <w:rPr>
          <w:rFonts w:ascii="宋体" w:cs="Times New Roman" w:hint="eastAsia"/>
        </w:rPr>
        <w:t>在基金托管人要求或编制中期报告和年度报告前，基金管理人应将有关资料送交基金托管人，不得无故拒绝或延误提供，并保证其真实性、准确性和完整性。基金托管人不得将所保管的基金份额持有人名册用于基金托管业务以外的其他用途，并应遵守保密义务。</w:t>
      </w:r>
    </w:p>
    <w:p w14:paraId="4EF9F2AF" w14:textId="77777777" w:rsidR="007D7131" w:rsidRPr="007D7131" w:rsidRDefault="007D7131" w:rsidP="007D7131">
      <w:pPr>
        <w:snapToGrid w:val="0"/>
        <w:spacing w:line="360" w:lineRule="auto"/>
        <w:ind w:firstLineChars="200" w:firstLine="420"/>
        <w:rPr>
          <w:rFonts w:ascii="宋体" w:cs="Times New Roman"/>
        </w:rPr>
      </w:pPr>
    </w:p>
    <w:p w14:paraId="65DFFF49" w14:textId="77777777"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七、争议解决方式</w:t>
      </w:r>
    </w:p>
    <w:p w14:paraId="7B8BCC9D" w14:textId="77777777" w:rsidR="00D4540C" w:rsidRPr="00D4540C" w:rsidRDefault="00D4540C" w:rsidP="00D4540C">
      <w:pPr>
        <w:snapToGrid w:val="0"/>
        <w:spacing w:line="360" w:lineRule="auto"/>
        <w:ind w:firstLineChars="200" w:firstLine="420"/>
        <w:rPr>
          <w:rFonts w:ascii="宋体" w:cs="Times New Roman"/>
        </w:rPr>
      </w:pPr>
      <w:r w:rsidRPr="00D4540C">
        <w:rPr>
          <w:rFonts w:ascii="宋体" w:cs="Times New Roman" w:hint="eastAsia"/>
        </w:rPr>
        <w:t>因本协议产生或与之相关的争议，双方当事人应通过协商解决，如经友好协商未能解决的，任何一方均有权将争议提交中国国际经济贸易仲裁委员会，按照该会届时有效的仲裁规则进行仲裁。仲裁地点为北京市，仲裁裁决是终局的，对双方当事人均有约束力。除非仲裁裁决另有规定，仲裁费由败诉方承担。</w:t>
      </w:r>
    </w:p>
    <w:p w14:paraId="3D35AA5B" w14:textId="77777777" w:rsidR="00D4540C" w:rsidRPr="00D4540C" w:rsidRDefault="00D4540C" w:rsidP="00D4540C">
      <w:pPr>
        <w:snapToGrid w:val="0"/>
        <w:spacing w:line="360" w:lineRule="auto"/>
        <w:ind w:firstLineChars="200" w:firstLine="420"/>
        <w:rPr>
          <w:rFonts w:ascii="宋体" w:cs="Times New Roman"/>
        </w:rPr>
      </w:pPr>
      <w:r w:rsidRPr="00D4540C">
        <w:rPr>
          <w:rFonts w:ascii="宋体" w:cs="Times New Roman" w:hint="eastAsia"/>
        </w:rPr>
        <w:t>争议处理期间，双方当事人应恪守基金管理人和基金托管人职责，各种继续忠实、勤勉、尽责地履行基金合同和本托管协议规定的义务，维护基金份额持有人的合法权益。</w:t>
      </w:r>
    </w:p>
    <w:p w14:paraId="7DCCF2B0" w14:textId="079043BE" w:rsidR="00D4540C" w:rsidRDefault="00D4540C" w:rsidP="007D7131">
      <w:pPr>
        <w:snapToGrid w:val="0"/>
        <w:spacing w:line="360" w:lineRule="auto"/>
        <w:ind w:firstLineChars="200" w:firstLine="420"/>
        <w:rPr>
          <w:rFonts w:ascii="宋体" w:cs="Times New Roman"/>
        </w:rPr>
      </w:pPr>
      <w:r w:rsidRPr="00D4540C">
        <w:rPr>
          <w:rFonts w:ascii="宋体" w:cs="Times New Roman" w:hint="eastAsia"/>
        </w:rPr>
        <w:t>本协议受中国法律（</w:t>
      </w:r>
      <w:r w:rsidR="00945A21" w:rsidRPr="00945A21">
        <w:rPr>
          <w:rFonts w:ascii="宋体" w:cs="Times New Roman" w:hint="eastAsia"/>
        </w:rPr>
        <w:t>为本协议之目的，</w:t>
      </w:r>
      <w:r w:rsidRPr="00D4540C">
        <w:rPr>
          <w:rFonts w:ascii="宋体" w:cs="Times New Roman" w:hint="eastAsia"/>
        </w:rPr>
        <w:t>不含港澳台地区法律）管辖并从其解释。</w:t>
      </w:r>
    </w:p>
    <w:p w14:paraId="631CE076" w14:textId="77777777" w:rsidR="007D7131" w:rsidRPr="007D7131" w:rsidRDefault="007D7131" w:rsidP="007D7131">
      <w:pPr>
        <w:snapToGrid w:val="0"/>
        <w:spacing w:line="360" w:lineRule="auto"/>
        <w:ind w:firstLineChars="200" w:firstLine="420"/>
        <w:rPr>
          <w:rFonts w:ascii="宋体" w:cs="Times New Roman"/>
        </w:rPr>
      </w:pPr>
    </w:p>
    <w:p w14:paraId="65DBF0CC" w14:textId="77777777" w:rsidR="007D7131" w:rsidRPr="007D7131" w:rsidRDefault="007D7131" w:rsidP="007D7131">
      <w:pPr>
        <w:snapToGrid w:val="0"/>
        <w:spacing w:line="360" w:lineRule="auto"/>
        <w:ind w:firstLineChars="200" w:firstLine="420"/>
        <w:rPr>
          <w:rFonts w:ascii="宋体" w:cs="Times New Roman"/>
        </w:rPr>
      </w:pPr>
      <w:r w:rsidRPr="007D7131">
        <w:rPr>
          <w:rFonts w:ascii="宋体" w:cs="Times New Roman" w:hint="eastAsia"/>
        </w:rPr>
        <w:t>八、托管协议的变更、终止与基金财产的清算</w:t>
      </w:r>
    </w:p>
    <w:p w14:paraId="3DCDEEF6"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（一）托管协议的变更程序</w:t>
      </w:r>
    </w:p>
    <w:p w14:paraId="20553B85"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本协议双方当事人经协商一致，可以对协议进行修改。修改后的新协议，其内容不得与《基金合同》的规定有任何冲突。</w:t>
      </w:r>
    </w:p>
    <w:p w14:paraId="00D9233B"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（二）基金托管协议终止的情形</w:t>
      </w:r>
    </w:p>
    <w:p w14:paraId="25292D9B"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1.《基金合同》终止；</w:t>
      </w:r>
    </w:p>
    <w:p w14:paraId="37C75C5E"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2.基金托管人解散、依法被撤销、破产或由其他基金托管人接管基金资产；</w:t>
      </w:r>
    </w:p>
    <w:p w14:paraId="762F44F2"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3.基金管理人解散、依法被撤销、破产或由其他基金管理人接管基金管理权；</w:t>
      </w:r>
    </w:p>
    <w:p w14:paraId="0E74E251"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4.发生法律法规、中国证监会或《基金合同》规定的终止事项。</w:t>
      </w:r>
    </w:p>
    <w:p w14:paraId="351AEE35"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（三）基金财产的清算</w:t>
      </w:r>
    </w:p>
    <w:p w14:paraId="6531243E"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1、基金财产清算小组：自出现《基金合同》终止事由之日起30个工作日内成立清算小组，基金管理人组织基金财产清算小组并在中国证监会的监督下进行基金清算。</w:t>
      </w:r>
    </w:p>
    <w:p w14:paraId="2948592F"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2、基金财产清算小组组成：基金财产清算小组成员由基金管理人、基金托管人、符合《证券法》规定的注册会计师、律师以及中国证监会指定的人员组成。基金财产清算小组可以聘用必要的工作人员。</w:t>
      </w:r>
    </w:p>
    <w:p w14:paraId="579220D0"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3、基金财产清算小组职责：基金财产清算小组负责基金财产的保管、清理、估价、变现和分配。基金财产清算小组可以依法进行必要的民事活动。</w:t>
      </w:r>
    </w:p>
    <w:p w14:paraId="1C01A302"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4、基金财产清算程序：</w:t>
      </w:r>
    </w:p>
    <w:p w14:paraId="05D7363B"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（1）《基金合同》终止情形出现时，由基金财产清算小组统一接管基金；</w:t>
      </w:r>
    </w:p>
    <w:p w14:paraId="2C48393F"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（2）对基金财产和债权债务进行清理和确认；</w:t>
      </w:r>
    </w:p>
    <w:p w14:paraId="69C8E81F"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（3）对基金财产进行估值和变现；</w:t>
      </w:r>
    </w:p>
    <w:p w14:paraId="5B7DDCFA"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（4）制作清算报告；</w:t>
      </w:r>
    </w:p>
    <w:p w14:paraId="06935C5C"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（5）聘请符合《证券法》规定的会计师事务所对清算报告进行外部审计，聘请律师事务所对清算报告出具法律意见书；</w:t>
      </w:r>
    </w:p>
    <w:p w14:paraId="5E4ADA5C"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（6）将清算报告报中国证监会备案并公告；</w:t>
      </w:r>
    </w:p>
    <w:p w14:paraId="78A7EA50"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（7）对基金剩余财产进行分配。</w:t>
      </w:r>
    </w:p>
    <w:p w14:paraId="5CD4F8AB"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5、基金财产清算的期限为6个月，但因本基金所持证券的流动性受到限制而不能及时变现的，清算期限相应顺延。</w:t>
      </w:r>
    </w:p>
    <w:p w14:paraId="7154B0D4"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5910A6C1"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7、清算费用</w:t>
      </w:r>
    </w:p>
    <w:p w14:paraId="6EDA301F"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清算费用是指基金财产清算小组在进行基金清算过程中发生的所有合理费用，清算费用由基金财产清算小组优先从基金财产中支付。</w:t>
      </w:r>
    </w:p>
    <w:p w14:paraId="437518B0"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8、基金财产清算剩余资产的分配</w:t>
      </w:r>
    </w:p>
    <w:p w14:paraId="7E40E27D" w14:textId="308168F2"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依据基金财产清算的分配方案，将基金财产清算后的全部剩余资产扣除基金财产清算费用、交纳所欠税款并清偿基金债务后，按</w:t>
      </w:r>
      <w:r w:rsidR="00945A21" w:rsidRPr="00945A21">
        <w:rPr>
          <w:rFonts w:ascii="宋体" w:cs="Times New Roman" w:hint="eastAsia"/>
        </w:rPr>
        <w:t>各类基金份额在基金合同终止事由发生时各自基金份额资产净值的比例确定剩余财产在各类基金份额中的分配比例，并在各类基金份额可分配的剩余财产范围内按各份额类别内</w:t>
      </w:r>
      <w:r w:rsidRPr="00AF6024">
        <w:rPr>
          <w:rFonts w:ascii="宋体" w:cs="Times New Roman" w:hint="eastAsia"/>
        </w:rPr>
        <w:t>基金份额持有人持有的基金份额比例进行分配。</w:t>
      </w:r>
    </w:p>
    <w:p w14:paraId="1A3DCB5A"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9、基金财产清算的公告</w:t>
      </w:r>
    </w:p>
    <w:p w14:paraId="4FAEEB93"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049042DE" w14:textId="77777777" w:rsidR="00AF6024" w:rsidRPr="00AF6024" w:rsidRDefault="00AF6024" w:rsidP="00AF6024">
      <w:pPr>
        <w:snapToGrid w:val="0"/>
        <w:spacing w:line="360" w:lineRule="auto"/>
        <w:ind w:firstLineChars="200" w:firstLine="420"/>
        <w:rPr>
          <w:rFonts w:ascii="宋体" w:cs="Times New Roman"/>
        </w:rPr>
      </w:pPr>
      <w:r w:rsidRPr="00AF6024">
        <w:rPr>
          <w:rFonts w:ascii="宋体" w:cs="Times New Roman" w:hint="eastAsia"/>
        </w:rPr>
        <w:t>10、基金财产清算账册及文件的保存</w:t>
      </w:r>
    </w:p>
    <w:p w14:paraId="0D586953" w14:textId="6A5B92B5" w:rsidR="009C2D86" w:rsidRPr="007D7131" w:rsidRDefault="00AF6024">
      <w:pPr>
        <w:snapToGrid w:val="0"/>
        <w:spacing w:line="360" w:lineRule="auto"/>
        <w:ind w:firstLineChars="200" w:firstLine="420"/>
        <w:rPr>
          <w:rFonts w:ascii="宋体" w:cs="Times New Roman"/>
        </w:rPr>
      </w:pPr>
      <w:r w:rsidRPr="00AF6024">
        <w:rPr>
          <w:rFonts w:ascii="宋体" w:cs="Times New Roman" w:hint="eastAsia"/>
        </w:rPr>
        <w:t>基金财产清算账册及有关文件由基金托管人保存不少于法律法规规定的最低年限。</w:t>
      </w:r>
    </w:p>
    <w:p w14:paraId="13CD59B7" w14:textId="77777777" w:rsidR="009C2D86" w:rsidRDefault="009C2D86">
      <w:pPr>
        <w:snapToGrid w:val="0"/>
        <w:spacing w:line="360" w:lineRule="auto"/>
        <w:ind w:firstLineChars="200" w:firstLine="420"/>
        <w:rPr>
          <w:rFonts w:ascii="宋体" w:cs="Times New Roman"/>
        </w:rPr>
      </w:pPr>
    </w:p>
    <w:p w14:paraId="47F77CAC" w14:textId="77777777" w:rsidR="009C2D86" w:rsidRDefault="0027599D">
      <w:pPr>
        <w:snapToGrid w:val="0"/>
        <w:spacing w:line="360" w:lineRule="auto"/>
        <w:ind w:firstLineChars="200" w:firstLine="420"/>
        <w:rPr>
          <w:rFonts w:ascii="宋体" w:cs="Times New Roman"/>
          <w:color w:val="000000"/>
        </w:rPr>
      </w:pPr>
      <w:r>
        <w:rPr>
          <w:rFonts w:ascii="宋体" w:cs="Times New Roman"/>
          <w:bCs/>
          <w:color w:val="000000"/>
        </w:rPr>
        <w:br w:type="page"/>
      </w:r>
    </w:p>
    <w:p w14:paraId="7C76BF5A"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91" w:name="_Toc360793864"/>
      <w:bookmarkStart w:id="192" w:name="_Toc360794530"/>
      <w:bookmarkStart w:id="193" w:name="_Toc362455197"/>
      <w:bookmarkStart w:id="194" w:name="_Toc360794114"/>
      <w:bookmarkStart w:id="195" w:name="_Toc362533469"/>
      <w:bookmarkStart w:id="196" w:name="_Toc360793512"/>
      <w:bookmarkStart w:id="197" w:name="_Toc48900088"/>
      <w:bookmarkStart w:id="198" w:name="_Toc360794422"/>
      <w:bookmarkEnd w:id="189"/>
      <w:r>
        <w:rPr>
          <w:rFonts w:ascii="宋体" w:eastAsia="宋体" w:hAnsi="宋体" w:cs="宋体" w:hint="eastAsia"/>
        </w:rPr>
        <w:t>基金份额持有人服务</w:t>
      </w:r>
      <w:bookmarkEnd w:id="191"/>
      <w:bookmarkEnd w:id="192"/>
      <w:bookmarkEnd w:id="193"/>
      <w:bookmarkEnd w:id="194"/>
      <w:bookmarkEnd w:id="195"/>
      <w:bookmarkEnd w:id="196"/>
      <w:bookmarkEnd w:id="197"/>
      <w:bookmarkEnd w:id="198"/>
    </w:p>
    <w:p w14:paraId="7297DCF9" w14:textId="77777777" w:rsidR="009C2D86" w:rsidRDefault="009C2D86">
      <w:pPr>
        <w:snapToGrid w:val="0"/>
        <w:spacing w:line="360" w:lineRule="auto"/>
        <w:ind w:firstLine="480"/>
        <w:rPr>
          <w:rFonts w:ascii="宋体" w:cs="Times New Roman"/>
        </w:rPr>
      </w:pPr>
    </w:p>
    <w:p w14:paraId="47053145" w14:textId="77777777" w:rsidR="009C2D86" w:rsidRDefault="0027599D">
      <w:pPr>
        <w:snapToGrid w:val="0"/>
        <w:spacing w:line="360" w:lineRule="auto"/>
        <w:ind w:firstLine="480"/>
        <w:rPr>
          <w:rFonts w:ascii="宋体" w:hAnsi="宋体" w:cs="宋体"/>
          <w:bCs/>
        </w:rPr>
      </w:pPr>
      <w:r>
        <w:rPr>
          <w:rFonts w:ascii="宋体" w:hAnsi="宋体" w:cs="宋体" w:hint="eastAsia"/>
          <w:bCs/>
        </w:rPr>
        <w:t>对基金份额持有人的服务主要由基金管理人及销售机构提供，以下是</w:t>
      </w:r>
      <w:r>
        <w:rPr>
          <w:rFonts w:ascii="宋体" w:hAnsi="宋体" w:cs="宋体"/>
          <w:bCs/>
        </w:rPr>
        <w:t>基金管理人提供的主要服务</w:t>
      </w:r>
      <w:r>
        <w:rPr>
          <w:rFonts w:ascii="宋体" w:hAnsi="宋体" w:cs="宋体" w:hint="eastAsia"/>
          <w:bCs/>
        </w:rPr>
        <w:t>内容。基金管理人根据基金份额持有人的需要和市场的变化，有权在符合法律法规的前提下，增加和修改相关服务项目。如因系统、</w:t>
      </w:r>
      <w:r>
        <w:rPr>
          <w:rFonts w:ascii="宋体" w:hAnsi="宋体" w:cs="宋体"/>
          <w:bCs/>
        </w:rPr>
        <w:t>第三方</w:t>
      </w:r>
      <w:r>
        <w:rPr>
          <w:rFonts w:ascii="宋体" w:hAnsi="宋体" w:cs="宋体" w:hint="eastAsia"/>
          <w:bCs/>
        </w:rPr>
        <w:t>或不可抗力等原因，导致下述服务无法</w:t>
      </w:r>
      <w:r>
        <w:rPr>
          <w:rFonts w:ascii="宋体" w:hAnsi="宋体" w:cs="宋体"/>
          <w:bCs/>
        </w:rPr>
        <w:t>提供</w:t>
      </w:r>
      <w:r>
        <w:rPr>
          <w:rFonts w:ascii="宋体" w:hAnsi="宋体" w:cs="宋体" w:hint="eastAsia"/>
          <w:bCs/>
        </w:rPr>
        <w:t>，基金管理人不承担任何责任。</w:t>
      </w:r>
    </w:p>
    <w:p w14:paraId="2D4004CD" w14:textId="77777777" w:rsidR="009C2D86" w:rsidRDefault="0027599D">
      <w:pPr>
        <w:snapToGrid w:val="0"/>
        <w:spacing w:line="360" w:lineRule="auto"/>
        <w:ind w:firstLine="480"/>
        <w:rPr>
          <w:rFonts w:ascii="宋体" w:hAnsi="宋体" w:cs="宋体"/>
          <w:bCs/>
        </w:rPr>
      </w:pPr>
      <w:r>
        <w:rPr>
          <w:rFonts w:ascii="宋体" w:hAnsi="宋体" w:cs="宋体" w:hint="eastAsia"/>
          <w:bCs/>
        </w:rPr>
        <w:t>若本基金包含在中国香港特别行政区销售的</w:t>
      </w:r>
      <w:r>
        <w:rPr>
          <w:rFonts w:ascii="宋体" w:hAnsi="宋体" w:cs="宋体"/>
          <w:bCs/>
        </w:rPr>
        <w:t>H</w:t>
      </w:r>
      <w:r>
        <w:rPr>
          <w:rFonts w:ascii="宋体" w:hAnsi="宋体" w:cs="宋体" w:hint="eastAsia"/>
          <w:bCs/>
        </w:rPr>
        <w:t>类份额，则该H类份额持有人享有的服务项目一般情况下限于客户服务中心电话服务、投资人投诉及建议受理服务和网站资讯等服务。</w:t>
      </w:r>
    </w:p>
    <w:p w14:paraId="0C04F30F" w14:textId="77777777" w:rsidR="009C2D86" w:rsidRDefault="009C2D86">
      <w:pPr>
        <w:snapToGrid w:val="0"/>
        <w:spacing w:line="360" w:lineRule="auto"/>
        <w:ind w:firstLine="480"/>
        <w:rPr>
          <w:rFonts w:ascii="宋体" w:hAnsi="宋体" w:cs="宋体"/>
          <w:bCs/>
        </w:rPr>
      </w:pPr>
    </w:p>
    <w:p w14:paraId="34ED3DF9" w14:textId="77777777" w:rsidR="009C2D86" w:rsidRDefault="0027599D">
      <w:pPr>
        <w:snapToGrid w:val="0"/>
        <w:spacing w:line="360" w:lineRule="auto"/>
        <w:ind w:firstLine="480"/>
        <w:rPr>
          <w:rFonts w:ascii="宋体" w:hAnsi="宋体" w:cs="宋体"/>
          <w:b/>
          <w:bCs/>
        </w:rPr>
      </w:pPr>
      <w:r>
        <w:rPr>
          <w:rFonts w:ascii="宋体" w:hAnsi="宋体" w:cs="宋体" w:hint="eastAsia"/>
          <w:b/>
          <w:bCs/>
        </w:rPr>
        <w:t>一、网上开户及交易服务</w:t>
      </w:r>
    </w:p>
    <w:p w14:paraId="0C6F43CA" w14:textId="77777777" w:rsidR="009C2D86" w:rsidRDefault="0027599D">
      <w:pPr>
        <w:snapToGrid w:val="0"/>
        <w:spacing w:line="360" w:lineRule="auto"/>
        <w:ind w:firstLine="480"/>
        <w:rPr>
          <w:rFonts w:ascii="宋体" w:hAnsi="宋体" w:cs="宋体"/>
          <w:bCs/>
        </w:rPr>
      </w:pPr>
      <w:r>
        <w:rPr>
          <w:rFonts w:ascii="宋体" w:hAnsi="宋体" w:cs="宋体" w:hint="eastAsia"/>
          <w:bCs/>
        </w:rPr>
        <w:t>投资人可通过基金管理人网站</w:t>
      </w:r>
      <w:r>
        <w:rPr>
          <w:rFonts w:ascii="宋体" w:hAnsi="宋体" w:cs="宋体"/>
          <w:bCs/>
        </w:rPr>
        <w:t>（www.nffund</w:t>
      </w:r>
      <w:r>
        <w:rPr>
          <w:rFonts w:ascii="宋体" w:hAnsi="宋体" w:cs="宋体" w:hint="eastAsia"/>
          <w:bCs/>
        </w:rPr>
        <w:t>.</w:t>
      </w:r>
      <w:r>
        <w:rPr>
          <w:rFonts w:ascii="宋体" w:hAnsi="宋体" w:cs="宋体"/>
          <w:bCs/>
        </w:rPr>
        <w:t>com）</w:t>
      </w:r>
      <w:r>
        <w:rPr>
          <w:rFonts w:ascii="宋体" w:hAnsi="宋体" w:cs="宋体" w:hint="eastAsia"/>
          <w:bCs/>
        </w:rPr>
        <w:t>、微信公众号（可搜索“南方基金”或“NF4008898899”）或APP客户端办理开户、认购/申购、赎回及信息查询等业务。</w:t>
      </w:r>
      <w:r>
        <w:rPr>
          <w:rFonts w:ascii="宋体" w:hAnsi="宋体" w:cs="宋体"/>
          <w:bCs/>
        </w:rPr>
        <w:t>有关基金</w:t>
      </w:r>
      <w:r>
        <w:rPr>
          <w:rFonts w:ascii="宋体" w:hAnsi="宋体" w:cs="宋体" w:hint="eastAsia"/>
          <w:bCs/>
        </w:rPr>
        <w:t>管理</w:t>
      </w:r>
      <w:r>
        <w:rPr>
          <w:rFonts w:ascii="宋体" w:hAnsi="宋体" w:cs="宋体"/>
          <w:bCs/>
        </w:rPr>
        <w:t>人电子直销具体规则请</w:t>
      </w:r>
      <w:r>
        <w:rPr>
          <w:rFonts w:ascii="宋体" w:hAnsi="宋体" w:cs="宋体" w:hint="eastAsia"/>
          <w:bCs/>
        </w:rPr>
        <w:t>参见基金管理人</w:t>
      </w:r>
      <w:r>
        <w:rPr>
          <w:rFonts w:ascii="宋体" w:hAnsi="宋体" w:cs="宋体"/>
          <w:bCs/>
        </w:rPr>
        <w:t>网站</w:t>
      </w:r>
      <w:r>
        <w:rPr>
          <w:rFonts w:ascii="宋体" w:hAnsi="宋体" w:cs="宋体" w:hint="eastAsia"/>
          <w:bCs/>
        </w:rPr>
        <w:t>相关公告和业务规则</w:t>
      </w:r>
      <w:r>
        <w:rPr>
          <w:rFonts w:ascii="宋体" w:hAnsi="宋体" w:cs="宋体"/>
          <w:bCs/>
        </w:rPr>
        <w:t>。</w:t>
      </w:r>
    </w:p>
    <w:p w14:paraId="2388570E" w14:textId="77777777" w:rsidR="009C2D86" w:rsidRDefault="009C2D86">
      <w:pPr>
        <w:snapToGrid w:val="0"/>
        <w:spacing w:line="360" w:lineRule="auto"/>
        <w:ind w:firstLine="480"/>
        <w:rPr>
          <w:rFonts w:ascii="宋体" w:hAnsi="宋体" w:cs="宋体"/>
          <w:b/>
          <w:bCs/>
        </w:rPr>
      </w:pPr>
    </w:p>
    <w:p w14:paraId="4080702E" w14:textId="77777777" w:rsidR="009C2D86" w:rsidRDefault="0027599D">
      <w:pPr>
        <w:snapToGrid w:val="0"/>
        <w:spacing w:line="360" w:lineRule="auto"/>
        <w:ind w:firstLine="480"/>
        <w:rPr>
          <w:rFonts w:ascii="宋体" w:hAnsi="宋体" w:cs="宋体"/>
          <w:b/>
          <w:bCs/>
        </w:rPr>
      </w:pPr>
      <w:r>
        <w:rPr>
          <w:rFonts w:ascii="宋体" w:hAnsi="宋体" w:cs="宋体" w:hint="eastAsia"/>
          <w:b/>
          <w:bCs/>
        </w:rPr>
        <w:t>二、信息查询及交易确认服务</w:t>
      </w:r>
    </w:p>
    <w:p w14:paraId="1A5C621D" w14:textId="77777777" w:rsidR="009C2D86" w:rsidRDefault="0027599D">
      <w:pPr>
        <w:snapToGrid w:val="0"/>
        <w:spacing w:line="360" w:lineRule="auto"/>
        <w:ind w:firstLine="480"/>
        <w:rPr>
          <w:rFonts w:ascii="宋体" w:hAnsi="宋体" w:cs="宋体"/>
          <w:b/>
          <w:bCs/>
        </w:rPr>
      </w:pPr>
      <w:r>
        <w:rPr>
          <w:rFonts w:ascii="宋体" w:hAnsi="宋体" w:cs="宋体" w:hint="eastAsia"/>
          <w:b/>
          <w:bCs/>
        </w:rPr>
        <w:t>（一）基金信息查询服务</w:t>
      </w:r>
    </w:p>
    <w:p w14:paraId="652CBE5C" w14:textId="77777777" w:rsidR="009C2D86" w:rsidRDefault="0027599D">
      <w:pPr>
        <w:snapToGrid w:val="0"/>
        <w:spacing w:line="360" w:lineRule="auto"/>
        <w:ind w:firstLine="480"/>
        <w:rPr>
          <w:rFonts w:ascii="宋体" w:hAnsi="宋体" w:cs="宋体"/>
          <w:bCs/>
        </w:rPr>
      </w:pPr>
      <w:r>
        <w:rPr>
          <w:rFonts w:ascii="宋体" w:hAnsi="宋体" w:cs="宋体" w:hint="eastAsia"/>
          <w:bCs/>
        </w:rPr>
        <w:t>投资人通过基金管理人网站等平台可享有基金交易查询、账户查询和基金管理人依法披露</w:t>
      </w:r>
      <w:r>
        <w:rPr>
          <w:rFonts w:ascii="宋体" w:hAnsi="宋体" w:cs="宋体"/>
          <w:bCs/>
        </w:rPr>
        <w:t>的各类</w:t>
      </w:r>
      <w:r>
        <w:rPr>
          <w:rFonts w:ascii="宋体" w:hAnsi="宋体" w:cs="宋体" w:hint="eastAsia"/>
          <w:bCs/>
        </w:rPr>
        <w:t>基金</w:t>
      </w:r>
      <w:r>
        <w:rPr>
          <w:rFonts w:ascii="宋体" w:hAnsi="宋体" w:cs="宋体"/>
          <w:bCs/>
        </w:rPr>
        <w:t>信息</w:t>
      </w:r>
      <w:r>
        <w:rPr>
          <w:rFonts w:ascii="宋体" w:hAnsi="宋体" w:cs="宋体" w:hint="eastAsia"/>
          <w:bCs/>
        </w:rPr>
        <w:t>等服务，</w:t>
      </w:r>
      <w:r>
        <w:rPr>
          <w:rFonts w:ascii="宋体" w:hAnsi="宋体" w:cs="宋体"/>
          <w:bCs/>
        </w:rPr>
        <w:t>包括</w:t>
      </w:r>
      <w:r>
        <w:rPr>
          <w:rFonts w:ascii="宋体" w:hAnsi="宋体" w:cs="宋体" w:hint="eastAsia"/>
          <w:bCs/>
        </w:rPr>
        <w:t>基金产品基本信息（包括基金名称、基金管理人名称、基金代码、风险等级、持有份额、单位净值、收益情况等）、</w:t>
      </w:r>
      <w:r>
        <w:rPr>
          <w:rFonts w:ascii="宋体" w:hAnsi="宋体" w:cs="宋体"/>
          <w:bCs/>
        </w:rPr>
        <w:t>基金的法律文件、</w:t>
      </w:r>
      <w:r>
        <w:rPr>
          <w:rFonts w:ascii="宋体" w:hAnsi="宋体" w:cs="宋体" w:hint="eastAsia"/>
          <w:bCs/>
        </w:rPr>
        <w:t>基金公告、定期</w:t>
      </w:r>
      <w:r>
        <w:rPr>
          <w:rFonts w:ascii="宋体" w:hAnsi="宋体" w:cs="宋体"/>
          <w:bCs/>
        </w:rPr>
        <w:t>报告</w:t>
      </w:r>
      <w:r>
        <w:rPr>
          <w:rFonts w:ascii="宋体" w:hAnsi="宋体" w:cs="宋体" w:hint="eastAsia"/>
          <w:bCs/>
        </w:rPr>
        <w:t>和</w:t>
      </w:r>
      <w:r>
        <w:rPr>
          <w:rFonts w:ascii="宋体" w:hAnsi="宋体" w:cs="宋体"/>
          <w:bCs/>
        </w:rPr>
        <w:t>基金管理人最新动态等各类资料。</w:t>
      </w:r>
    </w:p>
    <w:p w14:paraId="008FC8BC" w14:textId="77777777" w:rsidR="009C2D86" w:rsidRDefault="0027599D">
      <w:pPr>
        <w:snapToGrid w:val="0"/>
        <w:spacing w:line="360" w:lineRule="auto"/>
        <w:ind w:firstLine="480"/>
        <w:rPr>
          <w:rFonts w:ascii="宋体" w:hAnsi="宋体" w:cs="宋体"/>
          <w:b/>
          <w:bCs/>
        </w:rPr>
      </w:pPr>
      <w:r>
        <w:rPr>
          <w:rFonts w:ascii="宋体" w:hAnsi="宋体" w:cs="宋体" w:hint="eastAsia"/>
          <w:b/>
          <w:bCs/>
        </w:rPr>
        <w:t>（二）基金交易确认服务</w:t>
      </w:r>
    </w:p>
    <w:p w14:paraId="27148AB2" w14:textId="77777777" w:rsidR="009C2D86" w:rsidRDefault="0027599D">
      <w:pPr>
        <w:snapToGrid w:val="0"/>
        <w:spacing w:line="360" w:lineRule="auto"/>
        <w:ind w:firstLine="480"/>
        <w:rPr>
          <w:rFonts w:ascii="宋体" w:hAnsi="宋体" w:cs="宋体"/>
          <w:bCs/>
        </w:rPr>
      </w:pPr>
      <w:r>
        <w:rPr>
          <w:rFonts w:ascii="宋体" w:hAnsi="宋体" w:cs="宋体" w:hint="eastAsia"/>
          <w:bCs/>
        </w:rPr>
        <w:t>基金管理人以电子邮件、微信或其他与投资人约定的形式及时向通过基金管理人直销渠道投资并持有基金管理人基金份额的持有人告知其认购、申购、赎回的基金名称以及基金份额的确认日期、确认份额和金额等信息。基金份额持有人通过</w:t>
      </w:r>
      <w:r>
        <w:rPr>
          <w:rFonts w:ascii="宋体" w:hAnsi="宋体" w:cs="宋体"/>
          <w:bCs/>
        </w:rPr>
        <w:t>非直销销售机构</w:t>
      </w:r>
      <w:r>
        <w:rPr>
          <w:rFonts w:ascii="宋体" w:hAnsi="宋体" w:cs="宋体" w:hint="eastAsia"/>
          <w:bCs/>
        </w:rPr>
        <w:t>办理基金管理人基金份额</w:t>
      </w:r>
      <w:r>
        <w:rPr>
          <w:rFonts w:ascii="宋体" w:hAnsi="宋体" w:cs="宋体"/>
          <w:bCs/>
        </w:rPr>
        <w:t>交易</w:t>
      </w:r>
      <w:r>
        <w:rPr>
          <w:rFonts w:ascii="宋体" w:hAnsi="宋体" w:cs="宋体" w:hint="eastAsia"/>
          <w:bCs/>
        </w:rPr>
        <w:t>业务的，相关信息</w:t>
      </w:r>
      <w:r>
        <w:rPr>
          <w:rFonts w:ascii="宋体" w:hAnsi="宋体" w:cs="宋体"/>
          <w:bCs/>
        </w:rPr>
        <w:t>确认服务请参照各销售机构实际业务流程及规定。</w:t>
      </w:r>
    </w:p>
    <w:p w14:paraId="5A19A38F" w14:textId="77777777" w:rsidR="009C2D86" w:rsidRDefault="009C2D86">
      <w:pPr>
        <w:snapToGrid w:val="0"/>
        <w:spacing w:line="360" w:lineRule="auto"/>
        <w:ind w:firstLine="480"/>
        <w:rPr>
          <w:rFonts w:ascii="宋体" w:hAnsi="宋体" w:cs="宋体"/>
          <w:bCs/>
        </w:rPr>
      </w:pPr>
    </w:p>
    <w:p w14:paraId="24A48293" w14:textId="77777777" w:rsidR="009C2D86" w:rsidRDefault="0027599D">
      <w:pPr>
        <w:snapToGrid w:val="0"/>
        <w:spacing w:line="360" w:lineRule="auto"/>
        <w:ind w:firstLine="480"/>
        <w:rPr>
          <w:rFonts w:ascii="宋体" w:hAnsi="宋体" w:cs="宋体"/>
          <w:b/>
          <w:bCs/>
        </w:rPr>
      </w:pPr>
      <w:r>
        <w:rPr>
          <w:rFonts w:ascii="宋体" w:hAnsi="宋体" w:cs="宋体" w:hint="eastAsia"/>
          <w:b/>
          <w:bCs/>
        </w:rPr>
        <w:t>三、基金保有情况信息服务</w:t>
      </w:r>
    </w:p>
    <w:p w14:paraId="5632067C" w14:textId="77777777" w:rsidR="009C2D86" w:rsidRDefault="0027599D">
      <w:pPr>
        <w:snapToGrid w:val="0"/>
        <w:spacing w:line="360" w:lineRule="auto"/>
        <w:ind w:firstLine="480"/>
        <w:rPr>
          <w:rFonts w:ascii="宋体" w:hAnsi="宋体" w:cs="宋体"/>
          <w:bCs/>
        </w:rPr>
      </w:pPr>
      <w:r>
        <w:rPr>
          <w:rFonts w:ascii="宋体" w:hAnsi="宋体" w:cs="宋体" w:hint="eastAsia"/>
          <w:bCs/>
        </w:rPr>
        <w:t>基金管理人至少每年度以电子邮件、微信或其他与投资人约定的形式向通过基金管理人直销渠道投资并持有基金管理人基金份额的持有人提供基金保有情况信息。</w:t>
      </w:r>
    </w:p>
    <w:p w14:paraId="582FAF04" w14:textId="77777777" w:rsidR="009C2D86" w:rsidRDefault="0027599D">
      <w:pPr>
        <w:snapToGrid w:val="0"/>
        <w:spacing w:line="360" w:lineRule="auto"/>
        <w:ind w:firstLine="480"/>
        <w:rPr>
          <w:rFonts w:ascii="宋体" w:hAnsi="宋体" w:cs="宋体"/>
          <w:bCs/>
        </w:rPr>
      </w:pPr>
      <w:r>
        <w:rPr>
          <w:rFonts w:ascii="宋体" w:hAnsi="宋体" w:cs="宋体"/>
          <w:bCs/>
        </w:rPr>
        <w:t>基金份额持有人可通过以下方式</w:t>
      </w:r>
      <w:r>
        <w:rPr>
          <w:rFonts w:ascii="宋体" w:hAnsi="宋体" w:cs="宋体" w:hint="eastAsia"/>
          <w:bCs/>
        </w:rPr>
        <w:t>订阅或</w:t>
      </w:r>
      <w:r>
        <w:rPr>
          <w:rFonts w:ascii="宋体" w:hAnsi="宋体" w:cs="宋体"/>
          <w:bCs/>
        </w:rPr>
        <w:t>查阅</w:t>
      </w:r>
      <w:r>
        <w:rPr>
          <w:rFonts w:ascii="宋体" w:hAnsi="宋体" w:cs="宋体" w:hint="eastAsia"/>
          <w:bCs/>
        </w:rPr>
        <w:t>基金保有情况信息</w:t>
      </w:r>
      <w:r>
        <w:rPr>
          <w:rFonts w:ascii="宋体" w:hAnsi="宋体" w:cs="宋体"/>
          <w:bCs/>
        </w:rPr>
        <w:t>：</w:t>
      </w:r>
    </w:p>
    <w:p w14:paraId="385A22D7" w14:textId="77777777" w:rsidR="009C2D86" w:rsidRDefault="0027599D">
      <w:pPr>
        <w:snapToGrid w:val="0"/>
        <w:spacing w:line="360" w:lineRule="auto"/>
        <w:ind w:firstLine="480"/>
        <w:rPr>
          <w:rFonts w:ascii="宋体" w:hAnsi="宋体" w:cs="宋体"/>
          <w:bCs/>
        </w:rPr>
      </w:pPr>
      <w:r>
        <w:rPr>
          <w:rFonts w:ascii="宋体" w:hAnsi="宋体" w:cs="宋体" w:hint="eastAsia"/>
          <w:bCs/>
        </w:rPr>
        <w:t>1</w:t>
      </w:r>
      <w:r>
        <w:rPr>
          <w:rFonts w:ascii="宋体" w:hAnsi="宋体" w:cs="宋体"/>
          <w:bCs/>
        </w:rPr>
        <w:t>、基金份额持有人可通过</w:t>
      </w:r>
      <w:r>
        <w:rPr>
          <w:rFonts w:ascii="宋体" w:hAnsi="宋体" w:cs="宋体" w:hint="eastAsia"/>
          <w:bCs/>
        </w:rPr>
        <w:t>基金管理人</w:t>
      </w:r>
      <w:r>
        <w:rPr>
          <w:rFonts w:ascii="宋体" w:hAnsi="宋体" w:cs="宋体"/>
          <w:bCs/>
        </w:rPr>
        <w:t>网站、</w:t>
      </w:r>
      <w:r>
        <w:rPr>
          <w:rFonts w:ascii="宋体" w:hAnsi="宋体" w:cs="宋体" w:hint="eastAsia"/>
          <w:bCs/>
        </w:rPr>
        <w:t>客服</w:t>
      </w:r>
      <w:r>
        <w:rPr>
          <w:rFonts w:ascii="宋体" w:hAnsi="宋体" w:cs="宋体"/>
          <w:bCs/>
        </w:rPr>
        <w:t>电话等方式定制电子</w:t>
      </w:r>
      <w:r>
        <w:rPr>
          <w:rFonts w:ascii="宋体" w:hAnsi="宋体" w:cs="宋体" w:hint="eastAsia"/>
          <w:bCs/>
        </w:rPr>
        <w:t>邮件</w:t>
      </w:r>
      <w:r>
        <w:rPr>
          <w:rFonts w:ascii="宋体" w:hAnsi="宋体" w:cs="宋体"/>
          <w:bCs/>
        </w:rPr>
        <w:t>形式的定期对账单。</w:t>
      </w:r>
    </w:p>
    <w:p w14:paraId="74F76BA4" w14:textId="77777777" w:rsidR="009C2D86" w:rsidRDefault="0027599D">
      <w:pPr>
        <w:snapToGrid w:val="0"/>
        <w:spacing w:line="360" w:lineRule="auto"/>
        <w:ind w:firstLine="480"/>
        <w:rPr>
          <w:rFonts w:ascii="宋体" w:hAnsi="宋体" w:cs="宋体"/>
          <w:bCs/>
        </w:rPr>
      </w:pPr>
      <w:r>
        <w:rPr>
          <w:rFonts w:ascii="宋体" w:hAnsi="宋体" w:cs="宋体" w:hint="eastAsia"/>
          <w:bCs/>
        </w:rPr>
        <w:t>2、</w:t>
      </w:r>
      <w:r>
        <w:rPr>
          <w:rFonts w:ascii="宋体" w:hAnsi="宋体" w:cs="宋体"/>
          <w:bCs/>
        </w:rPr>
        <w:t>基金份额持有人</w:t>
      </w:r>
      <w:r>
        <w:rPr>
          <w:rFonts w:ascii="宋体" w:hAnsi="宋体" w:cs="宋体" w:hint="eastAsia"/>
          <w:bCs/>
        </w:rPr>
        <w:t>可关注基金管理人微信公众号并绑定账户，定期接收微信对账单。</w:t>
      </w:r>
    </w:p>
    <w:p w14:paraId="52E9751A" w14:textId="77777777" w:rsidR="009C2D86" w:rsidRDefault="0027599D">
      <w:pPr>
        <w:snapToGrid w:val="0"/>
        <w:spacing w:line="360" w:lineRule="auto"/>
        <w:ind w:firstLine="480"/>
        <w:rPr>
          <w:rFonts w:ascii="宋体" w:hAnsi="宋体" w:cs="宋体"/>
          <w:bCs/>
        </w:rPr>
      </w:pPr>
      <w:r>
        <w:rPr>
          <w:rFonts w:ascii="宋体" w:hAnsi="宋体" w:cs="宋体"/>
          <w:bCs/>
        </w:rPr>
        <w:t>3</w:t>
      </w:r>
      <w:r>
        <w:rPr>
          <w:rFonts w:ascii="宋体" w:hAnsi="宋体" w:cs="宋体" w:hint="eastAsia"/>
          <w:bCs/>
        </w:rPr>
        <w:t>、</w:t>
      </w:r>
      <w:r>
        <w:rPr>
          <w:rFonts w:ascii="宋体" w:hAnsi="宋体" w:cs="宋体"/>
          <w:bCs/>
        </w:rPr>
        <w:t>基金份额持有人可登录本</w:t>
      </w:r>
      <w:r>
        <w:rPr>
          <w:rFonts w:ascii="宋体" w:hAnsi="宋体" w:cs="宋体" w:hint="eastAsia"/>
          <w:bCs/>
        </w:rPr>
        <w:t>基金管理人</w:t>
      </w:r>
      <w:r>
        <w:rPr>
          <w:rFonts w:ascii="宋体" w:hAnsi="宋体" w:cs="宋体"/>
          <w:bCs/>
        </w:rPr>
        <w:t>网站（www.nffund</w:t>
      </w:r>
      <w:r>
        <w:rPr>
          <w:rFonts w:ascii="宋体" w:hAnsi="宋体" w:cs="宋体" w:hint="eastAsia"/>
          <w:bCs/>
        </w:rPr>
        <w:t>.</w:t>
      </w:r>
      <w:r>
        <w:rPr>
          <w:rFonts w:ascii="宋体" w:hAnsi="宋体" w:cs="宋体"/>
          <w:bCs/>
        </w:rPr>
        <w:t>com）查阅</w:t>
      </w:r>
      <w:r>
        <w:rPr>
          <w:rFonts w:ascii="宋体" w:hAnsi="宋体" w:cs="宋体" w:hint="eastAsia"/>
          <w:bCs/>
        </w:rPr>
        <w:t>及下载基金保有情况及</w:t>
      </w:r>
      <w:r>
        <w:rPr>
          <w:rFonts w:ascii="宋体" w:hAnsi="宋体" w:cs="宋体"/>
          <w:bCs/>
        </w:rPr>
        <w:t>对账单。</w:t>
      </w:r>
    </w:p>
    <w:p w14:paraId="613E5078" w14:textId="77777777" w:rsidR="009C2D86" w:rsidRDefault="0027599D">
      <w:pPr>
        <w:snapToGrid w:val="0"/>
        <w:spacing w:line="360" w:lineRule="auto"/>
        <w:ind w:firstLine="480"/>
        <w:rPr>
          <w:rFonts w:ascii="宋体" w:hAnsi="宋体" w:cs="宋体"/>
          <w:bCs/>
        </w:rPr>
      </w:pPr>
      <w:r>
        <w:rPr>
          <w:rFonts w:ascii="宋体" w:hAnsi="宋体" w:cs="宋体"/>
          <w:bCs/>
        </w:rPr>
        <w:t>4</w:t>
      </w:r>
      <w:r>
        <w:rPr>
          <w:rFonts w:ascii="宋体" w:hAnsi="宋体" w:cs="宋体" w:hint="eastAsia"/>
          <w:bCs/>
        </w:rPr>
        <w:t>、</w:t>
      </w:r>
      <w:r>
        <w:rPr>
          <w:rFonts w:ascii="宋体" w:hAnsi="宋体" w:cs="宋体"/>
          <w:bCs/>
        </w:rPr>
        <w:t>基金份额持有人可</w:t>
      </w:r>
      <w:r>
        <w:rPr>
          <w:rFonts w:ascii="宋体" w:hAnsi="宋体" w:cs="宋体" w:hint="eastAsia"/>
          <w:bCs/>
        </w:rPr>
        <w:t>前往销售机构交易网点打印或通过交易网点提供的自助、电话、网上服务等渠道查询基金保有情况信息。</w:t>
      </w:r>
    </w:p>
    <w:p w14:paraId="2EA1E642" w14:textId="77777777" w:rsidR="009C2D86" w:rsidRDefault="0027599D">
      <w:pPr>
        <w:snapToGrid w:val="0"/>
        <w:spacing w:line="360" w:lineRule="auto"/>
        <w:ind w:firstLine="480"/>
        <w:rPr>
          <w:rFonts w:ascii="宋体" w:hAnsi="宋体" w:cs="宋体"/>
          <w:bCs/>
        </w:rPr>
      </w:pPr>
      <w:r>
        <w:rPr>
          <w:rFonts w:ascii="宋体" w:hAnsi="宋体" w:cs="宋体" w:hint="eastAsia"/>
          <w:bCs/>
        </w:rPr>
        <w:t>由于投资人预留的联系方式不详、错误、未及时变更，</w:t>
      </w:r>
      <w:r>
        <w:rPr>
          <w:rFonts w:ascii="宋体" w:hAnsi="宋体" w:cs="宋体"/>
          <w:bCs/>
        </w:rPr>
        <w:t>未关注微信公众号或者关注后未绑定账号</w:t>
      </w:r>
      <w:r>
        <w:rPr>
          <w:rFonts w:ascii="宋体" w:hAnsi="宋体" w:cs="宋体" w:hint="eastAsia"/>
          <w:bCs/>
        </w:rPr>
        <w:t>，通讯故障、延误等原因有可能造成对账单无法按时或准确送达。因上述原因无法正常收取对账单的投资人，敬请及时通过基金管理人网站，或拨打基金管理人客服热线查询、核对、变更预留联系方式。</w:t>
      </w:r>
    </w:p>
    <w:p w14:paraId="140B4394" w14:textId="77777777" w:rsidR="009C2D86" w:rsidRDefault="009C2D86">
      <w:pPr>
        <w:snapToGrid w:val="0"/>
        <w:spacing w:line="360" w:lineRule="auto"/>
        <w:ind w:firstLine="480"/>
        <w:rPr>
          <w:rFonts w:ascii="宋体" w:hAnsi="宋体" w:cs="宋体"/>
          <w:bCs/>
        </w:rPr>
      </w:pPr>
    </w:p>
    <w:p w14:paraId="0F2C30D4" w14:textId="77777777" w:rsidR="009C2D86" w:rsidRDefault="0027599D">
      <w:pPr>
        <w:snapToGrid w:val="0"/>
        <w:spacing w:line="360" w:lineRule="auto"/>
        <w:ind w:firstLine="480"/>
        <w:rPr>
          <w:rFonts w:ascii="宋体" w:hAnsi="宋体" w:cs="宋体"/>
          <w:b/>
          <w:bCs/>
        </w:rPr>
      </w:pPr>
      <w:r>
        <w:rPr>
          <w:rFonts w:ascii="宋体" w:hAnsi="宋体" w:cs="宋体" w:hint="eastAsia"/>
          <w:b/>
          <w:bCs/>
        </w:rPr>
        <w:t>四、资讯服务</w:t>
      </w:r>
    </w:p>
    <w:p w14:paraId="2D59E100" w14:textId="77777777" w:rsidR="009C2D86" w:rsidRDefault="0027599D">
      <w:pPr>
        <w:snapToGrid w:val="0"/>
        <w:spacing w:line="360" w:lineRule="auto"/>
        <w:ind w:firstLine="480"/>
        <w:rPr>
          <w:rFonts w:ascii="宋体" w:hAnsi="宋体" w:cs="宋体"/>
          <w:bCs/>
        </w:rPr>
      </w:pPr>
      <w:r>
        <w:rPr>
          <w:rFonts w:ascii="宋体" w:hAnsi="宋体" w:cs="宋体" w:hint="eastAsia"/>
          <w:bCs/>
        </w:rPr>
        <w:t>投资人知悉并同意基金管理人可根据投资人的个人信息不定期通过电话、短信、邮件、微信等任一或多种方式为投资人提供与投资人相关的账户服务通知、交易确认通知、重要公告通知、活动消息、营销信息、客户关怀等资讯及增值服务，投资本基金前请详阅南方基金官网服务介绍和隐私政策。如需取消相应资讯服务，可按照相关指引退订，或通过基金管理人客户服务中心热线400-889-8899、在线服务等人工服务方式退订。</w:t>
      </w:r>
    </w:p>
    <w:p w14:paraId="6C198860" w14:textId="77777777" w:rsidR="009C2D86" w:rsidRDefault="009C2D86">
      <w:pPr>
        <w:snapToGrid w:val="0"/>
        <w:spacing w:line="360" w:lineRule="auto"/>
        <w:ind w:firstLine="480"/>
        <w:rPr>
          <w:rFonts w:ascii="宋体" w:hAnsi="宋体" w:cs="宋体"/>
          <w:b/>
          <w:bCs/>
        </w:rPr>
      </w:pPr>
    </w:p>
    <w:p w14:paraId="2A91C0BD" w14:textId="77777777" w:rsidR="009C2D86" w:rsidRDefault="0027599D">
      <w:pPr>
        <w:snapToGrid w:val="0"/>
        <w:spacing w:line="360" w:lineRule="auto"/>
        <w:ind w:firstLine="480"/>
        <w:rPr>
          <w:rFonts w:ascii="宋体" w:hAnsi="宋体" w:cs="宋体"/>
          <w:b/>
          <w:bCs/>
        </w:rPr>
      </w:pPr>
      <w:r>
        <w:rPr>
          <w:rFonts w:ascii="宋体" w:hAnsi="宋体" w:cs="宋体" w:hint="eastAsia"/>
          <w:b/>
          <w:bCs/>
        </w:rPr>
        <w:t>五、客户服务中心电话及在线服务</w:t>
      </w:r>
    </w:p>
    <w:p w14:paraId="349BE1DC" w14:textId="77777777" w:rsidR="009C2D86" w:rsidRDefault="0027599D">
      <w:pPr>
        <w:snapToGrid w:val="0"/>
        <w:spacing w:line="360" w:lineRule="auto"/>
        <w:ind w:firstLine="480"/>
        <w:rPr>
          <w:rFonts w:ascii="宋体" w:hAnsi="宋体" w:cs="宋体"/>
          <w:b/>
          <w:bCs/>
        </w:rPr>
      </w:pPr>
      <w:r>
        <w:rPr>
          <w:rFonts w:ascii="宋体" w:hAnsi="宋体" w:cs="宋体" w:hint="eastAsia"/>
          <w:b/>
          <w:bCs/>
        </w:rPr>
        <w:t>（一）电话服务</w:t>
      </w:r>
    </w:p>
    <w:p w14:paraId="5B348E89" w14:textId="77777777" w:rsidR="009C2D86" w:rsidRDefault="0027599D">
      <w:pPr>
        <w:snapToGrid w:val="0"/>
        <w:spacing w:line="360" w:lineRule="auto"/>
        <w:ind w:firstLine="480"/>
        <w:rPr>
          <w:rFonts w:ascii="宋体" w:hAnsi="宋体" w:cs="宋体"/>
          <w:bCs/>
        </w:rPr>
      </w:pPr>
      <w:r>
        <w:rPr>
          <w:rFonts w:ascii="宋体" w:hAnsi="宋体" w:cs="宋体" w:hint="eastAsia"/>
          <w:bCs/>
        </w:rPr>
        <w:t>投资人拨打基金管理人客户服务中心热线</w:t>
      </w:r>
      <w:r>
        <w:rPr>
          <w:rFonts w:ascii="宋体" w:hAnsi="宋体" w:cs="宋体"/>
          <w:bCs/>
        </w:rPr>
        <w:t>400</w:t>
      </w:r>
      <w:r>
        <w:rPr>
          <w:rFonts w:ascii="宋体" w:hAnsi="宋体" w:cs="宋体" w:hint="eastAsia"/>
          <w:bCs/>
        </w:rPr>
        <w:t>-</w:t>
      </w:r>
      <w:r>
        <w:rPr>
          <w:rFonts w:ascii="宋体" w:hAnsi="宋体" w:cs="宋体"/>
          <w:bCs/>
        </w:rPr>
        <w:t>889</w:t>
      </w:r>
      <w:r>
        <w:rPr>
          <w:rFonts w:ascii="宋体" w:hAnsi="宋体" w:cs="宋体" w:hint="eastAsia"/>
          <w:bCs/>
        </w:rPr>
        <w:t>-</w:t>
      </w:r>
      <w:r>
        <w:rPr>
          <w:rFonts w:ascii="宋体" w:hAnsi="宋体" w:cs="宋体"/>
          <w:bCs/>
        </w:rPr>
        <w:t>8899</w:t>
      </w:r>
      <w:r>
        <w:rPr>
          <w:rFonts w:ascii="宋体" w:hAnsi="宋体" w:cs="宋体" w:hint="eastAsia"/>
          <w:bCs/>
        </w:rPr>
        <w:t>可享有如下服务：</w:t>
      </w:r>
    </w:p>
    <w:p w14:paraId="0A4D00E7" w14:textId="77777777" w:rsidR="009C2D86" w:rsidRDefault="0027599D">
      <w:pPr>
        <w:snapToGrid w:val="0"/>
        <w:spacing w:line="360" w:lineRule="auto"/>
        <w:ind w:firstLine="480"/>
        <w:rPr>
          <w:rFonts w:ascii="宋体" w:hAnsi="宋体" w:cs="宋体"/>
          <w:bCs/>
        </w:rPr>
      </w:pPr>
      <w:r>
        <w:rPr>
          <w:rFonts w:ascii="宋体" w:hAnsi="宋体" w:cs="宋体" w:hint="eastAsia"/>
          <w:bCs/>
        </w:rPr>
        <w:t>1、自助语音服务（7×24小时）：提供基金净值信息、账户信息等自助查询服务。</w:t>
      </w:r>
    </w:p>
    <w:p w14:paraId="47285D4F" w14:textId="77777777" w:rsidR="009C2D86" w:rsidRDefault="0027599D">
      <w:pPr>
        <w:snapToGrid w:val="0"/>
        <w:spacing w:line="360" w:lineRule="auto"/>
        <w:ind w:firstLine="480"/>
        <w:rPr>
          <w:rFonts w:ascii="宋体" w:hAnsi="宋体" w:cs="宋体"/>
          <w:bCs/>
        </w:rPr>
      </w:pPr>
      <w:r>
        <w:rPr>
          <w:rFonts w:ascii="宋体" w:hAnsi="宋体" w:cs="宋体" w:hint="eastAsia"/>
          <w:bCs/>
        </w:rPr>
        <w:t>2、人工服务：提供每周7日，每日不少于</w:t>
      </w:r>
      <w:r>
        <w:rPr>
          <w:rFonts w:ascii="宋体" w:hAnsi="宋体" w:cs="宋体"/>
          <w:bCs/>
        </w:rPr>
        <w:t>8</w:t>
      </w:r>
      <w:r>
        <w:rPr>
          <w:rFonts w:ascii="宋体" w:hAnsi="宋体" w:cs="宋体" w:hint="eastAsia"/>
          <w:bCs/>
        </w:rPr>
        <w:t>小时的人工服务（春节假期除外）。投资人可以通过该热线获得投资咨询、业务咨询、信息查询、服务投诉及建议、信息定制等专项服务。</w:t>
      </w:r>
    </w:p>
    <w:p w14:paraId="72906CCC" w14:textId="77777777" w:rsidR="009C2D86" w:rsidRDefault="0027599D">
      <w:pPr>
        <w:snapToGrid w:val="0"/>
        <w:spacing w:line="360" w:lineRule="auto"/>
        <w:ind w:firstLine="480"/>
        <w:rPr>
          <w:rFonts w:ascii="宋体" w:hAnsi="宋体" w:cs="宋体"/>
          <w:b/>
          <w:bCs/>
        </w:rPr>
      </w:pPr>
      <w:r>
        <w:rPr>
          <w:rFonts w:ascii="宋体" w:hAnsi="宋体" w:cs="宋体" w:hint="eastAsia"/>
          <w:b/>
          <w:bCs/>
        </w:rPr>
        <w:t>（二）在线服务</w:t>
      </w:r>
    </w:p>
    <w:p w14:paraId="29AACACB" w14:textId="77777777" w:rsidR="009C2D86" w:rsidRDefault="0027599D">
      <w:pPr>
        <w:snapToGrid w:val="0"/>
        <w:spacing w:line="360" w:lineRule="auto"/>
        <w:ind w:firstLine="480"/>
        <w:rPr>
          <w:rFonts w:ascii="宋体" w:hAnsi="宋体" w:cs="宋体"/>
          <w:bCs/>
        </w:rPr>
      </w:pPr>
      <w:r>
        <w:rPr>
          <w:rFonts w:ascii="宋体" w:hAnsi="宋体" w:cs="宋体" w:hint="eastAsia"/>
          <w:bCs/>
        </w:rPr>
        <w:t>投资人通过基金管理人网站、微信公众号或A</w:t>
      </w:r>
      <w:r>
        <w:rPr>
          <w:rFonts w:ascii="宋体" w:hAnsi="宋体" w:cs="宋体"/>
          <w:bCs/>
        </w:rPr>
        <w:t>PP</w:t>
      </w:r>
      <w:r>
        <w:rPr>
          <w:rFonts w:ascii="宋体" w:hAnsi="宋体" w:cs="宋体" w:hint="eastAsia"/>
          <w:bCs/>
        </w:rPr>
        <w:t>客户端可享有如下服务：</w:t>
      </w:r>
    </w:p>
    <w:p w14:paraId="18328AD1" w14:textId="77777777" w:rsidR="009C2D86" w:rsidRDefault="0027599D">
      <w:pPr>
        <w:numPr>
          <w:ilvl w:val="0"/>
          <w:numId w:val="23"/>
        </w:numPr>
        <w:snapToGrid w:val="0"/>
        <w:spacing w:line="360" w:lineRule="auto"/>
        <w:rPr>
          <w:rFonts w:ascii="宋体" w:hAnsi="宋体" w:cs="宋体"/>
          <w:bCs/>
        </w:rPr>
      </w:pPr>
      <w:r>
        <w:rPr>
          <w:rFonts w:ascii="宋体" w:hAnsi="宋体" w:cs="宋体" w:hint="eastAsia"/>
          <w:bCs/>
        </w:rPr>
        <w:t>智能客服服务（7×24小时）：提供业务规则、净值信息等自助咨询服务。</w:t>
      </w:r>
    </w:p>
    <w:p w14:paraId="660428D3" w14:textId="77777777" w:rsidR="009C2D86" w:rsidRDefault="0027599D">
      <w:pPr>
        <w:snapToGrid w:val="0"/>
        <w:spacing w:line="360" w:lineRule="auto"/>
        <w:ind w:firstLine="480"/>
        <w:rPr>
          <w:rFonts w:ascii="宋体" w:hAnsi="宋体" w:cs="宋体"/>
          <w:bCs/>
        </w:rPr>
      </w:pPr>
      <w:r>
        <w:rPr>
          <w:rFonts w:ascii="宋体" w:hAnsi="宋体" w:cs="宋体"/>
          <w:bCs/>
        </w:rPr>
        <w:t>2</w:t>
      </w:r>
      <w:r>
        <w:rPr>
          <w:rFonts w:ascii="宋体" w:hAnsi="宋体" w:cs="宋体" w:hint="eastAsia"/>
          <w:bCs/>
        </w:rPr>
        <w:t>、人工服务：提供每周7天，每天不少于</w:t>
      </w:r>
      <w:r>
        <w:rPr>
          <w:rFonts w:ascii="宋体" w:hAnsi="宋体" w:cs="宋体"/>
          <w:bCs/>
        </w:rPr>
        <w:t>8</w:t>
      </w:r>
      <w:r>
        <w:rPr>
          <w:rFonts w:ascii="宋体" w:hAnsi="宋体" w:cs="宋体" w:hint="eastAsia"/>
          <w:bCs/>
        </w:rPr>
        <w:t>小时的人工服务（春节假期除外）。投资人可通过该方式获得投资咨询、业务咨询、信息查询、服务投诉及建议、信息定制等专项服务。</w:t>
      </w:r>
    </w:p>
    <w:p w14:paraId="489F09A2" w14:textId="77777777" w:rsidR="009C2D86" w:rsidRDefault="009C2D86">
      <w:pPr>
        <w:snapToGrid w:val="0"/>
        <w:spacing w:line="360" w:lineRule="auto"/>
        <w:ind w:firstLine="480"/>
        <w:rPr>
          <w:rFonts w:ascii="宋体" w:hAnsi="宋体" w:cs="宋体"/>
          <w:b/>
          <w:bCs/>
        </w:rPr>
      </w:pPr>
    </w:p>
    <w:p w14:paraId="184163AC" w14:textId="77777777" w:rsidR="009C2D86" w:rsidRDefault="0027599D">
      <w:pPr>
        <w:snapToGrid w:val="0"/>
        <w:spacing w:line="360" w:lineRule="auto"/>
        <w:ind w:firstLine="480"/>
        <w:rPr>
          <w:rFonts w:ascii="宋体" w:hAnsi="宋体" w:cs="宋体"/>
          <w:b/>
          <w:bCs/>
        </w:rPr>
      </w:pPr>
      <w:r>
        <w:rPr>
          <w:rFonts w:ascii="宋体" w:hAnsi="宋体" w:cs="宋体" w:hint="eastAsia"/>
          <w:b/>
          <w:bCs/>
        </w:rPr>
        <w:t>六、投诉及建议受理服务</w:t>
      </w:r>
    </w:p>
    <w:p w14:paraId="1F996C77" w14:textId="77777777" w:rsidR="009C2D86" w:rsidRDefault="0027599D">
      <w:pPr>
        <w:snapToGrid w:val="0"/>
        <w:spacing w:line="360" w:lineRule="auto"/>
        <w:ind w:firstLine="480"/>
        <w:rPr>
          <w:rFonts w:ascii="宋体" w:hAnsi="宋体" w:cs="宋体"/>
          <w:bCs/>
        </w:rPr>
      </w:pPr>
      <w:r>
        <w:rPr>
          <w:rFonts w:ascii="宋体" w:hAnsi="宋体" w:cs="宋体" w:hint="eastAsia"/>
          <w:bCs/>
        </w:rPr>
        <w:t>投资人可以通过基金管理人客户服务中心人工热线、在线客服、书信、电子邮件、短信及各销售机构网点柜台等不同的渠道对基金管理人和销售网点所提供的服务进行投诉或提出建议。</w:t>
      </w:r>
    </w:p>
    <w:p w14:paraId="5BE2E6CC" w14:textId="77777777" w:rsidR="009C2D86" w:rsidRDefault="009C2D86">
      <w:pPr>
        <w:snapToGrid w:val="0"/>
        <w:spacing w:line="360" w:lineRule="auto"/>
        <w:ind w:firstLine="480"/>
        <w:rPr>
          <w:rFonts w:ascii="宋体" w:hAnsi="宋体" w:cs="宋体"/>
        </w:rPr>
      </w:pPr>
    </w:p>
    <w:p w14:paraId="2ABD0A96" w14:textId="77777777" w:rsidR="009C2D86" w:rsidRDefault="009C2D86">
      <w:pPr>
        <w:snapToGrid w:val="0"/>
        <w:spacing w:line="360" w:lineRule="auto"/>
        <w:ind w:firstLine="480"/>
        <w:rPr>
          <w:rFonts w:ascii="宋体" w:hAnsi="宋体" w:cs="宋体"/>
        </w:rPr>
      </w:pPr>
    </w:p>
    <w:p w14:paraId="314BD43D" w14:textId="77777777" w:rsidR="009C2D86" w:rsidRDefault="0027599D">
      <w:pPr>
        <w:snapToGrid w:val="0"/>
        <w:spacing w:line="360" w:lineRule="auto"/>
        <w:rPr>
          <w:rFonts w:ascii="宋体" w:cs="Times New Roman"/>
          <w:color w:val="000000"/>
        </w:rPr>
      </w:pPr>
      <w:r>
        <w:rPr>
          <w:rFonts w:ascii="宋体" w:cs="Times New Roman"/>
          <w:color w:val="000000"/>
        </w:rPr>
        <w:br w:type="page"/>
      </w:r>
    </w:p>
    <w:p w14:paraId="451A0765"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199" w:name="_Toc362533470"/>
      <w:bookmarkStart w:id="200" w:name="_Toc360794531"/>
      <w:bookmarkStart w:id="201" w:name="_Toc360794423"/>
      <w:bookmarkStart w:id="202" w:name="_Toc360793513"/>
      <w:bookmarkStart w:id="203" w:name="_Toc362455198"/>
      <w:bookmarkStart w:id="204" w:name="_Toc48900089"/>
      <w:bookmarkStart w:id="205" w:name="_Toc360793865"/>
      <w:bookmarkStart w:id="206" w:name="_Toc360794115"/>
      <w:r>
        <w:rPr>
          <w:rFonts w:ascii="宋体" w:eastAsia="宋体" w:hAnsi="宋体" w:cs="宋体" w:hint="eastAsia"/>
        </w:rPr>
        <w:t>其它应披露事项</w:t>
      </w:r>
      <w:bookmarkEnd w:id="199"/>
      <w:bookmarkEnd w:id="200"/>
      <w:bookmarkEnd w:id="201"/>
      <w:bookmarkEnd w:id="202"/>
      <w:bookmarkEnd w:id="203"/>
      <w:bookmarkEnd w:id="204"/>
      <w:bookmarkEnd w:id="205"/>
      <w:bookmarkEnd w:id="206"/>
    </w:p>
    <w:p w14:paraId="129A825D" w14:textId="77777777" w:rsidR="009C2D86" w:rsidRDefault="009C2D86">
      <w:pPr>
        <w:adjustRightInd w:val="0"/>
        <w:snapToGrid w:val="0"/>
        <w:spacing w:line="360" w:lineRule="auto"/>
        <w:ind w:firstLineChars="200" w:firstLine="420"/>
        <w:rPr>
          <w:rFonts w:ascii="宋体" w:cs="Times New Roman"/>
        </w:rPr>
      </w:pPr>
    </w:p>
    <w:p w14:paraId="4C87E700" w14:textId="77777777" w:rsidR="009C2D86" w:rsidRDefault="0027599D">
      <w:pPr>
        <w:adjustRightInd w:val="0"/>
        <w:snapToGrid w:val="0"/>
        <w:spacing w:line="360" w:lineRule="auto"/>
        <w:ind w:firstLineChars="200" w:firstLine="420"/>
        <w:rPr>
          <w:rFonts w:ascii="宋体" w:cs="Times New Roman"/>
        </w:rPr>
      </w:pPr>
      <w:r>
        <w:rPr>
          <w:rFonts w:hAnsi="宋体" w:cs="宋体" w:hint="eastAsia"/>
        </w:rPr>
        <w:t>本基金暂无其他应披露事项。</w:t>
      </w:r>
      <w:r>
        <w:rPr>
          <w:rFonts w:ascii="宋体" w:hAnsi="宋体" w:cs="宋体" w:hint="eastAsia"/>
          <w:color w:val="000000"/>
        </w:rPr>
        <w:t>基金合同如有未尽事宜，由基金合同当事人各方按有关法律法规和规定协商解决。</w:t>
      </w:r>
    </w:p>
    <w:p w14:paraId="14B5D434" w14:textId="77777777" w:rsidR="009C2D86" w:rsidRDefault="009C2D86">
      <w:pPr>
        <w:adjustRightInd w:val="0"/>
        <w:snapToGrid w:val="0"/>
        <w:spacing w:line="360" w:lineRule="auto"/>
        <w:ind w:firstLineChars="200" w:firstLine="420"/>
        <w:rPr>
          <w:rFonts w:ascii="宋体" w:cs="Times New Roman"/>
        </w:rPr>
      </w:pPr>
    </w:p>
    <w:p w14:paraId="1E9A8345" w14:textId="77777777" w:rsidR="009C2D86" w:rsidRDefault="009C2D86">
      <w:pPr>
        <w:adjustRightInd w:val="0"/>
        <w:snapToGrid w:val="0"/>
        <w:spacing w:line="360" w:lineRule="auto"/>
        <w:ind w:firstLineChars="200" w:firstLine="420"/>
        <w:rPr>
          <w:rFonts w:ascii="宋体" w:cs="Times New Roman"/>
          <w:color w:val="000000"/>
        </w:rPr>
      </w:pPr>
    </w:p>
    <w:p w14:paraId="28AAA045" w14:textId="77777777" w:rsidR="009C2D86" w:rsidRDefault="0027599D">
      <w:pPr>
        <w:adjustRightInd w:val="0"/>
        <w:snapToGrid w:val="0"/>
        <w:spacing w:line="360" w:lineRule="auto"/>
        <w:ind w:firstLineChars="200" w:firstLine="420"/>
        <w:rPr>
          <w:rFonts w:ascii="宋体" w:cs="Times New Roman"/>
          <w:color w:val="000000"/>
        </w:rPr>
      </w:pPr>
      <w:r>
        <w:rPr>
          <w:rFonts w:ascii="宋体" w:cs="Times New Roman"/>
          <w:color w:val="000000"/>
        </w:rPr>
        <w:br w:type="page"/>
      </w:r>
    </w:p>
    <w:p w14:paraId="34D3455E"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207" w:name="_Toc360793866"/>
      <w:bookmarkStart w:id="208" w:name="_Toc362533471"/>
      <w:bookmarkStart w:id="209" w:name="_Toc360793514"/>
      <w:bookmarkStart w:id="210" w:name="_Toc360794424"/>
      <w:bookmarkStart w:id="211" w:name="_Toc362455199"/>
      <w:bookmarkStart w:id="212" w:name="_Toc360794116"/>
      <w:bookmarkStart w:id="213" w:name="_Toc48900090"/>
      <w:bookmarkStart w:id="214" w:name="_Toc360794532"/>
      <w:r>
        <w:rPr>
          <w:rFonts w:ascii="宋体" w:eastAsia="宋体" w:hAnsi="宋体" w:cs="宋体" w:hint="eastAsia"/>
        </w:rPr>
        <w:t>招募说明书存放及其查阅方式</w:t>
      </w:r>
      <w:bookmarkEnd w:id="207"/>
      <w:bookmarkEnd w:id="208"/>
      <w:bookmarkEnd w:id="209"/>
      <w:bookmarkEnd w:id="210"/>
      <w:bookmarkEnd w:id="211"/>
      <w:bookmarkEnd w:id="212"/>
      <w:bookmarkEnd w:id="213"/>
      <w:bookmarkEnd w:id="214"/>
    </w:p>
    <w:p w14:paraId="2818F9DF" w14:textId="77777777" w:rsidR="009C2D86" w:rsidRDefault="009C2D86">
      <w:pPr>
        <w:snapToGrid w:val="0"/>
        <w:spacing w:line="360" w:lineRule="auto"/>
        <w:ind w:firstLineChars="200" w:firstLine="420"/>
        <w:rPr>
          <w:rFonts w:ascii="宋体" w:cs="Times New Roman"/>
          <w:color w:val="000000"/>
        </w:rPr>
      </w:pPr>
    </w:p>
    <w:p w14:paraId="6136A7DE"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本招募说明书存放在本基金管理人、基金托管人、销售机构的</w:t>
      </w:r>
      <w:bookmarkStart w:id="215" w:name="OLE_LINK325"/>
      <w:bookmarkStart w:id="216" w:name="OLE_LINK324"/>
      <w:r>
        <w:rPr>
          <w:rFonts w:ascii="宋体" w:hAnsi="宋体" w:cs="宋体" w:hint="eastAsia"/>
          <w:color w:val="000000"/>
        </w:rPr>
        <w:t>办公场所</w:t>
      </w:r>
      <w:bookmarkEnd w:id="215"/>
      <w:bookmarkEnd w:id="216"/>
      <w:r>
        <w:rPr>
          <w:rFonts w:ascii="宋体" w:hAnsi="宋体" w:cs="宋体" w:hint="eastAsia"/>
          <w:color w:val="000000"/>
        </w:rPr>
        <w:t>，投资</w:t>
      </w:r>
      <w:r>
        <w:rPr>
          <w:rFonts w:ascii="宋体" w:hAnsi="宋体" w:cs="宋体" w:hint="eastAsia"/>
        </w:rPr>
        <w:t>人</w:t>
      </w:r>
      <w:r>
        <w:rPr>
          <w:rFonts w:ascii="宋体" w:hAnsi="宋体" w:cs="宋体" w:hint="eastAsia"/>
          <w:color w:val="000000"/>
        </w:rPr>
        <w:t>可在办公时间免费查阅；也可按工本费购买本招募说明书复制件或复印件，但应以招募说明书正本为准。</w:t>
      </w:r>
    </w:p>
    <w:p w14:paraId="08D2D0E9" w14:textId="77777777" w:rsidR="009C2D86" w:rsidRDefault="0027599D">
      <w:pPr>
        <w:snapToGrid w:val="0"/>
        <w:spacing w:line="360" w:lineRule="auto"/>
        <w:ind w:firstLineChars="200" w:firstLine="420"/>
        <w:rPr>
          <w:rFonts w:ascii="宋体" w:cs="Times New Roman"/>
          <w:color w:val="000000"/>
        </w:rPr>
      </w:pPr>
      <w:r>
        <w:rPr>
          <w:rFonts w:ascii="宋体" w:hAnsi="宋体" w:cs="宋体" w:hint="eastAsia"/>
          <w:color w:val="000000"/>
        </w:rPr>
        <w:t>基金管理人和基金托管人保证文本的内容与所公告的内容完全一致。</w:t>
      </w:r>
    </w:p>
    <w:p w14:paraId="1AA52548" w14:textId="77777777" w:rsidR="009C2D86" w:rsidRDefault="0027599D">
      <w:pPr>
        <w:snapToGrid w:val="0"/>
        <w:spacing w:line="360" w:lineRule="auto"/>
        <w:ind w:firstLineChars="200" w:firstLine="420"/>
        <w:rPr>
          <w:rFonts w:ascii="宋体" w:cs="Times New Roman"/>
          <w:color w:val="000000"/>
        </w:rPr>
      </w:pPr>
      <w:r>
        <w:rPr>
          <w:rFonts w:ascii="宋体" w:cs="Times New Roman"/>
          <w:color w:val="000000"/>
        </w:rPr>
        <w:br w:type="page"/>
      </w:r>
    </w:p>
    <w:p w14:paraId="4C93FC32" w14:textId="77777777" w:rsidR="009C2D86" w:rsidRDefault="0027599D">
      <w:pPr>
        <w:pStyle w:val="21"/>
        <w:numPr>
          <w:ilvl w:val="0"/>
          <w:numId w:val="22"/>
        </w:numPr>
        <w:snapToGrid w:val="0"/>
        <w:spacing w:before="0" w:after="0" w:line="360" w:lineRule="auto"/>
        <w:jc w:val="left"/>
        <w:rPr>
          <w:rFonts w:ascii="宋体" w:eastAsia="宋体" w:hAnsi="宋体" w:cs="Times New Roman"/>
        </w:rPr>
      </w:pPr>
      <w:bookmarkStart w:id="217" w:name="_Toc362455200"/>
      <w:bookmarkStart w:id="218" w:name="_Toc360794117"/>
      <w:bookmarkStart w:id="219" w:name="_Toc360794425"/>
      <w:bookmarkStart w:id="220" w:name="_Toc360793867"/>
      <w:bookmarkStart w:id="221" w:name="_Toc360794533"/>
      <w:bookmarkStart w:id="222" w:name="_Toc48900091"/>
      <w:bookmarkStart w:id="223" w:name="_Toc362533472"/>
      <w:bookmarkStart w:id="224" w:name="_Toc360793515"/>
      <w:r>
        <w:rPr>
          <w:rFonts w:ascii="宋体" w:eastAsia="宋体" w:hAnsi="宋体" w:cs="宋体" w:hint="eastAsia"/>
        </w:rPr>
        <w:t>备查文件</w:t>
      </w:r>
      <w:bookmarkEnd w:id="217"/>
      <w:bookmarkEnd w:id="218"/>
      <w:bookmarkEnd w:id="219"/>
      <w:bookmarkEnd w:id="220"/>
      <w:bookmarkEnd w:id="221"/>
      <w:bookmarkEnd w:id="222"/>
      <w:bookmarkEnd w:id="223"/>
      <w:bookmarkEnd w:id="224"/>
    </w:p>
    <w:p w14:paraId="643ED71D" w14:textId="77777777" w:rsidR="009C2D86" w:rsidRDefault="009C2D86">
      <w:pPr>
        <w:adjustRightInd w:val="0"/>
        <w:snapToGrid w:val="0"/>
        <w:spacing w:line="360" w:lineRule="auto"/>
        <w:ind w:firstLine="539"/>
        <w:rPr>
          <w:rFonts w:ascii="宋体" w:cs="Times New Roman"/>
          <w:color w:val="000000"/>
        </w:rPr>
      </w:pPr>
    </w:p>
    <w:p w14:paraId="59CF6247" w14:textId="77777777" w:rsidR="009C2D86" w:rsidRDefault="0027599D">
      <w:pPr>
        <w:adjustRightInd w:val="0"/>
        <w:snapToGrid w:val="0"/>
        <w:spacing w:line="360" w:lineRule="auto"/>
        <w:ind w:firstLine="539"/>
        <w:rPr>
          <w:rFonts w:ascii="宋体" w:cs="Times New Roman"/>
        </w:rPr>
      </w:pPr>
      <w:r>
        <w:rPr>
          <w:rFonts w:ascii="宋体" w:hAnsi="宋体" w:cs="宋体" w:hint="eastAsia"/>
        </w:rPr>
        <w:t>一、中国证监会准予本基金注册的文件</w:t>
      </w:r>
    </w:p>
    <w:p w14:paraId="03FA2978" w14:textId="77FA4E94" w:rsidR="009C2D86" w:rsidRDefault="0027599D">
      <w:pPr>
        <w:adjustRightInd w:val="0"/>
        <w:snapToGrid w:val="0"/>
        <w:spacing w:line="360" w:lineRule="auto"/>
        <w:ind w:firstLine="539"/>
        <w:rPr>
          <w:rFonts w:ascii="宋体" w:cs="Times New Roman"/>
        </w:rPr>
      </w:pPr>
      <w:r>
        <w:rPr>
          <w:rFonts w:ascii="宋体" w:hAnsi="宋体" w:cs="宋体" w:hint="eastAsia"/>
        </w:rPr>
        <w:t>二、《</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cs="宋体" w:hint="eastAsia"/>
        </w:rPr>
        <w:t>基金合同》</w:t>
      </w:r>
    </w:p>
    <w:p w14:paraId="2F1594BF" w14:textId="5F46441D" w:rsidR="009C2D86" w:rsidRDefault="0027599D">
      <w:pPr>
        <w:adjustRightInd w:val="0"/>
        <w:snapToGrid w:val="0"/>
        <w:spacing w:line="360" w:lineRule="auto"/>
        <w:ind w:firstLine="539"/>
        <w:rPr>
          <w:rFonts w:ascii="宋体" w:cs="Times New Roman"/>
          <w:color w:val="000000"/>
        </w:rPr>
      </w:pPr>
      <w:r>
        <w:rPr>
          <w:rFonts w:ascii="宋体" w:hAnsi="宋体" w:cs="宋体" w:hint="eastAsia"/>
        </w:rPr>
        <w:t>三、《</w:t>
      </w:r>
      <w:r w:rsidR="00A70492">
        <w:rPr>
          <w:rFonts w:ascii="宋体" w:hAnsi="宋体" w:hint="eastAsia"/>
          <w:bCs/>
        </w:rPr>
        <w:t>南方</w:t>
      </w:r>
      <w:r w:rsidR="001A3FE9">
        <w:rPr>
          <w:rFonts w:ascii="宋体" w:hAnsi="宋体" w:hint="eastAsia"/>
          <w:bCs/>
        </w:rPr>
        <w:t>创业板人工智能</w:t>
      </w:r>
      <w:r w:rsidR="00A70492">
        <w:rPr>
          <w:rFonts w:ascii="宋体" w:hAnsi="宋体" w:hint="eastAsia"/>
          <w:bCs/>
        </w:rPr>
        <w:t>交易型开放式指数证券投资基金联接基金</w:t>
      </w:r>
      <w:r>
        <w:rPr>
          <w:rFonts w:ascii="宋体" w:hAnsi="宋体" w:cs="宋体" w:hint="eastAsia"/>
          <w:color w:val="000000"/>
        </w:rPr>
        <w:t>托管协议》</w:t>
      </w:r>
    </w:p>
    <w:p w14:paraId="69F8270B" w14:textId="77777777" w:rsidR="009C2D86" w:rsidRDefault="0027599D">
      <w:pPr>
        <w:adjustRightInd w:val="0"/>
        <w:snapToGrid w:val="0"/>
        <w:spacing w:line="360" w:lineRule="auto"/>
        <w:ind w:firstLine="539"/>
        <w:rPr>
          <w:rFonts w:ascii="宋体" w:cs="Times New Roman"/>
          <w:color w:val="000000"/>
        </w:rPr>
      </w:pPr>
      <w:r>
        <w:rPr>
          <w:rFonts w:ascii="宋体" w:hAnsi="宋体" w:cs="宋体" w:hint="eastAsia"/>
          <w:color w:val="000000"/>
        </w:rPr>
        <w:t>四、《南方基金管理股份有限公司开放式基金业务规则》</w:t>
      </w:r>
    </w:p>
    <w:p w14:paraId="6FFED205" w14:textId="77777777" w:rsidR="009C2D86" w:rsidRDefault="0027599D">
      <w:pPr>
        <w:adjustRightInd w:val="0"/>
        <w:snapToGrid w:val="0"/>
        <w:spacing w:line="360" w:lineRule="auto"/>
        <w:ind w:firstLine="539"/>
        <w:rPr>
          <w:rFonts w:ascii="宋体" w:cs="Times New Roman"/>
          <w:color w:val="000000"/>
        </w:rPr>
      </w:pPr>
      <w:r>
        <w:rPr>
          <w:rFonts w:ascii="宋体" w:hAnsi="宋体" w:cs="宋体" w:hint="eastAsia"/>
          <w:color w:val="000000"/>
        </w:rPr>
        <w:t>五、法律意见书</w:t>
      </w:r>
    </w:p>
    <w:p w14:paraId="1DCC01C7" w14:textId="77777777" w:rsidR="009C2D86" w:rsidRDefault="0027599D">
      <w:pPr>
        <w:adjustRightInd w:val="0"/>
        <w:snapToGrid w:val="0"/>
        <w:spacing w:line="360" w:lineRule="auto"/>
        <w:ind w:firstLine="539"/>
        <w:rPr>
          <w:rFonts w:ascii="宋体" w:cs="Times New Roman"/>
          <w:color w:val="000000"/>
        </w:rPr>
      </w:pPr>
      <w:r>
        <w:rPr>
          <w:rFonts w:ascii="宋体" w:hAnsi="宋体" w:cs="宋体" w:hint="eastAsia"/>
          <w:color w:val="000000"/>
        </w:rPr>
        <w:t>六、基金管理人业务资格批件、营业执照</w:t>
      </w:r>
    </w:p>
    <w:p w14:paraId="71404564" w14:textId="5AC0D6BB" w:rsidR="009C2D86" w:rsidRDefault="0027599D" w:rsidP="00DB6E41">
      <w:pPr>
        <w:adjustRightInd w:val="0"/>
        <w:snapToGrid w:val="0"/>
        <w:spacing w:line="360" w:lineRule="auto"/>
        <w:ind w:firstLine="539"/>
        <w:rPr>
          <w:rFonts w:ascii="宋体" w:cs="Times New Roman"/>
        </w:rPr>
      </w:pPr>
      <w:r>
        <w:rPr>
          <w:rFonts w:ascii="宋体" w:hAnsi="宋体" w:cs="宋体" w:hint="eastAsia"/>
          <w:color w:val="000000"/>
        </w:rPr>
        <w:t>七、基金托管人业务资格批件、营业执照</w:t>
      </w:r>
      <w:bookmarkEnd w:id="28"/>
      <w:bookmarkEnd w:id="29"/>
      <w:bookmarkEnd w:id="30"/>
    </w:p>
    <w:sectPr w:rsidR="009C2D86" w:rsidSect="00DB6E41">
      <w:headerReference w:type="default"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412B4" w14:textId="77777777" w:rsidR="00BA18F5" w:rsidRDefault="00BA18F5">
      <w:r>
        <w:separator/>
      </w:r>
    </w:p>
  </w:endnote>
  <w:endnote w:type="continuationSeparator" w:id="0">
    <w:p w14:paraId="25DC9C87" w14:textId="77777777" w:rsidR="00BA18F5" w:rsidRDefault="00BA1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1F00FF" w:csb1="00000000"/>
  </w:font>
  <w:font w:name="??">
    <w:altName w:val="Times New Roman"/>
    <w:charset w:val="00"/>
    <w:family w:val="modern"/>
    <w:pitch w:val="default"/>
    <w:sig w:usb0="00000000" w:usb1="00000000" w:usb2="00000000" w:usb3="00000000" w:csb0="00000001" w:csb1="00000000"/>
  </w:font>
  <w:font w:name="方正黑体简体">
    <w:altName w:val="黑体"/>
    <w:charset w:val="86"/>
    <w:family w:val="auto"/>
    <w:pitch w:val="default"/>
    <w:sig w:usb0="00000000" w:usb1="00000000" w:usb2="00000012" w:usb3="00000000" w:csb0="00040001"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五">
    <w:altName w:val="方正舒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A63D9" w14:textId="77777777" w:rsidR="006D2BD1" w:rsidRDefault="006D2BD1">
    <w:pPr>
      <w:pStyle w:val="afd"/>
      <w:jc w:val="center"/>
    </w:pPr>
  </w:p>
  <w:p w14:paraId="2A952C03" w14:textId="77777777" w:rsidR="006D2BD1" w:rsidRDefault="006D2BD1">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2E65C" w14:textId="77777777" w:rsidR="00BA18F5" w:rsidRDefault="00BA18F5">
      <w:r>
        <w:separator/>
      </w:r>
    </w:p>
  </w:footnote>
  <w:footnote w:type="continuationSeparator" w:id="0">
    <w:p w14:paraId="0DE38AD8" w14:textId="77777777" w:rsidR="00BA18F5" w:rsidRDefault="00BA1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9511A" w14:textId="337CC653" w:rsidR="000D48C9" w:rsidRDefault="000D48C9">
    <w:pPr>
      <w:pStyle w:val="aff0"/>
      <w:pBdr>
        <w:bottom w:val="thickThinLargeGap" w:sz="24" w:space="10" w:color="auto"/>
      </w:pBdr>
      <w:tabs>
        <w:tab w:val="right" w:pos="8280"/>
      </w:tabs>
      <w:wordWrap w:val="0"/>
      <w:adjustRightInd w:val="0"/>
      <w:jc w:val="right"/>
    </w:pPr>
    <w:r w:rsidRPr="001A3FE9">
      <w:rPr>
        <w:rFonts w:hint="eastAsia"/>
      </w:rPr>
      <w:t>南方创业板人工智能交易型开放式指数证券投资基金联接基金招募说明书</w:t>
    </w:r>
  </w:p>
  <w:p w14:paraId="0D5914D6" w14:textId="77777777" w:rsidR="000D48C9" w:rsidRDefault="000D48C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27690" w14:textId="77777777" w:rsidR="006D2BD1" w:rsidRDefault="00AA7F1F">
    <w:pPr>
      <w:pStyle w:val="aff0"/>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Listbullet"/>
      <w:lvlText w:val=""/>
      <w:lvlJc w:val="left"/>
      <w:pPr>
        <w:tabs>
          <w:tab w:val="left" w:pos="360"/>
        </w:tabs>
        <w:ind w:left="360" w:hanging="360"/>
      </w:pPr>
      <w:rPr>
        <w:rFonts w:ascii="Symbol" w:hAnsi="Symbol" w:cs="Symbol" w:hint="default"/>
        <w:color w:val="auto"/>
      </w:rPr>
    </w:lvl>
  </w:abstractNum>
  <w:abstractNum w:abstractNumId="1" w15:restartNumberingAfterBreak="0">
    <w:nsid w:val="044209E7"/>
    <w:multiLevelType w:val="multilevel"/>
    <w:tmpl w:val="044209E7"/>
    <w:lvl w:ilvl="0">
      <w:start w:val="1"/>
      <w:numFmt w:val="decimal"/>
      <w:pStyle w:val="AOAppHead"/>
      <w:suff w:val="nothing"/>
      <w:lvlText w:val="Appendix %1"/>
      <w:lvlJc w:val="left"/>
      <w:rPr>
        <w:b/>
        <w:bCs/>
        <w:i w:val="0"/>
        <w:iCs w:val="0"/>
      </w:rPr>
    </w:lvl>
    <w:lvl w:ilvl="1">
      <w:start w:val="1"/>
      <w:numFmt w:val="decimal"/>
      <w:pStyle w:val="AOAppPartHead"/>
      <w:suff w:val="nothing"/>
      <w:lvlText w:val="Part %2"/>
      <w:lvlJc w:val="left"/>
      <w:rPr>
        <w:b/>
        <w:bCs/>
        <w:i w:val="0"/>
        <w:iCs w:val="0"/>
      </w:rPr>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2" w15:restartNumberingAfterBreak="0">
    <w:nsid w:val="0B101077"/>
    <w:multiLevelType w:val="singleLevel"/>
    <w:tmpl w:val="0B101077"/>
    <w:lvl w:ilvl="0">
      <w:start w:val="1"/>
      <w:numFmt w:val="decimal"/>
      <w:pStyle w:val="a"/>
      <w:lvlText w:val="%1)"/>
      <w:lvlJc w:val="left"/>
      <w:pPr>
        <w:tabs>
          <w:tab w:val="left" w:pos="720"/>
        </w:tabs>
        <w:ind w:left="720" w:hanging="360"/>
      </w:pPr>
    </w:lvl>
  </w:abstractNum>
  <w:abstractNum w:abstractNumId="3" w15:restartNumberingAfterBreak="0">
    <w:nsid w:val="10F37ADE"/>
    <w:multiLevelType w:val="multilevel"/>
    <w:tmpl w:val="10F37ADE"/>
    <w:lvl w:ilvl="0">
      <w:start w:val="1"/>
      <w:numFmt w:val="decimal"/>
      <w:pStyle w:val="AOListNumber"/>
      <w:lvlText w:val="%1."/>
      <w:lvlJc w:val="left"/>
      <w:pPr>
        <w:tabs>
          <w:tab w:val="left" w:pos="720"/>
        </w:tabs>
        <w:ind w:left="720" w:hanging="720"/>
      </w:pPr>
    </w:lvl>
    <w:lvl w:ilvl="1">
      <w:start w:val="1"/>
      <w:numFmt w:val="lowerLetter"/>
      <w:lvlText w:val="(%2)"/>
      <w:lvlJc w:val="left"/>
      <w:pPr>
        <w:tabs>
          <w:tab w:val="left" w:pos="720"/>
        </w:tabs>
        <w:ind w:left="720" w:hanging="720"/>
      </w:pPr>
    </w:lvl>
    <w:lvl w:ilvl="2">
      <w:start w:val="1"/>
      <w:numFmt w:val="lowerRoman"/>
      <w:lvlText w:val="(%3)"/>
      <w:lvlJc w:val="left"/>
      <w:pPr>
        <w:tabs>
          <w:tab w:val="left" w:pos="1440"/>
        </w:tabs>
        <w:ind w:left="1440" w:hanging="720"/>
      </w:pPr>
    </w:lvl>
    <w:lvl w:ilvl="3">
      <w:start w:val="1"/>
      <w:numFmt w:val="upperLetter"/>
      <w:lvlText w:val="(%4)"/>
      <w:lvlJc w:val="left"/>
      <w:pPr>
        <w:tabs>
          <w:tab w:val="left" w:pos="2160"/>
        </w:tabs>
        <w:ind w:left="2160" w:hanging="720"/>
      </w:pPr>
    </w:lvl>
    <w:lvl w:ilvl="4">
      <w:start w:val="1"/>
      <w:numFmt w:val="upperRoman"/>
      <w:lvlText w:val="%5."/>
      <w:lvlJc w:val="left"/>
      <w:pPr>
        <w:tabs>
          <w:tab w:val="left" w:pos="2880"/>
        </w:tabs>
        <w:ind w:left="2880" w:hanging="720"/>
      </w:pPr>
    </w:lvl>
    <w:lvl w:ilvl="5">
      <w:start w:val="1"/>
      <w:numFmt w:val="lowerLetter"/>
      <w:lvlText w:val="(%6)"/>
      <w:lvlJc w:val="left"/>
      <w:pPr>
        <w:tabs>
          <w:tab w:val="left" w:pos="1440"/>
        </w:tabs>
        <w:ind w:left="1440" w:hanging="720"/>
      </w:pPr>
    </w:lvl>
    <w:lvl w:ilvl="6">
      <w:start w:val="1"/>
      <w:numFmt w:val="lowerRoman"/>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4" w15:restartNumberingAfterBreak="0">
    <w:nsid w:val="13B718D4"/>
    <w:multiLevelType w:val="multilevel"/>
    <w:tmpl w:val="13B718D4"/>
    <w:lvl w:ilvl="0">
      <w:start w:val="1"/>
      <w:numFmt w:val="decimal"/>
      <w:pStyle w:val="2"/>
      <w:lvlText w:val="（%1）"/>
      <w:lvlJc w:val="center"/>
      <w:pPr>
        <w:tabs>
          <w:tab w:val="left" w:pos="648"/>
        </w:tabs>
        <w:ind w:firstLine="288"/>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31FA6DE9"/>
    <w:multiLevelType w:val="singleLevel"/>
    <w:tmpl w:val="31FA6DE9"/>
    <w:lvl w:ilvl="0">
      <w:start w:val="1"/>
      <w:numFmt w:val="bullet"/>
      <w:pStyle w:val="AOBullet"/>
      <w:lvlText w:val=""/>
      <w:lvlJc w:val="left"/>
      <w:pPr>
        <w:tabs>
          <w:tab w:val="left" w:pos="720"/>
        </w:tabs>
        <w:ind w:left="720" w:hanging="720"/>
      </w:pPr>
      <w:rPr>
        <w:rFonts w:ascii="Symbol" w:hAnsi="Symbol" w:cs="Symbol" w:hint="default"/>
      </w:rPr>
    </w:lvl>
  </w:abstractNum>
  <w:abstractNum w:abstractNumId="6" w15:restartNumberingAfterBreak="0">
    <w:nsid w:val="36063A36"/>
    <w:multiLevelType w:val="singleLevel"/>
    <w:tmpl w:val="36063A36"/>
    <w:lvl w:ilvl="0">
      <w:start w:val="1"/>
      <w:numFmt w:val="bullet"/>
      <w:pStyle w:val="a0"/>
      <w:lvlText w:val=""/>
      <w:lvlJc w:val="left"/>
      <w:pPr>
        <w:tabs>
          <w:tab w:val="left" w:pos="720"/>
        </w:tabs>
        <w:ind w:left="720" w:hanging="360"/>
      </w:pPr>
      <w:rPr>
        <w:rFonts w:ascii="Wingdings" w:hAnsi="Wingdings" w:cs="Wingdings" w:hint="default"/>
      </w:rPr>
    </w:lvl>
  </w:abstractNum>
  <w:abstractNum w:abstractNumId="7" w15:restartNumberingAfterBreak="0">
    <w:nsid w:val="38014636"/>
    <w:multiLevelType w:val="multilevel"/>
    <w:tmpl w:val="38014636"/>
    <w:lvl w:ilvl="0">
      <w:start w:val="1"/>
      <w:numFmt w:val="chineseCountingThousand"/>
      <w:lvlText w:val="%1、"/>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3D0E7D39"/>
    <w:multiLevelType w:val="multilevel"/>
    <w:tmpl w:val="3D0E7D39"/>
    <w:lvl w:ilvl="0">
      <w:start w:val="1"/>
      <w:numFmt w:val="decimal"/>
      <w:pStyle w:val="AOSchHead"/>
      <w:suff w:val="nothing"/>
      <w:lvlText w:val="Schedule %1"/>
      <w:lvlJc w:val="left"/>
      <w:rPr>
        <w:b/>
        <w:bCs/>
        <w:i w:val="0"/>
        <w:iCs w:val="0"/>
      </w:rPr>
    </w:lvl>
    <w:lvl w:ilvl="1">
      <w:start w:val="1"/>
      <w:numFmt w:val="decimal"/>
      <w:pStyle w:val="AOSchPartHead"/>
      <w:suff w:val="nothing"/>
      <w:lvlText w:val="Part %2"/>
      <w:lvlJc w:val="left"/>
      <w:rPr>
        <w:b/>
        <w:bCs/>
        <w:i w:val="0"/>
        <w:iCs w:val="0"/>
      </w:rPr>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9" w15:restartNumberingAfterBreak="0">
    <w:nsid w:val="3E29759A"/>
    <w:multiLevelType w:val="multilevel"/>
    <w:tmpl w:val="3E29759A"/>
    <w:lvl w:ilvl="0">
      <w:start w:val="1"/>
      <w:numFmt w:val="decimal"/>
      <w:pStyle w:val="AOGenNum2"/>
      <w:lvlText w:val="%1."/>
      <w:lvlJc w:val="left"/>
      <w:pPr>
        <w:tabs>
          <w:tab w:val="left" w:pos="720"/>
        </w:tabs>
        <w:ind w:left="720" w:hanging="720"/>
      </w:pPr>
    </w:lvl>
    <w:lvl w:ilvl="1">
      <w:start w:val="1"/>
      <w:numFmt w:val="decimal"/>
      <w:pStyle w:val="AOGenNum2Para"/>
      <w:lvlText w:val="%1.%2"/>
      <w:lvlJc w:val="left"/>
      <w:pPr>
        <w:tabs>
          <w:tab w:val="left" w:pos="720"/>
        </w:tabs>
        <w:ind w:left="720" w:hanging="720"/>
      </w:pPr>
    </w:lvl>
    <w:lvl w:ilvl="2">
      <w:start w:val="1"/>
      <w:numFmt w:val="lowerLetter"/>
      <w:pStyle w:val="AOGenNum2List"/>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0" w15:restartNumberingAfterBreak="0">
    <w:nsid w:val="41F230E7"/>
    <w:multiLevelType w:val="singleLevel"/>
    <w:tmpl w:val="41F230E7"/>
    <w:lvl w:ilvl="0">
      <w:start w:val="1"/>
      <w:numFmt w:val="bullet"/>
      <w:pStyle w:val="AOBullet4"/>
      <w:lvlText w:val=""/>
      <w:lvlJc w:val="left"/>
      <w:pPr>
        <w:tabs>
          <w:tab w:val="left" w:pos="720"/>
        </w:tabs>
        <w:ind w:left="720" w:hanging="720"/>
      </w:pPr>
      <w:rPr>
        <w:rFonts w:ascii="Wingdings" w:hAnsi="Wingdings" w:cs="Wingdings" w:hint="default"/>
      </w:rPr>
    </w:lvl>
  </w:abstractNum>
  <w:abstractNum w:abstractNumId="11" w15:restartNumberingAfterBreak="0">
    <w:nsid w:val="475B3203"/>
    <w:multiLevelType w:val="multilevel"/>
    <w:tmpl w:val="475B3203"/>
    <w:lvl w:ilvl="0">
      <w:start w:val="1"/>
      <w:numFmt w:val="none"/>
      <w:pStyle w:val="AODocTxt"/>
      <w:suff w:val="nothing"/>
      <w:lvlText w:val=""/>
      <w:lvlJc w:val="left"/>
      <w:pPr>
        <w:ind w:left="1260"/>
      </w:pPr>
    </w:lvl>
    <w:lvl w:ilvl="1">
      <w:start w:val="1"/>
      <w:numFmt w:val="none"/>
      <w:pStyle w:val="AODocTxtL1"/>
      <w:suff w:val="nothing"/>
      <w:lvlText w:val=""/>
      <w:lvlJc w:val="left"/>
      <w:pPr>
        <w:ind w:left="1980"/>
      </w:pPr>
    </w:lvl>
    <w:lvl w:ilvl="2">
      <w:start w:val="1"/>
      <w:numFmt w:val="none"/>
      <w:pStyle w:val="AODocTxtL2"/>
      <w:suff w:val="nothing"/>
      <w:lvlText w:val=""/>
      <w:lvlJc w:val="left"/>
      <w:pPr>
        <w:ind w:left="2700"/>
      </w:pPr>
    </w:lvl>
    <w:lvl w:ilvl="3">
      <w:start w:val="1"/>
      <w:numFmt w:val="none"/>
      <w:pStyle w:val="AODocTxtL3"/>
      <w:suff w:val="nothing"/>
      <w:lvlText w:val=""/>
      <w:lvlJc w:val="left"/>
      <w:pPr>
        <w:ind w:left="3420"/>
      </w:pPr>
    </w:lvl>
    <w:lvl w:ilvl="4">
      <w:start w:val="1"/>
      <w:numFmt w:val="none"/>
      <w:pStyle w:val="AODocTxtL4"/>
      <w:suff w:val="nothing"/>
      <w:lvlText w:val=""/>
      <w:lvlJc w:val="left"/>
      <w:pPr>
        <w:ind w:left="4140"/>
      </w:pPr>
    </w:lvl>
    <w:lvl w:ilvl="5">
      <w:start w:val="1"/>
      <w:numFmt w:val="none"/>
      <w:pStyle w:val="AODocTxtL5"/>
      <w:suff w:val="nothing"/>
      <w:lvlText w:val=""/>
      <w:lvlJc w:val="left"/>
      <w:pPr>
        <w:ind w:left="4860"/>
      </w:pPr>
    </w:lvl>
    <w:lvl w:ilvl="6">
      <w:start w:val="1"/>
      <w:numFmt w:val="none"/>
      <w:pStyle w:val="AODocTxtL6"/>
      <w:suff w:val="nothing"/>
      <w:lvlText w:val=""/>
      <w:lvlJc w:val="left"/>
      <w:pPr>
        <w:ind w:left="5580"/>
      </w:pPr>
    </w:lvl>
    <w:lvl w:ilvl="7">
      <w:start w:val="1"/>
      <w:numFmt w:val="none"/>
      <w:pStyle w:val="AODocTxtL7"/>
      <w:suff w:val="nothing"/>
      <w:lvlText w:val=""/>
      <w:lvlJc w:val="left"/>
      <w:pPr>
        <w:ind w:left="6300"/>
      </w:pPr>
    </w:lvl>
    <w:lvl w:ilvl="8">
      <w:start w:val="1"/>
      <w:numFmt w:val="none"/>
      <w:pStyle w:val="AODocTxtL8"/>
      <w:suff w:val="nothing"/>
      <w:lvlText w:val=""/>
      <w:lvlJc w:val="left"/>
      <w:pPr>
        <w:ind w:left="7020"/>
      </w:pPr>
    </w:lvl>
  </w:abstractNum>
  <w:abstractNum w:abstractNumId="12" w15:restartNumberingAfterBreak="0">
    <w:nsid w:val="47B238E7"/>
    <w:multiLevelType w:val="multilevel"/>
    <w:tmpl w:val="47B238E7"/>
    <w:lvl w:ilvl="0">
      <w:start w:val="1"/>
      <w:numFmt w:val="decimal"/>
      <w:pStyle w:val="AOGenNum3"/>
      <w:lvlText w:val="%1."/>
      <w:lvlJc w:val="left"/>
      <w:pPr>
        <w:tabs>
          <w:tab w:val="left" w:pos="720"/>
        </w:tabs>
        <w:ind w:left="720" w:hanging="720"/>
      </w:pPr>
    </w:lvl>
    <w:lvl w:ilvl="1">
      <w:start w:val="1"/>
      <w:numFmt w:val="decimal"/>
      <w:pStyle w:val="AOGenNum3List"/>
      <w:lvlText w:val="%1.%2"/>
      <w:lvlJc w:val="left"/>
      <w:pPr>
        <w:tabs>
          <w:tab w:val="left" w:pos="720"/>
        </w:tabs>
        <w:ind w:left="720" w:hanging="720"/>
      </w:pPr>
    </w:lvl>
    <w:lvl w:ilvl="2">
      <w:start w:val="1"/>
      <w:numFmt w:val="lowerLetter"/>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abstractNum w:abstractNumId="13" w15:restartNumberingAfterBreak="0">
    <w:nsid w:val="49C66851"/>
    <w:multiLevelType w:val="multilevel"/>
    <w:tmpl w:val="49C66851"/>
    <w:lvl w:ilvl="0">
      <w:start w:val="1"/>
      <w:numFmt w:val="decimal"/>
      <w:pStyle w:val="AOAnxHead"/>
      <w:suff w:val="nothing"/>
      <w:lvlText w:val="Annex %1"/>
      <w:lvlJc w:val="left"/>
      <w:rPr>
        <w:b/>
        <w:bCs/>
        <w:i w:val="0"/>
        <w:iCs w:val="0"/>
      </w:rPr>
    </w:lvl>
    <w:lvl w:ilvl="1">
      <w:start w:val="1"/>
      <w:numFmt w:val="decimal"/>
      <w:pStyle w:val="AOAnxPartHead"/>
      <w:suff w:val="nothing"/>
      <w:lvlText w:val="Part %2"/>
      <w:lvlJc w:val="left"/>
      <w:rPr>
        <w:b/>
        <w:bCs/>
        <w:i w:val="0"/>
        <w:iCs w:val="0"/>
      </w:rPr>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4" w15:restartNumberingAfterBreak="0">
    <w:nsid w:val="4CFE7B09"/>
    <w:multiLevelType w:val="multilevel"/>
    <w:tmpl w:val="4CFE7B09"/>
    <w:lvl w:ilvl="0">
      <w:start w:val="1"/>
      <w:numFmt w:val="decimal"/>
      <w:pStyle w:val="AO1"/>
      <w:lvlText w:val="(%1)"/>
      <w:lvlJc w:val="left"/>
      <w:pPr>
        <w:tabs>
          <w:tab w:val="left"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5" w15:restartNumberingAfterBreak="0">
    <w:nsid w:val="4E4B4E3E"/>
    <w:multiLevelType w:val="multilevel"/>
    <w:tmpl w:val="4E4B4E3E"/>
    <w:lvl w:ilvl="0">
      <w:start w:val="1"/>
      <w:numFmt w:val="decimal"/>
      <w:lvlText w:val="%1."/>
      <w:lvlJc w:val="left"/>
      <w:pPr>
        <w:tabs>
          <w:tab w:val="left" w:pos="720"/>
        </w:tabs>
        <w:ind w:left="720" w:hanging="720"/>
      </w:pPr>
    </w:lvl>
    <w:lvl w:ilvl="1">
      <w:start w:val="1"/>
      <w:numFmt w:val="decimal"/>
      <w:pStyle w:val="AOHead2"/>
      <w:lvlText w:val="%1.%2"/>
      <w:lvlJc w:val="left"/>
      <w:pPr>
        <w:tabs>
          <w:tab w:val="left" w:pos="720"/>
        </w:tabs>
        <w:ind w:left="720" w:hanging="720"/>
      </w:pPr>
    </w:lvl>
    <w:lvl w:ilvl="2">
      <w:start w:val="1"/>
      <w:numFmt w:val="lowerLetter"/>
      <w:pStyle w:val="AOHead3"/>
      <w:lvlText w:val="(%3)"/>
      <w:lvlJc w:val="left"/>
      <w:pPr>
        <w:tabs>
          <w:tab w:val="left" w:pos="1440"/>
        </w:tabs>
        <w:ind w:left="1440" w:hanging="720"/>
      </w:pPr>
    </w:lvl>
    <w:lvl w:ilvl="3">
      <w:start w:val="1"/>
      <w:numFmt w:val="lowerRoman"/>
      <w:pStyle w:val="AOHead4"/>
      <w:lvlText w:val="(%4)"/>
      <w:lvlJc w:val="left"/>
      <w:pPr>
        <w:tabs>
          <w:tab w:val="left" w:pos="2160"/>
        </w:tabs>
        <w:ind w:left="2160" w:hanging="720"/>
      </w:pPr>
    </w:lvl>
    <w:lvl w:ilvl="4">
      <w:start w:val="1"/>
      <w:numFmt w:val="upperLetter"/>
      <w:pStyle w:val="AOHead5"/>
      <w:lvlText w:val="(%5)"/>
      <w:lvlJc w:val="left"/>
      <w:pPr>
        <w:tabs>
          <w:tab w:val="left" w:pos="2880"/>
        </w:tabs>
        <w:ind w:left="2880" w:hanging="720"/>
      </w:pPr>
    </w:lvl>
    <w:lvl w:ilvl="5">
      <w:start w:val="1"/>
      <w:numFmt w:val="upperRoman"/>
      <w:lvlText w:val="%6."/>
      <w:lvlJc w:val="left"/>
      <w:pPr>
        <w:tabs>
          <w:tab w:val="left"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16" w15:restartNumberingAfterBreak="0">
    <w:nsid w:val="56C42C79"/>
    <w:multiLevelType w:val="singleLevel"/>
    <w:tmpl w:val="56C42C79"/>
    <w:lvl w:ilvl="0">
      <w:start w:val="2"/>
      <w:numFmt w:val="japaneseCounting"/>
      <w:pStyle w:val="ParaChar"/>
      <w:lvlText w:val="（%1）"/>
      <w:lvlJc w:val="left"/>
      <w:pPr>
        <w:tabs>
          <w:tab w:val="left" w:pos="870"/>
        </w:tabs>
        <w:ind w:left="870" w:hanging="870"/>
      </w:pPr>
    </w:lvl>
  </w:abstractNum>
  <w:abstractNum w:abstractNumId="17" w15:restartNumberingAfterBreak="0">
    <w:nsid w:val="56C42C84"/>
    <w:multiLevelType w:val="singleLevel"/>
    <w:tmpl w:val="56C42C84"/>
    <w:lvl w:ilvl="0">
      <w:start w:val="1"/>
      <w:numFmt w:val="decimal"/>
      <w:pStyle w:val="20"/>
      <w:lvlText w:val="(%1)"/>
      <w:lvlJc w:val="left"/>
      <w:pPr>
        <w:tabs>
          <w:tab w:val="left" w:pos="907"/>
        </w:tabs>
        <w:ind w:left="907" w:hanging="482"/>
      </w:pPr>
    </w:lvl>
  </w:abstractNum>
  <w:abstractNum w:abstractNumId="18" w15:restartNumberingAfterBreak="0">
    <w:nsid w:val="57105B8E"/>
    <w:multiLevelType w:val="multilevel"/>
    <w:tmpl w:val="57105B8E"/>
    <w:lvl w:ilvl="0">
      <w:start w:val="1"/>
      <w:numFmt w:val="decimal"/>
      <w:lvlText w:val="%1、"/>
      <w:lvlJc w:val="left"/>
      <w:pPr>
        <w:ind w:left="780" w:hanging="360"/>
      </w:pPr>
      <w:rPr>
        <w:color w:val="00000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62830D10"/>
    <w:multiLevelType w:val="multilevel"/>
    <w:tmpl w:val="62830D10"/>
    <w:lvl w:ilvl="0">
      <w:start w:val="1"/>
      <w:numFmt w:val="upperLetter"/>
      <w:pStyle w:val="AOA"/>
      <w:lvlText w:val="(%1)"/>
      <w:lvlJc w:val="left"/>
      <w:pPr>
        <w:tabs>
          <w:tab w:val="left"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20" w15:restartNumberingAfterBreak="0">
    <w:nsid w:val="6F025FAA"/>
    <w:multiLevelType w:val="multilevel"/>
    <w:tmpl w:val="6F025FAA"/>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left"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left"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left"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left"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left" w:pos="2160"/>
        </w:tabs>
        <w:ind w:left="2160" w:hanging="720"/>
      </w:pPr>
    </w:lvl>
    <w:lvl w:ilvl="7">
      <w:start w:val="1"/>
      <w:numFmt w:val="decimal"/>
      <w:lvlText w:val="(%8)"/>
      <w:lvlJc w:val="left"/>
      <w:pPr>
        <w:tabs>
          <w:tab w:val="left"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left" w:pos="2160"/>
        </w:tabs>
        <w:ind w:left="2160" w:hanging="720"/>
      </w:pPr>
      <w:rPr>
        <w:rFonts w:ascii="Times New Roman" w:hAnsi="Times New Roman" w:cs="Times New Roman"/>
        <w:b w:val="0"/>
        <w:bCs w:val="0"/>
        <w:i w:val="0"/>
        <w:iCs w:val="0"/>
        <w:sz w:val="22"/>
        <w:szCs w:val="22"/>
      </w:rPr>
    </w:lvl>
  </w:abstractNum>
  <w:abstractNum w:abstractNumId="21" w15:restartNumberingAfterBreak="0">
    <w:nsid w:val="6F8D3D7A"/>
    <w:multiLevelType w:val="singleLevel"/>
    <w:tmpl w:val="6F8D3D7A"/>
    <w:lvl w:ilvl="0">
      <w:start w:val="1"/>
      <w:numFmt w:val="bullet"/>
      <w:pStyle w:val="AOBullet3"/>
      <w:lvlText w:val=""/>
      <w:lvlJc w:val="left"/>
      <w:pPr>
        <w:tabs>
          <w:tab w:val="left" w:pos="720"/>
        </w:tabs>
        <w:ind w:left="720" w:hanging="720"/>
      </w:pPr>
      <w:rPr>
        <w:rFonts w:ascii="Symbol" w:hAnsi="Symbol" w:cs="Symbol" w:hint="default"/>
      </w:rPr>
    </w:lvl>
  </w:abstractNum>
  <w:abstractNum w:abstractNumId="22" w15:restartNumberingAfterBreak="0">
    <w:nsid w:val="761544F7"/>
    <w:multiLevelType w:val="multilevel"/>
    <w:tmpl w:val="761544F7"/>
    <w:lvl w:ilvl="0">
      <w:start w:val="1"/>
      <w:numFmt w:val="decimal"/>
      <w:pStyle w:val="AOGenNum1"/>
      <w:lvlText w:val="%1."/>
      <w:lvlJc w:val="left"/>
      <w:pPr>
        <w:tabs>
          <w:tab w:val="left" w:pos="720"/>
        </w:tabs>
        <w:ind w:left="720" w:hanging="720"/>
      </w:pPr>
    </w:lvl>
    <w:lvl w:ilvl="1">
      <w:start w:val="1"/>
      <w:numFmt w:val="decimal"/>
      <w:pStyle w:val="AOGenNum1Para"/>
      <w:lvlText w:val="%1.%2"/>
      <w:lvlJc w:val="left"/>
      <w:pPr>
        <w:tabs>
          <w:tab w:val="left" w:pos="720"/>
        </w:tabs>
        <w:ind w:left="720" w:hanging="720"/>
      </w:pPr>
    </w:lvl>
    <w:lvl w:ilvl="2">
      <w:start w:val="1"/>
      <w:numFmt w:val="lowerLetter"/>
      <w:pStyle w:val="AOGenNum1List"/>
      <w:lvlText w:val="(%3)"/>
      <w:lvlJc w:val="left"/>
      <w:pPr>
        <w:tabs>
          <w:tab w:val="left" w:pos="720"/>
        </w:tabs>
        <w:ind w:left="720" w:hanging="720"/>
      </w:pPr>
    </w:lvl>
    <w:lvl w:ilvl="3">
      <w:start w:val="1"/>
      <w:numFmt w:val="lowerLetter"/>
      <w:lvlText w:val="(%4)"/>
      <w:lvlJc w:val="left"/>
      <w:pPr>
        <w:tabs>
          <w:tab w:val="left" w:pos="1440"/>
        </w:tabs>
        <w:ind w:left="1440" w:hanging="720"/>
      </w:pPr>
    </w:lvl>
    <w:lvl w:ilvl="4">
      <w:start w:val="1"/>
      <w:numFmt w:val="lowerRoman"/>
      <w:lvlText w:val="(%5)"/>
      <w:lvlJc w:val="left"/>
      <w:pPr>
        <w:tabs>
          <w:tab w:val="left" w:pos="1440"/>
        </w:tabs>
        <w:ind w:left="1440" w:hanging="720"/>
      </w:pPr>
    </w:lvl>
    <w:lvl w:ilvl="5">
      <w:start w:val="1"/>
      <w:numFmt w:val="lowerRoman"/>
      <w:lvlText w:val="(%6)"/>
      <w:lvlJc w:val="left"/>
      <w:pPr>
        <w:tabs>
          <w:tab w:val="left" w:pos="2160"/>
        </w:tabs>
        <w:ind w:left="2160" w:hanging="720"/>
      </w:pPr>
    </w:lvl>
    <w:lvl w:ilvl="6">
      <w:start w:val="1"/>
      <w:numFmt w:val="upperLetter"/>
      <w:lvlText w:val="(%7)"/>
      <w:lvlJc w:val="left"/>
      <w:pPr>
        <w:tabs>
          <w:tab w:val="left" w:pos="2160"/>
        </w:tabs>
        <w:ind w:left="2160" w:hanging="720"/>
      </w:pPr>
    </w:lvl>
    <w:lvl w:ilvl="7">
      <w:start w:val="1"/>
      <w:numFmt w:val="upperLetter"/>
      <w:lvlText w:val="(%8)"/>
      <w:lvlJc w:val="left"/>
      <w:pPr>
        <w:tabs>
          <w:tab w:val="left" w:pos="2880"/>
        </w:tabs>
        <w:ind w:left="2880" w:hanging="720"/>
      </w:pPr>
    </w:lvl>
    <w:lvl w:ilvl="8">
      <w:start w:val="1"/>
      <w:numFmt w:val="upperRoman"/>
      <w:lvlText w:val="%9."/>
      <w:lvlJc w:val="left"/>
      <w:pPr>
        <w:tabs>
          <w:tab w:val="left" w:pos="3600"/>
        </w:tabs>
        <w:ind w:left="3600" w:hanging="720"/>
      </w:pPr>
    </w:lvl>
  </w:abstractNum>
  <w:num w:numId="1">
    <w:abstractNumId w:val="2"/>
  </w:num>
  <w:num w:numId="2">
    <w:abstractNumId w:val="6"/>
  </w:num>
  <w:num w:numId="3">
    <w:abstractNumId w:val="11"/>
  </w:num>
  <w:num w:numId="4">
    <w:abstractNumId w:val="17"/>
  </w:num>
  <w:num w:numId="5">
    <w:abstractNumId w:val="16"/>
  </w:num>
  <w:num w:numId="6">
    <w:abstractNumId w:val="13"/>
  </w:num>
  <w:num w:numId="7">
    <w:abstractNumId w:val="1"/>
  </w:num>
  <w:num w:numId="8">
    <w:abstractNumId w:val="8"/>
  </w:num>
  <w:num w:numId="9">
    <w:abstractNumId w:val="20"/>
  </w:num>
  <w:num w:numId="10">
    <w:abstractNumId w:val="5"/>
  </w:num>
  <w:num w:numId="11">
    <w:abstractNumId w:val="14"/>
  </w:num>
  <w:num w:numId="12">
    <w:abstractNumId w:val="19"/>
  </w:num>
  <w:num w:numId="13">
    <w:abstractNumId w:val="22"/>
  </w:num>
  <w:num w:numId="14">
    <w:abstractNumId w:val="9"/>
  </w:num>
  <w:num w:numId="15">
    <w:abstractNumId w:val="12"/>
  </w:num>
  <w:num w:numId="16">
    <w:abstractNumId w:val="15"/>
  </w:num>
  <w:num w:numId="17">
    <w:abstractNumId w:val="3"/>
  </w:num>
  <w:num w:numId="18">
    <w:abstractNumId w:val="21"/>
  </w:num>
  <w:num w:numId="19">
    <w:abstractNumId w:val="10"/>
  </w:num>
  <w:num w:numId="20">
    <w:abstractNumId w:val="0"/>
  </w:num>
  <w:num w:numId="21">
    <w:abstractNumId w:val="4"/>
  </w:num>
  <w:num w:numId="22">
    <w:abstractNumId w:val="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0MWIzZmRkMzQzYjBiMmRhNTVlYWUyNDcxZWFlOTIifQ=="/>
  </w:docVars>
  <w:rsids>
    <w:rsidRoot w:val="00181756"/>
    <w:rsid w:val="00000368"/>
    <w:rsid w:val="00001A3E"/>
    <w:rsid w:val="00001BA8"/>
    <w:rsid w:val="00001C4D"/>
    <w:rsid w:val="00003959"/>
    <w:rsid w:val="00004EA0"/>
    <w:rsid w:val="000055E0"/>
    <w:rsid w:val="00005CBB"/>
    <w:rsid w:val="00005DE0"/>
    <w:rsid w:val="00006D8B"/>
    <w:rsid w:val="00007EB1"/>
    <w:rsid w:val="00010336"/>
    <w:rsid w:val="000121BC"/>
    <w:rsid w:val="00012992"/>
    <w:rsid w:val="00015D2E"/>
    <w:rsid w:val="00015FE3"/>
    <w:rsid w:val="00017323"/>
    <w:rsid w:val="0001788B"/>
    <w:rsid w:val="0002168A"/>
    <w:rsid w:val="00023606"/>
    <w:rsid w:val="00023F43"/>
    <w:rsid w:val="00023FA8"/>
    <w:rsid w:val="000247A8"/>
    <w:rsid w:val="00024825"/>
    <w:rsid w:val="00025CFF"/>
    <w:rsid w:val="00026965"/>
    <w:rsid w:val="00026C9A"/>
    <w:rsid w:val="00027571"/>
    <w:rsid w:val="00027D0E"/>
    <w:rsid w:val="0003022A"/>
    <w:rsid w:val="00030F71"/>
    <w:rsid w:val="00031E29"/>
    <w:rsid w:val="00033190"/>
    <w:rsid w:val="0003479C"/>
    <w:rsid w:val="0003525E"/>
    <w:rsid w:val="00036E23"/>
    <w:rsid w:val="00040191"/>
    <w:rsid w:val="0004053F"/>
    <w:rsid w:val="000441AD"/>
    <w:rsid w:val="00044299"/>
    <w:rsid w:val="00044871"/>
    <w:rsid w:val="00044E26"/>
    <w:rsid w:val="00044F2E"/>
    <w:rsid w:val="000472A3"/>
    <w:rsid w:val="000505F8"/>
    <w:rsid w:val="00050AB1"/>
    <w:rsid w:val="0005102A"/>
    <w:rsid w:val="0005115A"/>
    <w:rsid w:val="00051700"/>
    <w:rsid w:val="000523FE"/>
    <w:rsid w:val="00052C86"/>
    <w:rsid w:val="00053919"/>
    <w:rsid w:val="000541AD"/>
    <w:rsid w:val="00054943"/>
    <w:rsid w:val="000555F9"/>
    <w:rsid w:val="000568EF"/>
    <w:rsid w:val="00056C78"/>
    <w:rsid w:val="00057013"/>
    <w:rsid w:val="00060202"/>
    <w:rsid w:val="00060236"/>
    <w:rsid w:val="000623EA"/>
    <w:rsid w:val="0006253E"/>
    <w:rsid w:val="00066765"/>
    <w:rsid w:val="00066BD6"/>
    <w:rsid w:val="00066DF4"/>
    <w:rsid w:val="00070ABA"/>
    <w:rsid w:val="00070EC8"/>
    <w:rsid w:val="00071BC7"/>
    <w:rsid w:val="000725F6"/>
    <w:rsid w:val="000743BC"/>
    <w:rsid w:val="000745CD"/>
    <w:rsid w:val="00074C5D"/>
    <w:rsid w:val="00083FEF"/>
    <w:rsid w:val="000844B8"/>
    <w:rsid w:val="0008685B"/>
    <w:rsid w:val="00087532"/>
    <w:rsid w:val="0008759D"/>
    <w:rsid w:val="00091CAB"/>
    <w:rsid w:val="0009267B"/>
    <w:rsid w:val="00093C0F"/>
    <w:rsid w:val="0009684D"/>
    <w:rsid w:val="00097AD7"/>
    <w:rsid w:val="000A0071"/>
    <w:rsid w:val="000A0091"/>
    <w:rsid w:val="000A0F66"/>
    <w:rsid w:val="000A11D0"/>
    <w:rsid w:val="000A17E5"/>
    <w:rsid w:val="000A3F7A"/>
    <w:rsid w:val="000A67A0"/>
    <w:rsid w:val="000A6E0E"/>
    <w:rsid w:val="000B00A8"/>
    <w:rsid w:val="000B161A"/>
    <w:rsid w:val="000B5B3C"/>
    <w:rsid w:val="000B5E1F"/>
    <w:rsid w:val="000B7FD5"/>
    <w:rsid w:val="000C0294"/>
    <w:rsid w:val="000C04DE"/>
    <w:rsid w:val="000C0B25"/>
    <w:rsid w:val="000C0EEB"/>
    <w:rsid w:val="000C21DC"/>
    <w:rsid w:val="000C2CE3"/>
    <w:rsid w:val="000C3B5B"/>
    <w:rsid w:val="000C66E2"/>
    <w:rsid w:val="000C7B45"/>
    <w:rsid w:val="000C7CFC"/>
    <w:rsid w:val="000C7E39"/>
    <w:rsid w:val="000D0281"/>
    <w:rsid w:val="000D02F5"/>
    <w:rsid w:val="000D21CD"/>
    <w:rsid w:val="000D2E29"/>
    <w:rsid w:val="000D3EEC"/>
    <w:rsid w:val="000D48C9"/>
    <w:rsid w:val="000D4B2E"/>
    <w:rsid w:val="000D4E7B"/>
    <w:rsid w:val="000D5CF1"/>
    <w:rsid w:val="000D640C"/>
    <w:rsid w:val="000D6D11"/>
    <w:rsid w:val="000E0C78"/>
    <w:rsid w:val="000E203F"/>
    <w:rsid w:val="000E2670"/>
    <w:rsid w:val="000E2C9D"/>
    <w:rsid w:val="000E314C"/>
    <w:rsid w:val="000E54A9"/>
    <w:rsid w:val="000E61D2"/>
    <w:rsid w:val="000E655B"/>
    <w:rsid w:val="000E67D4"/>
    <w:rsid w:val="000E6B87"/>
    <w:rsid w:val="000E78DB"/>
    <w:rsid w:val="000E7E7D"/>
    <w:rsid w:val="000F155F"/>
    <w:rsid w:val="000F1E73"/>
    <w:rsid w:val="000F20CC"/>
    <w:rsid w:val="000F2681"/>
    <w:rsid w:val="000F2A47"/>
    <w:rsid w:val="000F36E6"/>
    <w:rsid w:val="000F4228"/>
    <w:rsid w:val="00101216"/>
    <w:rsid w:val="001016D7"/>
    <w:rsid w:val="00101C55"/>
    <w:rsid w:val="001027F5"/>
    <w:rsid w:val="001028A1"/>
    <w:rsid w:val="00103484"/>
    <w:rsid w:val="00103AA0"/>
    <w:rsid w:val="00105001"/>
    <w:rsid w:val="001062BD"/>
    <w:rsid w:val="001069AD"/>
    <w:rsid w:val="00106F1D"/>
    <w:rsid w:val="00106F35"/>
    <w:rsid w:val="00107EC8"/>
    <w:rsid w:val="00110545"/>
    <w:rsid w:val="00110FE6"/>
    <w:rsid w:val="00111CEE"/>
    <w:rsid w:val="00111F8A"/>
    <w:rsid w:val="00112056"/>
    <w:rsid w:val="00112CA3"/>
    <w:rsid w:val="00113790"/>
    <w:rsid w:val="00113794"/>
    <w:rsid w:val="0011559B"/>
    <w:rsid w:val="00115F35"/>
    <w:rsid w:val="00115F51"/>
    <w:rsid w:val="00117786"/>
    <w:rsid w:val="00117E13"/>
    <w:rsid w:val="00120CA3"/>
    <w:rsid w:val="001213C6"/>
    <w:rsid w:val="00121C6F"/>
    <w:rsid w:val="00122B2B"/>
    <w:rsid w:val="0012340B"/>
    <w:rsid w:val="00123A2C"/>
    <w:rsid w:val="001245C1"/>
    <w:rsid w:val="00124D59"/>
    <w:rsid w:val="001252A5"/>
    <w:rsid w:val="00126F0D"/>
    <w:rsid w:val="00132869"/>
    <w:rsid w:val="00132A3E"/>
    <w:rsid w:val="001333E3"/>
    <w:rsid w:val="00133739"/>
    <w:rsid w:val="00134D10"/>
    <w:rsid w:val="00136255"/>
    <w:rsid w:val="00136DEF"/>
    <w:rsid w:val="00141749"/>
    <w:rsid w:val="00143F18"/>
    <w:rsid w:val="00144854"/>
    <w:rsid w:val="001454DB"/>
    <w:rsid w:val="00145612"/>
    <w:rsid w:val="00145F3F"/>
    <w:rsid w:val="001501C1"/>
    <w:rsid w:val="00151826"/>
    <w:rsid w:val="00152FE3"/>
    <w:rsid w:val="001537D3"/>
    <w:rsid w:val="00153A66"/>
    <w:rsid w:val="001558F4"/>
    <w:rsid w:val="0015590F"/>
    <w:rsid w:val="0015609A"/>
    <w:rsid w:val="00156AA2"/>
    <w:rsid w:val="001605B9"/>
    <w:rsid w:val="001605DF"/>
    <w:rsid w:val="00161EB1"/>
    <w:rsid w:val="00162509"/>
    <w:rsid w:val="00162F68"/>
    <w:rsid w:val="00165FAC"/>
    <w:rsid w:val="00167035"/>
    <w:rsid w:val="001675AB"/>
    <w:rsid w:val="0016782A"/>
    <w:rsid w:val="0017111D"/>
    <w:rsid w:val="0017138C"/>
    <w:rsid w:val="00172184"/>
    <w:rsid w:val="00172E8E"/>
    <w:rsid w:val="00172F7A"/>
    <w:rsid w:val="00180999"/>
    <w:rsid w:val="00181756"/>
    <w:rsid w:val="00182297"/>
    <w:rsid w:val="0018413C"/>
    <w:rsid w:val="00185D8A"/>
    <w:rsid w:val="00185ED0"/>
    <w:rsid w:val="00186F97"/>
    <w:rsid w:val="00187109"/>
    <w:rsid w:val="001903B7"/>
    <w:rsid w:val="00190CA9"/>
    <w:rsid w:val="0019296F"/>
    <w:rsid w:val="0019302A"/>
    <w:rsid w:val="00193A30"/>
    <w:rsid w:val="00193AE0"/>
    <w:rsid w:val="00197D9C"/>
    <w:rsid w:val="001A081F"/>
    <w:rsid w:val="001A1029"/>
    <w:rsid w:val="001A1BF0"/>
    <w:rsid w:val="001A3FE9"/>
    <w:rsid w:val="001A4392"/>
    <w:rsid w:val="001A48BD"/>
    <w:rsid w:val="001A559E"/>
    <w:rsid w:val="001A60E6"/>
    <w:rsid w:val="001A6B35"/>
    <w:rsid w:val="001A751B"/>
    <w:rsid w:val="001B4309"/>
    <w:rsid w:val="001B6DEC"/>
    <w:rsid w:val="001B7674"/>
    <w:rsid w:val="001C0CBA"/>
    <w:rsid w:val="001C0FEC"/>
    <w:rsid w:val="001C201A"/>
    <w:rsid w:val="001C2E25"/>
    <w:rsid w:val="001C313D"/>
    <w:rsid w:val="001C4280"/>
    <w:rsid w:val="001C48AE"/>
    <w:rsid w:val="001C64F7"/>
    <w:rsid w:val="001D1C01"/>
    <w:rsid w:val="001D1E5A"/>
    <w:rsid w:val="001D21D3"/>
    <w:rsid w:val="001D261B"/>
    <w:rsid w:val="001D3225"/>
    <w:rsid w:val="001D3AEE"/>
    <w:rsid w:val="001D5F92"/>
    <w:rsid w:val="001D6B5C"/>
    <w:rsid w:val="001E0824"/>
    <w:rsid w:val="001E2BE1"/>
    <w:rsid w:val="001E3ADC"/>
    <w:rsid w:val="001E4BC7"/>
    <w:rsid w:val="001E4F52"/>
    <w:rsid w:val="001E6397"/>
    <w:rsid w:val="001E7864"/>
    <w:rsid w:val="001E7A42"/>
    <w:rsid w:val="001F0B9B"/>
    <w:rsid w:val="001F2221"/>
    <w:rsid w:val="001F285B"/>
    <w:rsid w:val="001F32BC"/>
    <w:rsid w:val="001F3813"/>
    <w:rsid w:val="001F436E"/>
    <w:rsid w:val="001F5105"/>
    <w:rsid w:val="001F51D5"/>
    <w:rsid w:val="001F5475"/>
    <w:rsid w:val="001F56D8"/>
    <w:rsid w:val="001F720E"/>
    <w:rsid w:val="001F7727"/>
    <w:rsid w:val="001F7A6B"/>
    <w:rsid w:val="001F7E14"/>
    <w:rsid w:val="002000CF"/>
    <w:rsid w:val="00200B42"/>
    <w:rsid w:val="002032DD"/>
    <w:rsid w:val="002034AC"/>
    <w:rsid w:val="00203656"/>
    <w:rsid w:val="00203DD2"/>
    <w:rsid w:val="00203FF5"/>
    <w:rsid w:val="00204052"/>
    <w:rsid w:val="0020459D"/>
    <w:rsid w:val="00206204"/>
    <w:rsid w:val="00206CA3"/>
    <w:rsid w:val="00206DD2"/>
    <w:rsid w:val="00207E53"/>
    <w:rsid w:val="002125C6"/>
    <w:rsid w:val="002143C3"/>
    <w:rsid w:val="002151B3"/>
    <w:rsid w:val="00215E65"/>
    <w:rsid w:val="00221676"/>
    <w:rsid w:val="00221A45"/>
    <w:rsid w:val="00221C79"/>
    <w:rsid w:val="00221CEC"/>
    <w:rsid w:val="00222930"/>
    <w:rsid w:val="00222ED3"/>
    <w:rsid w:val="002276E9"/>
    <w:rsid w:val="0022796A"/>
    <w:rsid w:val="00232165"/>
    <w:rsid w:val="00232953"/>
    <w:rsid w:val="00232CF7"/>
    <w:rsid w:val="00234C9A"/>
    <w:rsid w:val="00236E94"/>
    <w:rsid w:val="00240D88"/>
    <w:rsid w:val="0024129E"/>
    <w:rsid w:val="00242BD3"/>
    <w:rsid w:val="00244AF6"/>
    <w:rsid w:val="0024691F"/>
    <w:rsid w:val="00247CB0"/>
    <w:rsid w:val="002501EA"/>
    <w:rsid w:val="00250AC1"/>
    <w:rsid w:val="002521F6"/>
    <w:rsid w:val="0025280A"/>
    <w:rsid w:val="00254B96"/>
    <w:rsid w:val="002561D0"/>
    <w:rsid w:val="00256CFB"/>
    <w:rsid w:val="00257DFC"/>
    <w:rsid w:val="00264A5A"/>
    <w:rsid w:val="002654B0"/>
    <w:rsid w:val="0026614A"/>
    <w:rsid w:val="00266423"/>
    <w:rsid w:val="00266EAA"/>
    <w:rsid w:val="00267CEE"/>
    <w:rsid w:val="002701EB"/>
    <w:rsid w:val="0027261D"/>
    <w:rsid w:val="00275019"/>
    <w:rsid w:val="0027599D"/>
    <w:rsid w:val="00275CFE"/>
    <w:rsid w:val="0027704F"/>
    <w:rsid w:val="00277386"/>
    <w:rsid w:val="002817FF"/>
    <w:rsid w:val="00283514"/>
    <w:rsid w:val="00283DCF"/>
    <w:rsid w:val="002862E4"/>
    <w:rsid w:val="0028631D"/>
    <w:rsid w:val="00287D8D"/>
    <w:rsid w:val="002902B4"/>
    <w:rsid w:val="002906C9"/>
    <w:rsid w:val="00291977"/>
    <w:rsid w:val="00292082"/>
    <w:rsid w:val="0029244A"/>
    <w:rsid w:val="002924C5"/>
    <w:rsid w:val="00292D77"/>
    <w:rsid w:val="002942F2"/>
    <w:rsid w:val="0029473B"/>
    <w:rsid w:val="0029476B"/>
    <w:rsid w:val="00295FA0"/>
    <w:rsid w:val="0029654D"/>
    <w:rsid w:val="002976C6"/>
    <w:rsid w:val="00297F9B"/>
    <w:rsid w:val="002A072B"/>
    <w:rsid w:val="002A0AF0"/>
    <w:rsid w:val="002A0CBC"/>
    <w:rsid w:val="002A174A"/>
    <w:rsid w:val="002A1812"/>
    <w:rsid w:val="002A1F2D"/>
    <w:rsid w:val="002A294B"/>
    <w:rsid w:val="002A4975"/>
    <w:rsid w:val="002A4BC5"/>
    <w:rsid w:val="002A545A"/>
    <w:rsid w:val="002A5B84"/>
    <w:rsid w:val="002A6AD2"/>
    <w:rsid w:val="002A6E9A"/>
    <w:rsid w:val="002A72FC"/>
    <w:rsid w:val="002A7926"/>
    <w:rsid w:val="002B038A"/>
    <w:rsid w:val="002B0402"/>
    <w:rsid w:val="002B091C"/>
    <w:rsid w:val="002B099E"/>
    <w:rsid w:val="002B0D81"/>
    <w:rsid w:val="002B0E46"/>
    <w:rsid w:val="002B1481"/>
    <w:rsid w:val="002B165D"/>
    <w:rsid w:val="002B40B2"/>
    <w:rsid w:val="002B4BBD"/>
    <w:rsid w:val="002B551C"/>
    <w:rsid w:val="002B768C"/>
    <w:rsid w:val="002B794E"/>
    <w:rsid w:val="002B7DB3"/>
    <w:rsid w:val="002B7DE3"/>
    <w:rsid w:val="002B7E47"/>
    <w:rsid w:val="002C1FFF"/>
    <w:rsid w:val="002C319B"/>
    <w:rsid w:val="002C376C"/>
    <w:rsid w:val="002C378A"/>
    <w:rsid w:val="002C42BE"/>
    <w:rsid w:val="002C5CD1"/>
    <w:rsid w:val="002C7026"/>
    <w:rsid w:val="002D075B"/>
    <w:rsid w:val="002D1F14"/>
    <w:rsid w:val="002D3320"/>
    <w:rsid w:val="002D426C"/>
    <w:rsid w:val="002D5FA0"/>
    <w:rsid w:val="002D6FF7"/>
    <w:rsid w:val="002D7793"/>
    <w:rsid w:val="002E1974"/>
    <w:rsid w:val="002E2FAF"/>
    <w:rsid w:val="002E305C"/>
    <w:rsid w:val="002E3620"/>
    <w:rsid w:val="002E3B1A"/>
    <w:rsid w:val="002E515D"/>
    <w:rsid w:val="002E558B"/>
    <w:rsid w:val="002E55AA"/>
    <w:rsid w:val="002E5784"/>
    <w:rsid w:val="002E7A54"/>
    <w:rsid w:val="002F0880"/>
    <w:rsid w:val="002F1CB5"/>
    <w:rsid w:val="002F2027"/>
    <w:rsid w:val="002F418C"/>
    <w:rsid w:val="002F52F9"/>
    <w:rsid w:val="002F7DE1"/>
    <w:rsid w:val="00302659"/>
    <w:rsid w:val="00302E00"/>
    <w:rsid w:val="00304CA9"/>
    <w:rsid w:val="00305103"/>
    <w:rsid w:val="00307A59"/>
    <w:rsid w:val="00307C3C"/>
    <w:rsid w:val="00310098"/>
    <w:rsid w:val="00310A3D"/>
    <w:rsid w:val="00311129"/>
    <w:rsid w:val="00312071"/>
    <w:rsid w:val="003134B5"/>
    <w:rsid w:val="003134E7"/>
    <w:rsid w:val="00313629"/>
    <w:rsid w:val="00313764"/>
    <w:rsid w:val="00314364"/>
    <w:rsid w:val="00316811"/>
    <w:rsid w:val="00324169"/>
    <w:rsid w:val="0032437B"/>
    <w:rsid w:val="0032491F"/>
    <w:rsid w:val="003249E1"/>
    <w:rsid w:val="00324CD2"/>
    <w:rsid w:val="00324F18"/>
    <w:rsid w:val="0032568E"/>
    <w:rsid w:val="003259F5"/>
    <w:rsid w:val="00326773"/>
    <w:rsid w:val="0033379E"/>
    <w:rsid w:val="00333843"/>
    <w:rsid w:val="003344EE"/>
    <w:rsid w:val="003346BF"/>
    <w:rsid w:val="0033565F"/>
    <w:rsid w:val="00337D1D"/>
    <w:rsid w:val="00337DEE"/>
    <w:rsid w:val="00337E92"/>
    <w:rsid w:val="003404BB"/>
    <w:rsid w:val="003422E0"/>
    <w:rsid w:val="00342618"/>
    <w:rsid w:val="00343946"/>
    <w:rsid w:val="0034720C"/>
    <w:rsid w:val="00347B6D"/>
    <w:rsid w:val="00350013"/>
    <w:rsid w:val="0035164B"/>
    <w:rsid w:val="00351FBF"/>
    <w:rsid w:val="0035209A"/>
    <w:rsid w:val="003531C9"/>
    <w:rsid w:val="0035388B"/>
    <w:rsid w:val="0035472E"/>
    <w:rsid w:val="00355A52"/>
    <w:rsid w:val="00356732"/>
    <w:rsid w:val="00361ABA"/>
    <w:rsid w:val="00361BC5"/>
    <w:rsid w:val="0036264A"/>
    <w:rsid w:val="003634AF"/>
    <w:rsid w:val="00364333"/>
    <w:rsid w:val="003658EE"/>
    <w:rsid w:val="00365B1E"/>
    <w:rsid w:val="003672CE"/>
    <w:rsid w:val="00367A34"/>
    <w:rsid w:val="00370A14"/>
    <w:rsid w:val="00371834"/>
    <w:rsid w:val="00371C28"/>
    <w:rsid w:val="00372053"/>
    <w:rsid w:val="003720C9"/>
    <w:rsid w:val="00372E1B"/>
    <w:rsid w:val="003731B4"/>
    <w:rsid w:val="0037346B"/>
    <w:rsid w:val="003742EF"/>
    <w:rsid w:val="003749F6"/>
    <w:rsid w:val="00376067"/>
    <w:rsid w:val="00382379"/>
    <w:rsid w:val="00382383"/>
    <w:rsid w:val="00383156"/>
    <w:rsid w:val="003832B6"/>
    <w:rsid w:val="0038392C"/>
    <w:rsid w:val="00383C69"/>
    <w:rsid w:val="003842E0"/>
    <w:rsid w:val="0038436E"/>
    <w:rsid w:val="0038452A"/>
    <w:rsid w:val="00384CAF"/>
    <w:rsid w:val="003858BE"/>
    <w:rsid w:val="00386269"/>
    <w:rsid w:val="0038725D"/>
    <w:rsid w:val="0039091A"/>
    <w:rsid w:val="00391EB3"/>
    <w:rsid w:val="003925E9"/>
    <w:rsid w:val="003973D6"/>
    <w:rsid w:val="003A0318"/>
    <w:rsid w:val="003A0C6E"/>
    <w:rsid w:val="003A0CCD"/>
    <w:rsid w:val="003A12F3"/>
    <w:rsid w:val="003A1AB6"/>
    <w:rsid w:val="003A4762"/>
    <w:rsid w:val="003A5DCF"/>
    <w:rsid w:val="003A65FC"/>
    <w:rsid w:val="003A6BDF"/>
    <w:rsid w:val="003A6C8D"/>
    <w:rsid w:val="003A6D32"/>
    <w:rsid w:val="003A6D42"/>
    <w:rsid w:val="003A6EE6"/>
    <w:rsid w:val="003B09FB"/>
    <w:rsid w:val="003B1181"/>
    <w:rsid w:val="003B19FA"/>
    <w:rsid w:val="003B1D8D"/>
    <w:rsid w:val="003B20C2"/>
    <w:rsid w:val="003B2E17"/>
    <w:rsid w:val="003B2E6E"/>
    <w:rsid w:val="003B45A0"/>
    <w:rsid w:val="003C1C6A"/>
    <w:rsid w:val="003C439D"/>
    <w:rsid w:val="003C5A22"/>
    <w:rsid w:val="003C69E6"/>
    <w:rsid w:val="003C7699"/>
    <w:rsid w:val="003D14ED"/>
    <w:rsid w:val="003D238B"/>
    <w:rsid w:val="003D2719"/>
    <w:rsid w:val="003D278B"/>
    <w:rsid w:val="003D2BA9"/>
    <w:rsid w:val="003D2DD3"/>
    <w:rsid w:val="003D4741"/>
    <w:rsid w:val="003D5932"/>
    <w:rsid w:val="003D67DA"/>
    <w:rsid w:val="003D6860"/>
    <w:rsid w:val="003D746A"/>
    <w:rsid w:val="003D7F08"/>
    <w:rsid w:val="003E23F5"/>
    <w:rsid w:val="003E500B"/>
    <w:rsid w:val="003E7189"/>
    <w:rsid w:val="003E77C8"/>
    <w:rsid w:val="003E7B8C"/>
    <w:rsid w:val="003F028A"/>
    <w:rsid w:val="003F0737"/>
    <w:rsid w:val="003F4782"/>
    <w:rsid w:val="003F75AE"/>
    <w:rsid w:val="003F78CA"/>
    <w:rsid w:val="00400F03"/>
    <w:rsid w:val="00401B73"/>
    <w:rsid w:val="00401C8C"/>
    <w:rsid w:val="00401E4A"/>
    <w:rsid w:val="004021BE"/>
    <w:rsid w:val="004026AA"/>
    <w:rsid w:val="004029BF"/>
    <w:rsid w:val="004050F3"/>
    <w:rsid w:val="004051DD"/>
    <w:rsid w:val="00405684"/>
    <w:rsid w:val="0040697E"/>
    <w:rsid w:val="00407A4A"/>
    <w:rsid w:val="00407FE8"/>
    <w:rsid w:val="004102D9"/>
    <w:rsid w:val="00411B50"/>
    <w:rsid w:val="00412489"/>
    <w:rsid w:val="00413F3F"/>
    <w:rsid w:val="004141CB"/>
    <w:rsid w:val="00416220"/>
    <w:rsid w:val="004217C3"/>
    <w:rsid w:val="00421E38"/>
    <w:rsid w:val="00422E55"/>
    <w:rsid w:val="0042396A"/>
    <w:rsid w:val="00425E80"/>
    <w:rsid w:val="0042628F"/>
    <w:rsid w:val="00426CFC"/>
    <w:rsid w:val="00427B43"/>
    <w:rsid w:val="004301DA"/>
    <w:rsid w:val="00431A46"/>
    <w:rsid w:val="00431F66"/>
    <w:rsid w:val="0043226B"/>
    <w:rsid w:val="004346E0"/>
    <w:rsid w:val="00434B77"/>
    <w:rsid w:val="00435190"/>
    <w:rsid w:val="00436313"/>
    <w:rsid w:val="004378B5"/>
    <w:rsid w:val="00441575"/>
    <w:rsid w:val="00442BD2"/>
    <w:rsid w:val="00442CEA"/>
    <w:rsid w:val="004430A7"/>
    <w:rsid w:val="00444CF1"/>
    <w:rsid w:val="00446D57"/>
    <w:rsid w:val="00447ED4"/>
    <w:rsid w:val="00450343"/>
    <w:rsid w:val="004553EE"/>
    <w:rsid w:val="00455A58"/>
    <w:rsid w:val="00460110"/>
    <w:rsid w:val="00460572"/>
    <w:rsid w:val="00460EE6"/>
    <w:rsid w:val="00461B98"/>
    <w:rsid w:val="004628B9"/>
    <w:rsid w:val="00462F59"/>
    <w:rsid w:val="00464331"/>
    <w:rsid w:val="004648AB"/>
    <w:rsid w:val="0046490F"/>
    <w:rsid w:val="00466725"/>
    <w:rsid w:val="004670C1"/>
    <w:rsid w:val="00470D06"/>
    <w:rsid w:val="00471C05"/>
    <w:rsid w:val="0047241B"/>
    <w:rsid w:val="004738E7"/>
    <w:rsid w:val="004756A5"/>
    <w:rsid w:val="00481BCF"/>
    <w:rsid w:val="0048240D"/>
    <w:rsid w:val="00482CE0"/>
    <w:rsid w:val="00484A61"/>
    <w:rsid w:val="00484BD6"/>
    <w:rsid w:val="004853ED"/>
    <w:rsid w:val="0048545D"/>
    <w:rsid w:val="004867F7"/>
    <w:rsid w:val="00487454"/>
    <w:rsid w:val="00490468"/>
    <w:rsid w:val="0049449E"/>
    <w:rsid w:val="0049484B"/>
    <w:rsid w:val="004953AC"/>
    <w:rsid w:val="00496E6F"/>
    <w:rsid w:val="004973C8"/>
    <w:rsid w:val="00497BB0"/>
    <w:rsid w:val="004A043F"/>
    <w:rsid w:val="004A0731"/>
    <w:rsid w:val="004A0E8D"/>
    <w:rsid w:val="004A0F56"/>
    <w:rsid w:val="004A1999"/>
    <w:rsid w:val="004A1AF0"/>
    <w:rsid w:val="004A1BEA"/>
    <w:rsid w:val="004A23A5"/>
    <w:rsid w:val="004A2E96"/>
    <w:rsid w:val="004A3846"/>
    <w:rsid w:val="004A4117"/>
    <w:rsid w:val="004A52BC"/>
    <w:rsid w:val="004A7B04"/>
    <w:rsid w:val="004B1020"/>
    <w:rsid w:val="004B24DA"/>
    <w:rsid w:val="004B3371"/>
    <w:rsid w:val="004B44A9"/>
    <w:rsid w:val="004B73D0"/>
    <w:rsid w:val="004C037B"/>
    <w:rsid w:val="004C07D3"/>
    <w:rsid w:val="004C098F"/>
    <w:rsid w:val="004C09E5"/>
    <w:rsid w:val="004C11C3"/>
    <w:rsid w:val="004C1AB3"/>
    <w:rsid w:val="004C2A38"/>
    <w:rsid w:val="004C2D26"/>
    <w:rsid w:val="004C3EAE"/>
    <w:rsid w:val="004C5607"/>
    <w:rsid w:val="004C5E7E"/>
    <w:rsid w:val="004C6EC8"/>
    <w:rsid w:val="004C7475"/>
    <w:rsid w:val="004C792D"/>
    <w:rsid w:val="004C7C42"/>
    <w:rsid w:val="004C7CE4"/>
    <w:rsid w:val="004D247C"/>
    <w:rsid w:val="004D31BC"/>
    <w:rsid w:val="004D3919"/>
    <w:rsid w:val="004D3954"/>
    <w:rsid w:val="004D55F2"/>
    <w:rsid w:val="004E0C84"/>
    <w:rsid w:val="004E1C17"/>
    <w:rsid w:val="004E1F10"/>
    <w:rsid w:val="004E2ADC"/>
    <w:rsid w:val="004E3C71"/>
    <w:rsid w:val="004E3F49"/>
    <w:rsid w:val="004E4C68"/>
    <w:rsid w:val="004E5A86"/>
    <w:rsid w:val="004F0454"/>
    <w:rsid w:val="004F04ED"/>
    <w:rsid w:val="004F1346"/>
    <w:rsid w:val="004F1ADD"/>
    <w:rsid w:val="004F2D0B"/>
    <w:rsid w:val="004F2E49"/>
    <w:rsid w:val="004F33A5"/>
    <w:rsid w:val="004F3867"/>
    <w:rsid w:val="004F3911"/>
    <w:rsid w:val="004F413B"/>
    <w:rsid w:val="004F5004"/>
    <w:rsid w:val="004F5260"/>
    <w:rsid w:val="004F5A23"/>
    <w:rsid w:val="004F6562"/>
    <w:rsid w:val="004F7D70"/>
    <w:rsid w:val="00501C26"/>
    <w:rsid w:val="00501C6E"/>
    <w:rsid w:val="0050208F"/>
    <w:rsid w:val="005032CF"/>
    <w:rsid w:val="005051CD"/>
    <w:rsid w:val="00505A24"/>
    <w:rsid w:val="00505B39"/>
    <w:rsid w:val="00506D72"/>
    <w:rsid w:val="005077D4"/>
    <w:rsid w:val="00510166"/>
    <w:rsid w:val="00512A96"/>
    <w:rsid w:val="00513094"/>
    <w:rsid w:val="00514834"/>
    <w:rsid w:val="005148BE"/>
    <w:rsid w:val="005151D1"/>
    <w:rsid w:val="00515579"/>
    <w:rsid w:val="005168DA"/>
    <w:rsid w:val="00517076"/>
    <w:rsid w:val="005173D0"/>
    <w:rsid w:val="005200B8"/>
    <w:rsid w:val="00520A94"/>
    <w:rsid w:val="00520D53"/>
    <w:rsid w:val="00520D56"/>
    <w:rsid w:val="00521005"/>
    <w:rsid w:val="0052259D"/>
    <w:rsid w:val="005227E3"/>
    <w:rsid w:val="0052317E"/>
    <w:rsid w:val="005240A5"/>
    <w:rsid w:val="005248EC"/>
    <w:rsid w:val="00526311"/>
    <w:rsid w:val="00526812"/>
    <w:rsid w:val="005273A1"/>
    <w:rsid w:val="005327EA"/>
    <w:rsid w:val="005332B8"/>
    <w:rsid w:val="005341E1"/>
    <w:rsid w:val="00534CFC"/>
    <w:rsid w:val="00535F51"/>
    <w:rsid w:val="005361F1"/>
    <w:rsid w:val="005364F4"/>
    <w:rsid w:val="00536B94"/>
    <w:rsid w:val="005440CB"/>
    <w:rsid w:val="00544218"/>
    <w:rsid w:val="00544A16"/>
    <w:rsid w:val="00544F61"/>
    <w:rsid w:val="00545837"/>
    <w:rsid w:val="005466E7"/>
    <w:rsid w:val="00546E5B"/>
    <w:rsid w:val="005472A3"/>
    <w:rsid w:val="00550967"/>
    <w:rsid w:val="00551617"/>
    <w:rsid w:val="00552025"/>
    <w:rsid w:val="00552235"/>
    <w:rsid w:val="00552996"/>
    <w:rsid w:val="00554200"/>
    <w:rsid w:val="00556887"/>
    <w:rsid w:val="00560C85"/>
    <w:rsid w:val="00561741"/>
    <w:rsid w:val="00561D9E"/>
    <w:rsid w:val="00564AC8"/>
    <w:rsid w:val="005653EB"/>
    <w:rsid w:val="00566DE5"/>
    <w:rsid w:val="0056706D"/>
    <w:rsid w:val="00567553"/>
    <w:rsid w:val="005701F2"/>
    <w:rsid w:val="0057168E"/>
    <w:rsid w:val="00571DF0"/>
    <w:rsid w:val="00573F50"/>
    <w:rsid w:val="00580660"/>
    <w:rsid w:val="0058123C"/>
    <w:rsid w:val="005812EA"/>
    <w:rsid w:val="00583158"/>
    <w:rsid w:val="00583330"/>
    <w:rsid w:val="00583FEC"/>
    <w:rsid w:val="00584D4B"/>
    <w:rsid w:val="0058570F"/>
    <w:rsid w:val="00586582"/>
    <w:rsid w:val="00586599"/>
    <w:rsid w:val="005865A6"/>
    <w:rsid w:val="00590455"/>
    <w:rsid w:val="00591F75"/>
    <w:rsid w:val="005941BD"/>
    <w:rsid w:val="005945CC"/>
    <w:rsid w:val="005A0CE2"/>
    <w:rsid w:val="005A29D8"/>
    <w:rsid w:val="005A2B7D"/>
    <w:rsid w:val="005A3A55"/>
    <w:rsid w:val="005A4AA9"/>
    <w:rsid w:val="005A4FA4"/>
    <w:rsid w:val="005A5EF6"/>
    <w:rsid w:val="005A65A4"/>
    <w:rsid w:val="005B5BB7"/>
    <w:rsid w:val="005B5FA9"/>
    <w:rsid w:val="005B6636"/>
    <w:rsid w:val="005B742A"/>
    <w:rsid w:val="005C2205"/>
    <w:rsid w:val="005C2F42"/>
    <w:rsid w:val="005C3058"/>
    <w:rsid w:val="005C3594"/>
    <w:rsid w:val="005C3E29"/>
    <w:rsid w:val="005C52A1"/>
    <w:rsid w:val="005C5903"/>
    <w:rsid w:val="005C6E37"/>
    <w:rsid w:val="005D0296"/>
    <w:rsid w:val="005D09AE"/>
    <w:rsid w:val="005D1B4C"/>
    <w:rsid w:val="005D1CC2"/>
    <w:rsid w:val="005D3916"/>
    <w:rsid w:val="005D47A6"/>
    <w:rsid w:val="005D5BD2"/>
    <w:rsid w:val="005D66EC"/>
    <w:rsid w:val="005D7436"/>
    <w:rsid w:val="005D7E5D"/>
    <w:rsid w:val="005E1D6E"/>
    <w:rsid w:val="005E23F1"/>
    <w:rsid w:val="005E418B"/>
    <w:rsid w:val="005E43A9"/>
    <w:rsid w:val="005E46B9"/>
    <w:rsid w:val="005E4EB9"/>
    <w:rsid w:val="005E5066"/>
    <w:rsid w:val="005E5B0C"/>
    <w:rsid w:val="005E7624"/>
    <w:rsid w:val="005F1D32"/>
    <w:rsid w:val="005F22E7"/>
    <w:rsid w:val="005F3BE1"/>
    <w:rsid w:val="005F3DE9"/>
    <w:rsid w:val="005F4A3D"/>
    <w:rsid w:val="005F5C6F"/>
    <w:rsid w:val="005F6A4F"/>
    <w:rsid w:val="005F6D92"/>
    <w:rsid w:val="0060010A"/>
    <w:rsid w:val="0060061E"/>
    <w:rsid w:val="0060189E"/>
    <w:rsid w:val="00601EBC"/>
    <w:rsid w:val="00603E3A"/>
    <w:rsid w:val="00604B0C"/>
    <w:rsid w:val="00604C3E"/>
    <w:rsid w:val="00604DAC"/>
    <w:rsid w:val="00606AD4"/>
    <w:rsid w:val="00607196"/>
    <w:rsid w:val="00611094"/>
    <w:rsid w:val="006131AA"/>
    <w:rsid w:val="00614ACB"/>
    <w:rsid w:val="00614B10"/>
    <w:rsid w:val="006151EE"/>
    <w:rsid w:val="00617042"/>
    <w:rsid w:val="006174B3"/>
    <w:rsid w:val="00620965"/>
    <w:rsid w:val="00620E82"/>
    <w:rsid w:val="006221C3"/>
    <w:rsid w:val="00622CFB"/>
    <w:rsid w:val="00623588"/>
    <w:rsid w:val="00624751"/>
    <w:rsid w:val="00625A59"/>
    <w:rsid w:val="00626143"/>
    <w:rsid w:val="00627301"/>
    <w:rsid w:val="00630034"/>
    <w:rsid w:val="00630A34"/>
    <w:rsid w:val="00631BC2"/>
    <w:rsid w:val="0063214C"/>
    <w:rsid w:val="00632703"/>
    <w:rsid w:val="00633A78"/>
    <w:rsid w:val="00633D1A"/>
    <w:rsid w:val="00635696"/>
    <w:rsid w:val="0063641E"/>
    <w:rsid w:val="006371C7"/>
    <w:rsid w:val="006425C9"/>
    <w:rsid w:val="00642C97"/>
    <w:rsid w:val="0064428F"/>
    <w:rsid w:val="006448E6"/>
    <w:rsid w:val="006459DC"/>
    <w:rsid w:val="00646E0D"/>
    <w:rsid w:val="00646F14"/>
    <w:rsid w:val="00647590"/>
    <w:rsid w:val="00650B94"/>
    <w:rsid w:val="00650FA5"/>
    <w:rsid w:val="006513C3"/>
    <w:rsid w:val="006523B9"/>
    <w:rsid w:val="00654190"/>
    <w:rsid w:val="00654214"/>
    <w:rsid w:val="00655078"/>
    <w:rsid w:val="00655EAF"/>
    <w:rsid w:val="00656057"/>
    <w:rsid w:val="0065678C"/>
    <w:rsid w:val="0065713E"/>
    <w:rsid w:val="00657CBE"/>
    <w:rsid w:val="00660513"/>
    <w:rsid w:val="006605DE"/>
    <w:rsid w:val="006612A0"/>
    <w:rsid w:val="0066241D"/>
    <w:rsid w:val="00663493"/>
    <w:rsid w:val="00665A72"/>
    <w:rsid w:val="00671282"/>
    <w:rsid w:val="00671423"/>
    <w:rsid w:val="00671776"/>
    <w:rsid w:val="006719D3"/>
    <w:rsid w:val="00671FF1"/>
    <w:rsid w:val="006739F0"/>
    <w:rsid w:val="006754DA"/>
    <w:rsid w:val="00675A70"/>
    <w:rsid w:val="00680898"/>
    <w:rsid w:val="00680A8E"/>
    <w:rsid w:val="00680CCE"/>
    <w:rsid w:val="00682321"/>
    <w:rsid w:val="00683CC8"/>
    <w:rsid w:val="00684B18"/>
    <w:rsid w:val="00684D5E"/>
    <w:rsid w:val="0068581A"/>
    <w:rsid w:val="00685F83"/>
    <w:rsid w:val="006906ED"/>
    <w:rsid w:val="00691AFE"/>
    <w:rsid w:val="00692E75"/>
    <w:rsid w:val="006933BF"/>
    <w:rsid w:val="00693FFC"/>
    <w:rsid w:val="006958FC"/>
    <w:rsid w:val="006966EF"/>
    <w:rsid w:val="00697429"/>
    <w:rsid w:val="00697AE6"/>
    <w:rsid w:val="00697C7B"/>
    <w:rsid w:val="00697D5B"/>
    <w:rsid w:val="006A0E63"/>
    <w:rsid w:val="006A176B"/>
    <w:rsid w:val="006A1F11"/>
    <w:rsid w:val="006A2FB3"/>
    <w:rsid w:val="006A52A8"/>
    <w:rsid w:val="006B0E69"/>
    <w:rsid w:val="006B14F9"/>
    <w:rsid w:val="006B25A4"/>
    <w:rsid w:val="006B76E7"/>
    <w:rsid w:val="006C26C6"/>
    <w:rsid w:val="006C3B84"/>
    <w:rsid w:val="006C4002"/>
    <w:rsid w:val="006C4D4B"/>
    <w:rsid w:val="006C753C"/>
    <w:rsid w:val="006C7570"/>
    <w:rsid w:val="006D04D8"/>
    <w:rsid w:val="006D2BD1"/>
    <w:rsid w:val="006D2F88"/>
    <w:rsid w:val="006D4E4F"/>
    <w:rsid w:val="006D4F7D"/>
    <w:rsid w:val="006D51E2"/>
    <w:rsid w:val="006D5B25"/>
    <w:rsid w:val="006D71D3"/>
    <w:rsid w:val="006E06DF"/>
    <w:rsid w:val="006E0E94"/>
    <w:rsid w:val="006E2C07"/>
    <w:rsid w:val="006E32CF"/>
    <w:rsid w:val="006E6B01"/>
    <w:rsid w:val="006E70D5"/>
    <w:rsid w:val="006F3101"/>
    <w:rsid w:val="006F5386"/>
    <w:rsid w:val="006F78A7"/>
    <w:rsid w:val="00700616"/>
    <w:rsid w:val="00700B6E"/>
    <w:rsid w:val="00701995"/>
    <w:rsid w:val="00701EB0"/>
    <w:rsid w:val="00702C48"/>
    <w:rsid w:val="00704656"/>
    <w:rsid w:val="00704B9D"/>
    <w:rsid w:val="00706D88"/>
    <w:rsid w:val="00706DDE"/>
    <w:rsid w:val="00710086"/>
    <w:rsid w:val="00710968"/>
    <w:rsid w:val="007110F1"/>
    <w:rsid w:val="00712713"/>
    <w:rsid w:val="00716309"/>
    <w:rsid w:val="007167AA"/>
    <w:rsid w:val="007207B8"/>
    <w:rsid w:val="00720BD0"/>
    <w:rsid w:val="00720E63"/>
    <w:rsid w:val="007228E0"/>
    <w:rsid w:val="00722E9A"/>
    <w:rsid w:val="0072360F"/>
    <w:rsid w:val="00724088"/>
    <w:rsid w:val="00724824"/>
    <w:rsid w:val="00724AB8"/>
    <w:rsid w:val="00726ABC"/>
    <w:rsid w:val="007270FE"/>
    <w:rsid w:val="00730708"/>
    <w:rsid w:val="00731564"/>
    <w:rsid w:val="00732F61"/>
    <w:rsid w:val="0073395E"/>
    <w:rsid w:val="00736AA5"/>
    <w:rsid w:val="00737D83"/>
    <w:rsid w:val="00741F1B"/>
    <w:rsid w:val="007423EB"/>
    <w:rsid w:val="00742A15"/>
    <w:rsid w:val="007438D5"/>
    <w:rsid w:val="00743F26"/>
    <w:rsid w:val="007441EB"/>
    <w:rsid w:val="00744693"/>
    <w:rsid w:val="00744C46"/>
    <w:rsid w:val="00746743"/>
    <w:rsid w:val="007500B1"/>
    <w:rsid w:val="007504FD"/>
    <w:rsid w:val="00750A98"/>
    <w:rsid w:val="00750F88"/>
    <w:rsid w:val="00751306"/>
    <w:rsid w:val="007530CB"/>
    <w:rsid w:val="00753D0C"/>
    <w:rsid w:val="00753F11"/>
    <w:rsid w:val="00754677"/>
    <w:rsid w:val="007547F6"/>
    <w:rsid w:val="00754B64"/>
    <w:rsid w:val="007555F6"/>
    <w:rsid w:val="00756913"/>
    <w:rsid w:val="00756938"/>
    <w:rsid w:val="00756AF4"/>
    <w:rsid w:val="00756E65"/>
    <w:rsid w:val="00756E9A"/>
    <w:rsid w:val="00757A97"/>
    <w:rsid w:val="00760036"/>
    <w:rsid w:val="00762B01"/>
    <w:rsid w:val="0076535B"/>
    <w:rsid w:val="007661CF"/>
    <w:rsid w:val="00766643"/>
    <w:rsid w:val="00766AD7"/>
    <w:rsid w:val="00766E51"/>
    <w:rsid w:val="00767717"/>
    <w:rsid w:val="0077044A"/>
    <w:rsid w:val="007712BB"/>
    <w:rsid w:val="00771927"/>
    <w:rsid w:val="00771BB4"/>
    <w:rsid w:val="00772A4F"/>
    <w:rsid w:val="00773690"/>
    <w:rsid w:val="00773B9C"/>
    <w:rsid w:val="00775AAB"/>
    <w:rsid w:val="0077626C"/>
    <w:rsid w:val="0077634E"/>
    <w:rsid w:val="007776AD"/>
    <w:rsid w:val="00780C7A"/>
    <w:rsid w:val="00783F46"/>
    <w:rsid w:val="00784189"/>
    <w:rsid w:val="007851CB"/>
    <w:rsid w:val="00785419"/>
    <w:rsid w:val="00785BBC"/>
    <w:rsid w:val="00786BFF"/>
    <w:rsid w:val="00786E47"/>
    <w:rsid w:val="00790463"/>
    <w:rsid w:val="007905A6"/>
    <w:rsid w:val="00793731"/>
    <w:rsid w:val="00794382"/>
    <w:rsid w:val="00796731"/>
    <w:rsid w:val="00796FCD"/>
    <w:rsid w:val="007A196C"/>
    <w:rsid w:val="007A1E30"/>
    <w:rsid w:val="007A34BE"/>
    <w:rsid w:val="007A5F0E"/>
    <w:rsid w:val="007A69D4"/>
    <w:rsid w:val="007A6D97"/>
    <w:rsid w:val="007A77E7"/>
    <w:rsid w:val="007B0556"/>
    <w:rsid w:val="007B06E5"/>
    <w:rsid w:val="007B1E64"/>
    <w:rsid w:val="007B3B6F"/>
    <w:rsid w:val="007B59E2"/>
    <w:rsid w:val="007B5CD9"/>
    <w:rsid w:val="007B74E7"/>
    <w:rsid w:val="007C05C8"/>
    <w:rsid w:val="007C0926"/>
    <w:rsid w:val="007C0A77"/>
    <w:rsid w:val="007C2437"/>
    <w:rsid w:val="007C278F"/>
    <w:rsid w:val="007C34D7"/>
    <w:rsid w:val="007C453A"/>
    <w:rsid w:val="007C49AA"/>
    <w:rsid w:val="007C5665"/>
    <w:rsid w:val="007C5AE7"/>
    <w:rsid w:val="007C5B8B"/>
    <w:rsid w:val="007C64CF"/>
    <w:rsid w:val="007D0A85"/>
    <w:rsid w:val="007D2957"/>
    <w:rsid w:val="007D6CA7"/>
    <w:rsid w:val="007D7131"/>
    <w:rsid w:val="007D76E9"/>
    <w:rsid w:val="007E0C92"/>
    <w:rsid w:val="007E1011"/>
    <w:rsid w:val="007E1344"/>
    <w:rsid w:val="007E1DEA"/>
    <w:rsid w:val="007E1E84"/>
    <w:rsid w:val="007E1EFA"/>
    <w:rsid w:val="007E2784"/>
    <w:rsid w:val="007E29A6"/>
    <w:rsid w:val="007E4AAD"/>
    <w:rsid w:val="007E561B"/>
    <w:rsid w:val="007E6D0E"/>
    <w:rsid w:val="007E7441"/>
    <w:rsid w:val="007E7E57"/>
    <w:rsid w:val="007F0500"/>
    <w:rsid w:val="007F1425"/>
    <w:rsid w:val="007F26A7"/>
    <w:rsid w:val="007F3522"/>
    <w:rsid w:val="007F5A97"/>
    <w:rsid w:val="007F6338"/>
    <w:rsid w:val="007F6983"/>
    <w:rsid w:val="007F6CBC"/>
    <w:rsid w:val="007F717B"/>
    <w:rsid w:val="007F7E17"/>
    <w:rsid w:val="00800BC9"/>
    <w:rsid w:val="00801836"/>
    <w:rsid w:val="008033CD"/>
    <w:rsid w:val="00805DC2"/>
    <w:rsid w:val="00810200"/>
    <w:rsid w:val="00810469"/>
    <w:rsid w:val="008176AA"/>
    <w:rsid w:val="00821E85"/>
    <w:rsid w:val="008223A7"/>
    <w:rsid w:val="0082262C"/>
    <w:rsid w:val="00823E0A"/>
    <w:rsid w:val="00824B4E"/>
    <w:rsid w:val="0083050B"/>
    <w:rsid w:val="0083059D"/>
    <w:rsid w:val="0083127D"/>
    <w:rsid w:val="00832622"/>
    <w:rsid w:val="0083279F"/>
    <w:rsid w:val="0083338A"/>
    <w:rsid w:val="008339B2"/>
    <w:rsid w:val="008344B4"/>
    <w:rsid w:val="00835011"/>
    <w:rsid w:val="00835B1D"/>
    <w:rsid w:val="00837A21"/>
    <w:rsid w:val="00840146"/>
    <w:rsid w:val="00840B50"/>
    <w:rsid w:val="00841407"/>
    <w:rsid w:val="008417BC"/>
    <w:rsid w:val="00842B40"/>
    <w:rsid w:val="008431C3"/>
    <w:rsid w:val="00843D64"/>
    <w:rsid w:val="0084479D"/>
    <w:rsid w:val="00844DC7"/>
    <w:rsid w:val="00845B29"/>
    <w:rsid w:val="008505D7"/>
    <w:rsid w:val="00852235"/>
    <w:rsid w:val="00852AF3"/>
    <w:rsid w:val="00852B57"/>
    <w:rsid w:val="0085324D"/>
    <w:rsid w:val="00856A8E"/>
    <w:rsid w:val="0086028A"/>
    <w:rsid w:val="00862C7D"/>
    <w:rsid w:val="00862DA8"/>
    <w:rsid w:val="00863033"/>
    <w:rsid w:val="008632EF"/>
    <w:rsid w:val="00864FD6"/>
    <w:rsid w:val="00866464"/>
    <w:rsid w:val="00867702"/>
    <w:rsid w:val="00872577"/>
    <w:rsid w:val="0087589A"/>
    <w:rsid w:val="008765D7"/>
    <w:rsid w:val="008766D7"/>
    <w:rsid w:val="00876FEF"/>
    <w:rsid w:val="0087751F"/>
    <w:rsid w:val="00877FAE"/>
    <w:rsid w:val="0088024D"/>
    <w:rsid w:val="00880BC1"/>
    <w:rsid w:val="008811D1"/>
    <w:rsid w:val="00882D7A"/>
    <w:rsid w:val="00882E4C"/>
    <w:rsid w:val="00884335"/>
    <w:rsid w:val="00887E24"/>
    <w:rsid w:val="0089009E"/>
    <w:rsid w:val="0089056E"/>
    <w:rsid w:val="008914C1"/>
    <w:rsid w:val="008919C5"/>
    <w:rsid w:val="00893135"/>
    <w:rsid w:val="008931F3"/>
    <w:rsid w:val="00893221"/>
    <w:rsid w:val="00894C4C"/>
    <w:rsid w:val="00895274"/>
    <w:rsid w:val="00895B1C"/>
    <w:rsid w:val="0089761E"/>
    <w:rsid w:val="008A2291"/>
    <w:rsid w:val="008A2374"/>
    <w:rsid w:val="008A24B7"/>
    <w:rsid w:val="008A2F98"/>
    <w:rsid w:val="008A31B2"/>
    <w:rsid w:val="008A3F45"/>
    <w:rsid w:val="008A4A61"/>
    <w:rsid w:val="008A4D0B"/>
    <w:rsid w:val="008A5106"/>
    <w:rsid w:val="008A7203"/>
    <w:rsid w:val="008B046D"/>
    <w:rsid w:val="008B04BB"/>
    <w:rsid w:val="008B1059"/>
    <w:rsid w:val="008B32C4"/>
    <w:rsid w:val="008B3716"/>
    <w:rsid w:val="008B3C38"/>
    <w:rsid w:val="008B4ACF"/>
    <w:rsid w:val="008B4B39"/>
    <w:rsid w:val="008B4F50"/>
    <w:rsid w:val="008B533B"/>
    <w:rsid w:val="008B63A6"/>
    <w:rsid w:val="008B67D0"/>
    <w:rsid w:val="008B7241"/>
    <w:rsid w:val="008B7696"/>
    <w:rsid w:val="008C2753"/>
    <w:rsid w:val="008C47BA"/>
    <w:rsid w:val="008C47DE"/>
    <w:rsid w:val="008C4E3F"/>
    <w:rsid w:val="008C56DB"/>
    <w:rsid w:val="008C70A9"/>
    <w:rsid w:val="008C7ADA"/>
    <w:rsid w:val="008D0628"/>
    <w:rsid w:val="008D180E"/>
    <w:rsid w:val="008D196D"/>
    <w:rsid w:val="008D363C"/>
    <w:rsid w:val="008D3FE0"/>
    <w:rsid w:val="008D4FFE"/>
    <w:rsid w:val="008D5361"/>
    <w:rsid w:val="008D77EA"/>
    <w:rsid w:val="008D7C12"/>
    <w:rsid w:val="008D7FB5"/>
    <w:rsid w:val="008E1D6C"/>
    <w:rsid w:val="008E3478"/>
    <w:rsid w:val="008E3A86"/>
    <w:rsid w:val="008E3EBC"/>
    <w:rsid w:val="008E51A7"/>
    <w:rsid w:val="008E544E"/>
    <w:rsid w:val="008E5D83"/>
    <w:rsid w:val="008E5F4C"/>
    <w:rsid w:val="008E7491"/>
    <w:rsid w:val="008F2CB2"/>
    <w:rsid w:val="008F30BB"/>
    <w:rsid w:val="008F33BE"/>
    <w:rsid w:val="008F372B"/>
    <w:rsid w:val="008F4BD9"/>
    <w:rsid w:val="008F5719"/>
    <w:rsid w:val="008F5E74"/>
    <w:rsid w:val="00900B00"/>
    <w:rsid w:val="00901D3F"/>
    <w:rsid w:val="009044AB"/>
    <w:rsid w:val="009053A2"/>
    <w:rsid w:val="00905DD4"/>
    <w:rsid w:val="00905F48"/>
    <w:rsid w:val="009100C0"/>
    <w:rsid w:val="00910A3F"/>
    <w:rsid w:val="00910DA7"/>
    <w:rsid w:val="00910F6E"/>
    <w:rsid w:val="00911C05"/>
    <w:rsid w:val="00911F06"/>
    <w:rsid w:val="0091231D"/>
    <w:rsid w:val="00912931"/>
    <w:rsid w:val="00913EAC"/>
    <w:rsid w:val="00916CB2"/>
    <w:rsid w:val="00917574"/>
    <w:rsid w:val="00922B56"/>
    <w:rsid w:val="00923C24"/>
    <w:rsid w:val="00925CD3"/>
    <w:rsid w:val="00925FE4"/>
    <w:rsid w:val="009265EF"/>
    <w:rsid w:val="009269B8"/>
    <w:rsid w:val="00927333"/>
    <w:rsid w:val="00930506"/>
    <w:rsid w:val="00930D34"/>
    <w:rsid w:val="009314E5"/>
    <w:rsid w:val="00931B23"/>
    <w:rsid w:val="009322AB"/>
    <w:rsid w:val="00932359"/>
    <w:rsid w:val="0093403E"/>
    <w:rsid w:val="009343B3"/>
    <w:rsid w:val="009347D8"/>
    <w:rsid w:val="00935865"/>
    <w:rsid w:val="009359C2"/>
    <w:rsid w:val="00936FEE"/>
    <w:rsid w:val="00937922"/>
    <w:rsid w:val="00941268"/>
    <w:rsid w:val="00941AFC"/>
    <w:rsid w:val="009422A3"/>
    <w:rsid w:val="00943023"/>
    <w:rsid w:val="00944092"/>
    <w:rsid w:val="00945A21"/>
    <w:rsid w:val="00946834"/>
    <w:rsid w:val="009469DB"/>
    <w:rsid w:val="0094714B"/>
    <w:rsid w:val="00951309"/>
    <w:rsid w:val="00951512"/>
    <w:rsid w:val="00951D60"/>
    <w:rsid w:val="00956869"/>
    <w:rsid w:val="00957E26"/>
    <w:rsid w:val="009607D5"/>
    <w:rsid w:val="00961AAE"/>
    <w:rsid w:val="00962FBC"/>
    <w:rsid w:val="00964049"/>
    <w:rsid w:val="00973073"/>
    <w:rsid w:val="0097448E"/>
    <w:rsid w:val="009760FB"/>
    <w:rsid w:val="00976BD8"/>
    <w:rsid w:val="00981AD7"/>
    <w:rsid w:val="009829B5"/>
    <w:rsid w:val="0098380B"/>
    <w:rsid w:val="0098441B"/>
    <w:rsid w:val="009866A7"/>
    <w:rsid w:val="009871DF"/>
    <w:rsid w:val="0099087D"/>
    <w:rsid w:val="00991EB8"/>
    <w:rsid w:val="00992377"/>
    <w:rsid w:val="00992DE4"/>
    <w:rsid w:val="009930F7"/>
    <w:rsid w:val="00993F8A"/>
    <w:rsid w:val="0099463B"/>
    <w:rsid w:val="00994700"/>
    <w:rsid w:val="00995022"/>
    <w:rsid w:val="00995138"/>
    <w:rsid w:val="00996258"/>
    <w:rsid w:val="009969EA"/>
    <w:rsid w:val="00997772"/>
    <w:rsid w:val="009A069B"/>
    <w:rsid w:val="009A0EB0"/>
    <w:rsid w:val="009A1119"/>
    <w:rsid w:val="009A132C"/>
    <w:rsid w:val="009A1469"/>
    <w:rsid w:val="009A1B25"/>
    <w:rsid w:val="009A31B7"/>
    <w:rsid w:val="009A34B9"/>
    <w:rsid w:val="009A37DB"/>
    <w:rsid w:val="009A555D"/>
    <w:rsid w:val="009A70AE"/>
    <w:rsid w:val="009A75DA"/>
    <w:rsid w:val="009B065D"/>
    <w:rsid w:val="009B44C0"/>
    <w:rsid w:val="009B535D"/>
    <w:rsid w:val="009B5C72"/>
    <w:rsid w:val="009B6012"/>
    <w:rsid w:val="009B61EC"/>
    <w:rsid w:val="009B77E2"/>
    <w:rsid w:val="009B7A3B"/>
    <w:rsid w:val="009C2D86"/>
    <w:rsid w:val="009C42F1"/>
    <w:rsid w:val="009C531B"/>
    <w:rsid w:val="009C5445"/>
    <w:rsid w:val="009C7A07"/>
    <w:rsid w:val="009D016D"/>
    <w:rsid w:val="009D0391"/>
    <w:rsid w:val="009D2450"/>
    <w:rsid w:val="009D2E04"/>
    <w:rsid w:val="009D36A1"/>
    <w:rsid w:val="009D4064"/>
    <w:rsid w:val="009D444B"/>
    <w:rsid w:val="009D4510"/>
    <w:rsid w:val="009D5591"/>
    <w:rsid w:val="009D7578"/>
    <w:rsid w:val="009D7DC3"/>
    <w:rsid w:val="009E2403"/>
    <w:rsid w:val="009E36AD"/>
    <w:rsid w:val="009E42A0"/>
    <w:rsid w:val="009E461C"/>
    <w:rsid w:val="009E6708"/>
    <w:rsid w:val="009E6D2E"/>
    <w:rsid w:val="009E6F64"/>
    <w:rsid w:val="009E75DB"/>
    <w:rsid w:val="009E7DF0"/>
    <w:rsid w:val="009E7FE8"/>
    <w:rsid w:val="009F0FA0"/>
    <w:rsid w:val="009F1036"/>
    <w:rsid w:val="009F2462"/>
    <w:rsid w:val="009F2D60"/>
    <w:rsid w:val="009F477B"/>
    <w:rsid w:val="009F50B1"/>
    <w:rsid w:val="009F5C4B"/>
    <w:rsid w:val="009F622D"/>
    <w:rsid w:val="009F62DF"/>
    <w:rsid w:val="009F6CB6"/>
    <w:rsid w:val="009F7845"/>
    <w:rsid w:val="00A0096F"/>
    <w:rsid w:val="00A02E8D"/>
    <w:rsid w:val="00A03201"/>
    <w:rsid w:val="00A04212"/>
    <w:rsid w:val="00A06024"/>
    <w:rsid w:val="00A10BF8"/>
    <w:rsid w:val="00A11BE7"/>
    <w:rsid w:val="00A12C13"/>
    <w:rsid w:val="00A16DD0"/>
    <w:rsid w:val="00A17759"/>
    <w:rsid w:val="00A177BA"/>
    <w:rsid w:val="00A20505"/>
    <w:rsid w:val="00A2275F"/>
    <w:rsid w:val="00A2441A"/>
    <w:rsid w:val="00A27F21"/>
    <w:rsid w:val="00A27FE1"/>
    <w:rsid w:val="00A301D9"/>
    <w:rsid w:val="00A32CA1"/>
    <w:rsid w:val="00A335F3"/>
    <w:rsid w:val="00A33B43"/>
    <w:rsid w:val="00A33FD2"/>
    <w:rsid w:val="00A359A6"/>
    <w:rsid w:val="00A36658"/>
    <w:rsid w:val="00A36958"/>
    <w:rsid w:val="00A37424"/>
    <w:rsid w:val="00A37681"/>
    <w:rsid w:val="00A37FE2"/>
    <w:rsid w:val="00A4035F"/>
    <w:rsid w:val="00A40C1A"/>
    <w:rsid w:val="00A41F0E"/>
    <w:rsid w:val="00A429C0"/>
    <w:rsid w:val="00A47A94"/>
    <w:rsid w:val="00A47F5D"/>
    <w:rsid w:val="00A5005B"/>
    <w:rsid w:val="00A50539"/>
    <w:rsid w:val="00A51CDF"/>
    <w:rsid w:val="00A5427D"/>
    <w:rsid w:val="00A560C6"/>
    <w:rsid w:val="00A56535"/>
    <w:rsid w:val="00A57591"/>
    <w:rsid w:val="00A60EA3"/>
    <w:rsid w:val="00A61CB1"/>
    <w:rsid w:val="00A61D73"/>
    <w:rsid w:val="00A6229F"/>
    <w:rsid w:val="00A62741"/>
    <w:rsid w:val="00A63049"/>
    <w:rsid w:val="00A639F8"/>
    <w:rsid w:val="00A64064"/>
    <w:rsid w:val="00A642D0"/>
    <w:rsid w:val="00A66421"/>
    <w:rsid w:val="00A67599"/>
    <w:rsid w:val="00A67773"/>
    <w:rsid w:val="00A67E00"/>
    <w:rsid w:val="00A67FEF"/>
    <w:rsid w:val="00A70492"/>
    <w:rsid w:val="00A704E5"/>
    <w:rsid w:val="00A7237D"/>
    <w:rsid w:val="00A72F39"/>
    <w:rsid w:val="00A72F73"/>
    <w:rsid w:val="00A73CF4"/>
    <w:rsid w:val="00A745C1"/>
    <w:rsid w:val="00A75883"/>
    <w:rsid w:val="00A76404"/>
    <w:rsid w:val="00A77B35"/>
    <w:rsid w:val="00A803ED"/>
    <w:rsid w:val="00A8548E"/>
    <w:rsid w:val="00A8577E"/>
    <w:rsid w:val="00A8588C"/>
    <w:rsid w:val="00A864F6"/>
    <w:rsid w:val="00A86B45"/>
    <w:rsid w:val="00A87540"/>
    <w:rsid w:val="00A904B6"/>
    <w:rsid w:val="00A9238E"/>
    <w:rsid w:val="00A932DB"/>
    <w:rsid w:val="00A96474"/>
    <w:rsid w:val="00A96602"/>
    <w:rsid w:val="00A969B2"/>
    <w:rsid w:val="00AA09E1"/>
    <w:rsid w:val="00AA2CC4"/>
    <w:rsid w:val="00AA3BD5"/>
    <w:rsid w:val="00AA563A"/>
    <w:rsid w:val="00AA6290"/>
    <w:rsid w:val="00AA7F1F"/>
    <w:rsid w:val="00AA7F8F"/>
    <w:rsid w:val="00AB0C48"/>
    <w:rsid w:val="00AB113B"/>
    <w:rsid w:val="00AB215F"/>
    <w:rsid w:val="00AB443B"/>
    <w:rsid w:val="00AB4C53"/>
    <w:rsid w:val="00AB54D8"/>
    <w:rsid w:val="00AB5D1E"/>
    <w:rsid w:val="00AB5F5A"/>
    <w:rsid w:val="00AB61F9"/>
    <w:rsid w:val="00AB69E3"/>
    <w:rsid w:val="00AB6A3B"/>
    <w:rsid w:val="00AC074F"/>
    <w:rsid w:val="00AC28E6"/>
    <w:rsid w:val="00AC2972"/>
    <w:rsid w:val="00AC44EC"/>
    <w:rsid w:val="00AC7459"/>
    <w:rsid w:val="00AD0CDE"/>
    <w:rsid w:val="00AD0E04"/>
    <w:rsid w:val="00AD1DC9"/>
    <w:rsid w:val="00AD37E3"/>
    <w:rsid w:val="00AD69D1"/>
    <w:rsid w:val="00AD6A60"/>
    <w:rsid w:val="00AE116F"/>
    <w:rsid w:val="00AE196B"/>
    <w:rsid w:val="00AE1D71"/>
    <w:rsid w:val="00AE25F3"/>
    <w:rsid w:val="00AE28B3"/>
    <w:rsid w:val="00AE2996"/>
    <w:rsid w:val="00AE35C1"/>
    <w:rsid w:val="00AE3F0F"/>
    <w:rsid w:val="00AE493D"/>
    <w:rsid w:val="00AE57CD"/>
    <w:rsid w:val="00AE6C41"/>
    <w:rsid w:val="00AE6E53"/>
    <w:rsid w:val="00AE6FAD"/>
    <w:rsid w:val="00AF0CF6"/>
    <w:rsid w:val="00AF17FE"/>
    <w:rsid w:val="00AF1B78"/>
    <w:rsid w:val="00AF1C72"/>
    <w:rsid w:val="00AF26B0"/>
    <w:rsid w:val="00AF4AD9"/>
    <w:rsid w:val="00AF6024"/>
    <w:rsid w:val="00AF6246"/>
    <w:rsid w:val="00AF680E"/>
    <w:rsid w:val="00AF6F7E"/>
    <w:rsid w:val="00B000F2"/>
    <w:rsid w:val="00B006B3"/>
    <w:rsid w:val="00B00E10"/>
    <w:rsid w:val="00B01AA7"/>
    <w:rsid w:val="00B01B27"/>
    <w:rsid w:val="00B01E8D"/>
    <w:rsid w:val="00B03C20"/>
    <w:rsid w:val="00B04C71"/>
    <w:rsid w:val="00B05DD4"/>
    <w:rsid w:val="00B05E15"/>
    <w:rsid w:val="00B0738B"/>
    <w:rsid w:val="00B075B1"/>
    <w:rsid w:val="00B10066"/>
    <w:rsid w:val="00B10649"/>
    <w:rsid w:val="00B12441"/>
    <w:rsid w:val="00B14B8F"/>
    <w:rsid w:val="00B1690A"/>
    <w:rsid w:val="00B17BB3"/>
    <w:rsid w:val="00B24DA8"/>
    <w:rsid w:val="00B26C3A"/>
    <w:rsid w:val="00B2746F"/>
    <w:rsid w:val="00B27EBA"/>
    <w:rsid w:val="00B3029C"/>
    <w:rsid w:val="00B3064D"/>
    <w:rsid w:val="00B30BF4"/>
    <w:rsid w:val="00B320BC"/>
    <w:rsid w:val="00B3258C"/>
    <w:rsid w:val="00B32697"/>
    <w:rsid w:val="00B3399C"/>
    <w:rsid w:val="00B354FC"/>
    <w:rsid w:val="00B3565D"/>
    <w:rsid w:val="00B3575F"/>
    <w:rsid w:val="00B366BB"/>
    <w:rsid w:val="00B37F84"/>
    <w:rsid w:val="00B4027E"/>
    <w:rsid w:val="00B42A7D"/>
    <w:rsid w:val="00B4353D"/>
    <w:rsid w:val="00B43C35"/>
    <w:rsid w:val="00B43DA0"/>
    <w:rsid w:val="00B43FA4"/>
    <w:rsid w:val="00B44442"/>
    <w:rsid w:val="00B450A8"/>
    <w:rsid w:val="00B472BB"/>
    <w:rsid w:val="00B5050A"/>
    <w:rsid w:val="00B50DDD"/>
    <w:rsid w:val="00B52AC2"/>
    <w:rsid w:val="00B54C4E"/>
    <w:rsid w:val="00B5533D"/>
    <w:rsid w:val="00B55F01"/>
    <w:rsid w:val="00B57D5D"/>
    <w:rsid w:val="00B57FBC"/>
    <w:rsid w:val="00B60322"/>
    <w:rsid w:val="00B60DDE"/>
    <w:rsid w:val="00B61A09"/>
    <w:rsid w:val="00B61E0E"/>
    <w:rsid w:val="00B65959"/>
    <w:rsid w:val="00B72207"/>
    <w:rsid w:val="00B725AD"/>
    <w:rsid w:val="00B734D1"/>
    <w:rsid w:val="00B73A0D"/>
    <w:rsid w:val="00B7464E"/>
    <w:rsid w:val="00B7610E"/>
    <w:rsid w:val="00B76A47"/>
    <w:rsid w:val="00B80F92"/>
    <w:rsid w:val="00B81AA2"/>
    <w:rsid w:val="00B84734"/>
    <w:rsid w:val="00B85569"/>
    <w:rsid w:val="00B857B6"/>
    <w:rsid w:val="00B86943"/>
    <w:rsid w:val="00B86A24"/>
    <w:rsid w:val="00B86B15"/>
    <w:rsid w:val="00B86DAA"/>
    <w:rsid w:val="00B87558"/>
    <w:rsid w:val="00B91798"/>
    <w:rsid w:val="00B9190A"/>
    <w:rsid w:val="00B922F0"/>
    <w:rsid w:val="00B92343"/>
    <w:rsid w:val="00B94F8C"/>
    <w:rsid w:val="00B954D6"/>
    <w:rsid w:val="00B95715"/>
    <w:rsid w:val="00B96A60"/>
    <w:rsid w:val="00BA0249"/>
    <w:rsid w:val="00BA18F5"/>
    <w:rsid w:val="00BA1BA6"/>
    <w:rsid w:val="00BA2A07"/>
    <w:rsid w:val="00BA2A54"/>
    <w:rsid w:val="00BA3F36"/>
    <w:rsid w:val="00BA48B4"/>
    <w:rsid w:val="00BA586E"/>
    <w:rsid w:val="00BA5A49"/>
    <w:rsid w:val="00BA5AC1"/>
    <w:rsid w:val="00BA7383"/>
    <w:rsid w:val="00BB0012"/>
    <w:rsid w:val="00BB076E"/>
    <w:rsid w:val="00BB124D"/>
    <w:rsid w:val="00BB12F6"/>
    <w:rsid w:val="00BB27B3"/>
    <w:rsid w:val="00BB38B7"/>
    <w:rsid w:val="00BB3FE2"/>
    <w:rsid w:val="00BB5010"/>
    <w:rsid w:val="00BB51F1"/>
    <w:rsid w:val="00BB5282"/>
    <w:rsid w:val="00BB5C47"/>
    <w:rsid w:val="00BB5EF3"/>
    <w:rsid w:val="00BB6B28"/>
    <w:rsid w:val="00BC00DF"/>
    <w:rsid w:val="00BC0699"/>
    <w:rsid w:val="00BC07F5"/>
    <w:rsid w:val="00BC0B6B"/>
    <w:rsid w:val="00BC133B"/>
    <w:rsid w:val="00BC4D37"/>
    <w:rsid w:val="00BC57DF"/>
    <w:rsid w:val="00BD06BF"/>
    <w:rsid w:val="00BD33E0"/>
    <w:rsid w:val="00BD398A"/>
    <w:rsid w:val="00BD4336"/>
    <w:rsid w:val="00BD5CA3"/>
    <w:rsid w:val="00BD6145"/>
    <w:rsid w:val="00BD7CC4"/>
    <w:rsid w:val="00BE049C"/>
    <w:rsid w:val="00BE2214"/>
    <w:rsid w:val="00BE54D5"/>
    <w:rsid w:val="00BE5DEA"/>
    <w:rsid w:val="00BE7B8B"/>
    <w:rsid w:val="00BF055B"/>
    <w:rsid w:val="00BF081A"/>
    <w:rsid w:val="00BF120A"/>
    <w:rsid w:val="00BF15E9"/>
    <w:rsid w:val="00BF205E"/>
    <w:rsid w:val="00BF2FA6"/>
    <w:rsid w:val="00BF3401"/>
    <w:rsid w:val="00BF3859"/>
    <w:rsid w:val="00BF4B6D"/>
    <w:rsid w:val="00C02547"/>
    <w:rsid w:val="00C0383C"/>
    <w:rsid w:val="00C03EAE"/>
    <w:rsid w:val="00C046EC"/>
    <w:rsid w:val="00C04BE1"/>
    <w:rsid w:val="00C05EDE"/>
    <w:rsid w:val="00C061D0"/>
    <w:rsid w:val="00C12246"/>
    <w:rsid w:val="00C13CAC"/>
    <w:rsid w:val="00C15FFB"/>
    <w:rsid w:val="00C166B7"/>
    <w:rsid w:val="00C17099"/>
    <w:rsid w:val="00C20840"/>
    <w:rsid w:val="00C20CDB"/>
    <w:rsid w:val="00C214E7"/>
    <w:rsid w:val="00C2233C"/>
    <w:rsid w:val="00C2269E"/>
    <w:rsid w:val="00C227B5"/>
    <w:rsid w:val="00C22B9E"/>
    <w:rsid w:val="00C23A98"/>
    <w:rsid w:val="00C25AF1"/>
    <w:rsid w:val="00C270ED"/>
    <w:rsid w:val="00C274BD"/>
    <w:rsid w:val="00C2762B"/>
    <w:rsid w:val="00C27C7E"/>
    <w:rsid w:val="00C3260C"/>
    <w:rsid w:val="00C32982"/>
    <w:rsid w:val="00C33912"/>
    <w:rsid w:val="00C34590"/>
    <w:rsid w:val="00C3495D"/>
    <w:rsid w:val="00C34E47"/>
    <w:rsid w:val="00C3509E"/>
    <w:rsid w:val="00C35457"/>
    <w:rsid w:val="00C35493"/>
    <w:rsid w:val="00C35D55"/>
    <w:rsid w:val="00C4047E"/>
    <w:rsid w:val="00C43E11"/>
    <w:rsid w:val="00C442C9"/>
    <w:rsid w:val="00C47380"/>
    <w:rsid w:val="00C47689"/>
    <w:rsid w:val="00C50E05"/>
    <w:rsid w:val="00C5383A"/>
    <w:rsid w:val="00C54DF6"/>
    <w:rsid w:val="00C56FE4"/>
    <w:rsid w:val="00C575D6"/>
    <w:rsid w:val="00C60F48"/>
    <w:rsid w:val="00C616D2"/>
    <w:rsid w:val="00C625A0"/>
    <w:rsid w:val="00C62A70"/>
    <w:rsid w:val="00C62E87"/>
    <w:rsid w:val="00C63779"/>
    <w:rsid w:val="00C6430B"/>
    <w:rsid w:val="00C6467B"/>
    <w:rsid w:val="00C65467"/>
    <w:rsid w:val="00C65D76"/>
    <w:rsid w:val="00C664C7"/>
    <w:rsid w:val="00C6653C"/>
    <w:rsid w:val="00C7091E"/>
    <w:rsid w:val="00C72E1D"/>
    <w:rsid w:val="00C7357B"/>
    <w:rsid w:val="00C75CEB"/>
    <w:rsid w:val="00C765BE"/>
    <w:rsid w:val="00C76AAA"/>
    <w:rsid w:val="00C807CE"/>
    <w:rsid w:val="00C82636"/>
    <w:rsid w:val="00C82DFD"/>
    <w:rsid w:val="00C83096"/>
    <w:rsid w:val="00C857D1"/>
    <w:rsid w:val="00C86907"/>
    <w:rsid w:val="00C900C9"/>
    <w:rsid w:val="00C902B9"/>
    <w:rsid w:val="00C90953"/>
    <w:rsid w:val="00C92372"/>
    <w:rsid w:val="00C92376"/>
    <w:rsid w:val="00C9292A"/>
    <w:rsid w:val="00C943DC"/>
    <w:rsid w:val="00C94D98"/>
    <w:rsid w:val="00C9503B"/>
    <w:rsid w:val="00C96413"/>
    <w:rsid w:val="00CA06DA"/>
    <w:rsid w:val="00CA29D7"/>
    <w:rsid w:val="00CA3264"/>
    <w:rsid w:val="00CA3FD3"/>
    <w:rsid w:val="00CA4207"/>
    <w:rsid w:val="00CA44DA"/>
    <w:rsid w:val="00CA52DC"/>
    <w:rsid w:val="00CA665A"/>
    <w:rsid w:val="00CA7BA6"/>
    <w:rsid w:val="00CB116C"/>
    <w:rsid w:val="00CB17BD"/>
    <w:rsid w:val="00CB3A26"/>
    <w:rsid w:val="00CB3EFE"/>
    <w:rsid w:val="00CB4835"/>
    <w:rsid w:val="00CB59DE"/>
    <w:rsid w:val="00CB6EEE"/>
    <w:rsid w:val="00CC0B94"/>
    <w:rsid w:val="00CC15C1"/>
    <w:rsid w:val="00CC203A"/>
    <w:rsid w:val="00CC207D"/>
    <w:rsid w:val="00CC23F7"/>
    <w:rsid w:val="00CC3146"/>
    <w:rsid w:val="00CC32C2"/>
    <w:rsid w:val="00CC3B0E"/>
    <w:rsid w:val="00CC5EE7"/>
    <w:rsid w:val="00CC6A06"/>
    <w:rsid w:val="00CD4577"/>
    <w:rsid w:val="00CD4933"/>
    <w:rsid w:val="00CD6607"/>
    <w:rsid w:val="00CD6F57"/>
    <w:rsid w:val="00CE1E96"/>
    <w:rsid w:val="00CE2307"/>
    <w:rsid w:val="00CE327D"/>
    <w:rsid w:val="00CE3A20"/>
    <w:rsid w:val="00CE4F2B"/>
    <w:rsid w:val="00CE5E6F"/>
    <w:rsid w:val="00CE7E71"/>
    <w:rsid w:val="00CF13B1"/>
    <w:rsid w:val="00CF1A4B"/>
    <w:rsid w:val="00CF1D31"/>
    <w:rsid w:val="00CF555D"/>
    <w:rsid w:val="00CF5AB3"/>
    <w:rsid w:val="00CF69AD"/>
    <w:rsid w:val="00CF6CED"/>
    <w:rsid w:val="00CF6D34"/>
    <w:rsid w:val="00CF6FC6"/>
    <w:rsid w:val="00CF7285"/>
    <w:rsid w:val="00CF7CCD"/>
    <w:rsid w:val="00D014EE"/>
    <w:rsid w:val="00D0219A"/>
    <w:rsid w:val="00D0302B"/>
    <w:rsid w:val="00D0449B"/>
    <w:rsid w:val="00D04C18"/>
    <w:rsid w:val="00D06C6B"/>
    <w:rsid w:val="00D072E3"/>
    <w:rsid w:val="00D1057F"/>
    <w:rsid w:val="00D10690"/>
    <w:rsid w:val="00D1123B"/>
    <w:rsid w:val="00D11F3A"/>
    <w:rsid w:val="00D11F5B"/>
    <w:rsid w:val="00D14944"/>
    <w:rsid w:val="00D1500C"/>
    <w:rsid w:val="00D15DC9"/>
    <w:rsid w:val="00D15F8A"/>
    <w:rsid w:val="00D171B0"/>
    <w:rsid w:val="00D17E09"/>
    <w:rsid w:val="00D20AD3"/>
    <w:rsid w:val="00D20AFB"/>
    <w:rsid w:val="00D20C95"/>
    <w:rsid w:val="00D21F85"/>
    <w:rsid w:val="00D22BDA"/>
    <w:rsid w:val="00D23217"/>
    <w:rsid w:val="00D25D62"/>
    <w:rsid w:val="00D26782"/>
    <w:rsid w:val="00D27300"/>
    <w:rsid w:val="00D329C9"/>
    <w:rsid w:val="00D355AD"/>
    <w:rsid w:val="00D365E6"/>
    <w:rsid w:val="00D37791"/>
    <w:rsid w:val="00D37CE8"/>
    <w:rsid w:val="00D41A92"/>
    <w:rsid w:val="00D41E57"/>
    <w:rsid w:val="00D422DD"/>
    <w:rsid w:val="00D430FA"/>
    <w:rsid w:val="00D4324C"/>
    <w:rsid w:val="00D43332"/>
    <w:rsid w:val="00D4335E"/>
    <w:rsid w:val="00D43D0F"/>
    <w:rsid w:val="00D43F6C"/>
    <w:rsid w:val="00D4540C"/>
    <w:rsid w:val="00D46D9F"/>
    <w:rsid w:val="00D47A91"/>
    <w:rsid w:val="00D53C9E"/>
    <w:rsid w:val="00D540FE"/>
    <w:rsid w:val="00D544A0"/>
    <w:rsid w:val="00D55B7E"/>
    <w:rsid w:val="00D56031"/>
    <w:rsid w:val="00D56B8C"/>
    <w:rsid w:val="00D56E1B"/>
    <w:rsid w:val="00D56E6A"/>
    <w:rsid w:val="00D612E5"/>
    <w:rsid w:val="00D6153E"/>
    <w:rsid w:val="00D6194E"/>
    <w:rsid w:val="00D62A64"/>
    <w:rsid w:val="00D64529"/>
    <w:rsid w:val="00D64E0B"/>
    <w:rsid w:val="00D6684C"/>
    <w:rsid w:val="00D668BB"/>
    <w:rsid w:val="00D6777D"/>
    <w:rsid w:val="00D67AC1"/>
    <w:rsid w:val="00D67EBB"/>
    <w:rsid w:val="00D70FD5"/>
    <w:rsid w:val="00D710F8"/>
    <w:rsid w:val="00D719C8"/>
    <w:rsid w:val="00D71CF9"/>
    <w:rsid w:val="00D723B2"/>
    <w:rsid w:val="00D732EB"/>
    <w:rsid w:val="00D738FB"/>
    <w:rsid w:val="00D7485E"/>
    <w:rsid w:val="00D75B84"/>
    <w:rsid w:val="00D77866"/>
    <w:rsid w:val="00D814E0"/>
    <w:rsid w:val="00D83EB3"/>
    <w:rsid w:val="00D85CCB"/>
    <w:rsid w:val="00D871C9"/>
    <w:rsid w:val="00D875C7"/>
    <w:rsid w:val="00D934B4"/>
    <w:rsid w:val="00D9389E"/>
    <w:rsid w:val="00D93E13"/>
    <w:rsid w:val="00D946A0"/>
    <w:rsid w:val="00D947A4"/>
    <w:rsid w:val="00D9589D"/>
    <w:rsid w:val="00D95AFC"/>
    <w:rsid w:val="00D95ECC"/>
    <w:rsid w:val="00DA1D58"/>
    <w:rsid w:val="00DA213D"/>
    <w:rsid w:val="00DA49DA"/>
    <w:rsid w:val="00DA58F4"/>
    <w:rsid w:val="00DA5AF4"/>
    <w:rsid w:val="00DA6D52"/>
    <w:rsid w:val="00DA701A"/>
    <w:rsid w:val="00DA7918"/>
    <w:rsid w:val="00DB0979"/>
    <w:rsid w:val="00DB0E3F"/>
    <w:rsid w:val="00DB1065"/>
    <w:rsid w:val="00DB3218"/>
    <w:rsid w:val="00DB4A27"/>
    <w:rsid w:val="00DB6E41"/>
    <w:rsid w:val="00DB7AF6"/>
    <w:rsid w:val="00DC1264"/>
    <w:rsid w:val="00DC24EC"/>
    <w:rsid w:val="00DC2F00"/>
    <w:rsid w:val="00DC3B34"/>
    <w:rsid w:val="00DC40E3"/>
    <w:rsid w:val="00DC46DF"/>
    <w:rsid w:val="00DC4CEE"/>
    <w:rsid w:val="00DC4D13"/>
    <w:rsid w:val="00DC5A3F"/>
    <w:rsid w:val="00DC6215"/>
    <w:rsid w:val="00DC63E7"/>
    <w:rsid w:val="00DC76E5"/>
    <w:rsid w:val="00DD00EA"/>
    <w:rsid w:val="00DD0883"/>
    <w:rsid w:val="00DD0D6D"/>
    <w:rsid w:val="00DD2975"/>
    <w:rsid w:val="00DD2B66"/>
    <w:rsid w:val="00DD6ED2"/>
    <w:rsid w:val="00DD7C0F"/>
    <w:rsid w:val="00DD7F86"/>
    <w:rsid w:val="00DE001D"/>
    <w:rsid w:val="00DE05D6"/>
    <w:rsid w:val="00DE140C"/>
    <w:rsid w:val="00DE172A"/>
    <w:rsid w:val="00DE3B95"/>
    <w:rsid w:val="00DE4F95"/>
    <w:rsid w:val="00DE55CE"/>
    <w:rsid w:val="00DE7099"/>
    <w:rsid w:val="00DF034D"/>
    <w:rsid w:val="00DF230A"/>
    <w:rsid w:val="00DF35B5"/>
    <w:rsid w:val="00DF3BAD"/>
    <w:rsid w:val="00DF3C5F"/>
    <w:rsid w:val="00DF3E1D"/>
    <w:rsid w:val="00DF47EB"/>
    <w:rsid w:val="00DF4FD0"/>
    <w:rsid w:val="00DF519C"/>
    <w:rsid w:val="00DF65FD"/>
    <w:rsid w:val="00DF6976"/>
    <w:rsid w:val="00DF6D5F"/>
    <w:rsid w:val="00DF7A05"/>
    <w:rsid w:val="00DF7F11"/>
    <w:rsid w:val="00E0185D"/>
    <w:rsid w:val="00E02A11"/>
    <w:rsid w:val="00E0347F"/>
    <w:rsid w:val="00E041C8"/>
    <w:rsid w:val="00E0536D"/>
    <w:rsid w:val="00E065B3"/>
    <w:rsid w:val="00E06791"/>
    <w:rsid w:val="00E06B97"/>
    <w:rsid w:val="00E06E6D"/>
    <w:rsid w:val="00E073F7"/>
    <w:rsid w:val="00E0794A"/>
    <w:rsid w:val="00E10D52"/>
    <w:rsid w:val="00E1130B"/>
    <w:rsid w:val="00E114FB"/>
    <w:rsid w:val="00E11DFF"/>
    <w:rsid w:val="00E144A2"/>
    <w:rsid w:val="00E14905"/>
    <w:rsid w:val="00E20FEE"/>
    <w:rsid w:val="00E21E22"/>
    <w:rsid w:val="00E21F22"/>
    <w:rsid w:val="00E2204C"/>
    <w:rsid w:val="00E251BA"/>
    <w:rsid w:val="00E260A0"/>
    <w:rsid w:val="00E27E1E"/>
    <w:rsid w:val="00E35701"/>
    <w:rsid w:val="00E36718"/>
    <w:rsid w:val="00E3721A"/>
    <w:rsid w:val="00E37523"/>
    <w:rsid w:val="00E37AE6"/>
    <w:rsid w:val="00E40F2E"/>
    <w:rsid w:val="00E410D2"/>
    <w:rsid w:val="00E41A22"/>
    <w:rsid w:val="00E41A74"/>
    <w:rsid w:val="00E434CE"/>
    <w:rsid w:val="00E434FE"/>
    <w:rsid w:val="00E43599"/>
    <w:rsid w:val="00E449E6"/>
    <w:rsid w:val="00E44A85"/>
    <w:rsid w:val="00E452B7"/>
    <w:rsid w:val="00E45454"/>
    <w:rsid w:val="00E4566E"/>
    <w:rsid w:val="00E45AFE"/>
    <w:rsid w:val="00E47497"/>
    <w:rsid w:val="00E4789D"/>
    <w:rsid w:val="00E47E09"/>
    <w:rsid w:val="00E504F3"/>
    <w:rsid w:val="00E51084"/>
    <w:rsid w:val="00E51D54"/>
    <w:rsid w:val="00E53E77"/>
    <w:rsid w:val="00E54BB0"/>
    <w:rsid w:val="00E54C7D"/>
    <w:rsid w:val="00E560C8"/>
    <w:rsid w:val="00E57042"/>
    <w:rsid w:val="00E602D5"/>
    <w:rsid w:val="00E605D2"/>
    <w:rsid w:val="00E60669"/>
    <w:rsid w:val="00E61238"/>
    <w:rsid w:val="00E6308D"/>
    <w:rsid w:val="00E637D3"/>
    <w:rsid w:val="00E638DB"/>
    <w:rsid w:val="00E63AF4"/>
    <w:rsid w:val="00E645D0"/>
    <w:rsid w:val="00E648A4"/>
    <w:rsid w:val="00E64A5A"/>
    <w:rsid w:val="00E659E2"/>
    <w:rsid w:val="00E669EE"/>
    <w:rsid w:val="00E66F4D"/>
    <w:rsid w:val="00E719A3"/>
    <w:rsid w:val="00E71E24"/>
    <w:rsid w:val="00E724E6"/>
    <w:rsid w:val="00E80597"/>
    <w:rsid w:val="00E81703"/>
    <w:rsid w:val="00E81ABF"/>
    <w:rsid w:val="00E83FB9"/>
    <w:rsid w:val="00E855F0"/>
    <w:rsid w:val="00E86962"/>
    <w:rsid w:val="00E90BC9"/>
    <w:rsid w:val="00E92F2B"/>
    <w:rsid w:val="00E94715"/>
    <w:rsid w:val="00E95487"/>
    <w:rsid w:val="00E97014"/>
    <w:rsid w:val="00EA04F8"/>
    <w:rsid w:val="00EA16C6"/>
    <w:rsid w:val="00EA1EB9"/>
    <w:rsid w:val="00EA22E4"/>
    <w:rsid w:val="00EA3AF1"/>
    <w:rsid w:val="00EA416B"/>
    <w:rsid w:val="00EA43EB"/>
    <w:rsid w:val="00EA68A6"/>
    <w:rsid w:val="00EA7EC3"/>
    <w:rsid w:val="00EB0382"/>
    <w:rsid w:val="00EB0A18"/>
    <w:rsid w:val="00EB2AEC"/>
    <w:rsid w:val="00EB4667"/>
    <w:rsid w:val="00EB601C"/>
    <w:rsid w:val="00EB63BE"/>
    <w:rsid w:val="00EB75B2"/>
    <w:rsid w:val="00EC0118"/>
    <w:rsid w:val="00EC178D"/>
    <w:rsid w:val="00EC2C89"/>
    <w:rsid w:val="00EC3444"/>
    <w:rsid w:val="00EC4983"/>
    <w:rsid w:val="00EC4BEE"/>
    <w:rsid w:val="00EC79E3"/>
    <w:rsid w:val="00ED024D"/>
    <w:rsid w:val="00ED08C9"/>
    <w:rsid w:val="00ED09B4"/>
    <w:rsid w:val="00ED11BC"/>
    <w:rsid w:val="00ED1712"/>
    <w:rsid w:val="00ED300A"/>
    <w:rsid w:val="00ED3999"/>
    <w:rsid w:val="00ED4E5F"/>
    <w:rsid w:val="00ED524B"/>
    <w:rsid w:val="00ED52F0"/>
    <w:rsid w:val="00ED5E54"/>
    <w:rsid w:val="00ED62EB"/>
    <w:rsid w:val="00EE1B2F"/>
    <w:rsid w:val="00EE2C1C"/>
    <w:rsid w:val="00EE62B7"/>
    <w:rsid w:val="00EE6F30"/>
    <w:rsid w:val="00EF01B0"/>
    <w:rsid w:val="00EF10C3"/>
    <w:rsid w:val="00EF2CC1"/>
    <w:rsid w:val="00EF3480"/>
    <w:rsid w:val="00EF54E9"/>
    <w:rsid w:val="00EF6C09"/>
    <w:rsid w:val="00EF74D4"/>
    <w:rsid w:val="00F0008D"/>
    <w:rsid w:val="00F003CE"/>
    <w:rsid w:val="00F01489"/>
    <w:rsid w:val="00F019B5"/>
    <w:rsid w:val="00F038A7"/>
    <w:rsid w:val="00F03DDC"/>
    <w:rsid w:val="00F04CB0"/>
    <w:rsid w:val="00F068C9"/>
    <w:rsid w:val="00F07285"/>
    <w:rsid w:val="00F073CF"/>
    <w:rsid w:val="00F07BF5"/>
    <w:rsid w:val="00F11620"/>
    <w:rsid w:val="00F12649"/>
    <w:rsid w:val="00F136D3"/>
    <w:rsid w:val="00F1496C"/>
    <w:rsid w:val="00F168BC"/>
    <w:rsid w:val="00F16E2A"/>
    <w:rsid w:val="00F17B30"/>
    <w:rsid w:val="00F245E2"/>
    <w:rsid w:val="00F25324"/>
    <w:rsid w:val="00F26709"/>
    <w:rsid w:val="00F267AE"/>
    <w:rsid w:val="00F2685F"/>
    <w:rsid w:val="00F27552"/>
    <w:rsid w:val="00F27D56"/>
    <w:rsid w:val="00F31E3C"/>
    <w:rsid w:val="00F3454D"/>
    <w:rsid w:val="00F35B08"/>
    <w:rsid w:val="00F36B45"/>
    <w:rsid w:val="00F36BDF"/>
    <w:rsid w:val="00F3715E"/>
    <w:rsid w:val="00F371EA"/>
    <w:rsid w:val="00F4176F"/>
    <w:rsid w:val="00F42B69"/>
    <w:rsid w:val="00F42E2E"/>
    <w:rsid w:val="00F43027"/>
    <w:rsid w:val="00F4371B"/>
    <w:rsid w:val="00F43EEA"/>
    <w:rsid w:val="00F461CA"/>
    <w:rsid w:val="00F465AD"/>
    <w:rsid w:val="00F46BF2"/>
    <w:rsid w:val="00F50102"/>
    <w:rsid w:val="00F52524"/>
    <w:rsid w:val="00F546ED"/>
    <w:rsid w:val="00F57D90"/>
    <w:rsid w:val="00F62268"/>
    <w:rsid w:val="00F62794"/>
    <w:rsid w:val="00F62DE9"/>
    <w:rsid w:val="00F6365C"/>
    <w:rsid w:val="00F64142"/>
    <w:rsid w:val="00F64722"/>
    <w:rsid w:val="00F64913"/>
    <w:rsid w:val="00F65239"/>
    <w:rsid w:val="00F65CEB"/>
    <w:rsid w:val="00F661B2"/>
    <w:rsid w:val="00F66596"/>
    <w:rsid w:val="00F6784E"/>
    <w:rsid w:val="00F70664"/>
    <w:rsid w:val="00F71CD9"/>
    <w:rsid w:val="00F73961"/>
    <w:rsid w:val="00F756EE"/>
    <w:rsid w:val="00F77ABD"/>
    <w:rsid w:val="00F77C20"/>
    <w:rsid w:val="00F77F6A"/>
    <w:rsid w:val="00F80B5F"/>
    <w:rsid w:val="00F80F84"/>
    <w:rsid w:val="00F82D18"/>
    <w:rsid w:val="00F85468"/>
    <w:rsid w:val="00F87094"/>
    <w:rsid w:val="00F916D3"/>
    <w:rsid w:val="00F943B9"/>
    <w:rsid w:val="00F944D5"/>
    <w:rsid w:val="00F94C69"/>
    <w:rsid w:val="00F95C68"/>
    <w:rsid w:val="00F95F5E"/>
    <w:rsid w:val="00F97CA1"/>
    <w:rsid w:val="00FA0B1F"/>
    <w:rsid w:val="00FA31BD"/>
    <w:rsid w:val="00FA322A"/>
    <w:rsid w:val="00FA337C"/>
    <w:rsid w:val="00FA3391"/>
    <w:rsid w:val="00FA3655"/>
    <w:rsid w:val="00FA36BD"/>
    <w:rsid w:val="00FA3B56"/>
    <w:rsid w:val="00FA4C62"/>
    <w:rsid w:val="00FA6663"/>
    <w:rsid w:val="00FA6B48"/>
    <w:rsid w:val="00FA6D6D"/>
    <w:rsid w:val="00FB053E"/>
    <w:rsid w:val="00FB06BC"/>
    <w:rsid w:val="00FB0A1C"/>
    <w:rsid w:val="00FB10C3"/>
    <w:rsid w:val="00FB299E"/>
    <w:rsid w:val="00FB2F65"/>
    <w:rsid w:val="00FB33D1"/>
    <w:rsid w:val="00FB4BF5"/>
    <w:rsid w:val="00FB5B20"/>
    <w:rsid w:val="00FC12FD"/>
    <w:rsid w:val="00FC44BB"/>
    <w:rsid w:val="00FC5049"/>
    <w:rsid w:val="00FC5D5E"/>
    <w:rsid w:val="00FD1784"/>
    <w:rsid w:val="00FD24C3"/>
    <w:rsid w:val="00FD4390"/>
    <w:rsid w:val="00FD4E8D"/>
    <w:rsid w:val="00FD6532"/>
    <w:rsid w:val="00FD73D1"/>
    <w:rsid w:val="00FE0872"/>
    <w:rsid w:val="00FE10CB"/>
    <w:rsid w:val="00FE1421"/>
    <w:rsid w:val="00FE15C2"/>
    <w:rsid w:val="00FE1602"/>
    <w:rsid w:val="00FE3F19"/>
    <w:rsid w:val="00FE521B"/>
    <w:rsid w:val="00FE7AEB"/>
    <w:rsid w:val="00FF0606"/>
    <w:rsid w:val="00FF10F4"/>
    <w:rsid w:val="00FF26D7"/>
    <w:rsid w:val="00FF561F"/>
    <w:rsid w:val="00FF6A28"/>
    <w:rsid w:val="0B136AAD"/>
    <w:rsid w:val="0F095C54"/>
    <w:rsid w:val="202A1F8F"/>
    <w:rsid w:val="2BDD0E21"/>
    <w:rsid w:val="34962558"/>
    <w:rsid w:val="4B754D1A"/>
    <w:rsid w:val="5E627981"/>
    <w:rsid w:val="62637083"/>
    <w:rsid w:val="641D0A2E"/>
    <w:rsid w:val="71FE3F47"/>
    <w:rsid w:val="787B1A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0210A6"/>
  <w15:docId w15:val="{707A7497-0D99-4584-AC70-D2665802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0" w:qFormat="1"/>
    <w:lsdException w:name="header" w:uiPriority="0" w:qFormat="1"/>
    <w:lsdException w:name="footer" w:qFormat="1"/>
    <w:lsdException w:name="index heading" w:locked="1" w:semiHidden="1" w:unhideWhenUsed="1"/>
    <w:lsdException w:name="caption" w:qFormat="1"/>
    <w:lsdException w:name="table of figures" w:locked="1" w:semiHidden="1" w:unhideWhenUsed="1"/>
    <w:lsdException w:name="envelope address" w:qFormat="1"/>
    <w:lsdException w:name="envelope return" w:qFormat="1"/>
    <w:lsdException w:name="footnote reference" w:semiHidden="1" w:qFormat="1"/>
    <w:lsdException w:name="annotation reference" w:uiPriority="0" w:qFormat="1"/>
    <w:lsdException w:name="line number" w:locked="1" w:semiHidden="1" w:unhideWhenUsed="1"/>
    <w:lsdException w:name="page number" w:qFormat="1"/>
    <w:lsdException w:name="endnote reference" w:locked="1" w:semiHidden="1" w:unhideWhenUsed="1"/>
    <w:lsdException w:name="endnote text" w:semiHidden="1" w:qFormat="1"/>
    <w:lsdException w:name="table of authorities" w:semiHidden="1" w:qFormat="1"/>
    <w:lsdException w:name="macro" w:locked="1" w:semiHidden="1" w:unhideWhenUsed="1"/>
    <w:lsdException w:name="toa heading" w:semiHidden="1" w:qFormat="1"/>
    <w:lsdException w:name="List" w:qFormat="1"/>
    <w:lsdException w:name="List Bullet" w:qFormat="1"/>
    <w:lsdException w:name="List Number" w:qFormat="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qFormat="1"/>
    <w:lsdException w:name="Body Text First Indent" w:qFormat="1"/>
    <w:lsdException w:name="Body Text First Indent 2" w:locked="1" w:semiHidden="1" w:unhideWhenUsed="1"/>
    <w:lsdException w:name="Note Heading" w:locked="1" w:semiHidden="1" w:unhideWhenUsed="1"/>
    <w:lsdException w:name="Body Text 2" w:qFormat="1"/>
    <w:lsdException w:name="Body Text 3" w:qFormat="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qFormat="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qFormat="1"/>
    <w:lsdException w:name="HTML Sample" w:locked="1" w:semiHidden="1" w:unhideWhenUsed="1"/>
    <w:lsdException w:name="HTML Typewriter" w:qFormat="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cs="Calibri"/>
      <w:kern w:val="2"/>
      <w:sz w:val="21"/>
      <w:szCs w:val="21"/>
    </w:rPr>
  </w:style>
  <w:style w:type="paragraph" w:styleId="1">
    <w:name w:val="heading 1"/>
    <w:basedOn w:val="a1"/>
    <w:next w:val="a1"/>
    <w:link w:val="10"/>
    <w:uiPriority w:val="99"/>
    <w:qFormat/>
    <w:pPr>
      <w:keepNext/>
      <w:keepLines/>
      <w:tabs>
        <w:tab w:val="left" w:pos="432"/>
      </w:tabs>
      <w:spacing w:before="340" w:after="330" w:line="576" w:lineRule="auto"/>
      <w:ind w:left="432" w:hanging="432"/>
      <w:outlineLvl w:val="0"/>
    </w:pPr>
    <w:rPr>
      <w:rFonts w:ascii="Times New Roman" w:hAnsi="Times New Roman" w:cs="Times New Roman"/>
      <w:b/>
      <w:bCs/>
      <w:kern w:val="44"/>
      <w:sz w:val="44"/>
      <w:szCs w:val="44"/>
    </w:rPr>
  </w:style>
  <w:style w:type="paragraph" w:styleId="21">
    <w:name w:val="heading 2"/>
    <w:basedOn w:val="a1"/>
    <w:next w:val="a1"/>
    <w:link w:val="22"/>
    <w:uiPriority w:val="99"/>
    <w:qFormat/>
    <w:pPr>
      <w:keepNext/>
      <w:keepLines/>
      <w:tabs>
        <w:tab w:val="left" w:pos="-2401"/>
        <w:tab w:val="left" w:pos="360"/>
      </w:tabs>
      <w:spacing w:before="260" w:after="260" w:line="415" w:lineRule="auto"/>
      <w:ind w:left="-2401" w:hanging="576"/>
      <w:outlineLvl w:val="1"/>
    </w:pPr>
    <w:rPr>
      <w:rFonts w:ascii="Arial" w:eastAsia="黑体" w:hAnsi="Arial" w:cs="Arial"/>
      <w:b/>
      <w:bCs/>
      <w:sz w:val="32"/>
      <w:szCs w:val="32"/>
    </w:rPr>
  </w:style>
  <w:style w:type="paragraph" w:styleId="3">
    <w:name w:val="heading 3"/>
    <w:basedOn w:val="a1"/>
    <w:next w:val="a1"/>
    <w:link w:val="30"/>
    <w:uiPriority w:val="99"/>
    <w:qFormat/>
    <w:pPr>
      <w:keepNext/>
      <w:keepLines/>
      <w:tabs>
        <w:tab w:val="left" w:pos="-2683"/>
        <w:tab w:val="left" w:pos="360"/>
      </w:tabs>
      <w:spacing w:before="260" w:after="260" w:line="415" w:lineRule="auto"/>
      <w:ind w:left="-2683" w:hanging="720"/>
      <w:outlineLvl w:val="2"/>
    </w:pPr>
    <w:rPr>
      <w:rFonts w:ascii="Times New Roman" w:hAnsi="Times New Roman" w:cs="Times New Roman"/>
      <w:b/>
      <w:bCs/>
      <w:sz w:val="32"/>
      <w:szCs w:val="32"/>
    </w:rPr>
  </w:style>
  <w:style w:type="paragraph" w:styleId="4">
    <w:name w:val="heading 4"/>
    <w:basedOn w:val="a1"/>
    <w:next w:val="a1"/>
    <w:link w:val="40"/>
    <w:uiPriority w:val="99"/>
    <w:qFormat/>
    <w:pPr>
      <w:keepNext/>
      <w:keepLines/>
      <w:tabs>
        <w:tab w:val="left" w:pos="-2539"/>
        <w:tab w:val="left" w:pos="360"/>
      </w:tabs>
      <w:autoSpaceDE w:val="0"/>
      <w:autoSpaceDN w:val="0"/>
      <w:adjustRightInd w:val="0"/>
      <w:spacing w:before="280" w:after="290" w:line="374" w:lineRule="auto"/>
      <w:ind w:left="-2539" w:hanging="864"/>
      <w:outlineLvl w:val="3"/>
    </w:pPr>
    <w:rPr>
      <w:rFonts w:ascii="Arial" w:eastAsia="黑体" w:hAnsi="Arial" w:cs="Arial"/>
      <w:b/>
      <w:bCs/>
      <w:kern w:val="0"/>
      <w:sz w:val="28"/>
      <w:szCs w:val="28"/>
    </w:rPr>
  </w:style>
  <w:style w:type="paragraph" w:styleId="5">
    <w:name w:val="heading 5"/>
    <w:basedOn w:val="a1"/>
    <w:next w:val="a1"/>
    <w:link w:val="50"/>
    <w:uiPriority w:val="99"/>
    <w:qFormat/>
    <w:pPr>
      <w:keepNext/>
      <w:keepLines/>
      <w:tabs>
        <w:tab w:val="left" w:pos="-2395"/>
        <w:tab w:val="left" w:pos="360"/>
      </w:tabs>
      <w:autoSpaceDE w:val="0"/>
      <w:autoSpaceDN w:val="0"/>
      <w:adjustRightInd w:val="0"/>
      <w:spacing w:before="280" w:after="290" w:line="374" w:lineRule="auto"/>
      <w:ind w:left="-2395" w:hanging="1008"/>
      <w:outlineLvl w:val="4"/>
    </w:pPr>
    <w:rPr>
      <w:rFonts w:ascii="宋体" w:hAnsi="Times New Roman" w:cs="宋体"/>
      <w:b/>
      <w:bCs/>
      <w:kern w:val="0"/>
      <w:sz w:val="28"/>
      <w:szCs w:val="28"/>
    </w:rPr>
  </w:style>
  <w:style w:type="paragraph" w:styleId="6">
    <w:name w:val="heading 6"/>
    <w:basedOn w:val="a1"/>
    <w:next w:val="a1"/>
    <w:link w:val="60"/>
    <w:autoRedefine/>
    <w:uiPriority w:val="99"/>
    <w:qFormat/>
    <w:pPr>
      <w:keepNext/>
      <w:keepLines/>
      <w:tabs>
        <w:tab w:val="left" w:pos="-2251"/>
        <w:tab w:val="left" w:pos="360"/>
      </w:tabs>
      <w:autoSpaceDE w:val="0"/>
      <w:autoSpaceDN w:val="0"/>
      <w:adjustRightInd w:val="0"/>
      <w:spacing w:before="240" w:after="64" w:line="319" w:lineRule="auto"/>
      <w:ind w:left="-2251" w:hanging="1152"/>
      <w:outlineLvl w:val="5"/>
    </w:pPr>
    <w:rPr>
      <w:rFonts w:ascii="Arial" w:eastAsia="黑体" w:hAnsi="Arial" w:cs="Arial"/>
      <w:b/>
      <w:bCs/>
      <w:kern w:val="0"/>
      <w:sz w:val="24"/>
      <w:szCs w:val="24"/>
    </w:rPr>
  </w:style>
  <w:style w:type="paragraph" w:styleId="7">
    <w:name w:val="heading 7"/>
    <w:basedOn w:val="a1"/>
    <w:next w:val="a1"/>
    <w:link w:val="70"/>
    <w:autoRedefine/>
    <w:uiPriority w:val="99"/>
    <w:qFormat/>
    <w:pPr>
      <w:keepNext/>
      <w:keepLines/>
      <w:tabs>
        <w:tab w:val="left" w:pos="-2107"/>
        <w:tab w:val="left" w:pos="360"/>
      </w:tabs>
      <w:autoSpaceDE w:val="0"/>
      <w:autoSpaceDN w:val="0"/>
      <w:adjustRightInd w:val="0"/>
      <w:spacing w:before="240" w:after="64" w:line="319" w:lineRule="auto"/>
      <w:ind w:left="-2107" w:hanging="1296"/>
      <w:outlineLvl w:val="6"/>
    </w:pPr>
    <w:rPr>
      <w:rFonts w:ascii="宋体" w:hAnsi="Times New Roman" w:cs="宋体"/>
      <w:b/>
      <w:bCs/>
      <w:kern w:val="0"/>
      <w:sz w:val="24"/>
      <w:szCs w:val="24"/>
    </w:rPr>
  </w:style>
  <w:style w:type="paragraph" w:styleId="8">
    <w:name w:val="heading 8"/>
    <w:basedOn w:val="a1"/>
    <w:next w:val="a1"/>
    <w:link w:val="80"/>
    <w:uiPriority w:val="99"/>
    <w:qFormat/>
    <w:pPr>
      <w:keepNext/>
      <w:keepLines/>
      <w:tabs>
        <w:tab w:val="left" w:pos="-1963"/>
        <w:tab w:val="left" w:pos="360"/>
      </w:tabs>
      <w:autoSpaceDE w:val="0"/>
      <w:autoSpaceDN w:val="0"/>
      <w:adjustRightInd w:val="0"/>
      <w:spacing w:before="240" w:after="64" w:line="319" w:lineRule="auto"/>
      <w:ind w:left="-1963" w:hanging="1440"/>
      <w:outlineLvl w:val="7"/>
    </w:pPr>
    <w:rPr>
      <w:rFonts w:ascii="Arial" w:eastAsia="黑体" w:hAnsi="Arial" w:cs="Arial"/>
      <w:kern w:val="0"/>
      <w:sz w:val="24"/>
      <w:szCs w:val="24"/>
    </w:rPr>
  </w:style>
  <w:style w:type="paragraph" w:styleId="9">
    <w:name w:val="heading 9"/>
    <w:basedOn w:val="a1"/>
    <w:next w:val="a1"/>
    <w:link w:val="90"/>
    <w:uiPriority w:val="99"/>
    <w:qFormat/>
    <w:pPr>
      <w:keepNext/>
      <w:keepLines/>
      <w:tabs>
        <w:tab w:val="left" w:pos="-1819"/>
        <w:tab w:val="left" w:pos="360"/>
      </w:tabs>
      <w:autoSpaceDE w:val="0"/>
      <w:autoSpaceDN w:val="0"/>
      <w:adjustRightInd w:val="0"/>
      <w:spacing w:before="240" w:after="64" w:line="319" w:lineRule="auto"/>
      <w:ind w:left="-1819" w:hanging="1584"/>
      <w:outlineLvl w:val="8"/>
    </w:pPr>
    <w:rPr>
      <w:rFonts w:ascii="Arial" w:eastAsia="黑体" w:hAnsi="Arial" w:cs="Arial"/>
      <w:kern w:val="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71">
    <w:name w:val="toc 7"/>
    <w:basedOn w:val="a1"/>
    <w:next w:val="a1"/>
    <w:uiPriority w:val="99"/>
    <w:semiHidden/>
    <w:qFormat/>
    <w:pPr>
      <w:ind w:left="1260"/>
      <w:jc w:val="left"/>
    </w:pPr>
    <w:rPr>
      <w:rFonts w:ascii="Times New Roman" w:hAnsi="Times New Roman" w:cs="Times New Roman"/>
    </w:rPr>
  </w:style>
  <w:style w:type="paragraph" w:styleId="a5">
    <w:name w:val="table of authorities"/>
    <w:basedOn w:val="AONormal"/>
    <w:next w:val="a1"/>
    <w:uiPriority w:val="99"/>
    <w:semiHidden/>
    <w:qFormat/>
    <w:pPr>
      <w:tabs>
        <w:tab w:val="right" w:leader="dot" w:pos="9490"/>
      </w:tabs>
      <w:spacing w:before="240" w:line="240" w:lineRule="auto"/>
      <w:ind w:left="720" w:hanging="720"/>
    </w:pPr>
  </w:style>
  <w:style w:type="paragraph" w:customStyle="1" w:styleId="AONormal">
    <w:name w:val="AONormal"/>
    <w:uiPriority w:val="99"/>
    <w:qFormat/>
    <w:pPr>
      <w:spacing w:line="260" w:lineRule="atLeast"/>
    </w:pPr>
    <w:rPr>
      <w:rFonts w:ascii="Times New Roman" w:hAnsi="Times New Roman"/>
      <w:sz w:val="22"/>
      <w:szCs w:val="22"/>
      <w:lang w:val="en-GB" w:eastAsia="en-US"/>
    </w:rPr>
  </w:style>
  <w:style w:type="paragraph" w:styleId="a6">
    <w:name w:val="E-mail Signature"/>
    <w:basedOn w:val="a1"/>
    <w:link w:val="a7"/>
    <w:autoRedefine/>
    <w:uiPriority w:val="99"/>
    <w:qFormat/>
    <w:pPr>
      <w:widowControl/>
    </w:pPr>
    <w:rPr>
      <w:rFonts w:ascii="Times New Roman" w:hAnsi="Times New Roman" w:cs="Times New Roman"/>
      <w:kern w:val="0"/>
    </w:rPr>
  </w:style>
  <w:style w:type="paragraph" w:styleId="a">
    <w:name w:val="List Number"/>
    <w:basedOn w:val="a8"/>
    <w:uiPriority w:val="99"/>
    <w:qFormat/>
    <w:pPr>
      <w:numPr>
        <w:numId w:val="1"/>
      </w:numPr>
      <w:ind w:right="720"/>
    </w:pPr>
  </w:style>
  <w:style w:type="paragraph" w:styleId="a8">
    <w:name w:val="List"/>
    <w:basedOn w:val="a9"/>
    <w:uiPriority w:val="99"/>
    <w:qFormat/>
    <w:pPr>
      <w:widowControl/>
      <w:spacing w:after="240" w:line="240" w:lineRule="atLeast"/>
      <w:ind w:left="720" w:hanging="360"/>
      <w:jc w:val="left"/>
    </w:pPr>
    <w:rPr>
      <w:rFonts w:eastAsia="PMingLiU"/>
      <w:kern w:val="0"/>
      <w:lang w:eastAsia="en-US"/>
    </w:rPr>
  </w:style>
  <w:style w:type="paragraph" w:styleId="a9">
    <w:name w:val="Body Text"/>
    <w:basedOn w:val="a1"/>
    <w:link w:val="aa"/>
    <w:uiPriority w:val="99"/>
    <w:qFormat/>
    <w:pPr>
      <w:spacing w:line="360" w:lineRule="auto"/>
    </w:pPr>
    <w:rPr>
      <w:rFonts w:ascii="Times New Roman" w:hAnsi="Times New Roman" w:cs="Times New Roman"/>
      <w:sz w:val="24"/>
      <w:szCs w:val="24"/>
    </w:rPr>
  </w:style>
  <w:style w:type="paragraph" w:styleId="ab">
    <w:name w:val="Normal Indent"/>
    <w:basedOn w:val="a1"/>
    <w:autoRedefine/>
    <w:uiPriority w:val="99"/>
    <w:qFormat/>
    <w:pPr>
      <w:ind w:firstLine="420"/>
    </w:pPr>
    <w:rPr>
      <w:rFonts w:ascii="Times New Roman" w:hAnsi="Times New Roman" w:cs="Times New Roman"/>
    </w:rPr>
  </w:style>
  <w:style w:type="paragraph" w:styleId="ac">
    <w:name w:val="caption"/>
    <w:basedOn w:val="a1"/>
    <w:next w:val="a1"/>
    <w:uiPriority w:val="99"/>
    <w:qFormat/>
    <w:pPr>
      <w:adjustRightInd w:val="0"/>
      <w:spacing w:before="152" w:after="160" w:line="360" w:lineRule="auto"/>
      <w:ind w:firstLineChars="200" w:firstLine="567"/>
    </w:pPr>
    <w:rPr>
      <w:rFonts w:ascii="Arial" w:eastAsia="黑体" w:hAnsi="Arial" w:cs="Arial"/>
      <w:sz w:val="24"/>
      <w:szCs w:val="24"/>
    </w:rPr>
  </w:style>
  <w:style w:type="paragraph" w:styleId="a0">
    <w:name w:val="List Bullet"/>
    <w:basedOn w:val="a8"/>
    <w:uiPriority w:val="99"/>
    <w:qFormat/>
    <w:pPr>
      <w:numPr>
        <w:numId w:val="2"/>
      </w:numPr>
      <w:ind w:right="720"/>
    </w:pPr>
  </w:style>
  <w:style w:type="paragraph" w:styleId="ad">
    <w:name w:val="envelope address"/>
    <w:basedOn w:val="a1"/>
    <w:autoRedefine/>
    <w:uiPriority w:val="99"/>
    <w:qFormat/>
    <w:pPr>
      <w:framePr w:w="7920" w:h="1980" w:hRule="exact" w:hSpace="180" w:wrap="around" w:hAnchor="page" w:xAlign="center" w:yAlign="bottom"/>
      <w:ind w:left="2880"/>
    </w:pPr>
    <w:rPr>
      <w:rFonts w:ascii="Times New Roman" w:hAnsi="Times New Roman" w:cs="Times New Roman"/>
    </w:rPr>
  </w:style>
  <w:style w:type="paragraph" w:styleId="ae">
    <w:name w:val="Document Map"/>
    <w:basedOn w:val="a1"/>
    <w:link w:val="af"/>
    <w:uiPriority w:val="99"/>
    <w:semiHidden/>
    <w:qFormat/>
    <w:pPr>
      <w:shd w:val="clear" w:color="auto" w:fill="000080"/>
    </w:pPr>
    <w:rPr>
      <w:rFonts w:ascii="Times New Roman" w:hAnsi="Times New Roman" w:cs="Times New Roman"/>
    </w:rPr>
  </w:style>
  <w:style w:type="paragraph" w:styleId="af0">
    <w:name w:val="toa heading"/>
    <w:basedOn w:val="AONormal"/>
    <w:next w:val="a5"/>
    <w:uiPriority w:val="99"/>
    <w:semiHidden/>
    <w:qFormat/>
    <w:pPr>
      <w:tabs>
        <w:tab w:val="right" w:pos="9490"/>
      </w:tabs>
      <w:spacing w:before="240" w:after="120" w:line="240" w:lineRule="auto"/>
    </w:pPr>
    <w:rPr>
      <w:b/>
      <w:bCs/>
    </w:rPr>
  </w:style>
  <w:style w:type="paragraph" w:styleId="af1">
    <w:name w:val="annotation text"/>
    <w:basedOn w:val="a1"/>
    <w:link w:val="af2"/>
    <w:qFormat/>
    <w:pPr>
      <w:jc w:val="left"/>
    </w:pPr>
    <w:rPr>
      <w:rFonts w:ascii="Times New Roman" w:hAnsi="Times New Roman" w:cs="Times New Roman"/>
      <w:sz w:val="24"/>
      <w:szCs w:val="24"/>
    </w:rPr>
  </w:style>
  <w:style w:type="paragraph" w:styleId="31">
    <w:name w:val="Body Text 3"/>
    <w:basedOn w:val="a1"/>
    <w:link w:val="32"/>
    <w:uiPriority w:val="99"/>
    <w:qFormat/>
    <w:pPr>
      <w:autoSpaceDE w:val="0"/>
      <w:autoSpaceDN w:val="0"/>
      <w:adjustRightInd w:val="0"/>
      <w:spacing w:after="120" w:line="360" w:lineRule="auto"/>
    </w:pPr>
    <w:rPr>
      <w:rFonts w:ascii="Times New Roman" w:hAnsi="Times New Roman" w:cs="Times New Roman"/>
      <w:kern w:val="0"/>
      <w:sz w:val="24"/>
      <w:szCs w:val="24"/>
      <w:u w:val="single"/>
    </w:rPr>
  </w:style>
  <w:style w:type="paragraph" w:styleId="af3">
    <w:name w:val="Body Text Indent"/>
    <w:basedOn w:val="a1"/>
    <w:link w:val="af4"/>
    <w:uiPriority w:val="99"/>
    <w:qFormat/>
    <w:pPr>
      <w:autoSpaceDE w:val="0"/>
      <w:autoSpaceDN w:val="0"/>
      <w:adjustRightInd w:val="0"/>
      <w:spacing w:after="120" w:line="440" w:lineRule="atLeast"/>
      <w:ind w:firstLine="539"/>
    </w:pPr>
    <w:rPr>
      <w:rFonts w:ascii="宋体" w:hAnsi="Times New Roman" w:cs="宋体"/>
      <w:kern w:val="0"/>
      <w:sz w:val="24"/>
      <w:szCs w:val="24"/>
    </w:rPr>
  </w:style>
  <w:style w:type="paragraph" w:styleId="51">
    <w:name w:val="toc 5"/>
    <w:basedOn w:val="a1"/>
    <w:next w:val="a1"/>
    <w:uiPriority w:val="99"/>
    <w:semiHidden/>
    <w:qFormat/>
    <w:pPr>
      <w:ind w:left="840"/>
      <w:jc w:val="left"/>
    </w:pPr>
    <w:rPr>
      <w:rFonts w:ascii="Times New Roman" w:hAnsi="Times New Roman" w:cs="Times New Roman"/>
    </w:rPr>
  </w:style>
  <w:style w:type="paragraph" w:styleId="33">
    <w:name w:val="toc 3"/>
    <w:basedOn w:val="a1"/>
    <w:next w:val="a1"/>
    <w:uiPriority w:val="99"/>
    <w:semiHidden/>
    <w:qFormat/>
    <w:pPr>
      <w:ind w:left="420"/>
      <w:jc w:val="left"/>
    </w:pPr>
    <w:rPr>
      <w:rFonts w:ascii="Times New Roman" w:hAnsi="Times New Roman" w:cs="Times New Roman"/>
    </w:rPr>
  </w:style>
  <w:style w:type="paragraph" w:styleId="af5">
    <w:name w:val="Plain Text"/>
    <w:basedOn w:val="a1"/>
    <w:link w:val="af6"/>
    <w:uiPriority w:val="99"/>
    <w:qFormat/>
    <w:rPr>
      <w:rFonts w:ascii="宋体" w:hAnsi="Courier New" w:cs="宋体"/>
    </w:rPr>
  </w:style>
  <w:style w:type="paragraph" w:styleId="81">
    <w:name w:val="toc 8"/>
    <w:basedOn w:val="a1"/>
    <w:next w:val="a1"/>
    <w:uiPriority w:val="99"/>
    <w:semiHidden/>
    <w:qFormat/>
    <w:pPr>
      <w:ind w:left="1470"/>
      <w:jc w:val="left"/>
    </w:pPr>
    <w:rPr>
      <w:rFonts w:ascii="Times New Roman" w:hAnsi="Times New Roman" w:cs="Times New Roman"/>
    </w:rPr>
  </w:style>
  <w:style w:type="paragraph" w:styleId="af7">
    <w:name w:val="Date"/>
    <w:basedOn w:val="a1"/>
    <w:next w:val="a1"/>
    <w:link w:val="af8"/>
    <w:uiPriority w:val="99"/>
    <w:qFormat/>
    <w:pPr>
      <w:ind w:leftChars="2500" w:left="2500"/>
    </w:pPr>
    <w:rPr>
      <w:rFonts w:ascii="宋体" w:eastAsia="仿宋_GB2312" w:hAnsi="宋体" w:cs="宋体"/>
      <w:sz w:val="28"/>
      <w:szCs w:val="28"/>
    </w:rPr>
  </w:style>
  <w:style w:type="paragraph" w:styleId="23">
    <w:name w:val="Body Text Indent 2"/>
    <w:basedOn w:val="a1"/>
    <w:link w:val="24"/>
    <w:uiPriority w:val="99"/>
    <w:qFormat/>
    <w:pPr>
      <w:spacing w:line="360" w:lineRule="auto"/>
      <w:ind w:firstLineChars="200" w:firstLine="560"/>
    </w:pPr>
    <w:rPr>
      <w:rFonts w:ascii="Times New Roman" w:eastAsia="仿宋_GB2312" w:hAnsi="Times New Roman" w:cs="Times New Roman"/>
      <w:sz w:val="28"/>
      <w:szCs w:val="28"/>
    </w:rPr>
  </w:style>
  <w:style w:type="paragraph" w:styleId="af9">
    <w:name w:val="endnote text"/>
    <w:basedOn w:val="AONormal"/>
    <w:link w:val="afa"/>
    <w:uiPriority w:val="99"/>
    <w:semiHidden/>
    <w:qFormat/>
    <w:pPr>
      <w:spacing w:line="240" w:lineRule="auto"/>
      <w:ind w:left="720" w:hanging="720"/>
    </w:pPr>
    <w:rPr>
      <w:sz w:val="16"/>
      <w:szCs w:val="16"/>
    </w:rPr>
  </w:style>
  <w:style w:type="paragraph" w:styleId="afb">
    <w:name w:val="Balloon Text"/>
    <w:basedOn w:val="a1"/>
    <w:link w:val="afc"/>
    <w:uiPriority w:val="99"/>
    <w:semiHidden/>
    <w:qFormat/>
    <w:rPr>
      <w:rFonts w:ascii="Times New Roman" w:hAnsi="Times New Roman" w:cs="Times New Roman"/>
      <w:sz w:val="18"/>
      <w:szCs w:val="18"/>
    </w:rPr>
  </w:style>
  <w:style w:type="paragraph" w:styleId="afd">
    <w:name w:val="footer"/>
    <w:basedOn w:val="a1"/>
    <w:link w:val="afe"/>
    <w:uiPriority w:val="99"/>
    <w:qFormat/>
    <w:pPr>
      <w:tabs>
        <w:tab w:val="center" w:pos="4153"/>
        <w:tab w:val="right" w:pos="8306"/>
      </w:tabs>
      <w:snapToGrid w:val="0"/>
      <w:jc w:val="left"/>
    </w:pPr>
    <w:rPr>
      <w:sz w:val="18"/>
      <w:szCs w:val="18"/>
    </w:rPr>
  </w:style>
  <w:style w:type="paragraph" w:styleId="aff">
    <w:name w:val="envelope return"/>
    <w:basedOn w:val="a1"/>
    <w:uiPriority w:val="99"/>
    <w:qFormat/>
    <w:rPr>
      <w:rFonts w:ascii="Times New Roman" w:hAnsi="Times New Roman" w:cs="Times New Roman"/>
      <w:sz w:val="20"/>
      <w:szCs w:val="20"/>
    </w:rPr>
  </w:style>
  <w:style w:type="paragraph" w:styleId="aff0">
    <w:name w:val="header"/>
    <w:basedOn w:val="a1"/>
    <w:link w:val="aff1"/>
    <w:qFormat/>
    <w:pPr>
      <w:pBdr>
        <w:bottom w:val="single" w:sz="6" w:space="1" w:color="auto"/>
      </w:pBdr>
      <w:tabs>
        <w:tab w:val="center" w:pos="4153"/>
        <w:tab w:val="right" w:pos="8306"/>
      </w:tabs>
      <w:snapToGrid w:val="0"/>
      <w:jc w:val="center"/>
    </w:pPr>
    <w:rPr>
      <w:sz w:val="18"/>
      <w:szCs w:val="18"/>
    </w:rPr>
  </w:style>
  <w:style w:type="paragraph" w:styleId="11">
    <w:name w:val="toc 1"/>
    <w:basedOn w:val="a1"/>
    <w:next w:val="a1"/>
    <w:uiPriority w:val="39"/>
    <w:qFormat/>
    <w:pPr>
      <w:tabs>
        <w:tab w:val="left" w:pos="510"/>
        <w:tab w:val="left" w:pos="709"/>
        <w:tab w:val="right" w:leader="dot" w:pos="8296"/>
      </w:tabs>
      <w:spacing w:line="276" w:lineRule="auto"/>
      <w:ind w:firstLineChars="98" w:firstLine="207"/>
      <w:jc w:val="center"/>
    </w:pPr>
    <w:rPr>
      <w:rFonts w:ascii="宋体" w:hAnsi="宋体" w:cs="宋体"/>
      <w:b/>
      <w:bCs/>
      <w:color w:val="000000"/>
    </w:rPr>
  </w:style>
  <w:style w:type="paragraph" w:styleId="41">
    <w:name w:val="toc 4"/>
    <w:basedOn w:val="a1"/>
    <w:next w:val="a1"/>
    <w:uiPriority w:val="99"/>
    <w:semiHidden/>
    <w:qFormat/>
    <w:pPr>
      <w:ind w:left="630"/>
      <w:jc w:val="left"/>
    </w:pPr>
    <w:rPr>
      <w:rFonts w:ascii="Times New Roman" w:hAnsi="Times New Roman" w:cs="Times New Roman"/>
    </w:rPr>
  </w:style>
  <w:style w:type="paragraph" w:styleId="aff2">
    <w:name w:val="Subtitle"/>
    <w:basedOn w:val="21"/>
    <w:next w:val="3"/>
    <w:link w:val="aff3"/>
    <w:uiPriority w:val="99"/>
    <w:qFormat/>
    <w:pPr>
      <w:tabs>
        <w:tab w:val="clear" w:pos="360"/>
      </w:tabs>
      <w:spacing w:before="240" w:after="60" w:line="312" w:lineRule="auto"/>
      <w:ind w:left="0" w:firstLine="0"/>
      <w:jc w:val="left"/>
    </w:pPr>
    <w:rPr>
      <w:rFonts w:ascii="Cambria" w:eastAsia="宋体" w:hAnsi="Cambria" w:cs="Cambria"/>
      <w:kern w:val="28"/>
      <w:sz w:val="24"/>
      <w:szCs w:val="24"/>
    </w:rPr>
  </w:style>
  <w:style w:type="paragraph" w:styleId="aff4">
    <w:name w:val="footnote text"/>
    <w:basedOn w:val="a1"/>
    <w:link w:val="aff5"/>
    <w:uiPriority w:val="99"/>
    <w:semiHidden/>
    <w:qFormat/>
    <w:pPr>
      <w:snapToGrid w:val="0"/>
      <w:jc w:val="left"/>
    </w:pPr>
    <w:rPr>
      <w:rFonts w:ascii="Times New Roman" w:hAnsi="Times New Roman" w:cs="Times New Roman"/>
      <w:sz w:val="18"/>
      <w:szCs w:val="18"/>
    </w:rPr>
  </w:style>
  <w:style w:type="paragraph" w:styleId="61">
    <w:name w:val="toc 6"/>
    <w:basedOn w:val="a1"/>
    <w:next w:val="a1"/>
    <w:uiPriority w:val="99"/>
    <w:semiHidden/>
    <w:qFormat/>
    <w:pPr>
      <w:ind w:left="1050"/>
      <w:jc w:val="left"/>
    </w:pPr>
    <w:rPr>
      <w:rFonts w:ascii="Times New Roman" w:hAnsi="Times New Roman" w:cs="Times New Roman"/>
    </w:rPr>
  </w:style>
  <w:style w:type="paragraph" w:styleId="34">
    <w:name w:val="Body Text Indent 3"/>
    <w:basedOn w:val="a1"/>
    <w:link w:val="35"/>
    <w:uiPriority w:val="99"/>
    <w:qFormat/>
    <w:pPr>
      <w:spacing w:line="400" w:lineRule="atLeast"/>
      <w:ind w:firstLine="600"/>
    </w:pPr>
    <w:rPr>
      <w:rFonts w:ascii="宋体" w:hAnsi="Times New Roman" w:cs="宋体"/>
      <w:sz w:val="28"/>
      <w:szCs w:val="28"/>
    </w:rPr>
  </w:style>
  <w:style w:type="paragraph" w:styleId="25">
    <w:name w:val="toc 2"/>
    <w:basedOn w:val="a1"/>
    <w:next w:val="a1"/>
    <w:uiPriority w:val="39"/>
    <w:qFormat/>
    <w:pPr>
      <w:tabs>
        <w:tab w:val="left" w:pos="840"/>
        <w:tab w:val="left" w:pos="1050"/>
        <w:tab w:val="left" w:pos="1080"/>
        <w:tab w:val="right" w:leader="dot" w:pos="8296"/>
      </w:tabs>
      <w:spacing w:line="276" w:lineRule="auto"/>
      <w:ind w:left="210"/>
      <w:jc w:val="left"/>
    </w:pPr>
    <w:rPr>
      <w:rFonts w:ascii="Times New Roman" w:hAnsi="Times New Roman" w:cs="Times New Roman"/>
    </w:rPr>
  </w:style>
  <w:style w:type="paragraph" w:styleId="91">
    <w:name w:val="toc 9"/>
    <w:basedOn w:val="a1"/>
    <w:next w:val="a1"/>
    <w:uiPriority w:val="99"/>
    <w:semiHidden/>
    <w:qFormat/>
    <w:pPr>
      <w:ind w:left="1680"/>
      <w:jc w:val="left"/>
    </w:pPr>
    <w:rPr>
      <w:rFonts w:ascii="Times New Roman" w:hAnsi="Times New Roman" w:cs="Times New Roman"/>
    </w:rPr>
  </w:style>
  <w:style w:type="paragraph" w:styleId="26">
    <w:name w:val="Body Text 2"/>
    <w:basedOn w:val="a1"/>
    <w:link w:val="27"/>
    <w:uiPriority w:val="99"/>
    <w:qFormat/>
    <w:rPr>
      <w:rFonts w:ascii="Times New Roman" w:hAnsi="Times New Roman" w:cs="Times New Roman"/>
      <w:sz w:val="28"/>
      <w:szCs w:val="28"/>
    </w:rPr>
  </w:style>
  <w:style w:type="paragraph" w:styleId="HTML">
    <w:name w:val="HTML Preformatted"/>
    <w:basedOn w:val="a1"/>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szCs w:val="20"/>
    </w:rPr>
  </w:style>
  <w:style w:type="paragraph" w:styleId="aff6">
    <w:name w:val="Normal (Web)"/>
    <w:basedOn w:val="a1"/>
    <w:uiPriority w:val="99"/>
    <w:qFormat/>
    <w:pPr>
      <w:widowControl/>
      <w:spacing w:before="100" w:beforeAutospacing="1" w:after="100" w:afterAutospacing="1"/>
      <w:jc w:val="left"/>
    </w:pPr>
    <w:rPr>
      <w:rFonts w:ascii="Arial Unicode MS" w:eastAsia="Arial Unicode MS" w:hAnsi="Arial Unicode MS" w:cs="Arial Unicode MS"/>
      <w:color w:val="000000"/>
      <w:kern w:val="0"/>
      <w:sz w:val="24"/>
      <w:szCs w:val="24"/>
    </w:rPr>
  </w:style>
  <w:style w:type="paragraph" w:styleId="12">
    <w:name w:val="index 1"/>
    <w:basedOn w:val="a1"/>
    <w:next w:val="a1"/>
    <w:uiPriority w:val="99"/>
    <w:semiHidden/>
    <w:qFormat/>
    <w:pPr>
      <w:spacing w:line="360" w:lineRule="auto"/>
      <w:ind w:firstLineChars="200" w:firstLine="422"/>
      <w:outlineLvl w:val="0"/>
    </w:pPr>
    <w:rPr>
      <w:rFonts w:ascii="宋体" w:hAnsi="宋体" w:cs="宋体"/>
      <w:b/>
      <w:bCs/>
      <w:color w:val="000000"/>
      <w:kern w:val="0"/>
    </w:rPr>
  </w:style>
  <w:style w:type="paragraph" w:styleId="aff7">
    <w:name w:val="Title"/>
    <w:basedOn w:val="a1"/>
    <w:link w:val="aff8"/>
    <w:uiPriority w:val="99"/>
    <w:qFormat/>
    <w:pPr>
      <w:spacing w:before="240" w:after="60" w:line="360" w:lineRule="auto"/>
      <w:ind w:firstLine="425"/>
      <w:jc w:val="center"/>
      <w:outlineLvl w:val="0"/>
    </w:pPr>
    <w:rPr>
      <w:rFonts w:ascii="Arial" w:hAnsi="Arial" w:cs="Arial"/>
      <w:b/>
      <w:bCs/>
      <w:sz w:val="32"/>
      <w:szCs w:val="32"/>
    </w:rPr>
  </w:style>
  <w:style w:type="paragraph" w:styleId="aff9">
    <w:name w:val="annotation subject"/>
    <w:basedOn w:val="af1"/>
    <w:next w:val="af1"/>
    <w:link w:val="affa"/>
    <w:uiPriority w:val="99"/>
    <w:semiHidden/>
    <w:qFormat/>
    <w:rPr>
      <w:b/>
      <w:bCs/>
      <w:sz w:val="21"/>
      <w:szCs w:val="21"/>
    </w:rPr>
  </w:style>
  <w:style w:type="paragraph" w:styleId="affb">
    <w:name w:val="Body Text First Indent"/>
    <w:basedOn w:val="a9"/>
    <w:link w:val="affc"/>
    <w:uiPriority w:val="99"/>
    <w:qFormat/>
    <w:pPr>
      <w:spacing w:after="120" w:line="240" w:lineRule="auto"/>
      <w:ind w:firstLineChars="100" w:firstLine="420"/>
    </w:pPr>
  </w:style>
  <w:style w:type="table" w:styleId="affd">
    <w:name w:val="Table Grid"/>
    <w:basedOn w:val="a3"/>
    <w:uiPriority w:val="99"/>
    <w:qFormat/>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e">
    <w:name w:val="Strong"/>
    <w:basedOn w:val="a2"/>
    <w:uiPriority w:val="99"/>
    <w:qFormat/>
    <w:rPr>
      <w:b/>
      <w:bCs/>
    </w:rPr>
  </w:style>
  <w:style w:type="character" w:styleId="afff">
    <w:name w:val="page number"/>
    <w:basedOn w:val="a2"/>
    <w:uiPriority w:val="99"/>
    <w:qFormat/>
  </w:style>
  <w:style w:type="character" w:styleId="afff0">
    <w:name w:val="FollowedHyperlink"/>
    <w:basedOn w:val="a2"/>
    <w:uiPriority w:val="99"/>
    <w:qFormat/>
    <w:rPr>
      <w:color w:val="800080"/>
      <w:u w:val="single"/>
    </w:rPr>
  </w:style>
  <w:style w:type="character" w:styleId="afff1">
    <w:name w:val="Emphasis"/>
    <w:basedOn w:val="a2"/>
    <w:uiPriority w:val="99"/>
    <w:qFormat/>
    <w:rPr>
      <w:i/>
      <w:iCs/>
    </w:rPr>
  </w:style>
  <w:style w:type="character" w:styleId="HTML1">
    <w:name w:val="HTML Typewriter"/>
    <w:basedOn w:val="a2"/>
    <w:uiPriority w:val="99"/>
    <w:qFormat/>
    <w:rPr>
      <w:rFonts w:ascii="Arial Unicode MS" w:eastAsia="Arial Unicode MS" w:hAnsi="Arial Unicode MS" w:cs="Arial Unicode MS"/>
      <w:sz w:val="20"/>
      <w:szCs w:val="20"/>
    </w:rPr>
  </w:style>
  <w:style w:type="character" w:styleId="afff2">
    <w:name w:val="Hyperlink"/>
    <w:basedOn w:val="a2"/>
    <w:uiPriority w:val="99"/>
    <w:qFormat/>
    <w:rPr>
      <w:color w:val="0000FF"/>
      <w:u w:val="single"/>
    </w:rPr>
  </w:style>
  <w:style w:type="character" w:styleId="afff3">
    <w:name w:val="annotation reference"/>
    <w:basedOn w:val="a2"/>
    <w:qFormat/>
    <w:rPr>
      <w:sz w:val="21"/>
      <w:szCs w:val="21"/>
    </w:rPr>
  </w:style>
  <w:style w:type="character" w:styleId="afff4">
    <w:name w:val="footnote reference"/>
    <w:basedOn w:val="a2"/>
    <w:uiPriority w:val="99"/>
    <w:semiHidden/>
    <w:qFormat/>
    <w:rPr>
      <w:vertAlign w:val="superscript"/>
    </w:rPr>
  </w:style>
  <w:style w:type="character" w:customStyle="1" w:styleId="af6">
    <w:name w:val="纯文本 字符"/>
    <w:basedOn w:val="a2"/>
    <w:link w:val="af5"/>
    <w:uiPriority w:val="99"/>
    <w:qFormat/>
    <w:locked/>
    <w:rPr>
      <w:rFonts w:ascii="宋体" w:hAnsi="Courier New" w:cs="宋体"/>
      <w:kern w:val="2"/>
      <w:sz w:val="21"/>
      <w:szCs w:val="21"/>
    </w:rPr>
  </w:style>
  <w:style w:type="character" w:customStyle="1" w:styleId="13">
    <w:name w:val="不明显强调1"/>
    <w:basedOn w:val="a2"/>
    <w:uiPriority w:val="99"/>
    <w:qFormat/>
    <w:rPr>
      <w:i/>
      <w:iCs/>
      <w:color w:val="808080"/>
    </w:rPr>
  </w:style>
  <w:style w:type="character" w:customStyle="1" w:styleId="tt11">
    <w:name w:val="tt11"/>
    <w:basedOn w:val="a2"/>
    <w:autoRedefine/>
    <w:uiPriority w:val="99"/>
    <w:qFormat/>
    <w:rPr>
      <w:spacing w:val="400"/>
      <w:sz w:val="22"/>
      <w:szCs w:val="22"/>
    </w:rPr>
  </w:style>
  <w:style w:type="character" w:customStyle="1" w:styleId="35">
    <w:name w:val="正文文本缩进 3 字符"/>
    <w:basedOn w:val="a2"/>
    <w:link w:val="34"/>
    <w:uiPriority w:val="99"/>
    <w:qFormat/>
    <w:locked/>
    <w:rPr>
      <w:rFonts w:ascii="宋体" w:hAnsi="Times New Roman" w:cs="宋体"/>
      <w:kern w:val="2"/>
      <w:sz w:val="28"/>
      <w:szCs w:val="28"/>
    </w:rPr>
  </w:style>
  <w:style w:type="character" w:customStyle="1" w:styleId="22">
    <w:name w:val="标题 2 字符"/>
    <w:basedOn w:val="a2"/>
    <w:link w:val="21"/>
    <w:uiPriority w:val="99"/>
    <w:qFormat/>
    <w:locked/>
    <w:rPr>
      <w:rFonts w:ascii="Arial" w:eastAsia="黑体" w:hAnsi="Arial" w:cs="Arial"/>
      <w:b/>
      <w:bCs/>
      <w:kern w:val="2"/>
      <w:sz w:val="32"/>
      <w:szCs w:val="32"/>
    </w:rPr>
  </w:style>
  <w:style w:type="character" w:customStyle="1" w:styleId="10">
    <w:name w:val="标题 1 字符"/>
    <w:basedOn w:val="a2"/>
    <w:link w:val="1"/>
    <w:uiPriority w:val="99"/>
    <w:qFormat/>
    <w:locked/>
    <w:rPr>
      <w:rFonts w:ascii="Times New Roman" w:hAnsi="Times New Roman"/>
      <w:b/>
      <w:bCs/>
      <w:kern w:val="44"/>
      <w:sz w:val="44"/>
      <w:szCs w:val="44"/>
    </w:rPr>
  </w:style>
  <w:style w:type="character" w:customStyle="1" w:styleId="Char">
    <w:name w:val="正文首行缩进 Char"/>
    <w:basedOn w:val="aa"/>
    <w:uiPriority w:val="99"/>
    <w:qFormat/>
    <w:locked/>
    <w:rPr>
      <w:rFonts w:ascii="Times New Roman" w:hAnsi="Times New Roman" w:cs="Times New Roman"/>
      <w:kern w:val="2"/>
      <w:sz w:val="24"/>
      <w:szCs w:val="24"/>
    </w:rPr>
  </w:style>
  <w:style w:type="character" w:customStyle="1" w:styleId="aa">
    <w:name w:val="正文文本 字符"/>
    <w:basedOn w:val="a2"/>
    <w:link w:val="a9"/>
    <w:uiPriority w:val="99"/>
    <w:qFormat/>
    <w:locked/>
    <w:rPr>
      <w:rFonts w:ascii="Times New Roman" w:hAnsi="Times New Roman" w:cs="Times New Roman"/>
      <w:kern w:val="2"/>
      <w:sz w:val="24"/>
      <w:szCs w:val="24"/>
    </w:rPr>
  </w:style>
  <w:style w:type="character" w:customStyle="1" w:styleId="BodyTextFirstIndentChar">
    <w:name w:val="Body Text First Indent Char"/>
    <w:basedOn w:val="aa"/>
    <w:uiPriority w:val="99"/>
    <w:qFormat/>
    <w:locked/>
    <w:rPr>
      <w:rFonts w:ascii="Times New Roman" w:hAnsi="Times New Roman" w:cs="Times New Roman"/>
      <w:kern w:val="2"/>
      <w:sz w:val="24"/>
      <w:szCs w:val="24"/>
    </w:rPr>
  </w:style>
  <w:style w:type="character" w:customStyle="1" w:styleId="60">
    <w:name w:val="标题 6 字符"/>
    <w:basedOn w:val="a2"/>
    <w:link w:val="6"/>
    <w:uiPriority w:val="99"/>
    <w:qFormat/>
    <w:locked/>
    <w:rPr>
      <w:rFonts w:ascii="Arial" w:eastAsia="黑体" w:hAnsi="Arial" w:cs="Arial"/>
      <w:b/>
      <w:bCs/>
      <w:sz w:val="24"/>
      <w:szCs w:val="24"/>
    </w:rPr>
  </w:style>
  <w:style w:type="character" w:customStyle="1" w:styleId="aff5">
    <w:name w:val="脚注文本 字符"/>
    <w:basedOn w:val="a2"/>
    <w:link w:val="aff4"/>
    <w:uiPriority w:val="99"/>
    <w:qFormat/>
    <w:locked/>
    <w:rPr>
      <w:rFonts w:ascii="Times New Roman" w:hAnsi="Times New Roman" w:cs="Times New Roman"/>
      <w:kern w:val="2"/>
      <w:sz w:val="18"/>
      <w:szCs w:val="18"/>
    </w:rPr>
  </w:style>
  <w:style w:type="character" w:customStyle="1" w:styleId="md1">
    <w:name w:val="md1"/>
    <w:basedOn w:val="a2"/>
    <w:uiPriority w:val="99"/>
    <w:qFormat/>
    <w:rPr>
      <w:spacing w:val="360"/>
      <w:sz w:val="25"/>
      <w:szCs w:val="25"/>
    </w:rPr>
  </w:style>
  <w:style w:type="character" w:customStyle="1" w:styleId="afe">
    <w:name w:val="页脚 字符"/>
    <w:basedOn w:val="a2"/>
    <w:link w:val="afd"/>
    <w:uiPriority w:val="99"/>
    <w:qFormat/>
    <w:locked/>
    <w:rPr>
      <w:sz w:val="18"/>
      <w:szCs w:val="18"/>
    </w:rPr>
  </w:style>
  <w:style w:type="character" w:customStyle="1" w:styleId="af">
    <w:name w:val="文档结构图 字符"/>
    <w:basedOn w:val="a2"/>
    <w:link w:val="ae"/>
    <w:uiPriority w:val="99"/>
    <w:qFormat/>
    <w:locked/>
    <w:rPr>
      <w:rFonts w:ascii="Times New Roman" w:hAnsi="Times New Roman" w:cs="Times New Roman"/>
      <w:kern w:val="2"/>
      <w:sz w:val="24"/>
      <w:szCs w:val="24"/>
      <w:shd w:val="clear" w:color="auto" w:fill="000080"/>
    </w:rPr>
  </w:style>
  <w:style w:type="character" w:customStyle="1" w:styleId="f221">
    <w:name w:val="f221"/>
    <w:basedOn w:val="a2"/>
    <w:uiPriority w:val="99"/>
    <w:qFormat/>
    <w:rPr>
      <w:rFonts w:ascii="??" w:hAnsi="??" w:cs="??"/>
      <w:b/>
      <w:bCs/>
      <w:color w:val="auto"/>
      <w:sz w:val="33"/>
      <w:szCs w:val="33"/>
    </w:rPr>
  </w:style>
  <w:style w:type="character" w:customStyle="1" w:styleId="z-TopofFormChar">
    <w:name w:val="z-Top of Form Char"/>
    <w:basedOn w:val="a2"/>
    <w:link w:val="z-1"/>
    <w:uiPriority w:val="99"/>
    <w:qFormat/>
    <w:locked/>
    <w:rPr>
      <w:rFonts w:ascii="Arial" w:hAnsi="Arial" w:cs="Arial"/>
      <w:vanish/>
      <w:sz w:val="16"/>
      <w:szCs w:val="16"/>
    </w:rPr>
  </w:style>
  <w:style w:type="paragraph" w:customStyle="1" w:styleId="z-1">
    <w:name w:val="z-窗体顶端1"/>
    <w:basedOn w:val="a1"/>
    <w:next w:val="a1"/>
    <w:link w:val="z-TopofFormChar"/>
    <w:uiPriority w:val="99"/>
    <w:qFormat/>
    <w:pPr>
      <w:widowControl/>
      <w:pBdr>
        <w:bottom w:val="single" w:sz="6" w:space="1" w:color="auto"/>
      </w:pBdr>
      <w:jc w:val="center"/>
    </w:pPr>
    <w:rPr>
      <w:rFonts w:ascii="Arial" w:hAnsi="Arial" w:cs="Arial"/>
      <w:vanish/>
      <w:kern w:val="0"/>
      <w:sz w:val="16"/>
      <w:szCs w:val="16"/>
    </w:rPr>
  </w:style>
  <w:style w:type="character" w:customStyle="1" w:styleId="afff5">
    <w:name w:val="a"/>
    <w:basedOn w:val="a2"/>
    <w:uiPriority w:val="99"/>
    <w:qFormat/>
  </w:style>
  <w:style w:type="character" w:customStyle="1" w:styleId="30">
    <w:name w:val="标题 3 字符"/>
    <w:basedOn w:val="a2"/>
    <w:link w:val="3"/>
    <w:uiPriority w:val="99"/>
    <w:qFormat/>
    <w:locked/>
    <w:rPr>
      <w:rFonts w:ascii="Times New Roman" w:hAnsi="Times New Roman"/>
      <w:b/>
      <w:bCs/>
      <w:kern w:val="2"/>
      <w:sz w:val="32"/>
      <w:szCs w:val="32"/>
    </w:rPr>
  </w:style>
  <w:style w:type="character" w:customStyle="1" w:styleId="40">
    <w:name w:val="标题 4 字符"/>
    <w:basedOn w:val="a2"/>
    <w:link w:val="4"/>
    <w:uiPriority w:val="99"/>
    <w:qFormat/>
    <w:locked/>
    <w:rPr>
      <w:rFonts w:ascii="Arial" w:eastAsia="黑体" w:hAnsi="Arial" w:cs="Arial"/>
      <w:b/>
      <w:bCs/>
      <w:sz w:val="28"/>
      <w:szCs w:val="28"/>
    </w:rPr>
  </w:style>
  <w:style w:type="character" w:customStyle="1" w:styleId="50">
    <w:name w:val="标题 5 字符"/>
    <w:basedOn w:val="a2"/>
    <w:link w:val="5"/>
    <w:uiPriority w:val="99"/>
    <w:qFormat/>
    <w:locked/>
    <w:rPr>
      <w:rFonts w:ascii="宋体" w:hAnsi="Times New Roman" w:cs="宋体"/>
      <w:b/>
      <w:bCs/>
      <w:sz w:val="28"/>
      <w:szCs w:val="28"/>
    </w:rPr>
  </w:style>
  <w:style w:type="character" w:customStyle="1" w:styleId="70">
    <w:name w:val="标题 7 字符"/>
    <w:basedOn w:val="a2"/>
    <w:link w:val="7"/>
    <w:uiPriority w:val="99"/>
    <w:qFormat/>
    <w:locked/>
    <w:rPr>
      <w:rFonts w:ascii="宋体" w:hAnsi="Times New Roman" w:cs="宋体"/>
      <w:b/>
      <w:bCs/>
      <w:sz w:val="24"/>
      <w:szCs w:val="24"/>
    </w:rPr>
  </w:style>
  <w:style w:type="character" w:customStyle="1" w:styleId="80">
    <w:name w:val="标题 8 字符"/>
    <w:basedOn w:val="a2"/>
    <w:link w:val="8"/>
    <w:uiPriority w:val="99"/>
    <w:qFormat/>
    <w:locked/>
    <w:rPr>
      <w:rFonts w:ascii="Arial" w:eastAsia="黑体" w:hAnsi="Arial" w:cs="Arial"/>
      <w:sz w:val="24"/>
      <w:szCs w:val="24"/>
    </w:rPr>
  </w:style>
  <w:style w:type="character" w:customStyle="1" w:styleId="90">
    <w:name w:val="标题 9 字符"/>
    <w:basedOn w:val="a2"/>
    <w:link w:val="9"/>
    <w:uiPriority w:val="99"/>
    <w:qFormat/>
    <w:locked/>
    <w:rPr>
      <w:rFonts w:ascii="Arial" w:eastAsia="黑体" w:hAnsi="Arial" w:cs="Arial"/>
      <w:sz w:val="21"/>
      <w:szCs w:val="21"/>
    </w:rPr>
  </w:style>
  <w:style w:type="character" w:customStyle="1" w:styleId="aff1">
    <w:name w:val="页眉 字符"/>
    <w:basedOn w:val="a2"/>
    <w:link w:val="aff0"/>
    <w:qFormat/>
    <w:locked/>
    <w:rPr>
      <w:sz w:val="18"/>
      <w:szCs w:val="18"/>
    </w:rPr>
  </w:style>
  <w:style w:type="character" w:customStyle="1" w:styleId="af2">
    <w:name w:val="批注文字 字符"/>
    <w:basedOn w:val="a2"/>
    <w:link w:val="af1"/>
    <w:qFormat/>
    <w:locked/>
    <w:rPr>
      <w:rFonts w:ascii="Times New Roman" w:hAnsi="Times New Roman" w:cs="Times New Roman"/>
      <w:kern w:val="2"/>
      <w:sz w:val="24"/>
      <w:szCs w:val="24"/>
    </w:rPr>
  </w:style>
  <w:style w:type="character" w:customStyle="1" w:styleId="af8">
    <w:name w:val="日期 字符"/>
    <w:basedOn w:val="a2"/>
    <w:link w:val="af7"/>
    <w:uiPriority w:val="99"/>
    <w:qFormat/>
    <w:locked/>
    <w:rPr>
      <w:rFonts w:ascii="宋体" w:eastAsia="仿宋_GB2312" w:hAnsi="宋体" w:cs="宋体"/>
      <w:kern w:val="2"/>
      <w:sz w:val="24"/>
      <w:szCs w:val="24"/>
    </w:rPr>
  </w:style>
  <w:style w:type="character" w:customStyle="1" w:styleId="aff8">
    <w:name w:val="标题 字符"/>
    <w:basedOn w:val="a2"/>
    <w:link w:val="aff7"/>
    <w:uiPriority w:val="99"/>
    <w:qFormat/>
    <w:locked/>
    <w:rPr>
      <w:rFonts w:ascii="Arial" w:hAnsi="Arial" w:cs="Arial"/>
      <w:b/>
      <w:bCs/>
      <w:kern w:val="2"/>
      <w:sz w:val="32"/>
      <w:szCs w:val="32"/>
    </w:rPr>
  </w:style>
  <w:style w:type="character" w:customStyle="1" w:styleId="af4">
    <w:name w:val="正文文本缩进 字符"/>
    <w:basedOn w:val="a2"/>
    <w:link w:val="af3"/>
    <w:uiPriority w:val="99"/>
    <w:qFormat/>
    <w:locked/>
    <w:rPr>
      <w:rFonts w:ascii="宋体" w:hAnsi="Times New Roman" w:cs="宋体"/>
      <w:sz w:val="24"/>
      <w:szCs w:val="24"/>
    </w:rPr>
  </w:style>
  <w:style w:type="character" w:customStyle="1" w:styleId="27">
    <w:name w:val="正文文本 2 字符"/>
    <w:basedOn w:val="a2"/>
    <w:link w:val="26"/>
    <w:uiPriority w:val="99"/>
    <w:qFormat/>
    <w:locked/>
    <w:rPr>
      <w:rFonts w:ascii="Times New Roman" w:hAnsi="Times New Roman" w:cs="Times New Roman"/>
      <w:kern w:val="2"/>
      <w:sz w:val="28"/>
      <w:szCs w:val="28"/>
    </w:rPr>
  </w:style>
  <w:style w:type="character" w:customStyle="1" w:styleId="32">
    <w:name w:val="正文文本 3 字符"/>
    <w:basedOn w:val="a2"/>
    <w:link w:val="31"/>
    <w:uiPriority w:val="99"/>
    <w:qFormat/>
    <w:locked/>
    <w:rPr>
      <w:rFonts w:ascii="Times New Roman" w:hAnsi="Times New Roman" w:cs="Times New Roman"/>
      <w:sz w:val="24"/>
      <w:szCs w:val="24"/>
      <w:u w:val="single"/>
    </w:rPr>
  </w:style>
  <w:style w:type="character" w:customStyle="1" w:styleId="24">
    <w:name w:val="正文文本缩进 2 字符"/>
    <w:basedOn w:val="a2"/>
    <w:link w:val="23"/>
    <w:uiPriority w:val="99"/>
    <w:qFormat/>
    <w:locked/>
    <w:rPr>
      <w:rFonts w:ascii="Times New Roman" w:eastAsia="仿宋_GB2312" w:hAnsi="Times New Roman" w:cs="Times New Roman"/>
      <w:kern w:val="2"/>
      <w:sz w:val="24"/>
      <w:szCs w:val="24"/>
    </w:rPr>
  </w:style>
  <w:style w:type="character" w:customStyle="1" w:styleId="big1">
    <w:name w:val="big1"/>
    <w:basedOn w:val="a2"/>
    <w:uiPriority w:val="99"/>
    <w:qFormat/>
    <w:rPr>
      <w:spacing w:val="360"/>
      <w:sz w:val="22"/>
      <w:szCs w:val="22"/>
    </w:rPr>
  </w:style>
  <w:style w:type="character" w:customStyle="1" w:styleId="afc">
    <w:name w:val="批注框文本 字符"/>
    <w:basedOn w:val="a2"/>
    <w:link w:val="afb"/>
    <w:uiPriority w:val="99"/>
    <w:qFormat/>
    <w:locked/>
    <w:rPr>
      <w:rFonts w:ascii="Times New Roman" w:hAnsi="Times New Roman" w:cs="Times New Roman"/>
      <w:kern w:val="2"/>
      <w:sz w:val="18"/>
      <w:szCs w:val="18"/>
    </w:rPr>
  </w:style>
  <w:style w:type="character" w:customStyle="1" w:styleId="affa">
    <w:name w:val="批注主题 字符"/>
    <w:basedOn w:val="af2"/>
    <w:link w:val="aff9"/>
    <w:uiPriority w:val="99"/>
    <w:qFormat/>
    <w:locked/>
    <w:rPr>
      <w:rFonts w:ascii="Times New Roman" w:hAnsi="Times New Roman" w:cs="Times New Roman"/>
      <w:b/>
      <w:bCs/>
      <w:kern w:val="2"/>
      <w:sz w:val="24"/>
      <w:szCs w:val="24"/>
    </w:rPr>
  </w:style>
  <w:style w:type="character" w:customStyle="1" w:styleId="style21">
    <w:name w:val="style21"/>
    <w:basedOn w:val="a2"/>
    <w:uiPriority w:val="99"/>
    <w:qFormat/>
    <w:rPr>
      <w:color w:val="auto"/>
      <w:spacing w:val="31680"/>
      <w:sz w:val="18"/>
      <w:szCs w:val="18"/>
      <w:u w:val="none"/>
    </w:rPr>
  </w:style>
  <w:style w:type="character" w:customStyle="1" w:styleId="read">
    <w:name w:val="read"/>
    <w:basedOn w:val="a2"/>
    <w:qFormat/>
  </w:style>
  <w:style w:type="character" w:customStyle="1" w:styleId="affc">
    <w:name w:val="正文首行缩进 字符"/>
    <w:basedOn w:val="aa"/>
    <w:link w:val="affb"/>
    <w:uiPriority w:val="99"/>
    <w:semiHidden/>
    <w:qFormat/>
    <w:locked/>
    <w:rPr>
      <w:rFonts w:ascii="Times New Roman" w:hAnsi="Times New Roman" w:cs="Times New Roman"/>
      <w:kern w:val="2"/>
      <w:sz w:val="21"/>
      <w:szCs w:val="21"/>
    </w:rPr>
  </w:style>
  <w:style w:type="character" w:customStyle="1" w:styleId="Char1">
    <w:name w:val="批注主题 Char1"/>
    <w:basedOn w:val="Char10"/>
    <w:uiPriority w:val="99"/>
    <w:semiHidden/>
    <w:qFormat/>
    <w:rPr>
      <w:b/>
      <w:bCs/>
      <w:sz w:val="21"/>
      <w:szCs w:val="21"/>
    </w:rPr>
  </w:style>
  <w:style w:type="character" w:customStyle="1" w:styleId="Char10">
    <w:name w:val="批注文字 Char1"/>
    <w:basedOn w:val="a2"/>
    <w:uiPriority w:val="99"/>
    <w:semiHidden/>
    <w:qFormat/>
    <w:rPr>
      <w:sz w:val="21"/>
      <w:szCs w:val="21"/>
    </w:rPr>
  </w:style>
  <w:style w:type="character" w:customStyle="1" w:styleId="Char11">
    <w:name w:val="标题 Char1"/>
    <w:basedOn w:val="a2"/>
    <w:uiPriority w:val="99"/>
    <w:qFormat/>
    <w:rPr>
      <w:rFonts w:ascii="Cambria" w:hAnsi="Cambria" w:cs="Cambria"/>
      <w:b/>
      <w:bCs/>
      <w:kern w:val="2"/>
      <w:sz w:val="32"/>
      <w:szCs w:val="32"/>
    </w:rPr>
  </w:style>
  <w:style w:type="character" w:customStyle="1" w:styleId="Char12">
    <w:name w:val="日期 Char1"/>
    <w:basedOn w:val="a2"/>
    <w:uiPriority w:val="99"/>
    <w:semiHidden/>
    <w:qFormat/>
    <w:rPr>
      <w:sz w:val="21"/>
      <w:szCs w:val="21"/>
    </w:rPr>
  </w:style>
  <w:style w:type="character" w:customStyle="1" w:styleId="lan18">
    <w:name w:val="lan18"/>
    <w:basedOn w:val="a2"/>
    <w:uiPriority w:val="99"/>
    <w:qFormat/>
  </w:style>
  <w:style w:type="character" w:customStyle="1" w:styleId="Char13">
    <w:name w:val="正文文本 Char1"/>
    <w:basedOn w:val="a2"/>
    <w:uiPriority w:val="99"/>
    <w:semiHidden/>
    <w:qFormat/>
    <w:rPr>
      <w:kern w:val="2"/>
      <w:sz w:val="21"/>
      <w:szCs w:val="21"/>
    </w:rPr>
  </w:style>
  <w:style w:type="character" w:customStyle="1" w:styleId="AOHidden">
    <w:name w:val="AOHidden"/>
    <w:basedOn w:val="a2"/>
    <w:uiPriority w:val="99"/>
    <w:qFormat/>
    <w:rPr>
      <w:vanish/>
      <w:color w:val="auto"/>
    </w:rPr>
  </w:style>
  <w:style w:type="character" w:customStyle="1" w:styleId="afa">
    <w:name w:val="尾注文本 字符"/>
    <w:basedOn w:val="a2"/>
    <w:link w:val="af9"/>
    <w:uiPriority w:val="99"/>
    <w:semiHidden/>
    <w:qFormat/>
    <w:locked/>
    <w:rPr>
      <w:rFonts w:ascii="Times New Roman" w:hAnsi="Times New Roman" w:cs="Times New Roman"/>
      <w:sz w:val="22"/>
      <w:szCs w:val="22"/>
      <w:lang w:val="en-GB" w:eastAsia="en-US"/>
    </w:rPr>
  </w:style>
  <w:style w:type="character" w:customStyle="1" w:styleId="unnamed11">
    <w:name w:val="unnamed11"/>
    <w:basedOn w:val="a2"/>
    <w:uiPriority w:val="99"/>
    <w:qFormat/>
    <w:rPr>
      <w:rFonts w:ascii="宋体" w:eastAsia="宋体" w:hAnsi="宋体" w:cs="宋体"/>
      <w:sz w:val="18"/>
      <w:szCs w:val="18"/>
    </w:rPr>
  </w:style>
  <w:style w:type="character" w:customStyle="1" w:styleId="Char14">
    <w:name w:val="脚注文本 Char1"/>
    <w:basedOn w:val="a2"/>
    <w:uiPriority w:val="99"/>
    <w:semiHidden/>
    <w:qFormat/>
    <w:rPr>
      <w:sz w:val="18"/>
      <w:szCs w:val="18"/>
    </w:rPr>
  </w:style>
  <w:style w:type="character" w:customStyle="1" w:styleId="3Char1">
    <w:name w:val="正文文本 3 Char1"/>
    <w:basedOn w:val="a2"/>
    <w:uiPriority w:val="99"/>
    <w:semiHidden/>
    <w:qFormat/>
    <w:rPr>
      <w:sz w:val="16"/>
      <w:szCs w:val="16"/>
    </w:rPr>
  </w:style>
  <w:style w:type="character" w:customStyle="1" w:styleId="da">
    <w:name w:val="da"/>
    <w:basedOn w:val="a2"/>
    <w:autoRedefine/>
    <w:uiPriority w:val="99"/>
    <w:qFormat/>
  </w:style>
  <w:style w:type="character" w:customStyle="1" w:styleId="15">
    <w:name w:val="15"/>
    <w:basedOn w:val="a2"/>
    <w:autoRedefine/>
    <w:uiPriority w:val="99"/>
    <w:qFormat/>
  </w:style>
  <w:style w:type="character" w:customStyle="1" w:styleId="HTML0">
    <w:name w:val="HTML 预设格式 字符"/>
    <w:basedOn w:val="a2"/>
    <w:link w:val="HTML"/>
    <w:autoRedefine/>
    <w:uiPriority w:val="99"/>
    <w:qFormat/>
    <w:locked/>
    <w:rPr>
      <w:rFonts w:ascii="Arial Unicode MS" w:eastAsia="Arial Unicode MS" w:hAnsi="Arial Unicode MS" w:cs="Arial Unicode MS"/>
    </w:rPr>
  </w:style>
  <w:style w:type="character" w:customStyle="1" w:styleId="a7">
    <w:name w:val="电子邮件签名 字符"/>
    <w:basedOn w:val="a2"/>
    <w:link w:val="a6"/>
    <w:uiPriority w:val="99"/>
    <w:qFormat/>
    <w:locked/>
    <w:rPr>
      <w:rFonts w:ascii="Times New Roman" w:hAnsi="Times New Roman" w:cs="Times New Roman"/>
      <w:sz w:val="21"/>
      <w:szCs w:val="21"/>
    </w:rPr>
  </w:style>
  <w:style w:type="character" w:customStyle="1" w:styleId="2Char1">
    <w:name w:val="正文文本缩进 2 Char1"/>
    <w:basedOn w:val="a2"/>
    <w:autoRedefine/>
    <w:uiPriority w:val="99"/>
    <w:semiHidden/>
    <w:qFormat/>
    <w:rPr>
      <w:sz w:val="21"/>
      <w:szCs w:val="21"/>
    </w:rPr>
  </w:style>
  <w:style w:type="character" w:customStyle="1" w:styleId="z-BottomofFormChar">
    <w:name w:val="z-Bottom of Form Char"/>
    <w:basedOn w:val="a2"/>
    <w:link w:val="z-10"/>
    <w:autoRedefine/>
    <w:uiPriority w:val="99"/>
    <w:qFormat/>
    <w:locked/>
    <w:rPr>
      <w:rFonts w:ascii="Arial" w:hAnsi="Arial" w:cs="Arial"/>
      <w:vanish/>
      <w:sz w:val="16"/>
      <w:szCs w:val="16"/>
    </w:rPr>
  </w:style>
  <w:style w:type="paragraph" w:customStyle="1" w:styleId="z-10">
    <w:name w:val="z-窗体底端1"/>
    <w:basedOn w:val="a1"/>
    <w:next w:val="a1"/>
    <w:link w:val="z-BottomofFormChar"/>
    <w:autoRedefine/>
    <w:uiPriority w:val="99"/>
    <w:qFormat/>
    <w:pPr>
      <w:widowControl/>
      <w:pBdr>
        <w:top w:val="single" w:sz="6" w:space="1" w:color="auto"/>
      </w:pBdr>
      <w:jc w:val="center"/>
    </w:pPr>
    <w:rPr>
      <w:rFonts w:ascii="Arial" w:hAnsi="Arial" w:cs="Arial"/>
      <w:vanish/>
      <w:kern w:val="0"/>
      <w:sz w:val="16"/>
      <w:szCs w:val="16"/>
    </w:rPr>
  </w:style>
  <w:style w:type="character" w:customStyle="1" w:styleId="aff3">
    <w:name w:val="副标题 字符"/>
    <w:basedOn w:val="a2"/>
    <w:link w:val="aff2"/>
    <w:autoRedefine/>
    <w:uiPriority w:val="99"/>
    <w:qFormat/>
    <w:locked/>
    <w:rPr>
      <w:rFonts w:ascii="Cambria" w:hAnsi="Cambria" w:cs="Cambria"/>
      <w:b/>
      <w:bCs/>
      <w:kern w:val="28"/>
      <w:sz w:val="32"/>
      <w:szCs w:val="32"/>
    </w:rPr>
  </w:style>
  <w:style w:type="character" w:customStyle="1" w:styleId="hangju">
    <w:name w:val="hangju"/>
    <w:basedOn w:val="a2"/>
    <w:autoRedefine/>
    <w:uiPriority w:val="99"/>
    <w:qFormat/>
  </w:style>
  <w:style w:type="character" w:customStyle="1" w:styleId="14">
    <w:name w:val="明显强调1"/>
    <w:basedOn w:val="a2"/>
    <w:autoRedefine/>
    <w:uiPriority w:val="99"/>
    <w:qFormat/>
    <w:rPr>
      <w:b/>
      <w:bCs/>
      <w:i/>
      <w:iCs/>
      <w:color w:val="auto"/>
    </w:rPr>
  </w:style>
  <w:style w:type="character" w:customStyle="1" w:styleId="afff6">
    <w:name w:val="样式 宋体"/>
    <w:basedOn w:val="a2"/>
    <w:autoRedefine/>
    <w:uiPriority w:val="99"/>
    <w:qFormat/>
    <w:rPr>
      <w:rFonts w:ascii="Times New Roman" w:eastAsia="宋体" w:hAnsi="Times New Roman" w:cs="Times New Roman"/>
    </w:rPr>
  </w:style>
  <w:style w:type="character" w:customStyle="1" w:styleId="-Char">
    <w:name w:val="模板-正文 Char"/>
    <w:link w:val="-"/>
    <w:autoRedefine/>
    <w:qFormat/>
    <w:locked/>
    <w:rPr>
      <w:rFonts w:ascii="宋体" w:eastAsia="宋体" w:cs="宋体"/>
      <w:color w:val="222222"/>
      <w:sz w:val="21"/>
      <w:szCs w:val="21"/>
      <w:shd w:val="clear" w:color="auto" w:fill="FFFFFF"/>
    </w:rPr>
  </w:style>
  <w:style w:type="paragraph" w:customStyle="1" w:styleId="-">
    <w:name w:val="模板-正文"/>
    <w:basedOn w:val="aff6"/>
    <w:link w:val="-Char"/>
    <w:qFormat/>
    <w:pPr>
      <w:shd w:val="clear" w:color="auto" w:fill="FFFFFF"/>
      <w:snapToGrid w:val="0"/>
      <w:spacing w:before="0" w:beforeAutospacing="0" w:after="0" w:afterAutospacing="0" w:line="360" w:lineRule="auto"/>
      <w:ind w:firstLineChars="200" w:firstLine="200"/>
      <w:jc w:val="both"/>
    </w:pPr>
    <w:rPr>
      <w:rFonts w:ascii="宋体" w:eastAsia="宋体" w:hAnsi="Calibri" w:cs="宋体"/>
      <w:color w:val="222222"/>
      <w:sz w:val="21"/>
      <w:szCs w:val="21"/>
    </w:rPr>
  </w:style>
  <w:style w:type="paragraph" w:customStyle="1" w:styleId="AOAltHead1">
    <w:name w:val="AOAltHead1"/>
    <w:basedOn w:val="AOHead1"/>
    <w:next w:val="AODocTxtL1"/>
    <w:autoRedefine/>
    <w:uiPriority w:val="99"/>
    <w:qFormat/>
    <w:pPr>
      <w:keepNext w:val="0"/>
    </w:pPr>
    <w:rPr>
      <w:b w:val="0"/>
      <w:bCs w:val="0"/>
      <w:caps w:val="0"/>
    </w:rPr>
  </w:style>
  <w:style w:type="paragraph" w:customStyle="1" w:styleId="AOHead1">
    <w:name w:val="AOHead1"/>
    <w:basedOn w:val="AOHeadings"/>
    <w:next w:val="AODocTxtL1"/>
    <w:autoRedefine/>
    <w:uiPriority w:val="99"/>
    <w:qFormat/>
    <w:pPr>
      <w:keepNext/>
      <w:tabs>
        <w:tab w:val="left" w:pos="720"/>
      </w:tabs>
      <w:ind w:left="720" w:hanging="720"/>
      <w:outlineLvl w:val="0"/>
    </w:pPr>
    <w:rPr>
      <w:b/>
      <w:bCs/>
      <w:caps/>
      <w:kern w:val="28"/>
    </w:rPr>
  </w:style>
  <w:style w:type="paragraph" w:customStyle="1" w:styleId="AOHeadings">
    <w:name w:val="AOHeadings"/>
    <w:basedOn w:val="AOBodyTxt"/>
    <w:next w:val="AODocTxt"/>
    <w:uiPriority w:val="99"/>
    <w:qFormat/>
  </w:style>
  <w:style w:type="paragraph" w:customStyle="1" w:styleId="AOBodyTxt">
    <w:name w:val="AOBodyTxt"/>
    <w:basedOn w:val="AONormal"/>
    <w:next w:val="AODocTxt"/>
    <w:uiPriority w:val="99"/>
    <w:qFormat/>
    <w:pPr>
      <w:spacing w:before="240"/>
    </w:pPr>
  </w:style>
  <w:style w:type="paragraph" w:customStyle="1" w:styleId="AODocTxt">
    <w:name w:val="AODocTxt"/>
    <w:basedOn w:val="AOBodyTxt"/>
    <w:uiPriority w:val="99"/>
    <w:qFormat/>
    <w:pPr>
      <w:numPr>
        <w:numId w:val="3"/>
      </w:numPr>
    </w:pPr>
  </w:style>
  <w:style w:type="paragraph" w:customStyle="1" w:styleId="AODocTxtL1">
    <w:name w:val="AODocTxtL1"/>
    <w:basedOn w:val="AODocTxt"/>
    <w:uiPriority w:val="99"/>
    <w:qFormat/>
    <w:pPr>
      <w:numPr>
        <w:ilvl w:val="1"/>
      </w:numPr>
      <w:tabs>
        <w:tab w:val="left" w:pos="780"/>
      </w:tabs>
      <w:ind w:left="0" w:firstLine="420"/>
    </w:pPr>
  </w:style>
  <w:style w:type="paragraph" w:customStyle="1" w:styleId="Char0">
    <w:name w:val="Char"/>
    <w:basedOn w:val="a1"/>
    <w:uiPriority w:val="99"/>
    <w:qFormat/>
    <w:pPr>
      <w:tabs>
        <w:tab w:val="left" w:pos="360"/>
      </w:tabs>
      <w:spacing w:line="560" w:lineRule="exact"/>
    </w:pPr>
    <w:rPr>
      <w:rFonts w:ascii="方正黑体简体" w:eastAsia="方正黑体简体" w:hAnsi="Times New Roman" w:cs="方正黑体简体"/>
      <w:sz w:val="30"/>
      <w:szCs w:val="30"/>
    </w:rPr>
  </w:style>
  <w:style w:type="paragraph" w:customStyle="1" w:styleId="AOAppPartTitle">
    <w:name w:val="AOAppPartTitle"/>
    <w:basedOn w:val="AOAppTitle"/>
    <w:next w:val="AODocTxt"/>
    <w:uiPriority w:val="99"/>
    <w:qFormat/>
  </w:style>
  <w:style w:type="paragraph" w:customStyle="1" w:styleId="AOAppTitle">
    <w:name w:val="AOAppTitle"/>
    <w:basedOn w:val="AOAttachments"/>
    <w:next w:val="AODocTxt"/>
    <w:autoRedefine/>
    <w:uiPriority w:val="99"/>
    <w:qFormat/>
    <w:pPr>
      <w:outlineLvl w:val="1"/>
    </w:pPr>
    <w:rPr>
      <w:b/>
      <w:bCs/>
    </w:rPr>
  </w:style>
  <w:style w:type="paragraph" w:customStyle="1" w:styleId="AOAttachments">
    <w:name w:val="AOAttachments"/>
    <w:basedOn w:val="AOBodyTxt"/>
    <w:next w:val="AODocTxt"/>
    <w:autoRedefine/>
    <w:uiPriority w:val="99"/>
    <w:qFormat/>
    <w:pPr>
      <w:jc w:val="center"/>
    </w:pPr>
    <w:rPr>
      <w:caps/>
    </w:rPr>
  </w:style>
  <w:style w:type="paragraph" w:customStyle="1" w:styleId="20">
    <w:name w:val="列表2"/>
    <w:basedOn w:val="a1"/>
    <w:next w:val="aff7"/>
    <w:autoRedefine/>
    <w:uiPriority w:val="99"/>
    <w:qFormat/>
    <w:pPr>
      <w:numPr>
        <w:numId w:val="4"/>
      </w:numPr>
      <w:spacing w:line="360" w:lineRule="auto"/>
    </w:pPr>
    <w:rPr>
      <w:rFonts w:ascii="Times New Roman" w:hAnsi="Times New Roman" w:cs="Times New Roman"/>
    </w:rPr>
  </w:style>
  <w:style w:type="paragraph" w:customStyle="1" w:styleId="ParaChar">
    <w:name w:val="默认段落字体 Para Char"/>
    <w:basedOn w:val="a1"/>
    <w:uiPriority w:val="99"/>
    <w:qFormat/>
    <w:pPr>
      <w:numPr>
        <w:numId w:val="5"/>
      </w:numPr>
    </w:pPr>
    <w:rPr>
      <w:rFonts w:ascii="Times New Roman" w:hAnsi="Times New Roman" w:cs="Times New Roman"/>
      <w:sz w:val="24"/>
      <w:szCs w:val="24"/>
    </w:rPr>
  </w:style>
  <w:style w:type="paragraph" w:customStyle="1" w:styleId="AODocTxtL2">
    <w:name w:val="AODocTxtL2"/>
    <w:basedOn w:val="AODocTxt"/>
    <w:autoRedefine/>
    <w:uiPriority w:val="99"/>
    <w:qFormat/>
    <w:pPr>
      <w:numPr>
        <w:ilvl w:val="2"/>
      </w:numPr>
      <w:tabs>
        <w:tab w:val="left" w:pos="2160"/>
      </w:tabs>
      <w:ind w:left="2160" w:hanging="360"/>
    </w:pPr>
  </w:style>
  <w:style w:type="paragraph" w:customStyle="1" w:styleId="CharChar4">
    <w:name w:val="Char Char4"/>
    <w:basedOn w:val="a1"/>
    <w:autoRedefine/>
    <w:uiPriority w:val="99"/>
    <w:qFormat/>
    <w:rPr>
      <w:rFonts w:ascii="Times New Roman" w:hAnsi="Times New Roman" w:cs="Times New Roman"/>
    </w:rPr>
  </w:style>
  <w:style w:type="paragraph" w:customStyle="1" w:styleId="16">
    <w:name w:val="无间隔1"/>
    <w:uiPriority w:val="99"/>
    <w:qFormat/>
    <w:pPr>
      <w:widowControl w:val="0"/>
      <w:jc w:val="both"/>
    </w:pPr>
    <w:rPr>
      <w:rFonts w:ascii="Times New Roman" w:hAnsi="Times New Roman"/>
      <w:kern w:val="2"/>
      <w:sz w:val="21"/>
      <w:szCs w:val="21"/>
    </w:rPr>
  </w:style>
  <w:style w:type="paragraph" w:customStyle="1" w:styleId="Char21">
    <w:name w:val="Char21"/>
    <w:basedOn w:val="a1"/>
    <w:uiPriority w:val="99"/>
    <w:qFormat/>
    <w:rPr>
      <w:rFonts w:ascii="Times New Roman" w:hAnsi="Times New Roman" w:cs="Times New Roman"/>
    </w:rPr>
  </w:style>
  <w:style w:type="paragraph" w:customStyle="1" w:styleId="AOAnxHead">
    <w:name w:val="AOAnxHead"/>
    <w:basedOn w:val="AOAttachments"/>
    <w:next w:val="AOAnxTitle"/>
    <w:autoRedefine/>
    <w:uiPriority w:val="99"/>
    <w:qFormat/>
    <w:pPr>
      <w:pageBreakBefore/>
      <w:numPr>
        <w:numId w:val="6"/>
      </w:numPr>
      <w:outlineLvl w:val="0"/>
    </w:pPr>
  </w:style>
  <w:style w:type="paragraph" w:customStyle="1" w:styleId="AOAnxTitle">
    <w:name w:val="AOAnxTitle"/>
    <w:basedOn w:val="AOAttachments"/>
    <w:next w:val="AODocTxt"/>
    <w:autoRedefine/>
    <w:uiPriority w:val="99"/>
    <w:qFormat/>
    <w:pPr>
      <w:outlineLvl w:val="1"/>
    </w:pPr>
    <w:rPr>
      <w:b/>
      <w:bCs/>
    </w:rPr>
  </w:style>
  <w:style w:type="paragraph" w:customStyle="1" w:styleId="17">
    <w:name w:val="1"/>
    <w:basedOn w:val="a1"/>
    <w:uiPriority w:val="99"/>
    <w:qFormat/>
    <w:pPr>
      <w:tabs>
        <w:tab w:val="left" w:pos="870"/>
      </w:tabs>
      <w:spacing w:before="100" w:beforeAutospacing="1" w:after="100" w:afterAutospacing="1" w:line="360" w:lineRule="auto"/>
      <w:ind w:leftChars="200" w:left="200"/>
    </w:pPr>
    <w:rPr>
      <w:rFonts w:ascii="Times New Roman" w:hAnsi="Times New Roman" w:cs="Times New Roman"/>
    </w:rPr>
  </w:style>
  <w:style w:type="paragraph" w:customStyle="1" w:styleId="AOAppPartHead">
    <w:name w:val="AOAppPartHead"/>
    <w:basedOn w:val="AOAppHead"/>
    <w:next w:val="AOAppPartTitle"/>
    <w:uiPriority w:val="99"/>
    <w:qFormat/>
    <w:pPr>
      <w:pageBreakBefore w:val="0"/>
      <w:numPr>
        <w:ilvl w:val="1"/>
      </w:numPr>
      <w:tabs>
        <w:tab w:val="left" w:pos="840"/>
      </w:tabs>
      <w:ind w:left="840" w:hanging="420"/>
    </w:pPr>
  </w:style>
  <w:style w:type="paragraph" w:customStyle="1" w:styleId="AOAppHead">
    <w:name w:val="AOAppHead"/>
    <w:basedOn w:val="AOAttachments"/>
    <w:next w:val="AOAppTitle"/>
    <w:uiPriority w:val="99"/>
    <w:qFormat/>
    <w:pPr>
      <w:pageBreakBefore/>
      <w:numPr>
        <w:numId w:val="7"/>
      </w:numPr>
      <w:outlineLvl w:val="0"/>
    </w:pPr>
  </w:style>
  <w:style w:type="paragraph" w:customStyle="1" w:styleId="AOAnxPartHead">
    <w:name w:val="AOAnxPartHead"/>
    <w:basedOn w:val="AOAnxHead"/>
    <w:next w:val="AOAnxPartTitle"/>
    <w:uiPriority w:val="99"/>
    <w:qFormat/>
    <w:pPr>
      <w:pageBreakBefore w:val="0"/>
      <w:numPr>
        <w:ilvl w:val="1"/>
      </w:numPr>
      <w:tabs>
        <w:tab w:val="left" w:pos="1440"/>
      </w:tabs>
      <w:ind w:left="1440" w:hanging="360"/>
    </w:pPr>
  </w:style>
  <w:style w:type="paragraph" w:customStyle="1" w:styleId="AOAnxPartTitle">
    <w:name w:val="AOAnxPartTitle"/>
    <w:basedOn w:val="AOAnxTitle"/>
    <w:next w:val="AODocTxt"/>
    <w:autoRedefine/>
    <w:uiPriority w:val="99"/>
    <w:qFormat/>
  </w:style>
  <w:style w:type="paragraph" w:customStyle="1" w:styleId="afff7">
    <w:name w:val="正文正文"/>
    <w:basedOn w:val="a1"/>
    <w:uiPriority w:val="99"/>
    <w:qFormat/>
    <w:pPr>
      <w:spacing w:afterLines="25" w:line="360" w:lineRule="auto"/>
      <w:ind w:firstLineChars="200" w:firstLine="200"/>
    </w:pPr>
    <w:rPr>
      <w:rFonts w:ascii="Times New Roman" w:hAnsi="Times New Roman" w:cs="Times New Roman"/>
      <w:sz w:val="24"/>
      <w:szCs w:val="24"/>
    </w:rPr>
  </w:style>
  <w:style w:type="paragraph" w:customStyle="1" w:styleId="AOSchHead">
    <w:name w:val="AOSchHead"/>
    <w:basedOn w:val="AOAttachments"/>
    <w:next w:val="AOSchTitle"/>
    <w:autoRedefine/>
    <w:uiPriority w:val="99"/>
    <w:qFormat/>
    <w:pPr>
      <w:pageBreakBefore/>
      <w:numPr>
        <w:numId w:val="8"/>
      </w:numPr>
      <w:outlineLvl w:val="0"/>
    </w:pPr>
  </w:style>
  <w:style w:type="paragraph" w:customStyle="1" w:styleId="AOSchTitle">
    <w:name w:val="AOSchTitle"/>
    <w:basedOn w:val="AOAttachments"/>
    <w:next w:val="AODocTxt"/>
    <w:autoRedefine/>
    <w:uiPriority w:val="99"/>
    <w:qFormat/>
    <w:pPr>
      <w:outlineLvl w:val="1"/>
    </w:pPr>
    <w:rPr>
      <w:b/>
      <w:bCs/>
    </w:rPr>
  </w:style>
  <w:style w:type="paragraph" w:customStyle="1" w:styleId="afff8">
    <w:name w:val="第三级标题"/>
    <w:basedOn w:val="afff7"/>
    <w:next w:val="afff7"/>
    <w:uiPriority w:val="99"/>
    <w:qFormat/>
    <w:pPr>
      <w:keepNext/>
      <w:outlineLvl w:val="2"/>
    </w:pPr>
    <w:rPr>
      <w:b/>
      <w:bCs/>
    </w:rPr>
  </w:style>
  <w:style w:type="paragraph" w:customStyle="1" w:styleId="AOTOC1">
    <w:name w:val="AOTOC1"/>
    <w:basedOn w:val="AOTOCs"/>
    <w:autoRedefine/>
    <w:uiPriority w:val="99"/>
    <w:qFormat/>
    <w:pPr>
      <w:tabs>
        <w:tab w:val="left" w:pos="720"/>
        <w:tab w:val="right" w:leader="dot" w:pos="9027"/>
      </w:tabs>
    </w:pPr>
    <w:rPr>
      <w:b/>
      <w:bCs/>
      <w:caps/>
    </w:rPr>
  </w:style>
  <w:style w:type="paragraph" w:customStyle="1" w:styleId="AOTOCs">
    <w:name w:val="AOTOCs"/>
    <w:basedOn w:val="AONormal"/>
    <w:next w:val="11"/>
    <w:autoRedefine/>
    <w:uiPriority w:val="99"/>
    <w:qFormat/>
    <w:pPr>
      <w:jc w:val="both"/>
    </w:pPr>
  </w:style>
  <w:style w:type="paragraph" w:customStyle="1" w:styleId="AOBPTxtR">
    <w:name w:val="AOBPTxtR"/>
    <w:basedOn w:val="AOBPTxtL"/>
    <w:autoRedefine/>
    <w:uiPriority w:val="99"/>
    <w:qFormat/>
    <w:pPr>
      <w:jc w:val="right"/>
    </w:pPr>
  </w:style>
  <w:style w:type="paragraph" w:customStyle="1" w:styleId="AOBPTxtL">
    <w:name w:val="AOBPTxtL"/>
    <w:basedOn w:val="AOFPBP"/>
    <w:autoRedefine/>
    <w:uiPriority w:val="99"/>
    <w:qFormat/>
  </w:style>
  <w:style w:type="paragraph" w:customStyle="1" w:styleId="AOFPBP">
    <w:name w:val="AOFPBP"/>
    <w:basedOn w:val="AONormal"/>
    <w:next w:val="AOFPTxt"/>
    <w:autoRedefine/>
    <w:uiPriority w:val="99"/>
    <w:qFormat/>
  </w:style>
  <w:style w:type="paragraph" w:customStyle="1" w:styleId="AOFPTxt">
    <w:name w:val="AOFPTxt"/>
    <w:basedOn w:val="AOFPBP"/>
    <w:autoRedefine/>
    <w:uiPriority w:val="99"/>
    <w:qFormat/>
    <w:rPr>
      <w:b/>
      <w:bCs/>
    </w:rPr>
  </w:style>
  <w:style w:type="paragraph" w:customStyle="1" w:styleId="AOBPTxtC">
    <w:name w:val="AOBPTxtC"/>
    <w:basedOn w:val="AOBPTxtL"/>
    <w:autoRedefine/>
    <w:uiPriority w:val="99"/>
    <w:qFormat/>
    <w:pPr>
      <w:jc w:val="center"/>
    </w:pPr>
  </w:style>
  <w:style w:type="paragraph" w:customStyle="1" w:styleId="AOBPTitle">
    <w:name w:val="AOBPTitle"/>
    <w:basedOn w:val="AOBPTxtL"/>
    <w:autoRedefine/>
    <w:uiPriority w:val="99"/>
    <w:qFormat/>
    <w:rPr>
      <w:b/>
      <w:bCs/>
      <w:caps/>
    </w:rPr>
  </w:style>
  <w:style w:type="paragraph" w:customStyle="1" w:styleId="font523908">
    <w:name w:val="font523908"/>
    <w:basedOn w:val="a1"/>
    <w:uiPriority w:val="99"/>
    <w:qFormat/>
    <w:pPr>
      <w:widowControl/>
      <w:spacing w:before="100" w:after="100"/>
      <w:jc w:val="left"/>
    </w:pPr>
    <w:rPr>
      <w:rFonts w:ascii="宋体" w:hAnsi="宋体" w:cs="宋体"/>
      <w:kern w:val="0"/>
      <w:sz w:val="18"/>
      <w:szCs w:val="18"/>
    </w:rPr>
  </w:style>
  <w:style w:type="paragraph" w:customStyle="1" w:styleId="AODefPara">
    <w:name w:val="AODefPara"/>
    <w:basedOn w:val="AODefHead"/>
    <w:uiPriority w:val="99"/>
    <w:qFormat/>
    <w:pPr>
      <w:numPr>
        <w:ilvl w:val="1"/>
      </w:numPr>
      <w:tabs>
        <w:tab w:val="left" w:pos="870"/>
        <w:tab w:val="left" w:pos="992"/>
      </w:tabs>
      <w:ind w:left="992" w:hanging="992"/>
      <w:outlineLvl w:val="6"/>
    </w:pPr>
  </w:style>
  <w:style w:type="paragraph" w:customStyle="1" w:styleId="AODefHead">
    <w:name w:val="AODefHead"/>
    <w:basedOn w:val="AOBodyTxt"/>
    <w:next w:val="AODefPara"/>
    <w:autoRedefine/>
    <w:uiPriority w:val="99"/>
    <w:qFormat/>
    <w:pPr>
      <w:numPr>
        <w:numId w:val="9"/>
      </w:numPr>
      <w:outlineLvl w:val="5"/>
    </w:pPr>
  </w:style>
  <w:style w:type="paragraph" w:customStyle="1" w:styleId="unnamed1">
    <w:name w:val="unnamed1"/>
    <w:basedOn w:val="a1"/>
    <w:autoRedefine/>
    <w:uiPriority w:val="99"/>
    <w:qFormat/>
    <w:pPr>
      <w:widowControl/>
      <w:spacing w:before="60" w:after="60"/>
      <w:ind w:left="15" w:right="15"/>
      <w:jc w:val="left"/>
    </w:pPr>
    <w:rPr>
      <w:rFonts w:ascii="宋体" w:hAnsi="宋体" w:cs="宋体"/>
      <w:color w:val="000000"/>
      <w:kern w:val="0"/>
      <w:sz w:val="18"/>
      <w:szCs w:val="18"/>
    </w:rPr>
  </w:style>
  <w:style w:type="paragraph" w:customStyle="1" w:styleId="font623908">
    <w:name w:val="font623908"/>
    <w:basedOn w:val="a1"/>
    <w:autoRedefine/>
    <w:uiPriority w:val="99"/>
    <w:qFormat/>
    <w:pPr>
      <w:widowControl/>
      <w:spacing w:before="100" w:after="100"/>
      <w:jc w:val="left"/>
    </w:pPr>
    <w:rPr>
      <w:rFonts w:ascii="楷体_GB2312" w:eastAsia="楷体_GB2312" w:hAnsi="宋体" w:cs="楷体_GB2312"/>
      <w:color w:val="FF0000"/>
      <w:kern w:val="0"/>
      <w:sz w:val="24"/>
      <w:szCs w:val="24"/>
    </w:rPr>
  </w:style>
  <w:style w:type="paragraph" w:customStyle="1" w:styleId="2211">
    <w:name w:val="样式 标题 2 + 首行缩进:  2 字符 段前: 1 行 段后: 1 行"/>
    <w:basedOn w:val="21"/>
    <w:uiPriority w:val="99"/>
    <w:qFormat/>
    <w:pPr>
      <w:tabs>
        <w:tab w:val="left" w:pos="1276"/>
      </w:tabs>
      <w:spacing w:before="100" w:after="100" w:line="240" w:lineRule="auto"/>
      <w:ind w:left="851"/>
    </w:pPr>
    <w:rPr>
      <w:rFonts w:eastAsia="宋体"/>
      <w:sz w:val="28"/>
      <w:szCs w:val="28"/>
    </w:rPr>
  </w:style>
  <w:style w:type="paragraph" w:customStyle="1" w:styleId="18">
    <w:name w:val="列表1"/>
    <w:basedOn w:val="a1"/>
    <w:next w:val="a1"/>
    <w:uiPriority w:val="99"/>
    <w:qFormat/>
    <w:pPr>
      <w:tabs>
        <w:tab w:val="left" w:pos="644"/>
      </w:tabs>
      <w:spacing w:line="360" w:lineRule="auto"/>
      <w:ind w:left="567" w:hanging="283"/>
    </w:pPr>
    <w:rPr>
      <w:rFonts w:ascii="Times New Roman" w:hAnsi="Times New Roman" w:cs="Times New Roman"/>
    </w:rPr>
  </w:style>
  <w:style w:type="paragraph" w:customStyle="1" w:styleId="xl2723908">
    <w:name w:val="xl2723908"/>
    <w:basedOn w:val="a1"/>
    <w:autoRedefine/>
    <w:uiPriority w:val="99"/>
    <w:qFormat/>
    <w:pPr>
      <w:widowControl/>
      <w:spacing w:before="100" w:after="100"/>
      <w:jc w:val="left"/>
    </w:pPr>
    <w:rPr>
      <w:rFonts w:ascii="楷体_GB2312" w:eastAsia="楷体_GB2312" w:hAnsi="宋体" w:cs="楷体_GB2312"/>
      <w:kern w:val="0"/>
      <w:sz w:val="24"/>
      <w:szCs w:val="24"/>
    </w:rPr>
  </w:style>
  <w:style w:type="paragraph" w:customStyle="1" w:styleId="xl2423908">
    <w:name w:val="xl2423908"/>
    <w:basedOn w:val="a1"/>
    <w:autoRedefine/>
    <w:uiPriority w:val="99"/>
    <w:qFormat/>
    <w:pPr>
      <w:widowControl/>
      <w:spacing w:before="100" w:after="100"/>
      <w:jc w:val="left"/>
    </w:pPr>
    <w:rPr>
      <w:rFonts w:ascii="宋体" w:hAnsi="宋体" w:cs="宋体"/>
      <w:kern w:val="0"/>
      <w:sz w:val="24"/>
      <w:szCs w:val="24"/>
    </w:rPr>
  </w:style>
  <w:style w:type="paragraph" w:customStyle="1" w:styleId="xl2223908">
    <w:name w:val="xl2223908"/>
    <w:basedOn w:val="a1"/>
    <w:autoRedefine/>
    <w:uiPriority w:val="99"/>
    <w:qFormat/>
    <w:pPr>
      <w:widowControl/>
      <w:spacing w:before="100" w:after="100"/>
      <w:jc w:val="center"/>
    </w:pPr>
    <w:rPr>
      <w:rFonts w:ascii="宋体" w:hAnsi="宋体" w:cs="宋体"/>
      <w:kern w:val="0"/>
      <w:sz w:val="24"/>
      <w:szCs w:val="24"/>
    </w:rPr>
  </w:style>
  <w:style w:type="paragraph" w:customStyle="1" w:styleId="xl2823908">
    <w:name w:val="xl2823908"/>
    <w:basedOn w:val="a1"/>
    <w:uiPriority w:val="99"/>
    <w:qFormat/>
    <w:pPr>
      <w:widowControl/>
      <w:pBdr>
        <w:top w:val="single" w:sz="4" w:space="1" w:color="auto"/>
        <w:left w:val="single" w:sz="4" w:space="1" w:color="auto"/>
        <w:bottom w:val="single" w:sz="4" w:space="0" w:color="auto"/>
        <w:right w:val="single" w:sz="4" w:space="1" w:color="auto"/>
      </w:pBdr>
      <w:spacing w:before="100" w:after="100"/>
      <w:jc w:val="center"/>
    </w:pPr>
    <w:rPr>
      <w:rFonts w:ascii="楷体_GB2312" w:eastAsia="楷体_GB2312" w:hAnsi="宋体" w:cs="楷体_GB2312"/>
      <w:kern w:val="0"/>
      <w:sz w:val="24"/>
      <w:szCs w:val="24"/>
    </w:rPr>
  </w:style>
  <w:style w:type="paragraph" w:customStyle="1" w:styleId="AOBullet">
    <w:name w:val="AOBullet"/>
    <w:basedOn w:val="AOBodyTxt"/>
    <w:autoRedefine/>
    <w:uiPriority w:val="99"/>
    <w:qFormat/>
    <w:pPr>
      <w:numPr>
        <w:numId w:val="10"/>
      </w:numPr>
      <w:tabs>
        <w:tab w:val="clear" w:pos="720"/>
      </w:tabs>
    </w:pPr>
  </w:style>
  <w:style w:type="paragraph" w:customStyle="1" w:styleId="36">
    <w:name w:val="列表3"/>
    <w:basedOn w:val="a1"/>
    <w:autoRedefine/>
    <w:uiPriority w:val="99"/>
    <w:qFormat/>
    <w:pPr>
      <w:spacing w:line="360" w:lineRule="auto"/>
    </w:pPr>
    <w:rPr>
      <w:rFonts w:ascii="宋体" w:hAnsi="Times New Roman" w:cs="宋体"/>
    </w:rPr>
  </w:style>
  <w:style w:type="paragraph" w:customStyle="1" w:styleId="AOSchPartTitle">
    <w:name w:val="AOSchPartTitle"/>
    <w:basedOn w:val="AOSchTitle"/>
    <w:next w:val="AODocTxt"/>
    <w:uiPriority w:val="99"/>
    <w:qFormat/>
  </w:style>
  <w:style w:type="paragraph" w:customStyle="1" w:styleId="150">
    <w:name w:val="样式 宋体 四号 行距: 1.5 倍行距"/>
    <w:basedOn w:val="a1"/>
    <w:uiPriority w:val="99"/>
    <w:qFormat/>
    <w:pPr>
      <w:spacing w:line="360" w:lineRule="auto"/>
    </w:pPr>
    <w:rPr>
      <w:rFonts w:ascii="宋体" w:hAnsi="宋体" w:cs="宋体"/>
      <w:sz w:val="24"/>
      <w:szCs w:val="24"/>
    </w:rPr>
  </w:style>
  <w:style w:type="paragraph" w:customStyle="1" w:styleId="Default">
    <w:name w:val="Default"/>
    <w:autoRedefine/>
    <w:uiPriority w:val="99"/>
    <w:qFormat/>
    <w:pPr>
      <w:widowControl w:val="0"/>
      <w:autoSpaceDE w:val="0"/>
      <w:autoSpaceDN w:val="0"/>
      <w:adjustRightInd w:val="0"/>
    </w:pPr>
    <w:rPr>
      <w:rFonts w:ascii="宋体" w:hAnsi="Times New Roman" w:cs="宋体"/>
      <w:color w:val="000000"/>
      <w:sz w:val="24"/>
      <w:szCs w:val="24"/>
    </w:rPr>
  </w:style>
  <w:style w:type="paragraph" w:customStyle="1" w:styleId="AODocTxtL6">
    <w:name w:val="AODocTxtL6"/>
    <w:basedOn w:val="AODocTxt"/>
    <w:autoRedefine/>
    <w:uiPriority w:val="99"/>
    <w:qFormat/>
    <w:pPr>
      <w:numPr>
        <w:ilvl w:val="6"/>
      </w:numPr>
      <w:tabs>
        <w:tab w:val="left" w:pos="5040"/>
      </w:tabs>
      <w:ind w:left="5040" w:hanging="360"/>
    </w:pPr>
  </w:style>
  <w:style w:type="paragraph" w:customStyle="1" w:styleId="CharCharCharChar">
    <w:name w:val="Char Char Char Char"/>
    <w:basedOn w:val="a1"/>
    <w:autoRedefine/>
    <w:uiPriority w:val="99"/>
    <w:qFormat/>
    <w:pPr>
      <w:tabs>
        <w:tab w:val="left" w:pos="360"/>
      </w:tabs>
    </w:pPr>
    <w:rPr>
      <w:rFonts w:ascii="Times New Roman" w:hAnsi="Times New Roman" w:cs="Times New Roman"/>
      <w:sz w:val="24"/>
      <w:szCs w:val="24"/>
    </w:rPr>
  </w:style>
  <w:style w:type="paragraph" w:customStyle="1" w:styleId="AO1">
    <w:name w:val="AO(1)"/>
    <w:basedOn w:val="AOBodyTxt"/>
    <w:next w:val="AODocTxt"/>
    <w:uiPriority w:val="99"/>
    <w:qFormat/>
    <w:pPr>
      <w:numPr>
        <w:numId w:val="11"/>
      </w:numPr>
      <w:tabs>
        <w:tab w:val="clear" w:pos="720"/>
      </w:tabs>
    </w:pPr>
  </w:style>
  <w:style w:type="paragraph" w:customStyle="1" w:styleId="AOA">
    <w:name w:val="AO(A)"/>
    <w:basedOn w:val="AOBodyTxt"/>
    <w:next w:val="AODocTxt"/>
    <w:autoRedefine/>
    <w:uiPriority w:val="99"/>
    <w:qFormat/>
    <w:pPr>
      <w:numPr>
        <w:numId w:val="12"/>
      </w:numPr>
      <w:tabs>
        <w:tab w:val="clear" w:pos="720"/>
      </w:tabs>
    </w:pPr>
  </w:style>
  <w:style w:type="paragraph" w:customStyle="1" w:styleId="AODocTxtL3">
    <w:name w:val="AODocTxtL3"/>
    <w:basedOn w:val="AODocTxt"/>
    <w:uiPriority w:val="99"/>
    <w:qFormat/>
    <w:pPr>
      <w:numPr>
        <w:ilvl w:val="3"/>
      </w:numPr>
      <w:tabs>
        <w:tab w:val="left" w:pos="2880"/>
      </w:tabs>
      <w:ind w:left="2880" w:hanging="360"/>
    </w:pPr>
  </w:style>
  <w:style w:type="paragraph" w:customStyle="1" w:styleId="AOSchPartHead">
    <w:name w:val="AOSchPartHead"/>
    <w:basedOn w:val="AOSchHead"/>
    <w:next w:val="AOSchPartTitle"/>
    <w:autoRedefine/>
    <w:uiPriority w:val="99"/>
    <w:qFormat/>
    <w:pPr>
      <w:pageBreakBefore w:val="0"/>
      <w:numPr>
        <w:ilvl w:val="1"/>
      </w:numPr>
      <w:tabs>
        <w:tab w:val="left" w:pos="780"/>
      </w:tabs>
      <w:ind w:firstLine="420"/>
    </w:pPr>
  </w:style>
  <w:style w:type="paragraph" w:customStyle="1" w:styleId="AODocTxtL4">
    <w:name w:val="AODocTxtL4"/>
    <w:basedOn w:val="AODocTxt"/>
    <w:autoRedefine/>
    <w:uiPriority w:val="99"/>
    <w:qFormat/>
    <w:pPr>
      <w:numPr>
        <w:ilvl w:val="4"/>
      </w:numPr>
      <w:tabs>
        <w:tab w:val="left" w:pos="3600"/>
      </w:tabs>
      <w:ind w:left="3600" w:hanging="360"/>
    </w:pPr>
  </w:style>
  <w:style w:type="paragraph" w:customStyle="1" w:styleId="AODocTxtL5">
    <w:name w:val="AODocTxtL5"/>
    <w:basedOn w:val="AODocTxt"/>
    <w:uiPriority w:val="99"/>
    <w:qFormat/>
    <w:pPr>
      <w:numPr>
        <w:ilvl w:val="5"/>
      </w:numPr>
      <w:tabs>
        <w:tab w:val="left" w:pos="4320"/>
      </w:tabs>
      <w:ind w:left="4320" w:hanging="360"/>
    </w:pPr>
  </w:style>
  <w:style w:type="paragraph" w:customStyle="1" w:styleId="CharCharChar">
    <w:name w:val="Char Char Char"/>
    <w:basedOn w:val="a1"/>
    <w:autoRedefine/>
    <w:uiPriority w:val="99"/>
    <w:qFormat/>
    <w:rPr>
      <w:rFonts w:ascii="Times New Roman" w:hAnsi="Times New Roman" w:cs="Times New Roman"/>
    </w:rPr>
  </w:style>
  <w:style w:type="paragraph" w:customStyle="1" w:styleId="afff9">
    <w:name w:val="中文文本"/>
    <w:basedOn w:val="a1"/>
    <w:autoRedefine/>
    <w:uiPriority w:val="99"/>
    <w:qFormat/>
    <w:pPr>
      <w:adjustRightInd w:val="0"/>
      <w:spacing w:before="120" w:after="120" w:line="312" w:lineRule="atLeast"/>
      <w:textAlignment w:val="baseline"/>
    </w:pPr>
    <w:rPr>
      <w:rFonts w:ascii="Times New Roman" w:hAnsi="Times New Roman" w:cs="Times New Roman"/>
      <w:kern w:val="0"/>
      <w:sz w:val="24"/>
      <w:szCs w:val="24"/>
    </w:rPr>
  </w:style>
  <w:style w:type="paragraph" w:customStyle="1" w:styleId="AOGenNum1Para">
    <w:name w:val="AOGenNum1Para"/>
    <w:basedOn w:val="AOGenNum1"/>
    <w:next w:val="AOGenNum1List"/>
    <w:uiPriority w:val="99"/>
    <w:qFormat/>
    <w:pPr>
      <w:numPr>
        <w:ilvl w:val="1"/>
      </w:numPr>
      <w:tabs>
        <w:tab w:val="left" w:pos="1588"/>
      </w:tabs>
      <w:ind w:left="1588" w:hanging="737"/>
    </w:pPr>
    <w:rPr>
      <w:caps w:val="0"/>
    </w:rPr>
  </w:style>
  <w:style w:type="paragraph" w:customStyle="1" w:styleId="AOGenNum1">
    <w:name w:val="AOGenNum1"/>
    <w:basedOn w:val="AOBodyTxt"/>
    <w:next w:val="AOGenNum1Para"/>
    <w:uiPriority w:val="99"/>
    <w:qFormat/>
    <w:pPr>
      <w:keepNext/>
      <w:numPr>
        <w:numId w:val="13"/>
      </w:numPr>
    </w:pPr>
    <w:rPr>
      <w:b/>
      <w:bCs/>
      <w:caps/>
    </w:rPr>
  </w:style>
  <w:style w:type="paragraph" w:customStyle="1" w:styleId="AOGenNum1List">
    <w:name w:val="AOGenNum1List"/>
    <w:basedOn w:val="AOGenNum1"/>
    <w:autoRedefine/>
    <w:uiPriority w:val="99"/>
    <w:qFormat/>
    <w:pPr>
      <w:keepNext w:val="0"/>
      <w:numPr>
        <w:ilvl w:val="2"/>
      </w:numPr>
      <w:tabs>
        <w:tab w:val="left" w:pos="851"/>
      </w:tabs>
      <w:ind w:left="851" w:hanging="431"/>
    </w:pPr>
    <w:rPr>
      <w:b w:val="0"/>
      <w:bCs w:val="0"/>
      <w:caps w:val="0"/>
    </w:rPr>
  </w:style>
  <w:style w:type="paragraph" w:customStyle="1" w:styleId="AODocTxtL7">
    <w:name w:val="AODocTxtL7"/>
    <w:basedOn w:val="AODocTxt"/>
    <w:uiPriority w:val="99"/>
    <w:qFormat/>
    <w:pPr>
      <w:numPr>
        <w:ilvl w:val="7"/>
      </w:numPr>
      <w:tabs>
        <w:tab w:val="left" w:pos="5760"/>
      </w:tabs>
      <w:ind w:left="5760" w:hanging="360"/>
    </w:pPr>
  </w:style>
  <w:style w:type="paragraph" w:customStyle="1" w:styleId="AODocTxtL8">
    <w:name w:val="AODocTxtL8"/>
    <w:basedOn w:val="AODocTxt"/>
    <w:autoRedefine/>
    <w:uiPriority w:val="99"/>
    <w:qFormat/>
    <w:pPr>
      <w:numPr>
        <w:ilvl w:val="8"/>
      </w:numPr>
      <w:tabs>
        <w:tab w:val="left" w:pos="6480"/>
      </w:tabs>
      <w:ind w:left="6480" w:hanging="360"/>
    </w:pPr>
  </w:style>
  <w:style w:type="paragraph" w:customStyle="1" w:styleId="CharCharCharCharCharCharChar">
    <w:name w:val="Char Char Char Char Char Char Char"/>
    <w:basedOn w:val="a1"/>
    <w:autoRedefine/>
    <w:uiPriority w:val="99"/>
    <w:qFormat/>
    <w:pPr>
      <w:tabs>
        <w:tab w:val="left" w:pos="360"/>
      </w:tabs>
    </w:pPr>
    <w:rPr>
      <w:rFonts w:ascii="Times New Roman" w:hAnsi="Times New Roman" w:cs="Times New Roman"/>
    </w:rPr>
  </w:style>
  <w:style w:type="paragraph" w:customStyle="1" w:styleId="p0">
    <w:name w:val="p0"/>
    <w:basedOn w:val="a1"/>
    <w:autoRedefine/>
    <w:uiPriority w:val="99"/>
    <w:qFormat/>
    <w:pPr>
      <w:widowControl/>
      <w:spacing w:before="100" w:beforeAutospacing="1" w:after="100" w:afterAutospacing="1"/>
      <w:jc w:val="left"/>
    </w:pPr>
    <w:rPr>
      <w:rFonts w:ascii="宋体" w:hAnsi="宋体" w:cs="宋体"/>
      <w:kern w:val="0"/>
      <w:sz w:val="24"/>
      <w:szCs w:val="24"/>
    </w:rPr>
  </w:style>
  <w:style w:type="paragraph" w:customStyle="1" w:styleId="AOHeading1">
    <w:name w:val="AOHeading1"/>
    <w:basedOn w:val="AOHeadings"/>
    <w:next w:val="AODocTxt"/>
    <w:uiPriority w:val="99"/>
    <w:qFormat/>
    <w:pPr>
      <w:keepNext/>
      <w:outlineLvl w:val="0"/>
    </w:pPr>
    <w:rPr>
      <w:b/>
      <w:bCs/>
      <w:caps/>
      <w:kern w:val="28"/>
    </w:rPr>
  </w:style>
  <w:style w:type="paragraph" w:customStyle="1" w:styleId="ParaCharCharCharCharCharCharChar">
    <w:name w:val="默认段落字体 Para Char Char Char Char Char Char Char"/>
    <w:basedOn w:val="a1"/>
    <w:uiPriority w:val="99"/>
    <w:qFormat/>
    <w:pPr>
      <w:widowControl/>
      <w:jc w:val="left"/>
    </w:pPr>
    <w:rPr>
      <w:rFonts w:ascii="Tahoma" w:hAnsi="Tahoma" w:cs="Tahoma"/>
      <w:color w:val="000000"/>
      <w:kern w:val="0"/>
      <w:sz w:val="24"/>
      <w:szCs w:val="24"/>
    </w:rPr>
  </w:style>
  <w:style w:type="paragraph" w:customStyle="1" w:styleId="c">
    <w:name w:val="c_"/>
    <w:autoRedefine/>
    <w:uiPriority w:val="99"/>
    <w:qFormat/>
    <w:pPr>
      <w:widowControl w:val="0"/>
      <w:autoSpaceDE w:val="0"/>
      <w:autoSpaceDN w:val="0"/>
      <w:adjustRightInd w:val="0"/>
      <w:jc w:val="both"/>
    </w:pPr>
    <w:rPr>
      <w:rFonts w:ascii="五" w:eastAsia="五" w:hAnsi="Times New Roman" w:cs="五"/>
      <w:sz w:val="24"/>
      <w:szCs w:val="24"/>
    </w:rPr>
  </w:style>
  <w:style w:type="paragraph" w:customStyle="1" w:styleId="ParaCharCharCharCharCharCharCharCharCharCharCharCharCharCharCharCharCharCharCharCharCharCharCharChar">
    <w:name w:val="默认段落字体 Para Char Char Char Char Char Char Char Char Char Char Char Char Char Char Char Char Char Char Char Char Char Char Char Char"/>
    <w:basedOn w:val="a1"/>
    <w:autoRedefine/>
    <w:uiPriority w:val="99"/>
    <w:qFormat/>
    <w:pPr>
      <w:tabs>
        <w:tab w:val="left" w:pos="840"/>
      </w:tabs>
      <w:ind w:left="840" w:hanging="360"/>
    </w:pPr>
    <w:rPr>
      <w:rFonts w:ascii="Times New Roman" w:hAnsi="Times New Roman" w:cs="Times New Roman"/>
    </w:rPr>
  </w:style>
  <w:style w:type="paragraph" w:customStyle="1" w:styleId="AOGenNum2">
    <w:name w:val="AOGenNum2"/>
    <w:basedOn w:val="AOBodyTxt"/>
    <w:next w:val="AOGenNum2Para"/>
    <w:autoRedefine/>
    <w:uiPriority w:val="99"/>
    <w:qFormat/>
    <w:pPr>
      <w:keepNext/>
      <w:numPr>
        <w:numId w:val="14"/>
      </w:numPr>
    </w:pPr>
    <w:rPr>
      <w:b/>
      <w:bCs/>
    </w:rPr>
  </w:style>
  <w:style w:type="paragraph" w:customStyle="1" w:styleId="AOGenNum2Para">
    <w:name w:val="AOGenNum2Para"/>
    <w:basedOn w:val="AOGenNum2"/>
    <w:next w:val="AOGenNum2List"/>
    <w:uiPriority w:val="99"/>
    <w:qFormat/>
    <w:pPr>
      <w:keepNext w:val="0"/>
      <w:numPr>
        <w:ilvl w:val="1"/>
      </w:numPr>
      <w:tabs>
        <w:tab w:val="left" w:pos="1588"/>
      </w:tabs>
      <w:ind w:left="1588" w:hanging="737"/>
    </w:pPr>
    <w:rPr>
      <w:b w:val="0"/>
      <w:bCs w:val="0"/>
    </w:rPr>
  </w:style>
  <w:style w:type="paragraph" w:customStyle="1" w:styleId="AOGenNum2List">
    <w:name w:val="AOGenNum2List"/>
    <w:basedOn w:val="AOGenNum2"/>
    <w:autoRedefine/>
    <w:uiPriority w:val="99"/>
    <w:qFormat/>
    <w:pPr>
      <w:keepNext w:val="0"/>
      <w:numPr>
        <w:ilvl w:val="2"/>
      </w:numPr>
      <w:tabs>
        <w:tab w:val="left" w:pos="1021"/>
      </w:tabs>
      <w:ind w:left="1021" w:hanging="601"/>
    </w:pPr>
    <w:rPr>
      <w:b w:val="0"/>
      <w:bCs w:val="0"/>
    </w:rPr>
  </w:style>
  <w:style w:type="paragraph" w:customStyle="1" w:styleId="AONormalBold">
    <w:name w:val="AONormalBold"/>
    <w:basedOn w:val="AONormal"/>
    <w:autoRedefine/>
    <w:uiPriority w:val="99"/>
    <w:qFormat/>
    <w:rPr>
      <w:b/>
      <w:bCs/>
    </w:rPr>
  </w:style>
  <w:style w:type="paragraph" w:customStyle="1" w:styleId="CharCharCharCharCharCharChar1">
    <w:name w:val="Char Char Char Char Char Char Char1"/>
    <w:basedOn w:val="a1"/>
    <w:autoRedefine/>
    <w:uiPriority w:val="99"/>
    <w:qFormat/>
    <w:rPr>
      <w:rFonts w:ascii="Times New Roman" w:hAnsi="Times New Roman" w:cs="Times New Roman"/>
    </w:rPr>
  </w:style>
  <w:style w:type="paragraph" w:customStyle="1" w:styleId="AOAltHead6">
    <w:name w:val="AOAltHead6"/>
    <w:basedOn w:val="AOHead6"/>
    <w:next w:val="AODocTxtL4"/>
    <w:autoRedefine/>
    <w:uiPriority w:val="99"/>
    <w:qFormat/>
    <w:pPr>
      <w:ind w:left="2880"/>
    </w:pPr>
  </w:style>
  <w:style w:type="paragraph" w:customStyle="1" w:styleId="AOHead6">
    <w:name w:val="AOHead6"/>
    <w:basedOn w:val="AOHeadings"/>
    <w:next w:val="AODocTxtL5"/>
    <w:uiPriority w:val="99"/>
    <w:qFormat/>
    <w:pPr>
      <w:tabs>
        <w:tab w:val="left" w:pos="3600"/>
      </w:tabs>
      <w:ind w:left="3600" w:hanging="720"/>
      <w:outlineLvl w:val="5"/>
    </w:pPr>
  </w:style>
  <w:style w:type="paragraph" w:customStyle="1" w:styleId="AOGenNum3">
    <w:name w:val="AOGenNum3"/>
    <w:basedOn w:val="AOBodyTxt"/>
    <w:next w:val="AOGenNum3List"/>
    <w:autoRedefine/>
    <w:uiPriority w:val="99"/>
    <w:qFormat/>
    <w:pPr>
      <w:numPr>
        <w:numId w:val="15"/>
      </w:numPr>
    </w:pPr>
  </w:style>
  <w:style w:type="paragraph" w:customStyle="1" w:styleId="AOGenNum3List">
    <w:name w:val="AOGenNum3List"/>
    <w:basedOn w:val="AOGenNum3"/>
    <w:uiPriority w:val="99"/>
    <w:qFormat/>
    <w:pPr>
      <w:numPr>
        <w:ilvl w:val="1"/>
      </w:numPr>
      <w:tabs>
        <w:tab w:val="left" w:pos="840"/>
      </w:tabs>
      <w:ind w:left="840" w:hanging="420"/>
    </w:pPr>
  </w:style>
  <w:style w:type="paragraph" w:customStyle="1" w:styleId="AONormal6C">
    <w:name w:val="AONormal6C"/>
    <w:basedOn w:val="AONormal6L"/>
    <w:uiPriority w:val="99"/>
    <w:qFormat/>
    <w:pPr>
      <w:jc w:val="center"/>
    </w:pPr>
  </w:style>
  <w:style w:type="paragraph" w:customStyle="1" w:styleId="AONormal6L">
    <w:name w:val="AONormal6L"/>
    <w:basedOn w:val="AONormal8L"/>
    <w:autoRedefine/>
    <w:uiPriority w:val="99"/>
    <w:qFormat/>
    <w:pPr>
      <w:spacing w:line="160" w:lineRule="atLeast"/>
    </w:pPr>
    <w:rPr>
      <w:sz w:val="12"/>
      <w:szCs w:val="12"/>
    </w:rPr>
  </w:style>
  <w:style w:type="paragraph" w:customStyle="1" w:styleId="AONormal8L">
    <w:name w:val="AONormal8L"/>
    <w:basedOn w:val="AONormal"/>
    <w:autoRedefine/>
    <w:uiPriority w:val="99"/>
    <w:qFormat/>
    <w:pPr>
      <w:spacing w:line="220" w:lineRule="atLeast"/>
    </w:pPr>
    <w:rPr>
      <w:rFonts w:ascii="Arial" w:hAnsi="Arial" w:cs="Arial"/>
      <w:sz w:val="16"/>
      <w:szCs w:val="16"/>
    </w:rPr>
  </w:style>
  <w:style w:type="paragraph" w:customStyle="1" w:styleId="AONormal6R">
    <w:name w:val="AONormal6R"/>
    <w:basedOn w:val="AONormal6L"/>
    <w:autoRedefine/>
    <w:uiPriority w:val="99"/>
    <w:qFormat/>
    <w:pPr>
      <w:jc w:val="right"/>
    </w:pPr>
  </w:style>
  <w:style w:type="paragraph" w:customStyle="1" w:styleId="AONormal8R">
    <w:name w:val="AONormal8R"/>
    <w:basedOn w:val="AONormal8L"/>
    <w:autoRedefine/>
    <w:uiPriority w:val="99"/>
    <w:qFormat/>
    <w:pPr>
      <w:jc w:val="right"/>
    </w:pPr>
  </w:style>
  <w:style w:type="paragraph" w:customStyle="1" w:styleId="AOHeading6">
    <w:name w:val="AOHeading6"/>
    <w:basedOn w:val="AOHeadings"/>
    <w:next w:val="AODocTxt"/>
    <w:autoRedefine/>
    <w:uiPriority w:val="99"/>
    <w:qFormat/>
    <w:pPr>
      <w:keepNext/>
      <w:outlineLvl w:val="5"/>
    </w:pPr>
    <w:rPr>
      <w:b/>
      <w:bCs/>
      <w:i/>
      <w:iCs/>
    </w:rPr>
  </w:style>
  <w:style w:type="paragraph" w:customStyle="1" w:styleId="AOHead2">
    <w:name w:val="AOHead2"/>
    <w:basedOn w:val="AOHeadings"/>
    <w:next w:val="AODocTxtL1"/>
    <w:autoRedefine/>
    <w:uiPriority w:val="99"/>
    <w:qFormat/>
    <w:pPr>
      <w:keepNext/>
      <w:numPr>
        <w:ilvl w:val="1"/>
        <w:numId w:val="16"/>
      </w:numPr>
      <w:outlineLvl w:val="1"/>
    </w:pPr>
    <w:rPr>
      <w:b/>
      <w:bCs/>
    </w:rPr>
  </w:style>
  <w:style w:type="paragraph" w:customStyle="1" w:styleId="AOHeading7">
    <w:name w:val="AOHeading7"/>
    <w:basedOn w:val="AOHeadings"/>
    <w:next w:val="AODocTxtL1"/>
    <w:uiPriority w:val="99"/>
    <w:qFormat/>
    <w:pPr>
      <w:keepNext/>
      <w:ind w:left="720"/>
      <w:outlineLvl w:val="6"/>
    </w:pPr>
    <w:rPr>
      <w:b/>
      <w:bCs/>
      <w:i/>
      <w:iCs/>
    </w:rPr>
  </w:style>
  <w:style w:type="paragraph" w:customStyle="1" w:styleId="AOHead3">
    <w:name w:val="AOHead3"/>
    <w:basedOn w:val="AOHeadings"/>
    <w:next w:val="AODocTxtL2"/>
    <w:autoRedefine/>
    <w:uiPriority w:val="99"/>
    <w:qFormat/>
    <w:pPr>
      <w:numPr>
        <w:ilvl w:val="2"/>
        <w:numId w:val="16"/>
      </w:numPr>
      <w:outlineLvl w:val="2"/>
    </w:pPr>
  </w:style>
  <w:style w:type="paragraph" w:customStyle="1" w:styleId="AONormal10">
    <w:name w:val="AONormal10"/>
    <w:basedOn w:val="AONormal"/>
    <w:autoRedefine/>
    <w:uiPriority w:val="99"/>
    <w:qFormat/>
    <w:rPr>
      <w:sz w:val="20"/>
      <w:szCs w:val="20"/>
    </w:rPr>
  </w:style>
  <w:style w:type="paragraph" w:customStyle="1" w:styleId="AOListNumber">
    <w:name w:val="AOListNumber"/>
    <w:basedOn w:val="AOBodyTxt"/>
    <w:uiPriority w:val="99"/>
    <w:qFormat/>
    <w:pPr>
      <w:numPr>
        <w:numId w:val="17"/>
      </w:numPr>
      <w:tabs>
        <w:tab w:val="clear" w:pos="720"/>
      </w:tabs>
    </w:pPr>
  </w:style>
  <w:style w:type="paragraph" w:customStyle="1" w:styleId="AOHead4">
    <w:name w:val="AOHead4"/>
    <w:basedOn w:val="AOHeadings"/>
    <w:next w:val="AODocTxtL3"/>
    <w:autoRedefine/>
    <w:uiPriority w:val="99"/>
    <w:qFormat/>
    <w:pPr>
      <w:numPr>
        <w:ilvl w:val="3"/>
        <w:numId w:val="16"/>
      </w:numPr>
      <w:outlineLvl w:val="3"/>
    </w:pPr>
  </w:style>
  <w:style w:type="paragraph" w:customStyle="1" w:styleId="AONormal8C">
    <w:name w:val="AONormal8C"/>
    <w:basedOn w:val="AONormal8L"/>
    <w:autoRedefine/>
    <w:uiPriority w:val="99"/>
    <w:qFormat/>
    <w:pPr>
      <w:jc w:val="center"/>
    </w:pPr>
  </w:style>
  <w:style w:type="paragraph" w:customStyle="1" w:styleId="AOHead5">
    <w:name w:val="AOHead5"/>
    <w:basedOn w:val="AOHeadings"/>
    <w:next w:val="AODocTxtL4"/>
    <w:uiPriority w:val="99"/>
    <w:qFormat/>
    <w:pPr>
      <w:numPr>
        <w:ilvl w:val="4"/>
        <w:numId w:val="16"/>
      </w:numPr>
      <w:outlineLvl w:val="4"/>
    </w:pPr>
  </w:style>
  <w:style w:type="paragraph" w:customStyle="1" w:styleId="TOC1">
    <w:name w:val="TOC 标题1"/>
    <w:basedOn w:val="1"/>
    <w:next w:val="a1"/>
    <w:uiPriority w:val="99"/>
    <w:qFormat/>
    <w:pPr>
      <w:widowControl/>
      <w:spacing w:before="480" w:after="0" w:line="276" w:lineRule="auto"/>
      <w:ind w:left="0" w:firstLine="0"/>
      <w:jc w:val="left"/>
      <w:outlineLvl w:val="9"/>
    </w:pPr>
    <w:rPr>
      <w:rFonts w:ascii="Cambria" w:hAnsi="Cambria" w:cs="Cambria"/>
      <w:color w:val="365F91"/>
      <w:kern w:val="0"/>
      <w:sz w:val="28"/>
      <w:szCs w:val="28"/>
    </w:rPr>
  </w:style>
  <w:style w:type="paragraph" w:customStyle="1" w:styleId="AOAltHead2">
    <w:name w:val="AOAltHead2"/>
    <w:basedOn w:val="AOHead2"/>
    <w:next w:val="AODocTxtL1"/>
    <w:autoRedefine/>
    <w:uiPriority w:val="99"/>
    <w:qFormat/>
    <w:pPr>
      <w:keepNext w:val="0"/>
      <w:tabs>
        <w:tab w:val="clear" w:pos="720"/>
      </w:tabs>
    </w:pPr>
    <w:rPr>
      <w:b w:val="0"/>
      <w:bCs w:val="0"/>
    </w:rPr>
  </w:style>
  <w:style w:type="paragraph" w:customStyle="1" w:styleId="AOAltHead3">
    <w:name w:val="AOAltHead3"/>
    <w:basedOn w:val="AOHead3"/>
    <w:next w:val="AODocTxtL1"/>
    <w:autoRedefine/>
    <w:uiPriority w:val="99"/>
    <w:qFormat/>
    <w:pPr>
      <w:tabs>
        <w:tab w:val="clear" w:pos="1440"/>
      </w:tabs>
      <w:ind w:left="720"/>
    </w:pPr>
  </w:style>
  <w:style w:type="paragraph" w:customStyle="1" w:styleId="AOAltHead4">
    <w:name w:val="AOAltHead4"/>
    <w:basedOn w:val="AOHead4"/>
    <w:next w:val="AODocTxtL2"/>
    <w:uiPriority w:val="99"/>
    <w:qFormat/>
    <w:pPr>
      <w:tabs>
        <w:tab w:val="clear" w:pos="2160"/>
      </w:tabs>
      <w:ind w:left="1440"/>
    </w:pPr>
  </w:style>
  <w:style w:type="paragraph" w:customStyle="1" w:styleId="Char15">
    <w:name w:val="Char1"/>
    <w:basedOn w:val="a1"/>
    <w:uiPriority w:val="99"/>
    <w:qFormat/>
    <w:pPr>
      <w:tabs>
        <w:tab w:val="left" w:pos="832"/>
      </w:tabs>
      <w:ind w:left="832" w:hanging="420"/>
      <w:jc w:val="center"/>
    </w:pPr>
    <w:rPr>
      <w:rFonts w:ascii="楷体_GB2312" w:eastAsia="楷体_GB2312" w:hAnsi="Times New Roman" w:cs="楷体_GB2312"/>
      <w:b/>
      <w:bCs/>
      <w:color w:val="000080"/>
      <w:sz w:val="30"/>
      <w:szCs w:val="30"/>
    </w:rPr>
  </w:style>
  <w:style w:type="paragraph" w:customStyle="1" w:styleId="wz1">
    <w:name w:val="wz1"/>
    <w:basedOn w:val="a1"/>
    <w:autoRedefine/>
    <w:uiPriority w:val="99"/>
    <w:qFormat/>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AOAltHead5">
    <w:name w:val="AOAltHead5"/>
    <w:basedOn w:val="AOHead5"/>
    <w:next w:val="AODocTxtL3"/>
    <w:uiPriority w:val="99"/>
    <w:qFormat/>
    <w:pPr>
      <w:tabs>
        <w:tab w:val="clear" w:pos="2880"/>
      </w:tabs>
      <w:ind w:left="2160"/>
    </w:pPr>
  </w:style>
  <w:style w:type="paragraph" w:customStyle="1" w:styleId="AOBullet2">
    <w:name w:val="AOBullet2"/>
    <w:basedOn w:val="AOBullet"/>
    <w:uiPriority w:val="99"/>
    <w:qFormat/>
    <w:pPr>
      <w:numPr>
        <w:numId w:val="0"/>
      </w:numPr>
      <w:tabs>
        <w:tab w:val="clear" w:pos="720"/>
        <w:tab w:val="left" w:pos="1280"/>
      </w:tabs>
      <w:spacing w:before="120"/>
      <w:ind w:left="1280"/>
    </w:pPr>
  </w:style>
  <w:style w:type="paragraph" w:customStyle="1" w:styleId="InfoBlue">
    <w:name w:val="InfoBlue"/>
    <w:basedOn w:val="a1"/>
    <w:next w:val="a9"/>
    <w:autoRedefine/>
    <w:uiPriority w:val="99"/>
    <w:qFormat/>
    <w:pPr>
      <w:tabs>
        <w:tab w:val="left" w:pos="420"/>
      </w:tabs>
      <w:spacing w:after="120" w:line="240" w:lineRule="atLeast"/>
      <w:ind w:left="420" w:hanging="420"/>
      <w:jc w:val="left"/>
    </w:pPr>
    <w:rPr>
      <w:rFonts w:ascii="宋体" w:hAnsi="宋体" w:cs="宋体"/>
    </w:rPr>
  </w:style>
  <w:style w:type="paragraph" w:customStyle="1" w:styleId="AOFPTitle">
    <w:name w:val="AOFPTitle"/>
    <w:basedOn w:val="AOFPTxt"/>
    <w:autoRedefine/>
    <w:uiPriority w:val="99"/>
    <w:qFormat/>
    <w:rPr>
      <w:caps/>
      <w:sz w:val="32"/>
      <w:szCs w:val="32"/>
    </w:rPr>
  </w:style>
  <w:style w:type="paragraph" w:customStyle="1" w:styleId="AOBullet3">
    <w:name w:val="AOBullet3"/>
    <w:basedOn w:val="AOBodyTxt"/>
    <w:uiPriority w:val="99"/>
    <w:qFormat/>
    <w:pPr>
      <w:numPr>
        <w:numId w:val="18"/>
      </w:numPr>
      <w:tabs>
        <w:tab w:val="clear" w:pos="720"/>
      </w:tabs>
      <w:spacing w:before="120"/>
    </w:pPr>
  </w:style>
  <w:style w:type="paragraph" w:customStyle="1" w:styleId="AOBullet4">
    <w:name w:val="AOBullet4"/>
    <w:basedOn w:val="AOBodyTxt"/>
    <w:autoRedefine/>
    <w:uiPriority w:val="99"/>
    <w:qFormat/>
    <w:pPr>
      <w:numPr>
        <w:numId w:val="19"/>
      </w:numPr>
      <w:spacing w:before="120"/>
    </w:pPr>
  </w:style>
  <w:style w:type="paragraph" w:customStyle="1" w:styleId="afffa">
    <w:name w:val="正文所"/>
    <w:basedOn w:val="a1"/>
    <w:uiPriority w:val="99"/>
    <w:qFormat/>
    <w:pPr>
      <w:spacing w:line="360" w:lineRule="auto"/>
      <w:ind w:firstLineChars="200" w:firstLine="420"/>
    </w:pPr>
    <w:rPr>
      <w:rFonts w:ascii="Times New Roman" w:hAnsi="Times New Roman" w:cs="Times New Roman"/>
    </w:rPr>
  </w:style>
  <w:style w:type="paragraph" w:customStyle="1" w:styleId="CharCharCharChar3">
    <w:name w:val="Char Char Char Char3"/>
    <w:basedOn w:val="a1"/>
    <w:uiPriority w:val="99"/>
    <w:qFormat/>
    <w:pPr>
      <w:tabs>
        <w:tab w:val="left" w:pos="360"/>
      </w:tabs>
    </w:pPr>
    <w:rPr>
      <w:rFonts w:ascii="Times New Roman" w:hAnsi="Times New Roman" w:cs="Times New Roman"/>
    </w:rPr>
  </w:style>
  <w:style w:type="paragraph" w:customStyle="1" w:styleId="CharChar13">
    <w:name w:val="Char Char13"/>
    <w:basedOn w:val="a1"/>
    <w:uiPriority w:val="99"/>
    <w:qFormat/>
    <w:rPr>
      <w:rFonts w:ascii="Times New Roman" w:hAnsi="Times New Roman" w:cs="Times New Roman"/>
    </w:rPr>
  </w:style>
  <w:style w:type="paragraph" w:customStyle="1" w:styleId="AOFPCopyright">
    <w:name w:val="AOFPCopyright"/>
    <w:basedOn w:val="AOFPTxt"/>
    <w:uiPriority w:val="99"/>
    <w:qFormat/>
    <w:rPr>
      <w:caps/>
    </w:rPr>
  </w:style>
  <w:style w:type="paragraph" w:customStyle="1" w:styleId="CharChar">
    <w:name w:val="Char Char"/>
    <w:basedOn w:val="a1"/>
    <w:uiPriority w:val="99"/>
    <w:qFormat/>
    <w:rPr>
      <w:rFonts w:ascii="Times New Roman" w:hAnsi="Times New Roman" w:cs="Times New Roman"/>
    </w:rPr>
  </w:style>
  <w:style w:type="paragraph" w:customStyle="1" w:styleId="CharCharCharCharChar1Char">
    <w:name w:val="Char Char Char Char Char1 Char"/>
    <w:basedOn w:val="a1"/>
    <w:uiPriority w:val="99"/>
    <w:qFormat/>
    <w:rPr>
      <w:rFonts w:ascii="Times New Roman" w:hAnsi="Times New Roman" w:cs="Times New Roman"/>
    </w:rPr>
  </w:style>
  <w:style w:type="paragraph" w:customStyle="1" w:styleId="AOFPDate">
    <w:name w:val="AOFPDate"/>
    <w:basedOn w:val="AOFPTxt"/>
    <w:uiPriority w:val="99"/>
    <w:qFormat/>
    <w:rPr>
      <w:caps/>
    </w:rPr>
  </w:style>
  <w:style w:type="paragraph" w:customStyle="1" w:styleId="Style39">
    <w:name w:val="_Style 39"/>
    <w:basedOn w:val="a1"/>
    <w:uiPriority w:val="99"/>
    <w:qFormat/>
    <w:pPr>
      <w:tabs>
        <w:tab w:val="left" w:pos="360"/>
      </w:tabs>
      <w:ind w:left="360" w:hanging="360"/>
    </w:pPr>
    <w:rPr>
      <w:rFonts w:ascii="Times New Roman" w:hAnsi="Times New Roman" w:cs="Times New Roman"/>
    </w:rPr>
  </w:style>
  <w:style w:type="paragraph" w:customStyle="1" w:styleId="AOFPTxtCaps">
    <w:name w:val="AOFPTxtCaps"/>
    <w:basedOn w:val="AOFPTxt"/>
    <w:uiPriority w:val="99"/>
    <w:qFormat/>
    <w:rPr>
      <w:caps/>
    </w:rPr>
  </w:style>
  <w:style w:type="paragraph" w:customStyle="1" w:styleId="AOHeading5">
    <w:name w:val="AOHeading5"/>
    <w:basedOn w:val="AOHeadings"/>
    <w:next w:val="AODocTxtL1"/>
    <w:uiPriority w:val="99"/>
    <w:qFormat/>
    <w:pPr>
      <w:keepNext/>
      <w:ind w:left="720"/>
      <w:outlineLvl w:val="4"/>
    </w:pPr>
    <w:rPr>
      <w:i/>
      <w:iCs/>
    </w:rPr>
  </w:style>
  <w:style w:type="paragraph" w:customStyle="1" w:styleId="AOLocation">
    <w:name w:val="AOLocation"/>
    <w:basedOn w:val="AOFPBP"/>
    <w:uiPriority w:val="99"/>
    <w:qFormat/>
    <w:pPr>
      <w:spacing w:before="160"/>
      <w:jc w:val="center"/>
    </w:pPr>
    <w:rPr>
      <w:b/>
      <w:bCs/>
      <w:caps/>
    </w:rPr>
  </w:style>
  <w:style w:type="paragraph" w:customStyle="1" w:styleId="Listbullet">
    <w:name w:val="List_bullet"/>
    <w:basedOn w:val="a1"/>
    <w:uiPriority w:val="99"/>
    <w:qFormat/>
    <w:pPr>
      <w:widowControl/>
      <w:numPr>
        <w:numId w:val="20"/>
      </w:numPr>
      <w:jc w:val="left"/>
    </w:pPr>
    <w:rPr>
      <w:rFonts w:ascii="Times New Roman" w:hAnsi="Times New Roman" w:cs="Times New Roman"/>
      <w:kern w:val="0"/>
      <w:sz w:val="24"/>
      <w:szCs w:val="24"/>
    </w:rPr>
  </w:style>
  <w:style w:type="paragraph" w:customStyle="1" w:styleId="AOTitle">
    <w:name w:val="AOTitle"/>
    <w:basedOn w:val="AOHeadings"/>
    <w:next w:val="AODocTxt"/>
    <w:uiPriority w:val="99"/>
    <w:qFormat/>
    <w:pPr>
      <w:jc w:val="center"/>
    </w:pPr>
    <w:rPr>
      <w:b/>
      <w:bCs/>
      <w:caps/>
    </w:rPr>
  </w:style>
  <w:style w:type="paragraph" w:customStyle="1" w:styleId="AOSignatory">
    <w:name w:val="AOSignatory"/>
    <w:basedOn w:val="AOBodyTxt"/>
    <w:next w:val="AODocTxt"/>
    <w:uiPriority w:val="99"/>
    <w:qFormat/>
    <w:pPr>
      <w:pageBreakBefore/>
      <w:spacing w:after="240"/>
      <w:jc w:val="center"/>
    </w:pPr>
    <w:rPr>
      <w:b/>
      <w:bCs/>
      <w:caps/>
    </w:rPr>
  </w:style>
  <w:style w:type="paragraph" w:customStyle="1" w:styleId="19">
    <w:name w:val="批注框文本1"/>
    <w:basedOn w:val="a1"/>
    <w:uiPriority w:val="99"/>
    <w:semiHidden/>
    <w:qFormat/>
    <w:rPr>
      <w:rFonts w:ascii="Tahoma" w:hAnsi="Tahoma" w:cs="Tahoma"/>
      <w:sz w:val="16"/>
      <w:szCs w:val="16"/>
    </w:rPr>
  </w:style>
  <w:style w:type="paragraph" w:customStyle="1" w:styleId="AONormal8LBold">
    <w:name w:val="AONormal8LBold"/>
    <w:basedOn w:val="AONormal8L"/>
    <w:uiPriority w:val="99"/>
    <w:qFormat/>
    <w:rPr>
      <w:b/>
      <w:bCs/>
    </w:rPr>
  </w:style>
  <w:style w:type="paragraph" w:customStyle="1" w:styleId="AOTOC5">
    <w:name w:val="AOTOC5"/>
    <w:basedOn w:val="AOTOCs"/>
    <w:uiPriority w:val="99"/>
    <w:qFormat/>
    <w:pPr>
      <w:tabs>
        <w:tab w:val="right" w:leader="dot" w:pos="9027"/>
      </w:tabs>
      <w:ind w:left="720"/>
    </w:pPr>
    <w:rPr>
      <w:i/>
      <w:iCs/>
    </w:rPr>
  </w:style>
  <w:style w:type="paragraph" w:customStyle="1" w:styleId="AOTOCHeading">
    <w:name w:val="AOTOCHeading"/>
    <w:basedOn w:val="AOHeadings"/>
    <w:next w:val="AODocTxt"/>
    <w:uiPriority w:val="99"/>
    <w:qFormat/>
    <w:pPr>
      <w:tabs>
        <w:tab w:val="right" w:pos="9000"/>
      </w:tabs>
      <w:spacing w:after="240"/>
    </w:pPr>
    <w:rPr>
      <w:b/>
      <w:bCs/>
    </w:rPr>
  </w:style>
  <w:style w:type="paragraph" w:customStyle="1" w:styleId="CharCharCharChar4">
    <w:name w:val="Char Char Char Char4"/>
    <w:basedOn w:val="a1"/>
    <w:uiPriority w:val="99"/>
    <w:qFormat/>
    <w:pPr>
      <w:tabs>
        <w:tab w:val="left" w:pos="360"/>
      </w:tabs>
      <w:spacing w:before="312" w:after="312" w:line="360" w:lineRule="auto"/>
    </w:pPr>
    <w:rPr>
      <w:rFonts w:ascii="Times New Roman" w:hAnsi="Times New Roman" w:cs="Times New Roman"/>
      <w:sz w:val="24"/>
      <w:szCs w:val="24"/>
    </w:rPr>
  </w:style>
  <w:style w:type="paragraph" w:customStyle="1" w:styleId="AOTOCTitle">
    <w:name w:val="AOTOCTitle"/>
    <w:basedOn w:val="AOHeadings"/>
    <w:next w:val="AOTOCHeading"/>
    <w:uiPriority w:val="99"/>
    <w:qFormat/>
    <w:pPr>
      <w:jc w:val="center"/>
    </w:pPr>
    <w:rPr>
      <w:b/>
      <w:bCs/>
      <w:caps/>
    </w:rPr>
  </w:style>
  <w:style w:type="paragraph" w:customStyle="1" w:styleId="AOHeading2">
    <w:name w:val="AOHeading2"/>
    <w:basedOn w:val="AOHeadings"/>
    <w:next w:val="AODocTxt"/>
    <w:uiPriority w:val="99"/>
    <w:qFormat/>
    <w:pPr>
      <w:keepNext/>
      <w:outlineLvl w:val="1"/>
    </w:pPr>
    <w:rPr>
      <w:b/>
      <w:bCs/>
    </w:rPr>
  </w:style>
  <w:style w:type="paragraph" w:customStyle="1" w:styleId="Char5">
    <w:name w:val="Char5"/>
    <w:basedOn w:val="a1"/>
    <w:uiPriority w:val="99"/>
    <w:qFormat/>
    <w:rPr>
      <w:rFonts w:ascii="Times New Roman" w:hAnsi="Times New Roman" w:cs="Times New Roman"/>
    </w:rPr>
  </w:style>
  <w:style w:type="paragraph" w:customStyle="1" w:styleId="AOHeading3">
    <w:name w:val="AOHeading3"/>
    <w:basedOn w:val="AOHeadings"/>
    <w:next w:val="AODocTxtL1"/>
    <w:uiPriority w:val="99"/>
    <w:qFormat/>
    <w:pPr>
      <w:keepNext/>
      <w:ind w:left="720"/>
      <w:outlineLvl w:val="2"/>
    </w:pPr>
    <w:rPr>
      <w:b/>
      <w:bCs/>
    </w:rPr>
  </w:style>
  <w:style w:type="paragraph" w:customStyle="1" w:styleId="AOHeading4">
    <w:name w:val="AOHeading4"/>
    <w:basedOn w:val="AOHeadings"/>
    <w:next w:val="AODocTxt"/>
    <w:uiPriority w:val="99"/>
    <w:qFormat/>
    <w:pPr>
      <w:keepNext/>
      <w:outlineLvl w:val="3"/>
    </w:pPr>
    <w:rPr>
      <w:i/>
      <w:iCs/>
    </w:rPr>
  </w:style>
  <w:style w:type="paragraph" w:customStyle="1" w:styleId="AONormal8Ci">
    <w:name w:val="AONormal8Ci"/>
    <w:basedOn w:val="AONormal8C"/>
    <w:uiPriority w:val="99"/>
    <w:qFormat/>
    <w:pPr>
      <w:spacing w:after="120" w:line="240" w:lineRule="auto"/>
    </w:pPr>
    <w:rPr>
      <w:i/>
      <w:iCs/>
    </w:rPr>
  </w:style>
  <w:style w:type="paragraph" w:customStyle="1" w:styleId="AOTitle18">
    <w:name w:val="AOTitle18"/>
    <w:basedOn w:val="AONormal"/>
    <w:uiPriority w:val="99"/>
    <w:qFormat/>
    <w:rPr>
      <w:b/>
      <w:bCs/>
      <w:sz w:val="36"/>
      <w:szCs w:val="36"/>
    </w:rPr>
  </w:style>
  <w:style w:type="paragraph" w:customStyle="1" w:styleId="AOTOC2">
    <w:name w:val="AOTOC2"/>
    <w:basedOn w:val="AOTOCs"/>
    <w:uiPriority w:val="99"/>
    <w:qFormat/>
    <w:pPr>
      <w:tabs>
        <w:tab w:val="left" w:pos="720"/>
        <w:tab w:val="right" w:leader="dot" w:pos="9027"/>
      </w:tabs>
    </w:pPr>
  </w:style>
  <w:style w:type="paragraph" w:customStyle="1" w:styleId="AOTOC3">
    <w:name w:val="AOTOC3"/>
    <w:basedOn w:val="AOTOCs"/>
    <w:uiPriority w:val="99"/>
    <w:qFormat/>
    <w:pPr>
      <w:tabs>
        <w:tab w:val="right" w:leader="dot" w:pos="9027"/>
      </w:tabs>
      <w:ind w:left="720"/>
    </w:pPr>
    <w:rPr>
      <w:b/>
      <w:bCs/>
    </w:rPr>
  </w:style>
  <w:style w:type="paragraph" w:customStyle="1" w:styleId="AOTOC4">
    <w:name w:val="AOTOC4"/>
    <w:basedOn w:val="AOTOCs"/>
    <w:uiPriority w:val="99"/>
    <w:qFormat/>
    <w:pPr>
      <w:tabs>
        <w:tab w:val="right" w:leader="dot" w:pos="9027"/>
      </w:tabs>
      <w:ind w:left="720"/>
    </w:pPr>
  </w:style>
  <w:style w:type="paragraph" w:customStyle="1" w:styleId="AOBodyJustified">
    <w:name w:val="AOBodyJustified"/>
    <w:basedOn w:val="AOBodyTxt"/>
    <w:uiPriority w:val="99"/>
    <w:qFormat/>
    <w:pPr>
      <w:jc w:val="both"/>
    </w:pPr>
  </w:style>
  <w:style w:type="paragraph" w:customStyle="1" w:styleId="Char2">
    <w:name w:val="Char2"/>
    <w:basedOn w:val="a1"/>
    <w:uiPriority w:val="99"/>
    <w:qFormat/>
    <w:rPr>
      <w:rFonts w:ascii="Times New Roman" w:hAnsi="Times New Roman" w:cs="Times New Roman"/>
    </w:rPr>
  </w:style>
  <w:style w:type="paragraph" w:customStyle="1" w:styleId="CharCharCharCharCharChar1CharCharChar2">
    <w:name w:val="Char Char Char Char Char Char1 Char Char Char2"/>
    <w:basedOn w:val="a1"/>
    <w:uiPriority w:val="99"/>
    <w:qFormat/>
    <w:pPr>
      <w:autoSpaceDE w:val="0"/>
      <w:autoSpaceDN w:val="0"/>
      <w:adjustRightInd w:val="0"/>
      <w:jc w:val="left"/>
      <w:textAlignment w:val="baseline"/>
    </w:pPr>
    <w:rPr>
      <w:rFonts w:ascii="宋体" w:hAnsi="Times New Roman" w:cs="宋体"/>
      <w:kern w:val="0"/>
      <w:sz w:val="34"/>
      <w:szCs w:val="34"/>
    </w:rPr>
  </w:style>
  <w:style w:type="paragraph" w:customStyle="1" w:styleId="1a">
    <w:name w:val="列出段落1"/>
    <w:basedOn w:val="a1"/>
    <w:uiPriority w:val="99"/>
    <w:qFormat/>
    <w:pPr>
      <w:ind w:firstLineChars="200" w:firstLine="420"/>
    </w:pPr>
    <w:rPr>
      <w:rFonts w:ascii="Times New Roman" w:hAnsi="Times New Roman" w:cs="Times New Roman"/>
    </w:rPr>
  </w:style>
  <w:style w:type="paragraph" w:customStyle="1" w:styleId="1b">
    <w:name w:val="修订1"/>
    <w:uiPriority w:val="99"/>
    <w:semiHidden/>
    <w:qFormat/>
    <w:rPr>
      <w:rFonts w:ascii="Times New Roman" w:hAnsi="Times New Roman"/>
      <w:kern w:val="2"/>
      <w:sz w:val="21"/>
      <w:szCs w:val="21"/>
    </w:rPr>
  </w:style>
  <w:style w:type="paragraph" w:customStyle="1" w:styleId="CharCharCharCharCharChar1CharCharChar">
    <w:name w:val="Char Char Char Char Char Char1 Char Char Char"/>
    <w:basedOn w:val="a1"/>
    <w:uiPriority w:val="99"/>
    <w:qFormat/>
    <w:pPr>
      <w:autoSpaceDE w:val="0"/>
      <w:autoSpaceDN w:val="0"/>
      <w:adjustRightInd w:val="0"/>
      <w:jc w:val="left"/>
      <w:textAlignment w:val="baseline"/>
    </w:pPr>
    <w:rPr>
      <w:rFonts w:ascii="宋体" w:hAnsi="Times New Roman" w:cs="宋体"/>
      <w:kern w:val="0"/>
      <w:sz w:val="34"/>
      <w:szCs w:val="34"/>
    </w:rPr>
  </w:style>
  <w:style w:type="paragraph" w:customStyle="1" w:styleId="Style31">
    <w:name w:val="_Style 31"/>
    <w:basedOn w:val="a1"/>
    <w:uiPriority w:val="99"/>
    <w:qFormat/>
    <w:pPr>
      <w:tabs>
        <w:tab w:val="left" w:pos="420"/>
      </w:tabs>
      <w:ind w:left="420" w:hanging="420"/>
    </w:pPr>
    <w:rPr>
      <w:rFonts w:ascii="Times New Roman" w:hAnsi="Times New Roman" w:cs="Times New Roman"/>
    </w:rPr>
  </w:style>
  <w:style w:type="paragraph" w:customStyle="1" w:styleId="afffb">
    <w:name w:val="项目标题"/>
    <w:basedOn w:val="a1"/>
    <w:uiPriority w:val="99"/>
    <w:qFormat/>
    <w:pPr>
      <w:autoSpaceDE w:val="0"/>
      <w:autoSpaceDN w:val="0"/>
      <w:adjustRightInd w:val="0"/>
      <w:spacing w:line="360" w:lineRule="auto"/>
      <w:textAlignment w:val="baseline"/>
    </w:pPr>
    <w:rPr>
      <w:rFonts w:ascii="黑体" w:eastAsia="黑体" w:hAnsi="Times New Roman" w:cs="黑体"/>
      <w:b/>
      <w:bCs/>
      <w:kern w:val="0"/>
      <w:sz w:val="24"/>
      <w:szCs w:val="24"/>
    </w:rPr>
  </w:style>
  <w:style w:type="paragraph" w:customStyle="1" w:styleId="CharChar1">
    <w:name w:val="Char Char1"/>
    <w:basedOn w:val="a1"/>
    <w:uiPriority w:val="99"/>
    <w:qFormat/>
    <w:rPr>
      <w:rFonts w:ascii="Times New Roman" w:hAnsi="Times New Roman" w:cs="Times New Roman"/>
    </w:rPr>
  </w:style>
  <w:style w:type="paragraph" w:customStyle="1" w:styleId="2">
    <w:name w:val="编号正文2"/>
    <w:basedOn w:val="a1"/>
    <w:uiPriority w:val="99"/>
    <w:qFormat/>
    <w:pPr>
      <w:numPr>
        <w:numId w:val="21"/>
      </w:numPr>
      <w:autoSpaceDE w:val="0"/>
      <w:autoSpaceDN w:val="0"/>
      <w:adjustRightInd w:val="0"/>
      <w:spacing w:after="120" w:line="300" w:lineRule="auto"/>
    </w:pPr>
    <w:rPr>
      <w:rFonts w:ascii="宋体" w:hAnsi="Times New Roman" w:cs="宋体"/>
      <w:kern w:val="0"/>
    </w:rPr>
  </w:style>
  <w:style w:type="paragraph" w:customStyle="1" w:styleId="ParaCharCharCharCharCharChar">
    <w:name w:val="默认段落字体 Para Char Char Char Char Char Char"/>
    <w:basedOn w:val="a1"/>
    <w:uiPriority w:val="99"/>
    <w:qFormat/>
    <w:pPr>
      <w:tabs>
        <w:tab w:val="left" w:pos="840"/>
      </w:tabs>
      <w:ind w:left="840" w:hanging="360"/>
    </w:pPr>
    <w:rPr>
      <w:rFonts w:ascii="Times New Roman" w:hAnsi="Times New Roman" w:cs="Times New Roman"/>
      <w:sz w:val="24"/>
      <w:szCs w:val="24"/>
    </w:rPr>
  </w:style>
  <w:style w:type="paragraph" w:customStyle="1" w:styleId="msonormal1">
    <w:name w:val="msonormal1"/>
    <w:uiPriority w:val="99"/>
    <w:qFormat/>
    <w:pPr>
      <w:widowControl w:val="0"/>
      <w:jc w:val="both"/>
    </w:pPr>
    <w:rPr>
      <w:rFonts w:ascii="Times New Roman" w:hAnsi="Times New Roman"/>
      <w:kern w:val="2"/>
      <w:sz w:val="21"/>
      <w:szCs w:val="21"/>
    </w:rPr>
  </w:style>
  <w:style w:type="paragraph" w:customStyle="1" w:styleId="CharCharCharChar1">
    <w:name w:val="Char Char Char Char1"/>
    <w:basedOn w:val="a1"/>
    <w:uiPriority w:val="99"/>
    <w:qFormat/>
    <w:rPr>
      <w:rFonts w:ascii="Times New Roman" w:hAnsi="Times New Roman" w:cs="Times New Roman"/>
    </w:rPr>
  </w:style>
  <w:style w:type="paragraph" w:customStyle="1" w:styleId="CharCharCharCharCharChar1CharCharChar1">
    <w:name w:val="Char Char Char Char Char Char1 Char Char Char1"/>
    <w:basedOn w:val="a1"/>
    <w:uiPriority w:val="99"/>
    <w:qFormat/>
    <w:pPr>
      <w:autoSpaceDE w:val="0"/>
      <w:autoSpaceDN w:val="0"/>
      <w:adjustRightInd w:val="0"/>
      <w:jc w:val="left"/>
      <w:textAlignment w:val="baseline"/>
    </w:pPr>
    <w:rPr>
      <w:rFonts w:ascii="宋体" w:hAnsi="Times New Roman" w:cs="宋体"/>
      <w:kern w:val="0"/>
      <w:sz w:val="34"/>
      <w:szCs w:val="34"/>
    </w:rPr>
  </w:style>
  <w:style w:type="paragraph" w:customStyle="1" w:styleId="CharCharChar2">
    <w:name w:val="Char Char Char2"/>
    <w:basedOn w:val="a1"/>
    <w:uiPriority w:val="99"/>
    <w:qFormat/>
    <w:rPr>
      <w:rFonts w:ascii="Times New Roman" w:hAnsi="Times New Roman" w:cs="Times New Roman"/>
    </w:rPr>
  </w:style>
  <w:style w:type="paragraph" w:customStyle="1" w:styleId="Char4">
    <w:name w:val="Char4"/>
    <w:basedOn w:val="a1"/>
    <w:uiPriority w:val="99"/>
    <w:qFormat/>
    <w:rPr>
      <w:rFonts w:ascii="Times New Roman" w:hAnsi="Times New Roman" w:cs="Times New Roman"/>
    </w:rPr>
  </w:style>
  <w:style w:type="paragraph" w:customStyle="1" w:styleId="CharChar3">
    <w:name w:val="Char Char3"/>
    <w:basedOn w:val="a1"/>
    <w:uiPriority w:val="99"/>
    <w:qFormat/>
    <w:rPr>
      <w:rFonts w:ascii="Times New Roman" w:hAnsi="Times New Roman" w:cs="Times New Roman"/>
    </w:rPr>
  </w:style>
  <w:style w:type="paragraph" w:customStyle="1" w:styleId="HD">
    <w:name w:val="HD正文"/>
    <w:basedOn w:val="a1"/>
    <w:qFormat/>
    <w:pPr>
      <w:snapToGrid w:val="0"/>
      <w:spacing w:line="360" w:lineRule="auto"/>
      <w:ind w:firstLineChars="200" w:firstLine="420"/>
    </w:pPr>
    <w:rPr>
      <w:rFonts w:ascii="Times New Roman" w:hAnsi="Times New Roman" w:cs="Times New Roman"/>
    </w:rPr>
  </w:style>
  <w:style w:type="paragraph" w:customStyle="1" w:styleId="CharChar12">
    <w:name w:val="Char Char12"/>
    <w:basedOn w:val="a1"/>
    <w:uiPriority w:val="99"/>
    <w:qFormat/>
    <w:rPr>
      <w:rFonts w:ascii="Times New Roman" w:hAnsi="Times New Roman" w:cs="Times New Roman"/>
    </w:rPr>
  </w:style>
  <w:style w:type="paragraph" w:customStyle="1" w:styleId="afffc">
    <w:name w:val="次标题"/>
    <w:basedOn w:val="3"/>
    <w:next w:val="a1"/>
    <w:uiPriority w:val="99"/>
    <w:qFormat/>
    <w:pPr>
      <w:tabs>
        <w:tab w:val="clear" w:pos="360"/>
      </w:tabs>
      <w:spacing w:line="416" w:lineRule="auto"/>
      <w:ind w:left="0" w:firstLine="0"/>
      <w:jc w:val="left"/>
    </w:pPr>
    <w:rPr>
      <w:rFonts w:ascii="宋体" w:hAnsi="宋体" w:cs="宋体"/>
      <w:sz w:val="24"/>
      <w:szCs w:val="24"/>
    </w:rPr>
  </w:style>
  <w:style w:type="paragraph" w:customStyle="1" w:styleId="CharCharChar1">
    <w:name w:val="Char Char Char1"/>
    <w:basedOn w:val="a1"/>
    <w:qFormat/>
    <w:rPr>
      <w:rFonts w:ascii="Times New Roman" w:hAnsi="Times New Roman" w:cs="Times New Roman"/>
    </w:rPr>
  </w:style>
  <w:style w:type="paragraph" w:customStyle="1" w:styleId="Char3">
    <w:name w:val="Char3"/>
    <w:basedOn w:val="a1"/>
    <w:uiPriority w:val="99"/>
    <w:qFormat/>
    <w:rPr>
      <w:rFonts w:ascii="Times New Roman" w:hAnsi="Times New Roman" w:cs="Times New Roman"/>
    </w:rPr>
  </w:style>
  <w:style w:type="paragraph" w:customStyle="1" w:styleId="CharChar2">
    <w:name w:val="Char Char2"/>
    <w:basedOn w:val="a1"/>
    <w:uiPriority w:val="99"/>
    <w:qFormat/>
    <w:rPr>
      <w:rFonts w:ascii="Times New Roman" w:hAnsi="Times New Roman" w:cs="Times New Roman"/>
    </w:rPr>
  </w:style>
  <w:style w:type="paragraph" w:customStyle="1" w:styleId="CharCharCharChar2">
    <w:name w:val="Char Char Char Char2"/>
    <w:basedOn w:val="a1"/>
    <w:uiPriority w:val="99"/>
    <w:qFormat/>
    <w:pPr>
      <w:tabs>
        <w:tab w:val="left" w:pos="360"/>
      </w:tabs>
    </w:pPr>
    <w:rPr>
      <w:rFonts w:ascii="Times New Roman" w:hAnsi="Times New Roman" w:cs="Times New Roman"/>
    </w:rPr>
  </w:style>
  <w:style w:type="paragraph" w:customStyle="1" w:styleId="CharChar11">
    <w:name w:val="Char Char11"/>
    <w:basedOn w:val="a1"/>
    <w:uiPriority w:val="99"/>
    <w:qFormat/>
    <w:rPr>
      <w:rFonts w:ascii="Times New Roman" w:hAnsi="Times New Roman" w:cs="Times New Roman"/>
    </w:rPr>
  </w:style>
  <w:style w:type="paragraph" w:customStyle="1" w:styleId="Char6">
    <w:name w:val="Char6"/>
    <w:basedOn w:val="a1"/>
    <w:uiPriority w:val="99"/>
    <w:qFormat/>
    <w:rPr>
      <w:rFonts w:ascii="Times New Roman" w:hAnsi="Times New Roman" w:cs="Times New Roman"/>
    </w:rPr>
  </w:style>
  <w:style w:type="paragraph" w:customStyle="1" w:styleId="CharCharCharChar5">
    <w:name w:val="Char Char Char Char5"/>
    <w:basedOn w:val="a1"/>
    <w:uiPriority w:val="99"/>
    <w:qFormat/>
    <w:pPr>
      <w:tabs>
        <w:tab w:val="left" w:pos="360"/>
      </w:tabs>
    </w:pPr>
    <w:rPr>
      <w:rFonts w:ascii="Times New Roman" w:hAnsi="Times New Roman" w:cs="Times New Roman"/>
    </w:rPr>
  </w:style>
  <w:style w:type="paragraph" w:customStyle="1" w:styleId="CharChar14">
    <w:name w:val="Char Char14"/>
    <w:basedOn w:val="a1"/>
    <w:uiPriority w:val="99"/>
    <w:qFormat/>
    <w:rPr>
      <w:rFonts w:ascii="Times New Roman" w:hAnsi="Times New Roman" w:cs="Times New Roman"/>
    </w:rPr>
  </w:style>
  <w:style w:type="paragraph" w:customStyle="1" w:styleId="CharCharChar3">
    <w:name w:val="Char Char Char3"/>
    <w:basedOn w:val="a1"/>
    <w:uiPriority w:val="99"/>
    <w:qFormat/>
    <w:rPr>
      <w:rFonts w:ascii="Times New Roman" w:hAnsi="Times New Roman" w:cs="Times New Roman"/>
    </w:rPr>
  </w:style>
  <w:style w:type="paragraph" w:customStyle="1" w:styleId="1Char">
    <w:name w:val="1 Char"/>
    <w:basedOn w:val="a1"/>
    <w:uiPriority w:val="99"/>
    <w:semiHidden/>
    <w:qFormat/>
    <w:pPr>
      <w:tabs>
        <w:tab w:val="left" w:pos="360"/>
      </w:tabs>
    </w:pPr>
    <w:rPr>
      <w:rFonts w:ascii="Times New Roman" w:hAnsi="Times New Roman" w:cs="Times New Roman"/>
      <w:sz w:val="24"/>
      <w:szCs w:val="24"/>
    </w:rPr>
  </w:style>
  <w:style w:type="paragraph" w:customStyle="1" w:styleId="1c">
    <w:name w:val="字元 字元1"/>
    <w:basedOn w:val="a1"/>
    <w:uiPriority w:val="99"/>
    <w:qFormat/>
    <w:rPr>
      <w:rFonts w:ascii="Tahoma" w:hAnsi="Tahoma" w:cs="Tahoma"/>
      <w:sz w:val="24"/>
      <w:szCs w:val="24"/>
    </w:rPr>
  </w:style>
  <w:style w:type="paragraph" w:customStyle="1" w:styleId="afffd">
    <w:name w:val="样式 宋体 居中"/>
    <w:basedOn w:val="a1"/>
    <w:uiPriority w:val="99"/>
    <w:qFormat/>
    <w:pPr>
      <w:jc w:val="center"/>
    </w:pPr>
    <w:rPr>
      <w:rFonts w:ascii="Times New Roman" w:hAnsi="Times New Roman" w:cs="Times New Roman"/>
    </w:rPr>
  </w:style>
  <w:style w:type="paragraph" w:customStyle="1" w:styleId="28">
    <w:name w:val="修订2"/>
    <w:hidden/>
    <w:uiPriority w:val="99"/>
    <w:semiHidden/>
    <w:qFormat/>
    <w:rPr>
      <w:rFonts w:cs="Calibri"/>
      <w:kern w:val="2"/>
      <w:sz w:val="21"/>
      <w:szCs w:val="21"/>
    </w:rPr>
  </w:style>
  <w:style w:type="paragraph" w:styleId="afffe">
    <w:name w:val="List Paragraph"/>
    <w:basedOn w:val="a1"/>
    <w:uiPriority w:val="34"/>
    <w:qFormat/>
    <w:pPr>
      <w:ind w:firstLineChars="200" w:firstLine="420"/>
    </w:pPr>
  </w:style>
  <w:style w:type="paragraph" w:customStyle="1" w:styleId="TOC2">
    <w:name w:val="TOC 标题2"/>
    <w:basedOn w:val="1"/>
    <w:next w:val="a1"/>
    <w:uiPriority w:val="39"/>
    <w:semiHidden/>
    <w:unhideWhenUsed/>
    <w:qFormat/>
    <w:pPr>
      <w:tabs>
        <w:tab w:val="clear" w:pos="432"/>
      </w:tabs>
      <w:spacing w:line="578" w:lineRule="auto"/>
      <w:ind w:left="0" w:firstLine="0"/>
      <w:outlineLvl w:val="9"/>
    </w:pPr>
    <w:rPr>
      <w:rFonts w:ascii="Calibri" w:hAnsi="Calibri" w:cs="Calibri"/>
    </w:rPr>
  </w:style>
  <w:style w:type="paragraph" w:styleId="affff">
    <w:name w:val="Revision"/>
    <w:hidden/>
    <w:uiPriority w:val="99"/>
    <w:semiHidden/>
    <w:rsid w:val="00136255"/>
    <w:rPr>
      <w:rFonts w:cs="Calibri"/>
      <w:kern w:val="2"/>
      <w:sz w:val="21"/>
      <w:szCs w:val="21"/>
    </w:rPr>
  </w:style>
  <w:style w:type="table" w:customStyle="1" w:styleId="-noheader">
    <w:name w:val="模板-表格_noheader"/>
    <w:basedOn w:val="a3"/>
    <w:rsid w:val="005E46B9"/>
    <w:pPr>
      <w:spacing w:line="312" w:lineRule="exact"/>
      <w:jc w:val="center"/>
      <w:textAlignment w:val="center"/>
    </w:pPr>
    <w:rPr>
      <w:rFonts w:ascii="Times New Roman" w:eastAsia="仿宋" w:hAnsi="Times New Roman"/>
      <w:color w:val="000000"/>
      <w:sz w:val="21"/>
    </w:rPr>
    <w:tblPr>
      <w:jc w:val="center"/>
      <w:tblBorders>
        <w:top w:val="single" w:sz="4" w:space="0" w:color="auto"/>
        <w:bottom w:val="single" w:sz="4" w:space="0" w:color="auto"/>
        <w:insideH w:val="dashed" w:sz="4" w:space="0" w:color="auto"/>
      </w:tblBorders>
    </w:tblPr>
    <w:trPr>
      <w:jc w:val="center"/>
    </w:trPr>
    <w:tcPr>
      <w:vAlign w:val="center"/>
    </w:tcPr>
  </w:style>
  <w:style w:type="table" w:customStyle="1" w:styleId="-noheader1">
    <w:name w:val="模板-表格_noheader1"/>
    <w:basedOn w:val="a3"/>
    <w:rsid w:val="005E46B9"/>
    <w:pPr>
      <w:spacing w:line="312" w:lineRule="exact"/>
      <w:jc w:val="center"/>
      <w:textAlignment w:val="center"/>
    </w:pPr>
    <w:rPr>
      <w:rFonts w:ascii="Times New Roman" w:eastAsia="仿宋" w:hAnsi="Times New Roman"/>
      <w:color w:val="000000"/>
      <w:sz w:val="21"/>
    </w:rPr>
    <w:tblPr>
      <w:jc w:val="center"/>
      <w:tblBorders>
        <w:top w:val="single" w:sz="4" w:space="0" w:color="auto"/>
        <w:bottom w:val="single" w:sz="4" w:space="0" w:color="auto"/>
        <w:insideH w:val="dashed" w:sz="4" w:space="0" w:color="auto"/>
      </w:tblBorders>
    </w:tblPr>
    <w:trPr>
      <w:jc w:val="center"/>
    </w:tr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686C2-3507-4239-92A7-74DEEE96A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15565</Words>
  <Characters>88722</Characters>
  <Application>Microsoft Office Word</Application>
  <DocSecurity>0</DocSecurity>
  <Lines>739</Lines>
  <Paragraphs>208</Paragraphs>
  <ScaleCrop>false</ScaleCrop>
  <Company/>
  <LinksUpToDate>false</LinksUpToDate>
  <CharactersWithSpaces>104079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刘梵溪</dc:creator>
  <cp:keywords/>
  <dc:description/>
  <cp:lastModifiedBy>刘梵溪</cp:lastModifiedBy>
  <cp:revision>2</cp:revision>
  <cp:lastPrinted>2025-05-09T06:57:00Z</cp:lastPrinted>
  <dcterms:created xsi:type="dcterms:W3CDTF">2025-09-26T09:05:00Z</dcterms:created>
  <dcterms:modified xsi:type="dcterms:W3CDTF">2025-09-26T09:05:00Z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53CFF689AE9F4940BD6B73F2CC2B2B3F_13</vt:lpwstr>
  </property>
</Properties>
</file>