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易方达中证红利价值交易型开放式指数证券投资基金联接基金（易方达中证红利价值ETF联接C）基金产品资料概要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2025年6月18日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2025年6月19日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易方达中证红利价值ETF联接</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024564</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易方达中证红利价值ETF联接C</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024565</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兴业银行股份有限公司</w:t>
            </w:r>
            <w:r w:rsidR="00A73782">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基金中基金</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刘文魁</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2013-12-16</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w:t>
            </w:r>
          </w:p>
        </w:tc>
        <w:tc>
          <w:tcPr>
            <w:tcW w:w="3855" w:type="pct"/>
            <w:gridSpan w:val="3"/>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金份额持有人利益优先原则维持基金投资运作。</w:t>
            </w:r>
          </w:p>
        </w:tc>
      </w:tr>
    </w:tbl>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紧密跟踪业绩比较基准，追求跟踪偏离度和跟踪误差的最小化。</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如法律法规或监管机构以后允许基金投资其他品种，基金管理人在履行适当程序后，本基金可以将其纳入投资范围。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本基金将根据法律法规的规定参与转融通证券出借及融资业务。</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本基金投资于目标ETF的资产不低于基金资产净值的90%，保持不低于基金资产净值5%的现金或者到期日在一年以内的政府债券，其中现金不包括结算备付金、存出保证金、应收申购款等。</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本基金的标的指数为中证红利价值指数，及其未来可能发生的变更。</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易方达中证红利价值ETF的联接基金，主要通过投资于易方达中证红利价值ETF实现对业绩比较基准的紧密跟踪，力争将日均跟踪偏离度的绝对值控制在0.35%以内，年化跟踪误差控制在4%以内，主要投资策略包括目标ETF投资策略、股票（含存托凭证）投资策略、债券和货币市场工具投资策略、衍生品投资策略、参与转融通证券出借业务策略、融资业务策略等。</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中证红利价值指数收益率×95%+活期存款利率（税后）×5%</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tc>
      </w:tr>
    </w:tbl>
    <w:p w:rsidR="00AD3A6F" w:rsidRPr="0086475C">
      <w:pPr>
        <w:spacing w:line="280" w:lineRule="exact"/>
        <w:rPr>
          <w:rFonts w:ascii="方正仿宋简体" w:eastAsia="方正仿宋简体" w:hAnsiTheme="minorEastAsia" w:cs="方正仿宋简体"/>
          <w:iCs/>
          <w:szCs w:val="24"/>
        </w:rPr>
      </w:pPr>
      <w:r w:rsidR="00A73782">
        <w:rPr>
          <w:rFonts w:ascii="方正仿宋简体" w:eastAsia="方正仿宋简体" w:hAnsiTheme="minorEastAsia" w:cs="方正仿宋简体" w:hint="eastAsia"/>
          <w:iCs/>
          <w:szCs w:val="24"/>
        </w:rPr>
        <w:t>注：投资者可阅读《招募说明书》基金的投资章节了解详细情况。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sidR="00E27EE9">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6"/>
        <w:gridCol w:w="1135"/>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份额（S）或金额（M）</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/持有期限（N）</w:t>
            </w:r>
          </w:p>
        </w:tc>
        <w:tc>
          <w:tcPr>
            <w:tcW w:w="66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0天</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N</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6天</w:t>
            </w:r>
            <w:r w:rsidR="00A73782">
              <w:rPr>
                <w:rFonts w:ascii="方正仿宋简体" w:eastAsia="方正仿宋简体" w:hAnsi="方正仿宋简体" w:cs="方正仿宋简体" w:hint="eastAsia"/>
                <w:bCs/>
                <w:iCs/>
                <w:color w:val="000000" w:themeColor="text1"/>
              </w:rPr>
              <w:t xml:space="preserve">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1.50%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N</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7天</w:t>
            </w:r>
            <w:r w:rsidR="00A73782">
              <w:rPr>
                <w:rFonts w:ascii="方正仿宋简体" w:eastAsia="方正仿宋简体" w:hAnsi="方正仿宋简体" w:cs="方正仿宋简体" w:hint="eastAsia"/>
                <w:bCs/>
                <w:iCs/>
                <w:color w:val="000000" w:themeColor="text1"/>
              </w:rPr>
              <w:t xml:space="preserve">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0.00%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sidR="00A73782">
        <w:rPr>
          <w:rFonts w:ascii="方正仿宋简体" w:eastAsia="方正仿宋简体" w:hAnsi="方正仿宋简体" w:cs="方正仿宋简体" w:hint="eastAsia"/>
          <w:iCs/>
          <w:color w:val="000000" w:themeColor="text1"/>
        </w:rPr>
        <w:t>注：</w:t>
      </w:r>
      <w:r w:rsidR="00A73782">
        <w:rPr>
          <w:rFonts w:ascii="方正仿宋简体" w:eastAsia="方正仿宋简体" w:hAnsi="方正仿宋简体" w:cs="方正仿宋简体" w:hint="eastAsia"/>
          <w:iCs/>
          <w:color w:val="000000" w:themeColor="text1"/>
        </w:rPr>
        <w:t>本基金C类基金份额在投资者认购/申购时不收取认购/申购费用，在持有期间收取销售服务费。</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年费率0.15%</w:t>
            </w:r>
            <w:r>
              <w:rPr>
                <w:rFonts w:ascii="方正仿宋简体" w:eastAsia="方正仿宋简体" w:hAnsi="方正仿宋简体" w:cs="方正仿宋简体" w:hint="eastAsia"/>
                <w:bCs/>
                <w:iCs/>
              </w:rPr>
              <w:t xml:space="preserve">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基金管理人、销售机构</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sidR="00A73782">
              <w:rPr>
                <w:rFonts w:ascii="方正仿宋简体" w:eastAsia="方正仿宋简体" w:hAnsiTheme="minorEastAsia" w:cs="方正仿宋简体" w:hint="eastAsia"/>
                <w:bCs/>
                <w:iCs/>
              </w:rPr>
              <w:t>年费率0.05%</w:t>
            </w:r>
            <w:r w:rsidR="00A73782">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sidR="00A73782">
              <w:rPr>
                <w:rFonts w:ascii="方正仿宋简体" w:eastAsia="方正仿宋简体" w:hAnsiTheme="minorEastAsia" w:cs="方正仿宋简体" w:hint="eastAsia"/>
                <w:bCs/>
                <w:iCs/>
              </w:rPr>
              <w:t>年费率0.30%</w:t>
            </w:r>
            <w:r w:rsidR="00A73782">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销售机构</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sidR="00A73782">
              <w:rPr>
                <w:rFonts w:ascii="方正仿宋简体" w:eastAsia="方正仿宋简体" w:hAnsiTheme="minorEastAsia" w:cs="方正仿宋简体" w:hint="eastAsia"/>
                <w:bCs/>
                <w:iCs/>
              </w:rPr>
              <w:t>详见招募说明书的基金费用与税收章节。</w:t>
            </w:r>
            <w:r w:rsidR="00A73782">
              <w:rPr>
                <w:rFonts w:ascii="方正仿宋简体" w:eastAsia="方正仿宋简体" w:hAnsiTheme="minorEastAsia" w:cs="方正仿宋简体" w:hint="eastAsia"/>
                <w:bCs/>
                <w:iCs/>
              </w:rPr>
              <w:t xml:space="preserve"> </w:t>
            </w:r>
            <w:r w:rsidR="00A73782">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sidRPr="003F6076" w:rsidR="00DE40A4">
        <w:rPr>
          <w:rFonts w:ascii="方正仿宋简体" w:eastAsia="方正仿宋简体" w:hAnsi="方正仿宋简体" w:cs="方正仿宋简体" w:hint="eastAsia"/>
          <w:bCs/>
          <w:iCs/>
        </w:rPr>
        <w:t>注：本基金的管理费按前一日基金资产净值扣除前一日所持有目标ETF公允价值后的余额（若为负数，则取0）的0.15%年费率计提。本基金的托管费按前一日基金资产净值扣除前一日所持有目标ETF公允价值后的余额（若为负数，则取0）的0.05%年费率计提。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指数化投资的风险，包括标的指数回报与股票市场平均回报偏离的风险、标的指数波动的风险、部分成份股权重较大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2）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3）投资特定品种（包括股指期货、国债期货、股票期权等金融衍生品、北交所股票、资产支持证券、存托凭证等）的特有风险；（4）参与转融通证券出借业务的风险等。本基金的特有风险及一般风险详见招募说明书的“风险揭示”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以下资料详见基金管理人网站[www.efunds.com.cn][客服电话:4008818088]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578C"/>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34C"/>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2B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90D"/>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02A4"/>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Char"/>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395F"/>
    <w:rPr>
      <w:sz w:val="18"/>
      <w:szCs w:val="18"/>
    </w:rPr>
  </w:style>
  <w:style w:type="paragraph" w:styleId="Footer">
    <w:name w:val="footer"/>
    <w:basedOn w:val="Normal"/>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395F"/>
    <w:rPr>
      <w:sz w:val="18"/>
      <w:szCs w:val="18"/>
    </w:rPr>
  </w:style>
  <w:style w:type="paragraph" w:styleId="BalloonText">
    <w:name w:val="Balloon Text"/>
    <w:basedOn w:val="Normal"/>
    <w:link w:val="Char1"/>
    <w:uiPriority w:val="99"/>
    <w:semiHidden/>
    <w:unhideWhenUsed/>
    <w:rsid w:val="000676AA"/>
    <w:rPr>
      <w:sz w:val="18"/>
      <w:szCs w:val="18"/>
    </w:rPr>
  </w:style>
  <w:style w:type="character" w:customStyle="1" w:styleId="Char1">
    <w:name w:val="批注框文本 Char"/>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DefaultParagraphFont"/>
    <w:link w:val="FootnoteText"/>
    <w:qFormat/>
    <w:rsid w:val="00CC22C3"/>
    <w:rPr>
      <w:rFonts w:ascii="Calibri" w:eastAsia="宋体" w:hAnsi="Calibri" w:cs="Times New Roman"/>
      <w:sz w:val="18"/>
      <w:szCs w:val="24"/>
    </w:rPr>
  </w:style>
  <w:style w:type="character" w:customStyle="1" w:styleId="1Char">
    <w:name w:val="标题 1 Char"/>
    <w:basedOn w:val="DefaultParagraphFont"/>
    <w:link w:val="Heading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dministrator/AppData/Roaming/Microsoft/Templates/Normal.dotm"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47D2-16CF-41A4-BD93-C12FD401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