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3B526D">
      <w:pPr>
        <w:snapToGrid w:val="0"/>
        <w:spacing w:line="360" w:lineRule="auto"/>
        <w:jc w:val="center"/>
        <w:rPr>
          <w:rFonts w:ascii="宋体" w:hAnsi="宋体"/>
          <w:b/>
          <w:color w:val="000000"/>
          <w:sz w:val="24"/>
        </w:rPr>
      </w:pPr>
    </w:p>
    <w:p w:rsidR="003B526D">
      <w:pPr>
        <w:snapToGrid w:val="0"/>
        <w:spacing w:line="360" w:lineRule="auto"/>
        <w:jc w:val="center"/>
        <w:rPr>
          <w:rFonts w:ascii="宋体" w:hAnsi="宋体"/>
          <w:b/>
          <w:color w:val="000000"/>
          <w:sz w:val="24"/>
        </w:rPr>
      </w:pPr>
    </w:p>
    <w:p w:rsidR="003B526D">
      <w:pPr>
        <w:snapToGrid w:val="0"/>
        <w:spacing w:line="360" w:lineRule="auto"/>
        <w:jc w:val="center"/>
        <w:rPr>
          <w:rFonts w:ascii="宋体" w:hAnsi="宋体"/>
          <w:b/>
          <w:color w:val="000000"/>
          <w:sz w:val="24"/>
        </w:rPr>
      </w:pPr>
    </w:p>
    <w:p w:rsidR="003B526D">
      <w:pPr>
        <w:snapToGrid w:val="0"/>
        <w:spacing w:line="360" w:lineRule="auto"/>
        <w:jc w:val="center"/>
        <w:rPr>
          <w:rFonts w:ascii="宋体" w:hAnsi="宋体"/>
          <w:b/>
          <w:color w:val="000000"/>
          <w:sz w:val="24"/>
          <w:lang w:eastAsia="zh-CN"/>
        </w:rPr>
      </w:pPr>
    </w:p>
    <w:p w:rsidR="003B526D">
      <w:pPr>
        <w:snapToGrid w:val="0"/>
        <w:spacing w:line="360" w:lineRule="auto"/>
        <w:jc w:val="center"/>
        <w:rPr>
          <w:rFonts w:ascii="宋体" w:hAnsi="宋体"/>
          <w:b/>
          <w:color w:val="000000"/>
          <w:sz w:val="24"/>
          <w:lang w:eastAsia="zh-CN"/>
        </w:rPr>
      </w:pPr>
    </w:p>
    <w:p w:rsidR="003B526D">
      <w:pPr>
        <w:snapToGrid w:val="0"/>
        <w:spacing w:line="360" w:lineRule="auto"/>
        <w:jc w:val="center"/>
        <w:rPr>
          <w:rFonts w:ascii="宋体" w:hAnsi="宋体"/>
          <w:b/>
          <w:color w:val="000000"/>
          <w:sz w:val="24"/>
          <w:lang w:eastAsia="zh-CN"/>
        </w:rPr>
      </w:pPr>
    </w:p>
    <w:p w:rsidR="003B526D" w:rsidRPr="00E9363B">
      <w:pPr>
        <w:jc w:val="center"/>
        <w:rPr>
          <w:rFonts w:ascii="宋体" w:hAnsi="宋体"/>
          <w:b/>
          <w:color w:val="000000"/>
          <w:sz w:val="48"/>
          <w:szCs w:val="48"/>
          <w:lang w:eastAsia="zh-CN"/>
        </w:rPr>
      </w:pPr>
      <w:r w:rsidRPr="00E9363B">
        <w:rPr>
          <w:rFonts w:ascii="宋体" w:hAnsi="宋体" w:hint="eastAsia"/>
          <w:b/>
          <w:color w:val="000000" w:themeColor="text1"/>
          <w:sz w:val="48"/>
          <w:szCs w:val="48"/>
          <w:lang w:eastAsia="zh-CN"/>
        </w:rPr>
        <w:t>易方达中证红利价值交易型开放式指数证券投资基金联接基金托管协议</w:t>
      </w:r>
    </w:p>
    <w:p w:rsidR="003B526D" w:rsidRPr="00E9363B">
      <w:pPr>
        <w:snapToGrid w:val="0"/>
        <w:spacing w:line="360" w:lineRule="auto"/>
        <w:jc w:val="center"/>
        <w:rPr>
          <w:rFonts w:ascii="宋体" w:hAnsi="宋体"/>
          <w:color w:val="000000"/>
          <w:sz w:val="24"/>
          <w:lang w:eastAsia="zh-CN"/>
        </w:rPr>
      </w:pPr>
    </w:p>
    <w:p w:rsidR="003B526D" w:rsidRPr="00E9363B">
      <w:pPr>
        <w:snapToGrid w:val="0"/>
        <w:spacing w:line="360" w:lineRule="auto"/>
        <w:jc w:val="center"/>
        <w:rPr>
          <w:rFonts w:ascii="宋体" w:hAnsi="宋体"/>
          <w:color w:val="000000"/>
          <w:sz w:val="24"/>
          <w:lang w:eastAsia="zh-CN"/>
        </w:rPr>
      </w:pPr>
    </w:p>
    <w:p w:rsidR="003B526D" w:rsidRPr="00E9363B">
      <w:pPr>
        <w:snapToGrid w:val="0"/>
        <w:spacing w:line="360" w:lineRule="auto"/>
        <w:jc w:val="center"/>
        <w:rPr>
          <w:rFonts w:ascii="宋体" w:hAnsi="宋体"/>
          <w:color w:val="000000"/>
          <w:sz w:val="24"/>
          <w:lang w:eastAsia="zh-CN"/>
        </w:rPr>
      </w:pPr>
    </w:p>
    <w:p w:rsidR="003B526D" w:rsidRPr="00E9363B">
      <w:pPr>
        <w:snapToGrid w:val="0"/>
        <w:spacing w:line="360" w:lineRule="auto"/>
        <w:jc w:val="center"/>
        <w:rPr>
          <w:rFonts w:ascii="宋体" w:hAnsi="宋体"/>
          <w:color w:val="000000"/>
          <w:sz w:val="24"/>
          <w:lang w:eastAsia="zh-CN"/>
        </w:rPr>
      </w:pPr>
    </w:p>
    <w:p w:rsidR="003B526D" w:rsidRPr="00E9363B">
      <w:pPr>
        <w:snapToGrid w:val="0"/>
        <w:spacing w:line="360" w:lineRule="auto"/>
        <w:jc w:val="center"/>
        <w:rPr>
          <w:rFonts w:ascii="宋体" w:hAnsi="宋体"/>
          <w:color w:val="000000"/>
          <w:sz w:val="24"/>
          <w:lang w:eastAsia="zh-CN"/>
        </w:rPr>
      </w:pPr>
    </w:p>
    <w:p w:rsidR="003B526D" w:rsidRPr="00E9363B">
      <w:pPr>
        <w:snapToGrid w:val="0"/>
        <w:spacing w:line="360" w:lineRule="auto"/>
        <w:jc w:val="center"/>
        <w:rPr>
          <w:rFonts w:ascii="宋体" w:hAnsi="宋体"/>
          <w:color w:val="000000"/>
          <w:sz w:val="24"/>
          <w:lang w:eastAsia="zh-CN"/>
        </w:rPr>
      </w:pPr>
    </w:p>
    <w:p w:rsidR="003B526D" w:rsidRPr="00E9363B">
      <w:pPr>
        <w:snapToGrid w:val="0"/>
        <w:spacing w:line="360" w:lineRule="auto"/>
        <w:jc w:val="center"/>
        <w:rPr>
          <w:rFonts w:ascii="宋体" w:hAnsi="宋体"/>
          <w:color w:val="000000"/>
          <w:sz w:val="24"/>
          <w:lang w:eastAsia="zh-CN"/>
        </w:rPr>
      </w:pPr>
    </w:p>
    <w:p w:rsidR="003B526D" w:rsidRPr="00E9363B">
      <w:pPr>
        <w:snapToGrid w:val="0"/>
        <w:spacing w:line="360" w:lineRule="auto"/>
        <w:jc w:val="center"/>
        <w:rPr>
          <w:rFonts w:ascii="宋体" w:hAnsi="宋体"/>
          <w:b/>
          <w:bCs/>
          <w:color w:val="000000"/>
          <w:sz w:val="32"/>
          <w:szCs w:val="32"/>
          <w:lang w:eastAsia="zh-CN"/>
        </w:rPr>
      </w:pPr>
      <w:r w:rsidRPr="00E9363B">
        <w:rPr>
          <w:rFonts w:ascii="宋体" w:hAnsi="宋体" w:hint="eastAsia"/>
          <w:b/>
          <w:bCs/>
          <w:color w:val="000000" w:themeColor="text1"/>
          <w:sz w:val="32"/>
          <w:szCs w:val="32"/>
          <w:lang w:eastAsia="zh-CN"/>
        </w:rPr>
        <w:t>基金管理人：易方达基金管理有限公司</w:t>
      </w:r>
    </w:p>
    <w:p w:rsidR="003B526D" w:rsidRPr="00E9363B">
      <w:pPr>
        <w:snapToGrid w:val="0"/>
        <w:spacing w:line="360" w:lineRule="auto"/>
        <w:jc w:val="center"/>
        <w:rPr>
          <w:rFonts w:ascii="宋体" w:hAnsi="宋体"/>
          <w:b/>
          <w:bCs/>
          <w:color w:val="000000"/>
          <w:sz w:val="32"/>
          <w:szCs w:val="32"/>
          <w:lang w:eastAsia="zh-CN"/>
        </w:rPr>
      </w:pPr>
      <w:r w:rsidRPr="00E9363B">
        <w:rPr>
          <w:rFonts w:ascii="宋体" w:hAnsi="宋体" w:hint="eastAsia"/>
          <w:b/>
          <w:bCs/>
          <w:color w:val="000000" w:themeColor="text1"/>
          <w:sz w:val="32"/>
          <w:szCs w:val="32"/>
          <w:lang w:eastAsia="zh-CN"/>
        </w:rPr>
        <w:t>基金托管人：兴业银行股份有限公司</w:t>
      </w:r>
    </w:p>
    <w:p w:rsidR="003B526D" w:rsidRPr="00E9363B">
      <w:pPr>
        <w:snapToGrid w:val="0"/>
        <w:spacing w:line="360" w:lineRule="auto"/>
        <w:jc w:val="center"/>
        <w:rPr>
          <w:rFonts w:ascii="宋体" w:hAnsi="宋体"/>
          <w:b/>
          <w:bCs/>
          <w:color w:val="000000"/>
          <w:sz w:val="32"/>
          <w:szCs w:val="32"/>
          <w:lang w:eastAsia="zh-CN"/>
        </w:rPr>
      </w:pPr>
    </w:p>
    <w:p w:rsidR="003B526D" w:rsidRPr="00E9363B">
      <w:pPr>
        <w:snapToGrid w:val="0"/>
        <w:spacing w:line="360" w:lineRule="auto"/>
        <w:jc w:val="center"/>
        <w:rPr>
          <w:rFonts w:ascii="宋体" w:hAnsi="宋体"/>
          <w:b/>
          <w:bCs/>
          <w:color w:val="000000"/>
          <w:sz w:val="32"/>
          <w:szCs w:val="32"/>
        </w:rPr>
        <w:sectPr>
          <w:footerReference w:type="even" r:id="rId5"/>
          <w:headerReference w:type="first" r:id="rId6"/>
          <w:footerReference w:type="first" r:id="rId7"/>
          <w:pgSz w:w="11906" w:h="16838"/>
          <w:pgMar w:top="1418" w:right="1701" w:bottom="1418" w:left="1701" w:header="851" w:footer="992" w:gutter="0"/>
          <w:pgNumType w:start="1"/>
          <w:cols w:space="720"/>
          <w:titlePg/>
          <w:docGrid w:type="lines" w:linePitch="312"/>
        </w:sectPr>
      </w:pPr>
      <w:r w:rsidRPr="00E9363B">
        <w:rPr>
          <w:rFonts w:ascii="宋体" w:hAnsi="宋体" w:hint="eastAsia"/>
          <w:b/>
          <w:bCs/>
          <w:color w:val="000000" w:themeColor="text1"/>
          <w:sz w:val="32"/>
          <w:szCs w:val="32"/>
          <w:lang w:eastAsia="zh-CN"/>
        </w:rPr>
        <w:t>二〇二</w:t>
      </w:r>
      <w:r w:rsidR="00FA70F6">
        <w:rPr>
          <w:rFonts w:ascii="宋体" w:hAnsi="宋体" w:hint="eastAsia"/>
          <w:b/>
          <w:bCs/>
          <w:color w:val="000000" w:themeColor="text1"/>
          <w:sz w:val="32"/>
          <w:szCs w:val="32"/>
          <w:lang w:eastAsia="zh-CN"/>
        </w:rPr>
        <w:t>五</w:t>
      </w:r>
      <w:r w:rsidRPr="00E9363B">
        <w:rPr>
          <w:rFonts w:ascii="宋体" w:hAnsi="宋体" w:hint="eastAsia"/>
          <w:b/>
          <w:bCs/>
          <w:color w:val="000000" w:themeColor="text1"/>
          <w:sz w:val="32"/>
          <w:szCs w:val="32"/>
        </w:rPr>
        <w:t>年</w:t>
      </w:r>
      <w:r w:rsidR="00FA70F6">
        <w:rPr>
          <w:rFonts w:ascii="宋体" w:hAnsi="宋体" w:hint="eastAsia"/>
          <w:b/>
          <w:bCs/>
          <w:color w:val="000000" w:themeColor="text1"/>
          <w:sz w:val="32"/>
          <w:szCs w:val="32"/>
          <w:lang w:eastAsia="zh-CN"/>
        </w:rPr>
        <w:t>六</w:t>
      </w:r>
      <w:r w:rsidRPr="00E9363B">
        <w:rPr>
          <w:rFonts w:ascii="宋体" w:hAnsi="宋体" w:hint="eastAsia"/>
          <w:b/>
          <w:bCs/>
          <w:color w:val="000000" w:themeColor="text1"/>
          <w:sz w:val="32"/>
          <w:szCs w:val="32"/>
        </w:rPr>
        <w:t>月</w:t>
      </w:r>
    </w:p>
    <w:p w:rsidR="003B526D" w:rsidRPr="00E9363B">
      <w:pPr>
        <w:spacing w:before="156" w:beforeLines="50" w:after="156" w:afterLines="50" w:line="360" w:lineRule="auto"/>
        <w:jc w:val="center"/>
        <w:rPr>
          <w:b/>
          <w:bCs/>
        </w:rPr>
      </w:pPr>
      <w:r w:rsidRPr="00E9363B">
        <w:rPr>
          <w:rFonts w:hint="eastAsia"/>
          <w:b/>
          <w:bCs/>
          <w:sz w:val="30"/>
        </w:rPr>
        <w:t>目</w:t>
      </w:r>
      <w:r w:rsidRPr="00E9363B">
        <w:rPr>
          <w:rFonts w:ascii="宋体" w:hAnsi="宋体" w:cs="宋体"/>
          <w:b/>
          <w:bCs/>
          <w:sz w:val="30"/>
        </w:rPr>
        <w:t xml:space="preserve"> </w:t>
      </w:r>
      <w:r w:rsidRPr="00E9363B">
        <w:rPr>
          <w:rFonts w:hint="eastAsia"/>
          <w:b/>
          <w:bCs/>
          <w:sz w:val="30"/>
        </w:rPr>
        <w:t>录</w:t>
      </w:r>
    </w:p>
    <w:p w:rsidR="003B526D" w:rsidRPr="00E9363B">
      <w:pPr>
        <w:pStyle w:val="TOC1"/>
        <w:tabs>
          <w:tab w:val="right" w:leader="dot" w:pos="8494"/>
        </w:tabs>
        <w:rPr>
          <w:rFonts w:ascii="Calibri" w:hAnsi="Calibri" w:cs="Calibri"/>
          <w:noProof/>
          <w:sz w:val="22"/>
          <w:szCs w:val="22"/>
          <w:lang w:eastAsia="zh-CN"/>
        </w:rPr>
      </w:pPr>
      <w:r w:rsidRPr="00E9363B">
        <w:rPr>
          <w:b/>
          <w:sz w:val="24"/>
          <w:szCs w:val="24"/>
        </w:rPr>
        <w:fldChar w:fldCharType="begin"/>
      </w:r>
      <w:r w:rsidRPr="00E9363B">
        <w:rPr>
          <w:rFonts w:ascii="宋体" w:hAnsi="宋体" w:cs="宋体"/>
          <w:b/>
        </w:rPr>
        <w:instrText xml:space="preserve"> TOC \o "1-2" \h \z </w:instrText>
      </w:r>
      <w:r w:rsidRPr="00E9363B">
        <w:rPr>
          <w:b/>
          <w:sz w:val="24"/>
          <w:szCs w:val="24"/>
        </w:rPr>
        <w:fldChar w:fldCharType="separate"/>
      </w:r>
      <w:hyperlink w:anchor="_Toc134110538" w:tooltip="Current Document" w:history="1">
        <w:r w:rsidRPr="00E9363B">
          <w:rPr>
            <w:rStyle w:val="Hyperlink"/>
            <w:rFonts w:hint="eastAsia"/>
            <w:noProof/>
          </w:rPr>
          <w:t>一、基金托管协议当事人</w:t>
        </w:r>
        <w:r w:rsidRPr="00E9363B">
          <w:rPr>
            <w:rFonts w:ascii="宋体" w:hAnsi="宋体" w:cs="宋体"/>
            <w:noProof/>
          </w:rPr>
          <w:tab/>
        </w:r>
        <w:r w:rsidRPr="00E9363B">
          <w:rPr>
            <w:noProof/>
          </w:rPr>
          <w:fldChar w:fldCharType="begin"/>
        </w:r>
        <w:r w:rsidRPr="00E9363B">
          <w:rPr>
            <w:rFonts w:ascii="宋体" w:hAnsi="宋体" w:cs="宋体"/>
            <w:noProof/>
          </w:rPr>
          <w:instrText xml:space="preserve"> PAGEREF _Toc134110538 \h </w:instrText>
        </w:r>
        <w:r w:rsidRPr="00E9363B">
          <w:rPr>
            <w:noProof/>
          </w:rPr>
          <w:fldChar w:fldCharType="separate"/>
        </w:r>
        <w:r w:rsidR="00192EE6">
          <w:rPr>
            <w:rFonts w:ascii="宋体" w:hAnsi="宋体" w:cs="宋体"/>
            <w:noProof/>
          </w:rPr>
          <w:t>4</w:t>
        </w:r>
        <w:r w:rsidRPr="00E9363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39" w:tooltip="Current Document" w:history="1">
        <w:r w:rsidRPr="00E9363B" w:rsidR="0035249B">
          <w:rPr>
            <w:rStyle w:val="Hyperlink"/>
            <w:rFonts w:hint="eastAsia"/>
            <w:noProof/>
          </w:rPr>
          <w:t>二、基金托管协议的依据、目的和原则</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_Toc134110539 \h </w:instrText>
        </w:r>
        <w:r w:rsidRPr="00E9363B" w:rsidR="0035249B">
          <w:rPr>
            <w:noProof/>
          </w:rPr>
          <w:fldChar w:fldCharType="separate"/>
        </w:r>
        <w:r>
          <w:rPr>
            <w:rFonts w:ascii="宋体" w:hAnsi="宋体" w:cs="宋体"/>
            <w:noProof/>
          </w:rPr>
          <w:t>6</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40" w:tooltip="Current Document" w:history="1">
        <w:r w:rsidRPr="00E9363B" w:rsidR="0035249B">
          <w:rPr>
            <w:rStyle w:val="Hyperlink"/>
            <w:rFonts w:hint="eastAsia"/>
            <w:noProof/>
          </w:rPr>
          <w:t>三、基金托管人对基金管理人的业务监督和核查</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_Toc134110540 \h </w:instrText>
        </w:r>
        <w:r w:rsidRPr="00E9363B" w:rsidR="0035249B">
          <w:rPr>
            <w:noProof/>
          </w:rPr>
          <w:fldChar w:fldCharType="separate"/>
        </w:r>
        <w:r>
          <w:rPr>
            <w:rFonts w:ascii="宋体" w:hAnsi="宋体" w:cs="宋体"/>
            <w:noProof/>
          </w:rPr>
          <w:t>7</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41" w:tooltip="Current Document" w:history="1">
        <w:r w:rsidRPr="00E9363B" w:rsidR="0035249B">
          <w:rPr>
            <w:rStyle w:val="Hyperlink"/>
            <w:rFonts w:hint="eastAsia"/>
            <w:noProof/>
          </w:rPr>
          <w:t>四、基金管理人对基金托管人的业务核查</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_Toc134110541 \h </w:instrText>
        </w:r>
        <w:r w:rsidRPr="00E9363B" w:rsidR="0035249B">
          <w:rPr>
            <w:noProof/>
          </w:rPr>
          <w:fldChar w:fldCharType="separate"/>
        </w:r>
        <w:r>
          <w:rPr>
            <w:rFonts w:ascii="宋体" w:hAnsi="宋体" w:cs="宋体"/>
            <w:noProof/>
          </w:rPr>
          <w:t>15</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42" w:tooltip="Current Document" w:history="1">
        <w:r w:rsidRPr="00E9363B" w:rsidR="0035249B">
          <w:rPr>
            <w:rStyle w:val="Hyperlink"/>
            <w:rFonts w:hint="eastAsia"/>
            <w:noProof/>
          </w:rPr>
          <w:t>五、基金财产的保管</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_Toc134110542 \h </w:instrText>
        </w:r>
        <w:r w:rsidRPr="00E9363B" w:rsidR="0035249B">
          <w:rPr>
            <w:noProof/>
          </w:rPr>
          <w:fldChar w:fldCharType="separate"/>
        </w:r>
        <w:r>
          <w:rPr>
            <w:rFonts w:ascii="宋体" w:hAnsi="宋体" w:cs="宋体"/>
            <w:noProof/>
          </w:rPr>
          <w:t>16</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43" w:tooltip="Current Document" w:history="1">
        <w:r w:rsidRPr="00E9363B" w:rsidR="0035249B">
          <w:rPr>
            <w:rStyle w:val="Hyperlink"/>
            <w:rFonts w:hint="eastAsia"/>
            <w:noProof/>
          </w:rPr>
          <w:t>六、指令的发送、确认及执行</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_Toc134110543 \h </w:instrText>
        </w:r>
        <w:r w:rsidRPr="00E9363B" w:rsidR="0035249B">
          <w:rPr>
            <w:noProof/>
          </w:rPr>
          <w:fldChar w:fldCharType="separate"/>
        </w:r>
        <w:r>
          <w:rPr>
            <w:rFonts w:ascii="宋体" w:hAnsi="宋体" w:cs="宋体"/>
            <w:noProof/>
          </w:rPr>
          <w:t>20</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44" w:tooltip="Current Document" w:history="1">
        <w:r w:rsidRPr="00E9363B" w:rsidR="0035249B">
          <w:rPr>
            <w:rStyle w:val="Hyperlink"/>
            <w:rFonts w:hint="eastAsia"/>
            <w:noProof/>
          </w:rPr>
          <w:t>七、交易及清算交收安排</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_Toc134110544 \h </w:instrText>
        </w:r>
        <w:r w:rsidRPr="00E9363B" w:rsidR="0035249B">
          <w:rPr>
            <w:noProof/>
          </w:rPr>
          <w:fldChar w:fldCharType="separate"/>
        </w:r>
        <w:r>
          <w:rPr>
            <w:rFonts w:ascii="宋体" w:hAnsi="宋体" w:cs="宋体"/>
            <w:noProof/>
          </w:rPr>
          <w:t>23</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45" w:tooltip="Current Document" w:history="1">
        <w:r w:rsidRPr="00E9363B" w:rsidR="0035249B">
          <w:rPr>
            <w:rStyle w:val="Hyperlink"/>
            <w:rFonts w:hint="eastAsia"/>
            <w:noProof/>
          </w:rPr>
          <w:t>八、基金资产净值计算和会计核算</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_Toc134110545 \h </w:instrText>
        </w:r>
        <w:r w:rsidRPr="00E9363B" w:rsidR="0035249B">
          <w:rPr>
            <w:noProof/>
          </w:rPr>
          <w:fldChar w:fldCharType="separate"/>
        </w:r>
        <w:r>
          <w:rPr>
            <w:rFonts w:ascii="宋体" w:hAnsi="宋体" w:cs="宋体"/>
            <w:noProof/>
          </w:rPr>
          <w:t>29</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46" w:tooltip="Current Document" w:history="1">
        <w:r w:rsidRPr="00E9363B" w:rsidR="0035249B">
          <w:rPr>
            <w:rStyle w:val="Hyperlink"/>
            <w:rFonts w:hint="eastAsia"/>
            <w:noProof/>
          </w:rPr>
          <w:t>九、基金收益分配</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_Toc134110546 \h </w:instrText>
        </w:r>
        <w:r w:rsidRPr="00E9363B" w:rsidR="0035249B">
          <w:rPr>
            <w:noProof/>
          </w:rPr>
          <w:fldChar w:fldCharType="separate"/>
        </w:r>
        <w:r>
          <w:rPr>
            <w:rFonts w:ascii="宋体" w:hAnsi="宋体" w:cs="宋体"/>
            <w:noProof/>
          </w:rPr>
          <w:t>34</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47" w:tooltip="Current Document" w:history="1">
        <w:r w:rsidRPr="00E9363B" w:rsidR="0035249B">
          <w:rPr>
            <w:rStyle w:val="Hyperlink"/>
            <w:rFonts w:hint="eastAsia"/>
            <w:noProof/>
          </w:rPr>
          <w:t>十、基金信息披露</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_Toc134110547 \h </w:instrText>
        </w:r>
        <w:r w:rsidRPr="00E9363B" w:rsidR="0035249B">
          <w:rPr>
            <w:noProof/>
          </w:rPr>
          <w:fldChar w:fldCharType="separate"/>
        </w:r>
        <w:r>
          <w:rPr>
            <w:rFonts w:ascii="宋体" w:hAnsi="宋体" w:cs="宋体"/>
            <w:noProof/>
          </w:rPr>
          <w:t>36</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48" w:tooltip="Current Document" w:history="1">
        <w:r w:rsidRPr="00E9363B" w:rsidR="0035249B">
          <w:rPr>
            <w:rStyle w:val="Hyperlink"/>
            <w:rFonts w:hint="eastAsia"/>
            <w:noProof/>
          </w:rPr>
          <w:t>十一、基金费用</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_Toc134110548 \h </w:instrText>
        </w:r>
        <w:r w:rsidRPr="00E9363B" w:rsidR="0035249B">
          <w:rPr>
            <w:noProof/>
          </w:rPr>
          <w:fldChar w:fldCharType="separate"/>
        </w:r>
        <w:r>
          <w:rPr>
            <w:rFonts w:ascii="宋体" w:hAnsi="宋体" w:cs="宋体"/>
            <w:noProof/>
          </w:rPr>
          <w:t>38</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49" w:tooltip="Current Document" w:history="1">
        <w:r w:rsidRPr="00E9363B" w:rsidR="0035249B">
          <w:rPr>
            <w:rStyle w:val="Hyperlink"/>
            <w:rFonts w:hint="eastAsia"/>
            <w:noProof/>
          </w:rPr>
          <w:t>十二、基金份额持有人名册的保管</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_Toc134110549 \h </w:instrText>
        </w:r>
        <w:r w:rsidRPr="00E9363B" w:rsidR="0035249B">
          <w:rPr>
            <w:noProof/>
          </w:rPr>
          <w:fldChar w:fldCharType="separate"/>
        </w:r>
        <w:r>
          <w:rPr>
            <w:rFonts w:ascii="宋体" w:hAnsi="宋体" w:cs="宋体"/>
            <w:noProof/>
          </w:rPr>
          <w:t>41</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50" w:tooltip="Current Document" w:history="1">
        <w:r w:rsidRPr="00E9363B" w:rsidR="0035249B">
          <w:rPr>
            <w:rStyle w:val="Hyperlink"/>
            <w:rFonts w:hint="eastAsia"/>
            <w:noProof/>
          </w:rPr>
          <w:t>十三、基金有关文件档案的保存</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_Toc134110550 \h </w:instrText>
        </w:r>
        <w:r w:rsidRPr="00E9363B" w:rsidR="0035249B">
          <w:rPr>
            <w:noProof/>
          </w:rPr>
          <w:fldChar w:fldCharType="separate"/>
        </w:r>
        <w:r>
          <w:rPr>
            <w:rFonts w:ascii="宋体" w:hAnsi="宋体" w:cs="宋体"/>
            <w:noProof/>
          </w:rPr>
          <w:t>42</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51" w:tooltip="Current Document" w:history="1">
        <w:r w:rsidRPr="00E9363B" w:rsidR="0035249B">
          <w:rPr>
            <w:rStyle w:val="Hyperlink"/>
            <w:rFonts w:hint="eastAsia"/>
            <w:noProof/>
          </w:rPr>
          <w:t>十四、基金管理人和基金托管人的更换</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_Toc134110551 \h </w:instrText>
        </w:r>
        <w:r w:rsidRPr="00E9363B" w:rsidR="0035249B">
          <w:rPr>
            <w:noProof/>
          </w:rPr>
          <w:fldChar w:fldCharType="separate"/>
        </w:r>
        <w:r>
          <w:rPr>
            <w:rFonts w:ascii="宋体" w:hAnsi="宋体" w:cs="宋体"/>
            <w:noProof/>
          </w:rPr>
          <w:t>43</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52" w:tooltip="Current Document" w:history="1">
        <w:r w:rsidRPr="00E9363B" w:rsidR="0035249B">
          <w:rPr>
            <w:rStyle w:val="Hyperlink"/>
            <w:rFonts w:hint="eastAsia"/>
            <w:noProof/>
          </w:rPr>
          <w:t>十五、禁止行为</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_Toc134110552 \h </w:instrText>
        </w:r>
        <w:r w:rsidRPr="00E9363B" w:rsidR="0035249B">
          <w:rPr>
            <w:noProof/>
          </w:rPr>
          <w:fldChar w:fldCharType="separate"/>
        </w:r>
        <w:r>
          <w:rPr>
            <w:rFonts w:ascii="宋体" w:hAnsi="宋体" w:cs="宋体"/>
            <w:noProof/>
          </w:rPr>
          <w:t>46</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53" w:tooltip="Current Document" w:history="1">
        <w:r w:rsidRPr="00E9363B" w:rsidR="0035249B">
          <w:rPr>
            <w:rStyle w:val="Hyperlink"/>
            <w:rFonts w:hint="eastAsia"/>
            <w:noProof/>
          </w:rPr>
          <w:t>十六、托管协议的变更、终止与基金财产的清算</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_Toc134110553 \h </w:instrText>
        </w:r>
        <w:r w:rsidRPr="00E9363B" w:rsidR="0035249B">
          <w:rPr>
            <w:noProof/>
          </w:rPr>
          <w:fldChar w:fldCharType="separate"/>
        </w:r>
        <w:r>
          <w:rPr>
            <w:rFonts w:ascii="宋体" w:hAnsi="宋体" w:cs="宋体"/>
            <w:noProof/>
          </w:rPr>
          <w:t>47</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54" w:tooltip="Current Document" w:history="1">
        <w:r w:rsidRPr="00E9363B" w:rsidR="0035249B">
          <w:rPr>
            <w:rStyle w:val="Hyperlink"/>
            <w:rFonts w:hint="eastAsia"/>
            <w:noProof/>
          </w:rPr>
          <w:t>十七、违约责任</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_Toc134110554 \h </w:instrText>
        </w:r>
        <w:r w:rsidRPr="00E9363B" w:rsidR="0035249B">
          <w:rPr>
            <w:noProof/>
          </w:rPr>
          <w:fldChar w:fldCharType="separate"/>
        </w:r>
        <w:r>
          <w:rPr>
            <w:rFonts w:ascii="宋体" w:hAnsi="宋体" w:cs="宋体"/>
            <w:noProof/>
          </w:rPr>
          <w:t>49</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55" w:tooltip="Current Document" w:history="1">
        <w:r w:rsidRPr="00E9363B" w:rsidR="0035249B">
          <w:rPr>
            <w:rStyle w:val="Hyperlink"/>
            <w:rFonts w:hint="eastAsia"/>
            <w:noProof/>
          </w:rPr>
          <w:t>十八、争议解决方式</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_Toc134110555 \h </w:instrText>
        </w:r>
        <w:r w:rsidRPr="00E9363B" w:rsidR="0035249B">
          <w:rPr>
            <w:noProof/>
          </w:rPr>
          <w:fldChar w:fldCharType="separate"/>
        </w:r>
        <w:r>
          <w:rPr>
            <w:rFonts w:ascii="宋体" w:hAnsi="宋体" w:cs="宋体"/>
            <w:noProof/>
          </w:rPr>
          <w:t>51</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56" w:tooltip="Current Document" w:history="1">
        <w:r w:rsidRPr="00E9363B" w:rsidR="0035249B">
          <w:rPr>
            <w:rStyle w:val="Hyperlink"/>
            <w:rFonts w:hint="eastAsia"/>
            <w:noProof/>
          </w:rPr>
          <w:t>十九、托管协议的效力</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_Toc134110556 \h </w:instrText>
        </w:r>
        <w:r w:rsidRPr="00E9363B" w:rsidR="0035249B">
          <w:rPr>
            <w:noProof/>
          </w:rPr>
          <w:fldChar w:fldCharType="separate"/>
        </w:r>
        <w:r>
          <w:rPr>
            <w:rFonts w:ascii="宋体" w:hAnsi="宋体" w:cs="宋体"/>
            <w:noProof/>
          </w:rPr>
          <w:t>52</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57" w:tooltip="Current Document" w:history="1">
        <w:r w:rsidRPr="00E9363B" w:rsidR="0035249B">
          <w:rPr>
            <w:rStyle w:val="Hyperlink"/>
            <w:rFonts w:hint="eastAsia"/>
            <w:noProof/>
          </w:rPr>
          <w:t>二十、其他事项</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_Toc134110557 \h </w:instrText>
        </w:r>
        <w:r w:rsidRPr="00E9363B" w:rsidR="0035249B">
          <w:rPr>
            <w:noProof/>
          </w:rPr>
          <w:fldChar w:fldCharType="separate"/>
        </w:r>
        <w:r>
          <w:rPr>
            <w:rFonts w:ascii="宋体" w:hAnsi="宋体" w:cs="宋体"/>
            <w:noProof/>
          </w:rPr>
          <w:t>53</w:t>
        </w:r>
        <w:r w:rsidRPr="00E9363B" w:rsidR="0035249B">
          <w:rPr>
            <w:noProof/>
          </w:rPr>
          <w:fldChar w:fldCharType="end"/>
        </w:r>
      </w:hyperlink>
    </w:p>
    <w:p w:rsidR="003B526D" w:rsidRPr="00E9363B">
      <w:pPr>
        <w:pStyle w:val="TOC1"/>
        <w:tabs>
          <w:tab w:val="right" w:leader="dot" w:pos="8494"/>
        </w:tabs>
        <w:rPr>
          <w:rFonts w:ascii="Calibri" w:hAnsi="Calibri" w:cs="Calibri"/>
          <w:noProof/>
          <w:sz w:val="22"/>
          <w:szCs w:val="22"/>
          <w:lang w:eastAsia="zh-CN"/>
        </w:rPr>
      </w:pPr>
      <w:hyperlink w:anchor="_Toc134110558" w:tooltip="Current Document" w:history="1">
        <w:r w:rsidRPr="00E9363B" w:rsidR="0035249B">
          <w:rPr>
            <w:rStyle w:val="Hyperlink"/>
            <w:rFonts w:hint="eastAsia"/>
            <w:noProof/>
          </w:rPr>
          <w:t>二十一、托管协议的签订</w:t>
        </w:r>
        <w:r w:rsidRPr="00E9363B" w:rsidR="0035249B">
          <w:rPr>
            <w:rFonts w:ascii="宋体" w:hAnsi="宋体" w:cs="宋体"/>
            <w:noProof/>
          </w:rPr>
          <w:tab/>
        </w:r>
        <w:r w:rsidRPr="00E9363B" w:rsidR="0035249B">
          <w:rPr>
            <w:noProof/>
          </w:rPr>
          <w:fldChar w:fldCharType="begin"/>
        </w:r>
        <w:r w:rsidRPr="00E9363B" w:rsidR="0035249B">
          <w:rPr>
            <w:rFonts w:ascii="宋体" w:hAnsi="宋体" w:cs="宋体"/>
            <w:noProof/>
          </w:rPr>
          <w:instrText xml:space="preserve"> PAGEREF _Toc134110558 \h </w:instrText>
        </w:r>
        <w:r w:rsidRPr="00E9363B" w:rsidR="0035249B">
          <w:rPr>
            <w:noProof/>
          </w:rPr>
          <w:fldChar w:fldCharType="separate"/>
        </w:r>
        <w:r>
          <w:rPr>
            <w:rFonts w:ascii="宋体" w:hAnsi="宋体" w:cs="宋体"/>
            <w:noProof/>
          </w:rPr>
          <w:t>53</w:t>
        </w:r>
        <w:r w:rsidRPr="00E9363B" w:rsidR="0035249B">
          <w:rPr>
            <w:noProof/>
          </w:rPr>
          <w:fldChar w:fldCharType="end"/>
        </w:r>
      </w:hyperlink>
    </w:p>
    <w:p w:rsidR="003B526D" w:rsidRPr="00E9363B">
      <w:pPr>
        <w:rPr>
          <w:sz w:val="28"/>
        </w:rPr>
        <w:sectPr>
          <w:headerReference w:type="default" r:id="rId8"/>
          <w:pgSz w:w="11906" w:h="16838"/>
          <w:pgMar w:top="1418" w:right="1701" w:bottom="1418" w:left="1701" w:header="851" w:footer="992" w:gutter="0"/>
          <w:cols w:space="720"/>
          <w:docGrid w:type="lines" w:linePitch="312"/>
        </w:sectPr>
      </w:pPr>
      <w:r w:rsidRPr="00E9363B">
        <w:fldChar w:fldCharType="end"/>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鉴于易方达基金管理有限公司系一家依照中国法律合法成立并有效存续的有限责任公司，按照相关法律法规的规定具备担任基金管理人的资格和能力，拟募集发行易方达中证红利价值交易型开放式指数证券投资基金联接基金；</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鉴于兴业银行股份有限公司系一家依照中国法律合法成立并有效存续的银行，按照相关法律法规的规定具备担任基金托管人的资格和能力；</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鉴于易方达基金管理有限公司拟担任易方达中证红利价值交易型开放式指数证券投资基金联接基金的基金管理人，兴业银行股份有限公司拟担任易方达中证红利价值交易型开放式指数证券投资基金联接基金的基金托管人；</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为明确易方达中证红利价值交易型开放式指数证券投资基金联接基金</w:t>
      </w:r>
      <w:r w:rsidRPr="00E9363B">
        <w:rPr>
          <w:rFonts w:ascii="宋体" w:hAnsi="宋体" w:cs="Times New Roman"/>
          <w:caps/>
          <w:color w:val="000000" w:themeColor="text1"/>
          <w:sz w:val="24"/>
          <w:szCs w:val="24"/>
          <w:lang w:eastAsia="zh-CN"/>
        </w:rPr>
        <w:t>（以下简称“基金”、“本基金”）的基金管理人和基金托管人之间的权利义务关系，特制订本托管协议；</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除非另有约定，《易方达中证红利价值交易型开放式指数证券投资基金联接基金基金合同》（以下简称“基金合同”）中定义的术语在用于本托管协议时应具有相同的含义；若有抵触应以基金合同为准，并依其条款解释。</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若本基金实施侧袋机制的，侧袋机制实施期间的相关安排见基金合同和招募说明书的规定。</w:t>
      </w:r>
    </w:p>
    <w:p w:rsidR="003B526D" w:rsidRPr="00E9363B">
      <w:pPr>
        <w:spacing w:line="360" w:lineRule="auto"/>
        <w:ind w:firstLine="420"/>
        <w:rPr>
          <w:rFonts w:ascii="仿宋_GB2312"/>
          <w:lang w:eastAsia="zh-CN"/>
        </w:rPr>
      </w:pPr>
    </w:p>
    <w:p w:rsidR="003B526D" w:rsidRPr="00E9363B">
      <w:pPr>
        <w:pStyle w:val="11"/>
        <w:rPr>
          <w:color w:val="000000"/>
        </w:rPr>
      </w:pPr>
      <w:r w:rsidRPr="00E9363B">
        <w:rPr>
          <w:rFonts w:ascii="宋体" w:hAnsi="宋体" w:cs="宋体"/>
        </w:rPr>
        <w:br w:type="page"/>
      </w:r>
      <w:bookmarkStart w:id="0" w:name="_Toc289514221"/>
      <w:bookmarkStart w:id="1" w:name="_Toc134110538"/>
      <w:r w:rsidRPr="00E9363B">
        <w:rPr>
          <w:color w:val="000000" w:themeColor="text1"/>
        </w:rPr>
        <w:t>一、基金托管协议当事人</w:t>
      </w:r>
      <w:bookmarkEnd w:id="0"/>
      <w:bookmarkEnd w:id="1"/>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（一）基金管理人</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名称：易方达基金管理有限公司</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住所：广东省珠海市横琴新区荣粤道188号6层</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 xml:space="preserve">法定代表人：吴欣荣 </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设立日期：2001年4月17日</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批准设立机关及批准设立文号：中国证券监督管理委员会，证监基金字[2001]4号</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组织形式：有限责任公司</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注册资本：13,244.2万元人民币</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存续期限：持续经营</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联系电话：4008818088</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（二）基金托管人</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名称：兴业银行股份有限公司</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注册地址：福建省福州市台江区江滨中大道398号兴业银行大厦</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办公地址</w:t>
      </w:r>
      <w:r w:rsidRPr="00E9363B">
        <w:rPr>
          <w:rFonts w:ascii="宋体" w:hAnsi="宋体" w:cs="Times New Roman"/>
          <w:caps/>
          <w:color w:val="000000" w:themeColor="text1"/>
          <w:sz w:val="24"/>
          <w:szCs w:val="24"/>
          <w:lang w:eastAsia="zh-CN"/>
        </w:rPr>
        <w:t>：上海市银城路167号</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法定代表人：吕家进</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成立</w:t>
      </w:r>
      <w:r w:rsidRPr="00E9363B">
        <w:rPr>
          <w:rFonts w:ascii="宋体" w:hAnsi="宋体" w:cs="Times New Roman" w:hint="eastAsia"/>
          <w:caps/>
          <w:color w:val="000000" w:themeColor="text1"/>
          <w:sz w:val="24"/>
          <w:szCs w:val="24"/>
          <w:lang w:eastAsia="zh-CN"/>
        </w:rPr>
        <w:t>日期</w:t>
      </w:r>
      <w:r w:rsidRPr="00E9363B">
        <w:rPr>
          <w:rFonts w:ascii="宋体" w:hAnsi="宋体" w:cs="Times New Roman"/>
          <w:caps/>
          <w:color w:val="000000" w:themeColor="text1"/>
          <w:sz w:val="24"/>
          <w:szCs w:val="24"/>
          <w:lang w:eastAsia="zh-CN"/>
        </w:rPr>
        <w:t>：1988年8月22日</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批准设立机关和批准设立文号：中国人民银行总行，银复〔1988〕347号</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基金托管业务批准文号：证监基金字</w:t>
      </w:r>
      <w:r w:rsidRPr="00E9363B">
        <w:rPr>
          <w:rFonts w:ascii="宋体" w:hAnsi="宋体" w:cs="Times New Roman"/>
          <w:caps/>
          <w:color w:val="000000" w:themeColor="text1"/>
          <w:sz w:val="24"/>
          <w:szCs w:val="24"/>
          <w:lang w:eastAsia="zh-CN"/>
        </w:rPr>
        <w:t>〔</w:t>
      </w:r>
      <w:r w:rsidRPr="00E9363B">
        <w:rPr>
          <w:rFonts w:ascii="宋体" w:hAnsi="宋体" w:cs="Times New Roman" w:hint="eastAsia"/>
          <w:caps/>
          <w:color w:val="000000" w:themeColor="text1"/>
          <w:sz w:val="24"/>
          <w:szCs w:val="24"/>
          <w:lang w:eastAsia="zh-CN"/>
        </w:rPr>
        <w:t>2005</w:t>
      </w:r>
      <w:r w:rsidRPr="00E9363B">
        <w:rPr>
          <w:rFonts w:ascii="宋体" w:hAnsi="宋体" w:cs="Times New Roman"/>
          <w:caps/>
          <w:color w:val="000000" w:themeColor="text1"/>
          <w:sz w:val="24"/>
          <w:szCs w:val="24"/>
          <w:lang w:eastAsia="zh-CN"/>
        </w:rPr>
        <w:t>〕</w:t>
      </w:r>
      <w:r w:rsidRPr="00E9363B">
        <w:rPr>
          <w:rFonts w:ascii="宋体" w:hAnsi="宋体" w:cs="Times New Roman" w:hint="eastAsia"/>
          <w:caps/>
          <w:color w:val="000000" w:themeColor="text1"/>
          <w:sz w:val="24"/>
          <w:szCs w:val="24"/>
          <w:lang w:eastAsia="zh-CN"/>
        </w:rPr>
        <w:t>74号</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组织形式：股份有限公司</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注册资本：</w:t>
      </w:r>
      <w:r w:rsidRPr="00E9363B">
        <w:rPr>
          <w:rFonts w:ascii="宋体" w:hAnsi="宋体" w:cs="Times New Roman"/>
          <w:caps/>
          <w:color w:val="000000" w:themeColor="text1"/>
          <w:sz w:val="24"/>
          <w:szCs w:val="24"/>
          <w:lang w:eastAsia="zh-CN"/>
        </w:rPr>
        <w:t>207.74亿元人民币</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存续期间：持续经营</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经营范围：</w:t>
      </w:r>
      <w:r w:rsidRPr="00E9363B">
        <w:rPr>
          <w:rFonts w:ascii="宋体" w:hAnsi="宋体" w:cs="宋体"/>
          <w:color w:val="000000"/>
          <w:sz w:val="24"/>
          <w:lang w:eastAsia="zh-CN"/>
        </w:rPr>
        <w:t>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管箱服务；财务顾问、资信调查、咨询、见证业务；</w:t>
      </w:r>
      <w:r w:rsidRPr="00320567" w:rsidR="00320567">
        <w:rPr>
          <w:rFonts w:ascii="宋体" w:hAnsi="宋体" w:cs="宋体" w:hint="eastAsia"/>
          <w:color w:val="000000"/>
          <w:sz w:val="24"/>
          <w:lang w:eastAsia="zh-CN"/>
        </w:rPr>
        <w:t>经中国银行业监督管理机构批准的其他业务</w:t>
      </w:r>
      <w:r w:rsidRPr="00E9363B">
        <w:rPr>
          <w:rFonts w:ascii="宋体" w:hAnsi="宋体" w:cs="宋体"/>
          <w:color w:val="000000"/>
          <w:sz w:val="24"/>
          <w:lang w:eastAsia="zh-CN"/>
        </w:rPr>
        <w:t>；保险兼业代理业务；黄金及其制品进出口；公募证券投资基金销售；证券投资基金托管。</w:t>
      </w:r>
      <w:r w:rsidRPr="00AD5FE7" w:rsidR="00AD5FE7">
        <w:rPr>
          <w:rFonts w:ascii="宋体" w:hAnsi="宋体" w:cs="宋体" w:hint="eastAsia"/>
          <w:color w:val="000000"/>
          <w:sz w:val="24"/>
          <w:lang w:eastAsia="zh-CN"/>
        </w:rPr>
        <w:t>（依法须经批准的项目，经相关部门批准后方可开展经营活动，经营项目以相关部门批准文件或许可证件为准）</w:t>
      </w:r>
    </w:p>
    <w:p w:rsidR="003B526D" w:rsidRPr="00E9363B">
      <w:pPr>
        <w:pStyle w:val="11"/>
        <w:rPr>
          <w:color w:val="000000"/>
        </w:rPr>
      </w:pPr>
      <w:r w:rsidRPr="00E9363B">
        <w:rPr>
          <w:rFonts w:ascii="宋体" w:hAnsi="宋体" w:cs="宋体"/>
          <w:sz w:val="21"/>
          <w:szCs w:val="21"/>
        </w:rPr>
        <w:br w:type="page"/>
      </w:r>
      <w:bookmarkStart w:id="2" w:name="_Toc289514222"/>
      <w:bookmarkStart w:id="3" w:name="_Toc134110539"/>
      <w:r w:rsidRPr="00E9363B">
        <w:rPr>
          <w:color w:val="000000" w:themeColor="text1"/>
        </w:rPr>
        <w:t>二、基金托管协议的依据、目的和原则</w:t>
      </w:r>
      <w:bookmarkEnd w:id="2"/>
      <w:bookmarkEnd w:id="3"/>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（一）订立托管协议的依据</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本协议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w:t>
      </w:r>
      <w:r w:rsidRPr="00E9363B">
        <w:rPr>
          <w:rFonts w:ascii="宋体" w:hAnsi="宋体" w:cs="Times New Roman" w:hint="eastAsia"/>
          <w:caps/>
          <w:color w:val="000000" w:themeColor="text1"/>
          <w:sz w:val="24"/>
          <w:szCs w:val="24"/>
          <w:lang w:eastAsia="zh-CN"/>
        </w:rPr>
        <w:t>《证券投资基金信息披露内容与格式准则第7号〈托管协议的内容与格式〉》、</w:t>
      </w:r>
      <w:r w:rsidRPr="00E9363B">
        <w:rPr>
          <w:rFonts w:ascii="宋体" w:hAnsi="宋体" w:cs="Times New Roman"/>
          <w:caps/>
          <w:color w:val="000000" w:themeColor="text1"/>
          <w:sz w:val="24"/>
          <w:szCs w:val="24"/>
          <w:lang w:eastAsia="zh-CN"/>
        </w:rPr>
        <w:t>《公开募集开放式证券投资基金流动性风险管理规定》等有关法律法规、《</w:t>
      </w:r>
      <w:r w:rsidRPr="00E9363B">
        <w:rPr>
          <w:rFonts w:ascii="宋体" w:hAnsi="宋体" w:cs="Times New Roman" w:hint="eastAsia"/>
          <w:caps/>
          <w:color w:val="000000" w:themeColor="text1"/>
          <w:sz w:val="24"/>
          <w:szCs w:val="24"/>
          <w:lang w:eastAsia="zh-CN"/>
        </w:rPr>
        <w:t>易方达中证红利价值交易型开放式指数证券投资基金联接基金基金合同</w:t>
      </w:r>
      <w:r w:rsidRPr="00E9363B">
        <w:rPr>
          <w:rFonts w:ascii="宋体" w:hAnsi="宋体" w:cs="Times New Roman"/>
          <w:caps/>
          <w:color w:val="000000" w:themeColor="text1"/>
          <w:sz w:val="24"/>
          <w:szCs w:val="24"/>
          <w:lang w:eastAsia="zh-CN"/>
        </w:rPr>
        <w:t>》（以下简称“基金合同”）及其他有关规定制订。</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（二）订立托管协议的目的</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（三）订立托管协议的原则</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基金管理人和基金托管人本着平等自愿、诚实信用、充分保护基金份额持有人合法权益的原则，经协商一致，签订本协议。</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p>
    <w:p w:rsidR="003B526D" w:rsidRPr="00E9363B">
      <w:pPr>
        <w:pStyle w:val="11"/>
        <w:rPr>
          <w:color w:val="000000"/>
        </w:rPr>
      </w:pPr>
      <w:r w:rsidRPr="00E9363B">
        <w:rPr>
          <w:rFonts w:ascii="宋体" w:hAnsi="宋体"/>
          <w:caps/>
          <w:color w:val="000000" w:themeColor="text1"/>
          <w:sz w:val="24"/>
          <w:szCs w:val="24"/>
        </w:rPr>
        <w:br w:type="page"/>
      </w:r>
      <w:bookmarkStart w:id="4" w:name="_Toc289514223"/>
      <w:bookmarkStart w:id="5" w:name="_Toc134110540"/>
      <w:r w:rsidRPr="00E9363B">
        <w:rPr>
          <w:color w:val="000000" w:themeColor="text1"/>
        </w:rPr>
        <w:t>三、基金托管人对基金管理人的业务监督和核查</w:t>
      </w:r>
      <w:bookmarkEnd w:id="4"/>
      <w:bookmarkEnd w:id="5"/>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（一）</w:t>
      </w:r>
      <w:r w:rsidRPr="00E9363B">
        <w:rPr>
          <w:rFonts w:ascii="宋体" w:hAnsi="宋体" w:cs="Times New Roman"/>
          <w:caps/>
          <w:color w:val="000000" w:themeColor="text1"/>
          <w:sz w:val="24"/>
          <w:szCs w:val="24"/>
          <w:lang w:eastAsia="zh-CN"/>
        </w:rPr>
        <w:t>基金托管人对基金管理人的投资行为行使监督权</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如法律法规或监管机构以后允许基金投资其他品种，基金管理人在履行适当程序后，本基金可以将其纳入投资范围。</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本基金将根据法律法规的规定参与转融通证券出借及融资业务。</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基金的投资组合比例为：本基金投资于目标ETF的资产不低于基金资产净值的90%，保持不低于基金资产净值5%的现金或者到期日在一年以内的政府债券，其中现金不包括结算备付金、存出保证金、应收申购款等。</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（二）基金托管人根据有关法律法规的规定及基金合同的约定，对基金投资比例进行监督。基金托管人按下述比例和调整期限进行监督</w:t>
      </w:r>
      <w:r w:rsidRPr="00E9363B">
        <w:rPr>
          <w:rFonts w:ascii="宋体" w:hAnsi="宋体" w:cs="Times New Roman" w:hint="eastAsia"/>
          <w:caps/>
          <w:color w:val="000000" w:themeColor="text1"/>
          <w:sz w:val="24"/>
          <w:szCs w:val="24"/>
          <w:lang w:eastAsia="zh-CN"/>
        </w:rPr>
        <w:t>：</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1、本基金投资于目标ETF的资产不低于基金资产净值的90%；</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2、保持不低于基金资产净值5%的现金或者到期日在一年以内的政府债券，其中现金不包括结算备付金、存出保证金和应收申购款等；</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3、本基金投资于同一原始权益人的各类资产支持证券的比例，不得超过基金资产净值的10%；</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4、本基金持有的全部资产支持证券，其市值不得超过基金资产净值的20%；</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5、本基金持有的同一(指同一信用级别)资产支持证券的比例，不得超过该资产支持证券规模的10%；</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6、本基金管理人管理的全部基金投资于同一原始权益人的各类资产支持证券，不得超过其各类资产支持证券合计规模的10%；</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7、本基金应投资于信用级别评级为BBB以上(含BBB)的资产支持证券。基金持有资产支持证券期间，如果其信用等级下降、不再符合投资标准，应在评级报告发布之日起3个月内予以全部卖出；</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8、基金财产参与股票发行申购，本基金所申报的金额不超过本基金的总资产，本基金所申报的股票数量不超过拟发行股票公司本次发行股票的总量；</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9、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10、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11、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12、基金参与融资业务后，在任何交易日日终，持有的融资买入股票与其他有价证券市值之和，不得超过基金资产净值的95%；</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13、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亿元；证券出借的平均剩余期限不得超过30天，平均剩余期限按照市值加权平均计算；</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15、本基金与私募类证券资管产品及中国证监会认定的其他主体为交易对手开展逆回购交易的，可接受质押品的资质要求应当与基金合同约定的投资范围保持一致；</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16、本基金资产总值不超过基金资产净值的140%；</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17、本基金投资存托凭证的比例限制依照境内上市交易的股票执行，与境内上市交易的股票合并计算；</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18、法律法规及中国证监会规定的和《基金合同》约定的其他投资限制。</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因证券/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证券/期货市场波动、证券发行人合并、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w:t>
      </w:r>
      <w:r w:rsidRPr="00E9363B">
        <w:rPr>
          <w:rFonts w:ascii="宋体" w:hAnsi="宋体" w:cs="Times New Roman"/>
          <w:caps/>
          <w:color w:val="000000" w:themeColor="text1"/>
          <w:sz w:val="24"/>
          <w:szCs w:val="24"/>
          <w:lang w:eastAsia="zh-CN"/>
        </w:rPr>
        <w:t>13</w:t>
      </w:r>
      <w:r w:rsidRPr="00E9363B">
        <w:rPr>
          <w:rFonts w:ascii="宋体" w:hAnsi="宋体" w:cs="Times New Roman"/>
          <w:caps/>
          <w:color w:val="000000" w:themeColor="text1"/>
          <w:sz w:val="24"/>
          <w:szCs w:val="24"/>
          <w:lang w:eastAsia="zh-CN"/>
        </w:rPr>
        <w:t>项规定的，基金管理人不得新增出借业务。法律法规或监管部门另有规定的，届时按最新规定执行。</w:t>
      </w:r>
    </w:p>
    <w:p w:rsidR="003B526D" w:rsidRPr="00E9363B">
      <w:pPr>
        <w:pStyle w:val="TOC1"/>
        <w:tabs>
          <w:tab w:val="right" w:leader="dot" w:pos="8302"/>
        </w:tabs>
        <w:spacing w:line="360" w:lineRule="auto"/>
        <w:ind w:firstLine="475"/>
        <w:rPr>
          <w:lang w:eastAsia="zh-CN"/>
        </w:rPr>
      </w:pPr>
      <w:r w:rsidRPr="00E9363B">
        <w:rPr>
          <w:rFonts w:ascii="宋体" w:hAnsi="宋体" w:cs="Times New Roman"/>
          <w:caps/>
          <w:color w:val="000000" w:themeColor="text1"/>
          <w:sz w:val="24"/>
          <w:szCs w:val="24"/>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（三）基金托管人根据有关法律法规的规定及基金合同的约定，对本托管协议项下的基金投资禁止行为进行监督。</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（四）基金托管人根据有关法律法规的规定及基金合同的约定，对关联交易进行监督。</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法律法规或监管部门取消或变更上述限制，如适用于本基金，基金管理人在履行适当程序后，则本基金投资不再受相关限制或以变更后的规定为准。</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根据法律法规有关基金从事的关联交易的规定，基金管理人和基金托管人应事先相互提供与本机构有控股关系的股东、实际控制人或者与其有其他重大利害关系的公司名单及有关关联方发行的证券名单，加盖公章并书面提交，并确保所提供的关联交易名单的真实性、完整性、全面性。基金管理人及基金托管人有责任保管真实、完整、全面的关联交易名单，并负责及时更新该名单。名单变更后基金管理人及基金托管人应及时发送另一方，另一方于2个工作日内进行回函确认已知名单的变更。一方收到另一方书面确认后，新的关联交易名单开始生效。</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（五）基金托管人根据有关法律法规的规定及基金合同的约定，对基金管理人参与银行间债券市场进行监督。</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和交易结算方式进行交易。如基金管理人在基金投资运作之前未向基金托管人提供银行间债券市场交易对手名单的，视为基金管理人认可全市场交易对手。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管理人负责对交易对手的资信控制，按银行间债券市场的交易规则进行交易，并负责解决因交易对手不履行合同而造成的纠纷及损失。若未履约的交易对手在基金托管人与基金管理人确定的时间前仍未承担违约责任及其他相关法律责任的，基金管理人有权向相关交易对手追偿，基金托管人应予以必要的协助与配合。基金托管人根据银行间债券市场成交单对本基金银行间债券交易的交易对手及其结算方式进行监督。如基金托管人事后发现基金管理人没有按照事先约定的交易对手或交易方式进行交易时，基金托管人应及时以书面或以双方认可的其他方式提醒基金管理人，经提醒后仍未改正时造成基金财产损失的，基金托管人不承担由此造成的相应损失和责任。如果基金托管人未能切实履行监督职责，导致基金出现风险或造成基金资产损失的，基金托管人应承担相应责任。</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六）基金托管人根据有关法律法规的规定及基金合同的约定，对基金资产净值计算、基金份额净值计算、基金份额累计净值计算、应收资金到账、基金费用开支及收入确定、基金收益分配、相关信息披露、基金宣传推介材料中登载基金业绩表现数据等进行监督和核查。</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（七）基金托管人对基金投资银行存款进行监督。</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本基金投资银行存款应符合如下规定：</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1、基金管理人、基金托管人应当与存款银行建立定期对账机制，确保基金银行存款业务账目及核算的真实、准确。</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2、基金管理人应当按照有关法规规定，与基金托管人、存款机构签订相关书面协议。基金托管人应根据相关法规及协议对基金银行存款业务进行监督与核查，严格审查、复核相关协议、账户资料、投资指令、存款证实书等有关文件，切实履行托管职责。</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3、基金管理人与基金托管人在开展基金存款业务时，应严格遵守《基金法》、《运作办法》等有关法律法规，以及国家有关账户管理、利率管理、支付结算等的各项规定。</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4、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（八）基金托管人根据有关法律法规的规定及基金合同的约定，对基金投资流通受限证券进行监督。</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1、基金投资流通受限证券，应遵守《关于基金投资非公开发行股票等流通受限证券有关问题的通知》等有关法律法规规定。</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2、流通受限证券，包括由《上市公司证券发行</w:t>
      </w:r>
      <w:r w:rsidR="00AD5FE7">
        <w:rPr>
          <w:rFonts w:ascii="宋体" w:hAnsi="宋体" w:cs="Times New Roman" w:hint="eastAsia"/>
          <w:caps/>
          <w:color w:val="000000" w:themeColor="text1"/>
          <w:sz w:val="24"/>
          <w:szCs w:val="24"/>
          <w:lang w:eastAsia="zh-CN"/>
        </w:rPr>
        <w:t>注册</w:t>
      </w:r>
      <w:r w:rsidRPr="00E9363B">
        <w:rPr>
          <w:rFonts w:ascii="宋体" w:hAnsi="宋体" w:cs="Times New Roman"/>
          <w:caps/>
          <w:color w:val="000000" w:themeColor="text1"/>
          <w:sz w:val="24"/>
          <w:szCs w:val="24"/>
          <w:lang w:eastAsia="zh-CN"/>
        </w:rPr>
        <w:t>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3、在投资非公开发行股票</w:t>
      </w:r>
      <w:r w:rsidRPr="00E9363B">
        <w:rPr>
          <w:rFonts w:ascii="宋体" w:hAnsi="宋体" w:cs="Times New Roman" w:hint="eastAsia"/>
          <w:caps/>
          <w:color w:val="000000" w:themeColor="text1"/>
          <w:sz w:val="24"/>
          <w:szCs w:val="24"/>
          <w:lang w:eastAsia="zh-CN"/>
        </w:rPr>
        <w:t>时</w:t>
      </w:r>
      <w:r w:rsidRPr="00E9363B">
        <w:rPr>
          <w:rFonts w:ascii="宋体" w:hAnsi="宋体" w:cs="Times New Roman"/>
          <w:caps/>
          <w:color w:val="000000" w:themeColor="text1"/>
          <w:sz w:val="24"/>
          <w:szCs w:val="24"/>
          <w:lang w:eastAsia="zh-CN"/>
        </w:rPr>
        <w:t>，基金管理人应提前向基金托管人提供有关非公开发行股票的相关信息，具体应当包括但不限于如下文件(如有)：</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4、基金管理人应在本基金投资非公开发行股票中签后两个交易日内，在中国证监会规定媒介披露所投资非公开发行股票的名称、数量、总成本、账面价值，以及总成本和账面价值占基金资产净值的比例、锁定期等信息。</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6、相关法律法规对基金投资流通受限证券有新规定的，从其规定。</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（九）基金托管人根据有关法律法规的规定及基金合同的约定，对基金投资中期票据进行监督</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基金管理人严格遵守法律法规和基金合同关于投资中期票据的相关规定，基金托管人按照法律法规和基金合同对基金管理人投资中期票据的额度和比例进行监督。</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十）基金托管人发现基金管理人的上述事项及投资指令或实际投资运作违反法律法规、基金合同和本托管协议的规定，应及时以电话提醒或书面提示等双方认可的方式通知基金管理人限期纠正。基金管理人应积极配合和协助基金托管人的监督和核查。基金管理人收到电话提醒或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如果基金托管人未能切实履行监督职责，导致基金出现风险或造成基金资产损失的，基金托管人应承担相应责任。</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十一）基金管理人有义务配合和协助基金托管人依照法律法规、基金合同和本托管协议对基金业务执行核查。对基金托管人发出的电话提醒或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十二）若基金托管人发现基金管理人依据交易程序已经生效的指令违反法律、行政法规和其他有关规定，或者违反基金合同约定的，应当立即以书面或以双方认可的其他方式通知基金管理人，由此造成的相应损失由基金管理人承担。</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十三）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十四）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侧袋机制实施期间，本基金的投资组合比例、组合限制等约定仅适用于主袋账户。</w:t>
      </w:r>
    </w:p>
    <w:p w:rsidR="003B526D" w:rsidRPr="00E9363B">
      <w:pPr>
        <w:spacing w:line="360" w:lineRule="auto"/>
        <w:ind w:firstLine="420"/>
        <w:rPr>
          <w:rFonts w:ascii="Cambria"/>
          <w:lang w:eastAsia="zh-CN"/>
        </w:rPr>
      </w:pPr>
      <w:r w:rsidRPr="00E9363B">
        <w:rPr>
          <w:rFonts w:ascii="宋体" w:hAnsi="宋体" w:cs="Times New Roman"/>
          <w:caps/>
          <w:color w:val="000000" w:themeColor="text1"/>
          <w:sz w:val="24"/>
          <w:szCs w:val="24"/>
          <w:lang w:eastAsia="zh-CN"/>
        </w:rPr>
        <w:t>侧袋账户的实施条件、实施程序、运作安排、投资安排、特定资产的处置变现和支付等对投资者权益有重大影响的事项详见招募说明书的规定。</w:t>
      </w:r>
      <w:bookmarkStart w:id="6" w:name="_Hlt73429199"/>
      <w:bookmarkEnd w:id="6"/>
    </w:p>
    <w:p w:rsidR="003B526D" w:rsidRPr="00E9363B">
      <w:pPr>
        <w:spacing w:line="360" w:lineRule="auto"/>
        <w:ind w:firstLine="420"/>
        <w:rPr>
          <w:rFonts w:ascii="Cambria"/>
          <w:lang w:eastAsia="zh-CN"/>
        </w:rPr>
        <w:sectPr>
          <w:footerReference w:type="default" r:id="rId9"/>
          <w:pgSz w:w="11906" w:h="16838"/>
          <w:pgMar w:top="1440" w:right="1800" w:bottom="1440" w:left="1800" w:header="851" w:footer="992" w:gutter="0"/>
          <w:cols w:space="720"/>
          <w:docGrid w:type="lines" w:linePitch="312"/>
        </w:sectPr>
      </w:pPr>
    </w:p>
    <w:p w:rsidR="003B526D" w:rsidRPr="00E9363B">
      <w:pPr>
        <w:pStyle w:val="11"/>
        <w:rPr>
          <w:color w:val="00000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34110541"/>
      <w:r w:rsidRPr="00E9363B">
        <w:rPr>
          <w:rFonts w:hint="eastAsia"/>
          <w:color w:val="000000" w:themeColor="text1"/>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一）基金管理人对基金托管人履行托管职责情况进行核查，核查事项包括但不限于基金托管人安全保管基金财产、开设基金财产的资金账户、证券账户及投资所需的其他账户、复核基金管理人计算的基金资产净值和基金份额净值、根据基金管理人指令办理清算交收、相关信息披露和监督基金投资运作等行为。</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基金托管人对基金管理人通知的违规事项未能在限期内纠正或未在合理期限内确认的，基金管理人应报告中国证监会。基金管理人有权要求基金托管人赔偿基金管理人及基金财产因此所遭受的损失。</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B526D" w:rsidRPr="00E9363B">
      <w:pPr>
        <w:pStyle w:val="11"/>
        <w:rPr>
          <w:color w:val="000000"/>
        </w:rPr>
      </w:pPr>
      <w:r w:rsidRPr="00E9363B">
        <w:rPr>
          <w:rFonts w:ascii="宋体" w:hAnsi="宋体"/>
          <w:caps/>
          <w:color w:val="000000" w:themeColor="text1"/>
          <w:sz w:val="24"/>
          <w:szCs w:val="24"/>
        </w:rPr>
        <w:br w:type="page"/>
      </w:r>
      <w:bookmarkStart w:id="24" w:name="_Toc134110542"/>
      <w:r w:rsidRPr="00E9363B">
        <w:rPr>
          <w:rFonts w:hint="eastAsia"/>
          <w:color w:val="000000" w:themeColor="text1"/>
        </w:rPr>
        <w:t>五、基金财产的保管</w:t>
      </w:r>
      <w:bookmarkEnd w:id="24"/>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（一）基金财产保管的原则</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1、基金财产应独立于基金管理人、基金托管人的固有财产。</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2、基金托管人应安全保管基金财产。</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3、基金托管人按照规定开设基金财产的资金账户、证券账户及投资所需的其他账户。</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4、基金托管人对所托管的不同基金财产分别设置账户，与基金托管人的其他业务和其他基金的托管业务实行严格的分账管理，确保基金财产的完整与独立。</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5、基金托管人按照基金合同和本协议的约定保管基金财产，如有特殊情况双方可另行协商解决。基金托管人未经基金管理人的合法合规指令，不得自行运用、处分、分配本基金的任何资产（不包含基金托管人依据中国证券登记结算有限责任公司（以下简称“中登公司”或“中国结算公司”）结算数据完成场内交易交收、基金资产开户银行扣收结算费和账户维护费等费用）。</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6、对于因为基金投资产生的应收资产，</w:t>
      </w:r>
      <w:r w:rsidRPr="00E9363B">
        <w:rPr>
          <w:rFonts w:ascii="宋体" w:hAnsi="宋体" w:cs="Times New Roman" w:hint="eastAsia"/>
          <w:caps/>
          <w:color w:val="000000" w:themeColor="text1"/>
          <w:sz w:val="24"/>
          <w:szCs w:val="24"/>
          <w:lang w:eastAsia="zh-CN"/>
        </w:rPr>
        <w:t>如基金托管人无法从公开信息获取到账日期的，</w:t>
      </w:r>
      <w:r w:rsidRPr="00E9363B">
        <w:rPr>
          <w:rFonts w:ascii="宋体" w:hAnsi="宋体" w:cs="Times New Roman"/>
          <w:caps/>
          <w:color w:val="000000" w:themeColor="text1"/>
          <w:sz w:val="24"/>
          <w:szCs w:val="24"/>
          <w:lang w:eastAsia="zh-CN"/>
        </w:rPr>
        <w:t>应由基金管理人负责与有关当事人确定到账日期并通知基金托管人，到账日基金财产没有到达基金账户的，基金托管人应及时通知并有义务配合基金管理人采取措施进行催收。由此给基金财产造成损失的，基金管理人应负责向有关当事人追偿基金财产的损失，基金托管人应予以必要的协助与配合，但对此不承担相应责任。</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7、除依据法律法规和基金合同的规定外，基金托管人不得委托第三人托管基金财产。</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（二）基金募集期间及募集资金的验资</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1、基金管理人应将基金募集期间募集的资金存入专门账户，在基金募集行为结束前，任何人不得动用。该账户由基金管理人开立并管理。</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2、基金募集期满或基金提前结束募集时，募集的基金份额总额、基金募集金额、基金份额持有人人数符合《基金法》、《运作办法》、基金合同等有关规定后，基金管理人应将属于基金财产的全部资金划入基金托管人为本基金开立的基金银行账户，同时在规定时间内，聘请符合《中华人民共和国证券法》规定的会计师事务所进行验资，出具验资报告。出具的验资报告由参加验资的2名或2名以上中国注册会计师签字方为有效。募集的属于本基金财产的全部资金应划入基金托管人为基金在具有托管资格的商业银行开立的基金托管专户中，基金托管人在收到资金当日出具确认文件。</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3、若基金募集期限届满或基金停止募集时，未能达到基金备案的条件，由基金管理人按规定办理退款等事宜，基金托管人应提供充分协助。</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（三）基金银行账户的开立和管理</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1、基金托管人为本基金单独开立托管资金账户。托管资金账户的名称应当包含本基金名称，具体名称以实际开立为准。本基金的一切货币收支活动，包括但不限于投资、支付赎回金额、支付计划收益、收取认购/申购款，均需通过该托管资金账户进行。</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2、托管资金账户的开立和使用，限于满足开展本基金业务的需要。基金托管人和基金管理人不得假借本基金的名义开立其他任何银行账户；亦不得使用本基金的任何银行账户进行本基金业务以外的活动。</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3、托管资金账户的管理应符合有关法律法规的规定。</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（四）</w:t>
      </w:r>
      <w:r w:rsidRPr="00E9363B">
        <w:rPr>
          <w:rFonts w:ascii="宋体" w:hAnsi="宋体" w:cs="Times New Roman"/>
          <w:caps/>
          <w:color w:val="000000" w:themeColor="text1"/>
          <w:sz w:val="24"/>
          <w:szCs w:val="24"/>
          <w:lang w:eastAsia="zh-CN"/>
        </w:rPr>
        <w:t>定期存款账户</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财产投资定期存款在存款机构开立的银行账户，包括实体或虚拟账户，其预留印鉴应包含托管人指定印章。对于任何的定期存款投资，管理人都必须和存款机构签订定期存款协议，约定双方的权利和义务，该协议作为划款指令附件。该协议中必须有如下条款或意思表示：“存款证实书不得被质押或以任何方式被抵押，并不得用于转让和背书；本息到期归还或提前支取的所有款项必须划至托管资金账户（明确户名、开户行、账号等），不得划入其他任何账户。”如定期存款协议中未体现前述条款，托管人有权拒绝定期存款投资的划款指令。在取得存款证实书后，原则上由托管人保管证实书正本。管理人应该在合理的时间内进行定期存款的投资和支取事宜，若管理人提前支取或部分提前支取定期存款，若产生息差（即基金财产已计提的资金利息和提前支取时收到的资金利息差额），该息差的处理方法由管理人和托管人双方协商解决</w:t>
      </w:r>
      <w:r w:rsidRPr="00E9363B">
        <w:rPr>
          <w:rFonts w:ascii="宋体" w:hAnsi="宋体" w:cs="Times New Roman" w:hint="eastAsia"/>
          <w:caps/>
          <w:color w:val="000000" w:themeColor="text1"/>
          <w:sz w:val="24"/>
          <w:szCs w:val="24"/>
          <w:lang w:eastAsia="zh-CN"/>
        </w:rPr>
        <w:t>。</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（五）</w:t>
      </w:r>
      <w:r w:rsidRPr="00E9363B">
        <w:rPr>
          <w:rFonts w:ascii="宋体" w:hAnsi="宋体" w:cs="Times New Roman"/>
          <w:caps/>
          <w:color w:val="000000" w:themeColor="text1"/>
          <w:sz w:val="24"/>
          <w:szCs w:val="24"/>
          <w:lang w:eastAsia="zh-CN"/>
        </w:rPr>
        <w:t>债券托管账户的开设和管理</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合同生效后，基金托管人根据中国人民银行、中央国债登记结算有限责任公司、银行间市场清算所股份有限公司的有关规定，以本基金的名义在中央国债登记结算有限责任公司和银行间市场清算所股份有限公司开立债券托管账户、资金结算账户</w:t>
      </w:r>
      <w:r w:rsidRPr="00E9363B">
        <w:rPr>
          <w:rFonts w:ascii="宋体" w:hAnsi="宋体" w:cs="Times New Roman" w:hint="eastAsia"/>
          <w:caps/>
          <w:color w:val="000000" w:themeColor="text1"/>
          <w:sz w:val="24"/>
          <w:szCs w:val="24"/>
          <w:lang w:eastAsia="zh-CN"/>
        </w:rPr>
        <w:t>、</w:t>
      </w:r>
      <w:r w:rsidRPr="00E9363B">
        <w:rPr>
          <w:rFonts w:ascii="宋体" w:hAnsi="宋体" w:cs="Times New Roman"/>
          <w:caps/>
          <w:color w:val="000000" w:themeColor="text1"/>
          <w:sz w:val="24"/>
          <w:szCs w:val="24"/>
          <w:lang w:eastAsia="zh-CN"/>
        </w:rPr>
        <w:t>持有人账户和资金结算账户，并代表基金进行银行间市场债券的结算。</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（六）</w:t>
      </w:r>
      <w:r w:rsidRPr="00E9363B">
        <w:rPr>
          <w:rFonts w:ascii="宋体" w:hAnsi="宋体" w:cs="Times New Roman"/>
          <w:caps/>
          <w:color w:val="000000" w:themeColor="text1"/>
          <w:sz w:val="24"/>
          <w:szCs w:val="24"/>
          <w:lang w:eastAsia="zh-CN"/>
        </w:rPr>
        <w:t>基金证券账户和结算备付金账户的开立和管理</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1、基金托管人在中登公司为基金开立基金托管人与本基金联名的证券账户。</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3、基金证券账户的开立和证券账户卡的保管由基金托管人负责，账户资产的管理和运用由基金管理人负责。</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4、基金托管人以基金托管人的名义在中登公司开立结算备付金账户，并代表所托管的基金完成与中登公司的一级法人清算工作，基金管理人应予以积极协助。结算备付金、结算互保基金、交收价差资金等的收取按照中登公司的规定执行。</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5、若中国证监会或其他监管机构在本托管协议订立日之后允许基金从事其他投资品种的投资业务，涉及相关账户的开立、使用的，若无相关规定，则基金托管人比照上述关于账户开立、使用的规定执行。</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（七）</w:t>
      </w:r>
      <w:r w:rsidRPr="00E9363B">
        <w:rPr>
          <w:rFonts w:ascii="宋体" w:hAnsi="宋体" w:cs="Times New Roman"/>
          <w:caps/>
          <w:color w:val="000000" w:themeColor="text1"/>
          <w:sz w:val="24"/>
          <w:szCs w:val="24"/>
          <w:lang w:eastAsia="zh-CN"/>
        </w:rPr>
        <w:t>其他账户的开立和管理</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1、因业务发展需要而开立的其他账户，可以根据法律法规和基金合同的规定，在基金管理人和基金托管人协商一致后由基金托管人开立。新账户按有关规定使用并管理。</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2、法律法规等有关规定对相关账户的开立和管理另有规定的，从其规定。</w:t>
      </w:r>
    </w:p>
    <w:p w:rsidR="003B526D" w:rsidRPr="00E9363B">
      <w:pPr>
        <w:pStyle w:val="TOC1"/>
        <w:tabs>
          <w:tab w:val="right" w:leader="dot" w:pos="8302"/>
        </w:tabs>
        <w:spacing w:line="360" w:lineRule="auto"/>
        <w:ind w:firstLine="475"/>
        <w:rPr>
          <w:lang w:eastAsia="zh-CN"/>
        </w:rPr>
      </w:pPr>
      <w:r w:rsidRPr="00E9363B">
        <w:rPr>
          <w:rFonts w:ascii="宋体" w:hAnsi="宋体" w:cs="Times New Roman" w:hint="eastAsia"/>
          <w:caps/>
          <w:color w:val="000000" w:themeColor="text1"/>
          <w:sz w:val="24"/>
          <w:szCs w:val="24"/>
          <w:lang w:eastAsia="zh-CN"/>
        </w:rPr>
        <w:t>（八）期货资金账户的开立和管理</w:t>
      </w:r>
    </w:p>
    <w:p w:rsidR="003B526D" w:rsidRPr="00E9363B">
      <w:pPr>
        <w:pStyle w:val="TOC1"/>
        <w:tabs>
          <w:tab w:val="right" w:leader="dot" w:pos="8302"/>
        </w:tabs>
        <w:spacing w:line="360" w:lineRule="auto"/>
        <w:ind w:firstLine="475"/>
        <w:rPr>
          <w:rFonts w:ascii="宋体" w:hAnsi="宋体" w:cs="Times New Roman"/>
          <w:caps/>
          <w:color w:val="000000"/>
          <w:sz w:val="24"/>
          <w:lang w:eastAsia="zh-CN"/>
        </w:rPr>
      </w:pPr>
      <w:r w:rsidRPr="00E9363B">
        <w:rPr>
          <w:rFonts w:ascii="宋体" w:hAnsi="宋体" w:cs="Times New Roman" w:hint="eastAsia"/>
          <w:caps/>
          <w:color w:val="000000" w:themeColor="text1"/>
          <w:sz w:val="24"/>
          <w:szCs w:val="24"/>
          <w:lang w:eastAsia="zh-CN"/>
        </w:rPr>
        <w:t>基金管理人、基金托管人应当按照相关规定开立期货资金账户，在期货交易所获取交易编码。期货资金账户名称及交易编码对应名称应按照有关规定设立。</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hint="eastAsia"/>
          <w:caps/>
          <w:color w:val="000000" w:themeColor="text1"/>
          <w:sz w:val="24"/>
          <w:szCs w:val="24"/>
          <w:lang w:eastAsia="zh-CN"/>
        </w:rPr>
        <w:t>（九）</w:t>
      </w:r>
      <w:r w:rsidRPr="00E9363B">
        <w:rPr>
          <w:rFonts w:ascii="宋体" w:hAnsi="宋体" w:cs="Times New Roman"/>
          <w:caps/>
          <w:color w:val="000000" w:themeColor="text1"/>
          <w:sz w:val="24"/>
          <w:szCs w:val="24"/>
          <w:lang w:eastAsia="zh-CN"/>
        </w:rPr>
        <w:t>基金财产投资的有关有价凭证等的保管</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财产投资的有关实物证券、银行存款开户证实书等有价凭证由基金托管人存放于基金托管人的保管库，也可存入中央国债登记结算有限责任公司、中登公司、银行间市场清算所股份有限公司或票据营业中心的代保管库，保管凭证由基金托管人持有。实物证券、银行存款开户证实书等有价凭证的购买和转让，由基金管理人和基金托管人共同办理。属于基金托管人控制下的实物证券在基金托管人保管期间的损坏、灭失，由此产生的责任应由基金托管人承担。基金托管人对由基金托管人以外机构实际有效控制的资产不承担保管责任。</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w:t>
      </w:r>
      <w:r w:rsidRPr="00E9363B">
        <w:rPr>
          <w:rFonts w:ascii="宋体" w:hAnsi="宋体" w:cs="Times New Roman" w:hint="eastAsia"/>
          <w:caps/>
          <w:color w:val="000000" w:themeColor="text1"/>
          <w:sz w:val="24"/>
          <w:szCs w:val="24"/>
          <w:lang w:eastAsia="zh-CN"/>
        </w:rPr>
        <w:t>十</w:t>
      </w:r>
      <w:r w:rsidRPr="00E9363B">
        <w:rPr>
          <w:rFonts w:ascii="宋体" w:hAnsi="宋体" w:cs="Times New Roman"/>
          <w:caps/>
          <w:color w:val="000000" w:themeColor="text1"/>
          <w:sz w:val="24"/>
          <w:szCs w:val="24"/>
          <w:lang w:eastAsia="zh-CN"/>
        </w:rPr>
        <w:t>）与基金财产有关的重大合同的保管</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应符合法律法规的规定。</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对于无法取得二份以上的正本的，基金管理人应向基金托管人提供加盖公章的合同传真件或复印件，未经双方协商一致或未在合同约定范围内，合同原件不得转移，由基金管理人保管。</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sectPr>
          <w:pgSz w:w="11906" w:h="16838"/>
          <w:pgMar w:top="1418" w:right="1701" w:bottom="1418" w:left="1701" w:header="851" w:footer="992" w:gutter="0"/>
          <w:cols w:space="720"/>
          <w:docGrid w:type="lines" w:linePitch="312"/>
        </w:sectPr>
      </w:pPr>
    </w:p>
    <w:p w:rsidR="003B526D" w:rsidRPr="00E9363B">
      <w:pPr>
        <w:pStyle w:val="11"/>
        <w:rPr>
          <w:color w:val="000000"/>
        </w:rPr>
      </w:pPr>
      <w:bookmarkStart w:id="25" w:name="_Toc84133787"/>
      <w:bookmarkStart w:id="26" w:name="_Toc84234389"/>
      <w:bookmarkStart w:id="27" w:name="_Toc84234436"/>
      <w:bookmarkStart w:id="28" w:name="_Toc86204790"/>
      <w:bookmarkStart w:id="29" w:name="_Toc86223244"/>
      <w:bookmarkStart w:id="30" w:name="_Toc86225293"/>
      <w:bookmarkStart w:id="31" w:name="_Toc86649724"/>
      <w:bookmarkStart w:id="32" w:name="_Toc86726441"/>
      <w:bookmarkStart w:id="33" w:name="_Toc86727357"/>
      <w:bookmarkStart w:id="34" w:name="_Toc86737931"/>
      <w:bookmarkStart w:id="35" w:name="_Toc89163370"/>
      <w:bookmarkStart w:id="36" w:name="_Toc108512360"/>
      <w:bookmarkStart w:id="37" w:name="_Toc110761798"/>
      <w:bookmarkStart w:id="38" w:name="_Toc110765662"/>
      <w:bookmarkStart w:id="39" w:name="_Toc110830494"/>
      <w:bookmarkStart w:id="40" w:name="_Toc118212952"/>
      <w:bookmarkStart w:id="41" w:name="_Toc118774805"/>
      <w:bookmarkStart w:id="42" w:name="_Toc118972650"/>
      <w:bookmarkStart w:id="43" w:name="_Toc119402712"/>
      <w:bookmarkStart w:id="44" w:name="_Toc120435785"/>
      <w:bookmarkStart w:id="45" w:name="_Toc134110543"/>
      <w:r w:rsidRPr="00E9363B">
        <w:rPr>
          <w:rFonts w:hint="eastAsia"/>
          <w:color w:val="000000" w:themeColor="text1"/>
        </w:rPr>
        <w:t>六、指令的发送、确认及执行</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基金管理人在运用基金财产时向基金托管人发送资金划拨及其他款项付款指令，基金托管人执行基金管理人的指令、办理基金名下的资金往来等有关事项。</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（一）基金管理人对发送指令人员的书面授权</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1、基金管理人应指定专人向基金托管人发送指令。</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2、基金管理人应向基金托管人提供书面授权文件，内容包括被授权人名单、预留印鉴及被授权人签字样本，授权文件应注明被授权人相应的权限。</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3、基金托管人在收到授权文件原件并经基金管理人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4、基金管理人和基金托管人对授权文件负有保密义务，其内容不得向被授权人及相关操作人员以外的任何人泄露。但法律法规规定或有权机关要求的除外。</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（二）指令的内容</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1、指令包括赎回、分红付款指令、回购到期付款指令、与投资有关的付款指令、实物债券出入库指令以及其他资金划拨指令等。</w:t>
      </w:r>
    </w:p>
    <w:p w:rsidR="003B526D" w:rsidRPr="00E9363B">
      <w:pPr>
        <w:pStyle w:val="TOC1"/>
        <w:tabs>
          <w:tab w:val="right" w:leader="dot" w:pos="8302"/>
        </w:tabs>
        <w:spacing w:line="360" w:lineRule="auto"/>
        <w:ind w:firstLine="475"/>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2、基金管理人发给基金托管人的指令应写明款项事由、支付时间、到账时间、金额、账户等，加盖预留印鉴并由被授权人签字。</w:t>
      </w:r>
    </w:p>
    <w:p w:rsidR="003B526D" w:rsidRPr="00E9363B">
      <w:pPr>
        <w:pStyle w:val="TOC1"/>
        <w:tabs>
          <w:tab w:val="right" w:leader="dot" w:pos="8302"/>
        </w:tabs>
        <w:spacing w:line="360" w:lineRule="auto"/>
        <w:ind w:firstLine="480"/>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（三）指令的发送、确认及执行的时间和程序</w:t>
      </w:r>
    </w:p>
    <w:p w:rsidR="003B526D" w:rsidRPr="00E9363B">
      <w:pPr>
        <w:pStyle w:val="TOC1"/>
        <w:tabs>
          <w:tab w:val="right" w:leader="dot" w:pos="8302"/>
        </w:tabs>
        <w:spacing w:line="360" w:lineRule="auto"/>
        <w:ind w:firstLine="480"/>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1、指令的发送</w:t>
      </w:r>
    </w:p>
    <w:p w:rsidR="003B526D" w:rsidRPr="00E9363B">
      <w:pPr>
        <w:pStyle w:val="TOC1"/>
        <w:tabs>
          <w:tab w:val="right" w:leader="dot" w:pos="8302"/>
        </w:tabs>
        <w:spacing w:line="360" w:lineRule="auto"/>
        <w:ind w:firstLine="480"/>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基金管理人发送指令应采用加密传真方式或双方协商一致的其他方式。</w:t>
      </w:r>
    </w:p>
    <w:p w:rsidR="003B526D" w:rsidRPr="00E9363B">
      <w:pPr>
        <w:pStyle w:val="TOC1"/>
        <w:tabs>
          <w:tab w:val="right" w:leader="dot" w:pos="8302"/>
        </w:tabs>
        <w:spacing w:line="360" w:lineRule="auto"/>
        <w:ind w:firstLine="480"/>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rsidR="003B526D" w:rsidRPr="00E9363B">
      <w:pPr>
        <w:pStyle w:val="TOC1"/>
        <w:tabs>
          <w:tab w:val="right" w:leader="dot" w:pos="8302"/>
        </w:tabs>
        <w:spacing w:line="360" w:lineRule="auto"/>
        <w:ind w:firstLine="480"/>
        <w:rPr>
          <w:rFonts w:ascii="宋体" w:hAnsi="宋体" w:cs="Times New Roman"/>
          <w:caps/>
          <w:color w:val="000000"/>
          <w:sz w:val="24"/>
          <w:szCs w:val="24"/>
          <w:lang w:eastAsia="zh-CN"/>
        </w:rPr>
      </w:pPr>
      <w:r w:rsidRPr="00E9363B">
        <w:rPr>
          <w:rFonts w:ascii="宋体" w:hAnsi="宋体" w:cs="Times New Roman"/>
          <w:caps/>
          <w:color w:val="000000" w:themeColor="text1"/>
          <w:sz w:val="24"/>
          <w:szCs w:val="24"/>
          <w:lang w:eastAsia="zh-CN"/>
        </w:rPr>
        <w:t>指令发出后，基金管理人应及时以电话方式或双方认可的其他方式向基金托管人确认。</w:t>
      </w:r>
    </w:p>
    <w:p w:rsidR="003B526D" w:rsidRPr="00192EE6">
      <w:pPr>
        <w:pStyle w:val="TOC1"/>
        <w:tabs>
          <w:tab w:val="right" w:leader="dot" w:pos="8302"/>
        </w:tabs>
        <w:spacing w:line="360" w:lineRule="auto"/>
        <w:ind w:firstLine="480"/>
        <w:rPr>
          <w:rFonts w:ascii="宋体" w:hAnsi="宋体" w:cs="Times New Roman"/>
          <w:caps/>
          <w:color w:val="000000"/>
          <w:sz w:val="24"/>
          <w:szCs w:val="24"/>
          <w:lang w:eastAsia="zh-CN"/>
        </w:rPr>
      </w:pPr>
      <w:r w:rsidRPr="00192EE6">
        <w:rPr>
          <w:rFonts w:ascii="宋体" w:hAnsi="宋体" w:cs="Times New Roman"/>
          <w:caps/>
          <w:color w:val="000000" w:themeColor="text1"/>
          <w:sz w:val="24"/>
          <w:szCs w:val="24"/>
          <w:lang w:eastAsia="zh-CN"/>
        </w:rPr>
        <w:t>基金管理人向基金托管人发送有效划款指令时，应确保基金托管人有足够的处理时间，除需考虑资金在途时间外，还需给基金托管人留有2个工作小时的复核和审批时间。基金管理人在每个工作日的15:00以后发送的要求当日支付的划款指令，基金托管人不保证当天能够执行。有效划款指令是指指令要素（包括付款人、付款账号、收款人、收款账号、金额（大、小写）、款项事由、支付时间）准确无误、预留印鉴相符、相关的指令附件齐全且头寸充足的划款指令。因基金管理人自身原因造成的指令传输不及时、未能留出足够的划款时间，致使资金未能及时到账所造成的损失由基金管理人承担。</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2、指令的确认</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以</w:t>
      </w:r>
      <w:r w:rsidRPr="00192EE6">
        <w:rPr>
          <w:rFonts w:ascii="宋体" w:hAnsi="宋体" w:cs="宋体"/>
          <w:color w:val="000000"/>
          <w:sz w:val="24"/>
          <w:szCs w:val="24"/>
          <w:u w:val="none"/>
          <w:lang w:eastAsia="zh-CN"/>
        </w:rPr>
        <w:t>书面或以双方认可的其他方式</w:t>
      </w:r>
      <w:r w:rsidRPr="00192EE6">
        <w:rPr>
          <w:rFonts w:ascii="宋体" w:hAnsi="宋体" w:cs="宋体"/>
          <w:color w:val="000000"/>
          <w:sz w:val="24"/>
          <w:szCs w:val="24"/>
          <w:lang w:eastAsia="zh-CN"/>
        </w:rPr>
        <w:t>通知基金管理人。基金托管人可以要求基金管理人传真提供相关交易凭证、合同或其他有效会计资料，以确保基金托管人有足够的资料来判断指令的有效性。基金管理人应保证上述资料合法、真实、完整和有效。</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3、指令的时间和执行</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基金托管人对指令验证后，应及时办理。</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基金管理人向基金托管人下达指令时，应确保基金资金账户有足够的资金余额，对基金管理人在没有充足资金的情况下向基金托管人发出的指令，基金托管人可不予执行，但应立即以</w:t>
      </w:r>
      <w:r w:rsidRPr="00192EE6">
        <w:rPr>
          <w:rFonts w:ascii="宋体" w:hAnsi="宋体" w:cs="宋体"/>
          <w:color w:val="000000"/>
          <w:sz w:val="24"/>
          <w:szCs w:val="24"/>
          <w:u w:val="none"/>
          <w:lang w:eastAsia="zh-CN"/>
        </w:rPr>
        <w:t>书面或以双方认可的其他方式</w:t>
      </w:r>
      <w:r w:rsidRPr="00192EE6">
        <w:rPr>
          <w:rFonts w:ascii="宋体" w:hAnsi="宋体" w:cs="宋体"/>
          <w:color w:val="000000"/>
          <w:sz w:val="24"/>
          <w:szCs w:val="24"/>
          <w:lang w:eastAsia="zh-CN"/>
        </w:rPr>
        <w:t>通知基金管理人，由基金管理人审核、查明原因，出具书面文件确认此交易指令无效。</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（四）基金管理人发送错误指令的情形和处理程序</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基金管理人发送错误指令的情形包括指令违反法律法规和基金合同的约定，指令发送人员无权或超越权限发送指令。</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基金托管人在履行监督职能时，发现基金管理人的指令错误时，有权拒绝执行，并及时以</w:t>
      </w:r>
      <w:r w:rsidRPr="00192EE6">
        <w:rPr>
          <w:rFonts w:ascii="宋体" w:hAnsi="宋体" w:cs="宋体"/>
          <w:color w:val="000000"/>
          <w:sz w:val="24"/>
          <w:szCs w:val="24"/>
          <w:u w:val="none"/>
          <w:lang w:eastAsia="zh-CN"/>
        </w:rPr>
        <w:t>书面或以双方认可的其他方式</w:t>
      </w:r>
      <w:r w:rsidRPr="00192EE6">
        <w:rPr>
          <w:rFonts w:ascii="宋体" w:hAnsi="宋体" w:cs="宋体"/>
          <w:color w:val="000000"/>
          <w:sz w:val="24"/>
          <w:szCs w:val="24"/>
          <w:lang w:eastAsia="zh-CN"/>
        </w:rPr>
        <w:t>通知基金管理人改正。如需撤销指令，基金管理人应出具书面说明，并加盖预留印鉴。</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（五）基金托管人依照法律法规暂缓、拒绝执行指令的情形和处理程序</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若基金托管人发现基金管理人的指令违反法律法规，或者违反基金合同约定的，应当视情况暂缓或拒绝执行，并立即以录音电话或以双方认可的其他方式通知基金管理人。</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（六）基金托管人未按照基金管理人指令执行的处理方法</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基金托管人由于自身原因，未按照基金管理人发送的指令执行，应在发现后及时采取措施予以弥补；若对基金管理人、基金财产或投资人造成直接损失，由基金托管人赔偿由此造成的直接损失。</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（七）更换被授权人员的程序</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以传真件为准，由此产生的责任</w:t>
      </w:r>
      <w:r w:rsidRPr="00192EE6">
        <w:rPr>
          <w:rFonts w:ascii="宋体" w:hAnsi="宋体" w:cs="宋体" w:hint="eastAsia"/>
          <w:color w:val="000000"/>
          <w:sz w:val="24"/>
          <w:szCs w:val="24"/>
          <w:lang w:eastAsia="zh-CN"/>
        </w:rPr>
        <w:t>不由</w:t>
      </w:r>
      <w:r w:rsidRPr="00192EE6">
        <w:rPr>
          <w:rFonts w:ascii="宋体" w:hAnsi="宋体" w:cs="宋体"/>
          <w:color w:val="000000"/>
          <w:sz w:val="24"/>
          <w:szCs w:val="24"/>
          <w:lang w:eastAsia="zh-CN"/>
        </w:rPr>
        <w:t>基金托管人承担。基金托管人更换接收基金管理人指令的人员，应提前通过录音电话或以</w:t>
      </w:r>
      <w:r w:rsidRPr="00192EE6">
        <w:rPr>
          <w:rFonts w:ascii="宋体" w:hAnsi="宋体" w:cs="宋体"/>
          <w:color w:val="000000"/>
          <w:sz w:val="24"/>
          <w:szCs w:val="24"/>
          <w:u w:val="none"/>
          <w:lang w:eastAsia="zh-CN"/>
        </w:rPr>
        <w:t>书面或以双方认可的其他方式</w:t>
      </w:r>
      <w:r w:rsidRPr="00192EE6">
        <w:rPr>
          <w:rFonts w:ascii="宋体" w:hAnsi="宋体" w:cs="宋体"/>
          <w:color w:val="000000"/>
          <w:sz w:val="24"/>
          <w:szCs w:val="24"/>
          <w:lang w:eastAsia="zh-CN"/>
        </w:rPr>
        <w:t>通知基金管理人并由基金管理人确认。</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（八）其他事项</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基金托管人在接收指令时，应对指令的要素是否齐全、印鉴与被授权人是否与预留的授权文件内容相符进行检查，如发现问题，应及时以书面或以双方认可的其他方式报告基金管理人。</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基金参与认购未上市债券时，基金管理人应代表本基金与对手方签署相关合同或协议，明确约定债券过户具体事宜。否则，基金管理人需对所认购债券的过户事宜承担相应责任。</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基金管理人同意基金托管人根据其收到的中登公司或证券交易所的交易数据与中登公司进行交收。基金投资发生的所有场内交易的清算交收，由基金托管人根据相关登记结算公司的结算规则办理，基金管理人不需要另行出具指令。</w:t>
      </w:r>
    </w:p>
    <w:p w:rsidR="003B526D" w:rsidRPr="00192EE6">
      <w:pPr>
        <w:pBdr>
          <w:top w:val="nil"/>
          <w:left w:val="nil"/>
          <w:bottom w:val="nil"/>
          <w:right w:val="nil"/>
        </w:pBdr>
        <w:spacing w:line="360" w:lineRule="auto"/>
        <w:ind w:firstLine="480"/>
        <w:rPr>
          <w:sz w:val="24"/>
          <w:szCs w:val="24"/>
          <w:lang w:eastAsia="zh-CN"/>
        </w:rPr>
      </w:pPr>
      <w:r w:rsidRPr="00192EE6">
        <w:rPr>
          <w:rFonts w:ascii="宋体" w:hAnsi="宋体" w:cs="宋体"/>
          <w:color w:val="000000"/>
          <w:sz w:val="24"/>
          <w:szCs w:val="24"/>
          <w:lang w:eastAsia="zh-CN"/>
        </w:rPr>
        <w:t>遵照中登上海预交收制度、中登深圳结算互保金制度、中登上海深圳备付金管理办法等有关规定所做的结算备付金、保证金及最低结算备付金的调整也视为基金管理人向基金托管人发出的有效指令，无须基金管理人向基金托管人另行出具指令，基金托管人应予以执行。</w:t>
      </w:r>
    </w:p>
    <w:p w:rsidR="003B526D" w:rsidRPr="00E9363B">
      <w:pPr>
        <w:pBdr>
          <w:top w:val="nil"/>
          <w:left w:val="nil"/>
          <w:bottom w:val="nil"/>
          <w:right w:val="nil"/>
        </w:pBdr>
        <w:spacing w:line="360" w:lineRule="auto"/>
        <w:ind w:firstLine="480"/>
        <w:rPr>
          <w:szCs w:val="21"/>
          <w:lang w:eastAsia="zh-CN"/>
        </w:rPr>
      </w:pPr>
      <w:r w:rsidRPr="00192EE6">
        <w:rPr>
          <w:rFonts w:ascii="宋体" w:hAnsi="宋体" w:cs="宋体"/>
          <w:color w:val="000000"/>
          <w:sz w:val="24"/>
          <w:szCs w:val="24"/>
          <w:lang w:eastAsia="zh-CN"/>
        </w:rPr>
        <w:t>本基金资金账户发生的银行结算费用等银行费用，由基金托管人直接从资金账户中扣划，无须基金管理人出具指令</w:t>
      </w:r>
      <w:r w:rsidRPr="00192EE6">
        <w:rPr>
          <w:rFonts w:hint="eastAsia"/>
          <w:sz w:val="24"/>
          <w:szCs w:val="24"/>
          <w:lang w:eastAsia="zh-CN"/>
        </w:rPr>
        <w:t>。</w:t>
      </w:r>
    </w:p>
    <w:p w:rsidR="003B526D" w:rsidRPr="00E9363B">
      <w:pPr>
        <w:spacing w:line="360" w:lineRule="auto"/>
        <w:ind w:firstLine="420"/>
        <w:rPr>
          <w:rFonts w:ascii="Cambria"/>
          <w:lang w:eastAsia="zh-CN"/>
        </w:rPr>
        <w:sectPr>
          <w:pgSz w:w="11906" w:h="16838"/>
          <w:pgMar w:top="1418" w:right="1701" w:bottom="1418" w:left="1701" w:header="851" w:footer="992" w:gutter="0"/>
          <w:cols w:space="720"/>
          <w:docGrid w:type="lines" w:linePitch="312"/>
        </w:sectPr>
      </w:pPr>
    </w:p>
    <w:p w:rsidR="003B526D" w:rsidRPr="00E9363B">
      <w:pPr>
        <w:pStyle w:val="11"/>
        <w:rPr>
          <w:color w:val="000000"/>
        </w:rPr>
      </w:pPr>
      <w:bookmarkStart w:id="46" w:name="_Toc84133788"/>
      <w:bookmarkStart w:id="47" w:name="_Toc84234390"/>
      <w:bookmarkStart w:id="48" w:name="_Toc84234437"/>
      <w:bookmarkStart w:id="49" w:name="_Toc86204791"/>
      <w:bookmarkStart w:id="50" w:name="_Toc86223245"/>
      <w:bookmarkStart w:id="51" w:name="_Toc86225294"/>
      <w:bookmarkStart w:id="52" w:name="_Toc86649725"/>
      <w:bookmarkStart w:id="53" w:name="_Toc86726442"/>
      <w:bookmarkStart w:id="54" w:name="_Toc86727358"/>
      <w:bookmarkStart w:id="55" w:name="_Toc86737932"/>
      <w:bookmarkStart w:id="56" w:name="_Toc89163371"/>
      <w:bookmarkStart w:id="57" w:name="_Toc108512361"/>
      <w:bookmarkStart w:id="58" w:name="_Toc110761799"/>
      <w:bookmarkStart w:id="59" w:name="_Toc110765663"/>
      <w:bookmarkStart w:id="60" w:name="_Toc110830495"/>
      <w:bookmarkStart w:id="61" w:name="_Toc118212953"/>
      <w:bookmarkStart w:id="62" w:name="_Toc118774806"/>
      <w:bookmarkStart w:id="63" w:name="_Toc118972651"/>
      <w:bookmarkStart w:id="64" w:name="_Toc119402713"/>
      <w:bookmarkStart w:id="65" w:name="_Toc120435786"/>
      <w:bookmarkStart w:id="66" w:name="_Toc134110544"/>
      <w:r w:rsidRPr="00E9363B">
        <w:rPr>
          <w:rFonts w:hint="eastAsia"/>
          <w:color w:val="000000" w:themeColor="text1"/>
        </w:rPr>
        <w:t>七、交易及清算交收安排</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（一）选择证券买卖的证券经营机构的程序</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、基金管理人负责选择代理本基金财产证券买卖的证券经营机构，并与其签订证券交易单元使用协议。</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、基金管理人应及时将本基金财产证券交易单元号、佣金费率等基本信息以及变更情况及时以书面形式通知基金托管人。</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、基金管理人与基金托管人配合完成交易单元的合并清算事宜，基金管理人在交易前应确认相关合并清算事宜已办结。若基金管理人在合并清算办结前交易，则相关的交收责任由基金管理人承担。</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、因相关法律法规或交易规则的修改带来的变化以届时有效的法律法规和相关交易规则为准。</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（二）基金投资证券后的清算交收安排</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、关于基金资产在证券交易所市场达成的符合中国结算公司多边净额结算要求的证券交易以及新股业务：</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）基金托管人、基金管理人应共同遵守双方签订的《托管银行证券资金结算协议》。</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托管人遵照中登公司备付金、保证金管理办法有关规定，确定和调整基金财产最低结算备付金、证券结算保证金限额，基金管理人应存放于中登公司的最低备付金、结算保证金日末余额不得低于基金托管人根据中登公司备付金、保证金管理办法规定的限额。基金托管人根据中登公司规定向基金财产支付利息。</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3）根据中登公司的规定，结算备付金账户内的最低备付金、交易保证金账户内的资金按月调整按季结息，因此，基金合同终止时，本基金可能有尚存放于结算公司的最低备付金、交易保证金以及结算公司尚未支付的利息等款项。对上述款项，基金托管人将于结算公司支付该等款项时扣除相应银行汇划费用后划</w:t>
      </w:r>
      <w:r w:rsidRPr="00E9363B">
        <w:rPr>
          <w:rFonts w:ascii="Times New Roman" w:hAnsi="Times New Roman" w:cs="Times New Roman"/>
          <w:bCs/>
          <w:sz w:val="24"/>
          <w:szCs w:val="24"/>
          <w:lang w:eastAsia="zh-CN"/>
        </w:rPr>
        <w:t>付至本基金清算报告中指定的收款账户。基金合同终止后，中登根据结算规则，调增计划的结算备付以及交易保证金，基金管理人应配合基金托管人，向基金托管人及时划付调增款项，以便基金托管人履行交收职责。</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基金管理人签署本托管协议，即视为同意基金管理人在构成资金交收违约且未能按时指定相关证券作为交收履约担保物时，基金托管人可自行向结算公司申请由结算公司协助冻结基金管理人证券账户内相应证券，无需基金管理人另行出具书面确认文件。</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（三）关于基金资产在证券交易所市场达成的符合中国结算公司</w:t>
      </w:r>
      <w:r w:rsidRPr="00E9363B">
        <w:rPr>
          <w:rFonts w:ascii="宋体" w:hAnsi="宋体" w:cs="宋体"/>
          <w:bCs/>
          <w:sz w:val="24"/>
          <w:szCs w:val="24"/>
          <w:lang w:eastAsia="zh-CN"/>
        </w:rPr>
        <w:t>T+0</w:t>
      </w:r>
      <w:r w:rsidRPr="00E9363B">
        <w:rPr>
          <w:rFonts w:ascii="Times New Roman" w:hAnsi="Times New Roman" w:cs="Times New Roman"/>
          <w:bCs/>
          <w:sz w:val="24"/>
          <w:szCs w:val="24"/>
          <w:lang w:eastAsia="zh-CN"/>
        </w:rPr>
        <w:t>非担保结算要求的证券交易：</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、对于在</w:t>
      </w:r>
      <w:r w:rsidRPr="00E9363B">
        <w:rPr>
          <w:rFonts w:ascii="Times New Roman" w:hAnsi="Times New Roman" w:cs="Times New Roman" w:hint="eastAsia"/>
          <w:bCs/>
          <w:sz w:val="24"/>
          <w:szCs w:val="24"/>
          <w:lang w:eastAsia="zh-CN"/>
        </w:rPr>
        <w:t>证券</w:t>
      </w:r>
      <w:r w:rsidRPr="00E9363B">
        <w:rPr>
          <w:rFonts w:ascii="Times New Roman" w:hAnsi="Times New Roman" w:cs="Times New Roman"/>
          <w:bCs/>
          <w:sz w:val="24"/>
          <w:szCs w:val="24"/>
          <w:lang w:eastAsia="zh-CN"/>
        </w:rPr>
        <w:t>交易所交易的采用</w:t>
      </w:r>
      <w:r w:rsidRPr="00E9363B">
        <w:rPr>
          <w:rFonts w:ascii="宋体" w:hAnsi="宋体" w:cs="宋体"/>
          <w:bCs/>
          <w:sz w:val="24"/>
          <w:szCs w:val="24"/>
          <w:lang w:eastAsia="zh-CN"/>
        </w:rPr>
        <w:t>T+0</w:t>
      </w:r>
      <w:r w:rsidRPr="00E9363B">
        <w:rPr>
          <w:rFonts w:ascii="Times New Roman" w:hAnsi="Times New Roman" w:cs="Times New Roman"/>
          <w:bCs/>
          <w:sz w:val="24"/>
          <w:szCs w:val="24"/>
          <w:lang w:eastAsia="zh-CN"/>
        </w:rPr>
        <w:t>非担保交收的交易品种（如股票质押式回购、深圳公司债大宗交易、资产支持证券等，根据中登公司业务规则适时调整），基金管理人需在交易当日不晚于</w:t>
      </w:r>
      <w:r w:rsidRPr="00E9363B">
        <w:rPr>
          <w:rFonts w:ascii="宋体" w:hAnsi="宋体" w:cs="宋体"/>
          <w:bCs/>
          <w:sz w:val="24"/>
          <w:szCs w:val="24"/>
          <w:lang w:eastAsia="zh-CN"/>
        </w:rPr>
        <w:t>14</w:t>
      </w: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00</w:t>
      </w:r>
      <w:r w:rsidRPr="00E9363B">
        <w:rPr>
          <w:rFonts w:ascii="Times New Roman" w:hAnsi="Times New Roman" w:cs="Times New Roman"/>
          <w:bCs/>
          <w:sz w:val="24"/>
          <w:szCs w:val="24"/>
          <w:lang w:eastAsia="zh-CN"/>
        </w:rPr>
        <w:t>向基金托管人发送交易应付资金划款指令（对于中登业务规则规定不是必须要勾单的，若基金管理人希望基金托管人进行勾单处理，则需在指令上备注需要托管行勾单），同时将相关交易证明文件传真至基金托管人，并与基金托管人进行电话确认，以保证当日交易资金交收的顺利进行。对于基金管理人在</w:t>
      </w:r>
      <w:r w:rsidRPr="00E9363B">
        <w:rPr>
          <w:rFonts w:ascii="宋体" w:hAnsi="宋体" w:cs="宋体"/>
          <w:bCs/>
          <w:sz w:val="24"/>
          <w:szCs w:val="24"/>
          <w:lang w:eastAsia="zh-CN"/>
        </w:rPr>
        <w:t>14</w:t>
      </w: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00</w:t>
      </w:r>
      <w:r w:rsidRPr="00E9363B">
        <w:rPr>
          <w:rFonts w:ascii="Times New Roman" w:hAnsi="Times New Roman" w:cs="Times New Roman"/>
          <w:bCs/>
          <w:sz w:val="24"/>
          <w:szCs w:val="24"/>
          <w:lang w:eastAsia="zh-CN"/>
        </w:rPr>
        <w:t>后出具的划款指令，特别是需要基金托管人进行</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勾单</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确认的交易，基金托管人本着勤勉尽责的原则积极处理，但不保证支付</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勾单成功。</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管理人一旦出现交易后无法履约的情况，应在第一时间通知基金托管人。对于中国结算公司允许基金托管人指定不履约的交易品种，基金管理人应向基金托管人出具书面的取消交收指令，另，鉴于中登公司对取消交收（指定不履约）申报时间有限，基金托管人有权在电话通知基金管理人后，先行完成取消交收操作，基金管理人承诺日终前补出具书面的取消交收指令，但应及时通知基金管理人。</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若基金管理人未及时出具交易应付资金划款指令，或基金管理人在本基金托管账户头寸不足的情况下交易，基金托管人有权在基金管理人知悉并同意后在中登公司取消交收截止时点前半小时内主动对该笔交易进行取消交收申报，相应损失由基金管理人承担。</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、对于根据结算规则不能取消交收的交易品种，如出现前述第</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项所述情形的，基金管理人知悉并同意基金托管人有权（但并非确保）仅根据中国结算公司的清算交收数据，主动将本基金托管账户中的资金划入中国结算公司用以完成当日</w:t>
      </w:r>
      <w:r w:rsidRPr="00E9363B">
        <w:rPr>
          <w:rFonts w:ascii="宋体" w:hAnsi="宋体" w:cs="宋体"/>
          <w:bCs/>
          <w:sz w:val="24"/>
          <w:szCs w:val="24"/>
          <w:lang w:eastAsia="zh-CN"/>
        </w:rPr>
        <w:t>T+0</w:t>
      </w:r>
      <w:r w:rsidRPr="00E9363B">
        <w:rPr>
          <w:rFonts w:ascii="Times New Roman" w:hAnsi="Times New Roman" w:cs="Times New Roman"/>
          <w:bCs/>
          <w:sz w:val="24"/>
          <w:szCs w:val="24"/>
          <w:lang w:eastAsia="zh-CN"/>
        </w:rPr>
        <w:t>非担保交收交易品种的交收，基金管理人承诺在日终前向基金托管人补出具资金划款指令。</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5</w:t>
      </w:r>
      <w:r w:rsidRPr="00E9363B">
        <w:rPr>
          <w:rFonts w:ascii="Times New Roman" w:hAnsi="Times New Roman" w:cs="Times New Roman"/>
          <w:bCs/>
          <w:sz w:val="24"/>
          <w:szCs w:val="24"/>
          <w:lang w:eastAsia="zh-CN"/>
        </w:rPr>
        <w:t>、发生以下因基金管理人原因所造成的情形，基金管理人应承担相应责任：</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）基金管理人所</w:t>
      </w:r>
      <w:r w:rsidRPr="00E9363B">
        <w:rPr>
          <w:rFonts w:ascii="Times New Roman" w:hAnsi="Times New Roman" w:cs="Times New Roman" w:hint="eastAsia"/>
          <w:bCs/>
          <w:sz w:val="24"/>
          <w:szCs w:val="24"/>
          <w:lang w:eastAsia="zh-CN"/>
        </w:rPr>
        <w:t>管理</w:t>
      </w:r>
      <w:r w:rsidRPr="00E9363B">
        <w:rPr>
          <w:rFonts w:ascii="Times New Roman" w:hAnsi="Times New Roman" w:cs="Times New Roman"/>
          <w:bCs/>
          <w:sz w:val="24"/>
          <w:szCs w:val="24"/>
          <w:lang w:eastAsia="zh-CN"/>
        </w:rPr>
        <w:t>的产品资金不足导致其自身产品交收失败，基金托管人应及时通知基金管理人，如系基金管理人的原因造成，由基金管理人承担交易失败的风险，基金托管人无义务为该产品垫付交收款项；</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）因基金管理人未在本协议约定的时间前向基金托管人提交有效划款指令，导致基金托管人无法及时完成支付结算操作而使其自身产品交收失败的，由基金管理人自行承担交易失败的风险；</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）因基金管理人所</w:t>
      </w:r>
      <w:r w:rsidRPr="00E9363B">
        <w:rPr>
          <w:rFonts w:ascii="Times New Roman" w:hAnsi="Times New Roman" w:cs="Times New Roman" w:hint="eastAsia"/>
          <w:bCs/>
          <w:sz w:val="24"/>
          <w:szCs w:val="24"/>
          <w:lang w:eastAsia="zh-CN"/>
        </w:rPr>
        <w:t>管理</w:t>
      </w:r>
      <w:r w:rsidRPr="00E9363B">
        <w:rPr>
          <w:rFonts w:ascii="Times New Roman" w:hAnsi="Times New Roman" w:cs="Times New Roman"/>
          <w:bCs/>
          <w:sz w:val="24"/>
          <w:szCs w:val="24"/>
          <w:lang w:eastAsia="zh-CN"/>
        </w:rPr>
        <w:t>的产品资金不足，且占用托管行最低备付金交收成功，造成托管行损失，则应对造成的直接损失承担赔偿责任，且基金托管人保留根据上海银行间市场同业拆借利率向基金管理人追索利息的权利；</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）因基金管理人所</w:t>
      </w:r>
      <w:r w:rsidRPr="00E9363B">
        <w:rPr>
          <w:rFonts w:ascii="Times New Roman" w:hAnsi="Times New Roman" w:cs="Times New Roman" w:hint="eastAsia"/>
          <w:bCs/>
          <w:sz w:val="24"/>
          <w:szCs w:val="24"/>
          <w:lang w:eastAsia="zh-CN"/>
        </w:rPr>
        <w:t>管理</w:t>
      </w:r>
      <w:r w:rsidRPr="00E9363B">
        <w:rPr>
          <w:rFonts w:ascii="Times New Roman" w:hAnsi="Times New Roman" w:cs="Times New Roman"/>
          <w:bCs/>
          <w:sz w:val="24"/>
          <w:szCs w:val="24"/>
          <w:lang w:eastAsia="zh-CN"/>
        </w:rPr>
        <w:t>的产品资金不足或基金管理人未在规定时间内向基金托管人提交划款指令，且有证据证明其直接造成基金托管人损失的，基金管理人应对造成的直接损失承担赔偿责任。</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6</w:t>
      </w:r>
      <w:r w:rsidRPr="00E9363B">
        <w:rPr>
          <w:rFonts w:ascii="Times New Roman" w:hAnsi="Times New Roman" w:cs="Times New Roman"/>
          <w:bCs/>
          <w:sz w:val="24"/>
          <w:szCs w:val="24"/>
          <w:lang w:eastAsia="zh-CN"/>
        </w:rPr>
        <w:t>、基金管理人已充分了解托管行结算模式下可能存在的交收风险。如基金托管人托管的其他产品资金不足或过错，进而导致基金管理人管理的产品交收失败的，则基金托管人将配合基金管理人提供相关数据等信息向其他客户追偿；如基金托管人存在过错的，同时应在过错范围内对基金管理人承担赔偿责任。</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7</w:t>
      </w:r>
      <w:r w:rsidRPr="00E9363B">
        <w:rPr>
          <w:rFonts w:ascii="Times New Roman" w:hAnsi="Times New Roman" w:cs="Times New Roman"/>
          <w:bCs/>
          <w:sz w:val="24"/>
          <w:szCs w:val="24"/>
          <w:lang w:eastAsia="zh-CN"/>
        </w:rPr>
        <w:t>、对于本基金采用</w:t>
      </w:r>
      <w:r w:rsidRPr="00E9363B">
        <w:rPr>
          <w:rFonts w:ascii="宋体" w:hAnsi="宋体" w:cs="宋体"/>
          <w:bCs/>
          <w:sz w:val="24"/>
          <w:szCs w:val="24"/>
          <w:lang w:eastAsia="zh-CN"/>
        </w:rPr>
        <w:t>T+0</w:t>
      </w:r>
      <w:r w:rsidRPr="00E9363B">
        <w:rPr>
          <w:rFonts w:ascii="Times New Roman" w:hAnsi="Times New Roman" w:cs="Times New Roman"/>
          <w:bCs/>
          <w:sz w:val="24"/>
          <w:szCs w:val="24"/>
          <w:lang w:eastAsia="zh-CN"/>
        </w:rPr>
        <w:t>非担保交收下实时结算（</w:t>
      </w:r>
      <w:r w:rsidRPr="00E9363B">
        <w:rPr>
          <w:rFonts w:ascii="宋体" w:hAnsi="宋体" w:cs="宋体"/>
          <w:bCs/>
          <w:sz w:val="24"/>
          <w:szCs w:val="24"/>
          <w:lang w:eastAsia="zh-CN"/>
        </w:rPr>
        <w:t>RTGS</w:t>
      </w:r>
      <w:r w:rsidRPr="00E9363B">
        <w:rPr>
          <w:rFonts w:ascii="Times New Roman" w:hAnsi="Times New Roman" w:cs="Times New Roman"/>
          <w:bCs/>
          <w:sz w:val="24"/>
          <w:szCs w:val="24"/>
          <w:lang w:eastAsia="zh-CN"/>
        </w:rPr>
        <w:t>）方式完成实时交收的收款业务，基金管理人可根据需要在交易交收后且不晚于交收当日</w:t>
      </w:r>
      <w:r w:rsidRPr="00E9363B">
        <w:rPr>
          <w:rFonts w:ascii="宋体" w:hAnsi="宋体" w:cs="宋体"/>
          <w:bCs/>
          <w:sz w:val="24"/>
          <w:szCs w:val="24"/>
          <w:lang w:eastAsia="zh-CN"/>
        </w:rPr>
        <w:t>14</w:t>
      </w: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00</w:t>
      </w:r>
      <w:r w:rsidRPr="00E9363B">
        <w:rPr>
          <w:rFonts w:ascii="Times New Roman" w:hAnsi="Times New Roman" w:cs="Times New Roman"/>
          <w:bCs/>
          <w:sz w:val="24"/>
          <w:szCs w:val="24"/>
          <w:lang w:eastAsia="zh-CN"/>
        </w:rPr>
        <w:t>向基金托管人发送交易应收资金收款指令，同时将相关交易证明文件传真至基金托管人，并与基金托管人进行电话确认，以便基金托管人将交收金额提回至本基金资金托管账户。</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（四）关于基金资产在证券交易所市场达成的符合中国结算公司</w:t>
      </w:r>
      <w:r w:rsidRPr="00E9363B">
        <w:rPr>
          <w:rFonts w:ascii="宋体" w:hAnsi="宋体" w:cs="宋体"/>
          <w:bCs/>
          <w:sz w:val="24"/>
          <w:szCs w:val="24"/>
          <w:lang w:eastAsia="zh-CN"/>
        </w:rPr>
        <w:t>T+N</w:t>
      </w:r>
      <w:r w:rsidRPr="00E9363B">
        <w:rPr>
          <w:rFonts w:ascii="Times New Roman" w:hAnsi="Times New Roman" w:cs="Times New Roman"/>
          <w:bCs/>
          <w:sz w:val="24"/>
          <w:szCs w:val="24"/>
          <w:lang w:eastAsia="zh-CN"/>
        </w:rPr>
        <w:t>非担保结算要求的证券交易</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管理人知悉并同意基金托管人仅根据中国结算公司的清算交收数据主动完成本基金资金清算交收。若基金管理人出现交易后无法履约的情况，并且中国结算公司的业务规则允许基金托管人对相关交易可以取消交收的，基金管理人应于交收日前一工作日向基金托管人出具书面的取消交收指令，并与基金托管人进行电话确认。</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（五）银行间债券交易的清算交收安排</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、基金管理人发送有效指令（包括原指令被撤销、变更后再次发送的新指令）的截止时间为当天的</w:t>
      </w:r>
      <w:r w:rsidRPr="00E9363B">
        <w:rPr>
          <w:rFonts w:ascii="宋体" w:hAnsi="宋体" w:cs="宋体"/>
          <w:bCs/>
          <w:sz w:val="24"/>
          <w:szCs w:val="24"/>
          <w:lang w:eastAsia="zh-CN"/>
        </w:rPr>
        <w:t>15:00</w:t>
      </w:r>
      <w:r w:rsidRPr="00E9363B">
        <w:rPr>
          <w:rFonts w:ascii="Times New Roman" w:hAnsi="Times New Roman" w:cs="Times New Roman"/>
          <w:bCs/>
          <w:sz w:val="24"/>
          <w:szCs w:val="24"/>
          <w:lang w:eastAsia="zh-CN"/>
        </w:rPr>
        <w:t>。如基金管理人要求当天某一时点到账，则交易结算指令需提前</w:t>
      </w:r>
      <w:r w:rsidRPr="00E9363B">
        <w:rPr>
          <w:rFonts w:ascii="宋体" w:hAnsi="宋体" w:cs="宋体"/>
          <w:bCs/>
          <w:sz w:val="24"/>
          <w:szCs w:val="24"/>
          <w:lang w:eastAsia="zh-CN"/>
        </w:rPr>
        <w:t xml:space="preserve">2 </w:t>
      </w:r>
      <w:r w:rsidRPr="00E9363B">
        <w:rPr>
          <w:rFonts w:ascii="Times New Roman" w:hAnsi="Times New Roman" w:cs="Times New Roman"/>
          <w:bCs/>
          <w:sz w:val="24"/>
          <w:szCs w:val="24"/>
          <w:lang w:eastAsia="zh-CN"/>
        </w:rPr>
        <w:t>个工作小时发送，并进行电话确认。因基金管理人原因造成指令、成交单传输不及时、未能留出足够的操作时间，致使资金未能及时到账、债券未能及时交割所造成的损失</w:t>
      </w:r>
      <w:r w:rsidRPr="00E9363B">
        <w:rPr>
          <w:rFonts w:ascii="Times New Roman" w:hAnsi="Times New Roman" w:cs="Times New Roman" w:hint="eastAsia"/>
          <w:bCs/>
          <w:sz w:val="24"/>
          <w:szCs w:val="24"/>
          <w:lang w:eastAsia="zh-CN"/>
        </w:rPr>
        <w:t>不由</w:t>
      </w:r>
      <w:r w:rsidRPr="00E9363B">
        <w:rPr>
          <w:rFonts w:ascii="Times New Roman" w:hAnsi="Times New Roman" w:cs="Times New Roman"/>
          <w:bCs/>
          <w:sz w:val="24"/>
          <w:szCs w:val="24"/>
          <w:lang w:eastAsia="zh-CN"/>
        </w:rPr>
        <w:t>基金托管人承担。</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管理人向基金托管人下达指令时，应确保基金财产托管专户有足够的资金余额，对基金管理人在没有充足资金的情况下向基金托管人发出的指令，基金托管人可不予执行，并立即通知基金管理人，基金托管人不承担因为不执行该指令而造成损失的责任。基金管理人确认该指令不予取消的，资金备足并通知基金托管人的时间视为指令收到时间。</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、银行间交易结算方式采用券款对付的，托管专户与该产品在登记结算机构开立的</w:t>
      </w:r>
      <w:r w:rsidRPr="00E9363B">
        <w:rPr>
          <w:rFonts w:ascii="宋体" w:hAnsi="宋体" w:cs="宋体"/>
          <w:bCs/>
          <w:sz w:val="24"/>
          <w:szCs w:val="24"/>
          <w:lang w:eastAsia="zh-CN"/>
        </w:rPr>
        <w:t>DVP</w:t>
      </w:r>
      <w:r w:rsidRPr="00E9363B">
        <w:rPr>
          <w:rFonts w:ascii="Times New Roman" w:hAnsi="Times New Roman" w:cs="Times New Roman"/>
          <w:bCs/>
          <w:sz w:val="24"/>
          <w:szCs w:val="24"/>
          <w:lang w:eastAsia="zh-CN"/>
        </w:rPr>
        <w:t>资金账户之间的资金调拨，除了登记结算机构系统自动将</w:t>
      </w:r>
      <w:r w:rsidRPr="00E9363B">
        <w:rPr>
          <w:rFonts w:ascii="宋体" w:hAnsi="宋体" w:cs="宋体"/>
          <w:bCs/>
          <w:sz w:val="24"/>
          <w:szCs w:val="24"/>
          <w:lang w:eastAsia="zh-CN"/>
        </w:rPr>
        <w:t>DVP</w:t>
      </w:r>
      <w:r w:rsidRPr="00E9363B">
        <w:rPr>
          <w:rFonts w:ascii="Times New Roman" w:hAnsi="Times New Roman" w:cs="Times New Roman"/>
          <w:bCs/>
          <w:sz w:val="24"/>
          <w:szCs w:val="24"/>
          <w:lang w:eastAsia="zh-CN"/>
        </w:rPr>
        <w:t>资金账户资金退回至托管专户的之外，应当由基金管理人出具资金划款指令，基金托管人审核无误后执行。由于基金管理人未及时出具指令导致该产品在托管专户的头寸不足或者</w:t>
      </w:r>
      <w:r w:rsidRPr="00E9363B">
        <w:rPr>
          <w:rFonts w:ascii="宋体" w:hAnsi="宋体" w:cs="宋体"/>
          <w:bCs/>
          <w:sz w:val="24"/>
          <w:szCs w:val="24"/>
          <w:lang w:eastAsia="zh-CN"/>
        </w:rPr>
        <w:t>DVP</w:t>
      </w:r>
      <w:r w:rsidRPr="00E9363B">
        <w:rPr>
          <w:rFonts w:ascii="Times New Roman" w:hAnsi="Times New Roman" w:cs="Times New Roman"/>
          <w:bCs/>
          <w:sz w:val="24"/>
          <w:szCs w:val="24"/>
          <w:lang w:eastAsia="zh-CN"/>
        </w:rPr>
        <w:t>资金账户头寸不足导致的损失，基金托管人不承担责任。</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（六）交易记录、资金和证券账目核对的时间和方式</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、交易记录的核对</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对基金的交易记录，由基金管理人与基金托管人按日进行核对。对外披露基金份额净值、基金份额累计净值之前，必须保证</w:t>
      </w:r>
      <w:r w:rsidRPr="00E9363B">
        <w:rPr>
          <w:rFonts w:ascii="Times New Roman" w:hAnsi="Times New Roman" w:cs="Times New Roman" w:hint="eastAsia"/>
          <w:bCs/>
          <w:sz w:val="24"/>
          <w:szCs w:val="24"/>
          <w:lang w:eastAsia="zh-CN"/>
        </w:rPr>
        <w:t>估值日</w:t>
      </w:r>
      <w:r w:rsidRPr="00E9363B">
        <w:rPr>
          <w:rFonts w:ascii="Times New Roman" w:hAnsi="Times New Roman" w:cs="Times New Roman"/>
          <w:bCs/>
          <w:sz w:val="24"/>
          <w:szCs w:val="24"/>
          <w:lang w:eastAsia="zh-CN"/>
        </w:rPr>
        <w:t>所有实际交易记录与基金会计账簿上的交易记录完全一致。如果实际交易记录与会计账簿记录不一致，造成基金会计核算不完整或不真实，由此导致的损失由基金的会计责任方承担。</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、资金账目的核对</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资金账目由基金管理人和基金托管人按日核实，账实相符。</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、证券账目的核对</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基金管理人和基金托管人每交易日结束后根据第三方存管机构发送的对账数据进行证券对账，确保账实相符。</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、基金管理人和基金托管人每月月末核对实物证券账目。</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（七）基金申购赎回业务处理的基本规定</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、基金份额申购、赎回的确认、清算由基金管理人或其委托的登记机构负责。</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及转出款项。</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、基金管理人应保证本基金（或本基金管理人委托）的登记机构每个工作日</w:t>
      </w:r>
      <w:r w:rsidRPr="00E9363B">
        <w:rPr>
          <w:rFonts w:ascii="宋体" w:hAnsi="宋体" w:cs="宋体"/>
          <w:bCs/>
          <w:sz w:val="24"/>
          <w:szCs w:val="24"/>
          <w:lang w:eastAsia="zh-CN"/>
        </w:rPr>
        <w:t>15:00</w:t>
      </w:r>
      <w:r w:rsidRPr="00E9363B">
        <w:rPr>
          <w:rFonts w:ascii="Times New Roman" w:hAnsi="Times New Roman" w:cs="Times New Roman"/>
          <w:bCs/>
          <w:sz w:val="24"/>
          <w:szCs w:val="24"/>
          <w:lang w:eastAsia="zh-CN"/>
        </w:rPr>
        <w:t>前向基金托管人发送对应开放日上述有关数据，并保证相关数据的准确、完整。</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、登记机构应通过与基金托管人建立的加密系统发送有关数据</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包括电子数据和盖章生效的纸制清算汇总表</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，如因各种原因，该系统无法正常发送，双方可协商解决处理方式。基金管理人向基金托管人发送的数据，双方各自按有关规定保存。</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5</w:t>
      </w:r>
      <w:r w:rsidRPr="00E9363B">
        <w:rPr>
          <w:rFonts w:ascii="Times New Roman" w:hAnsi="Times New Roman" w:cs="Times New Roman"/>
          <w:bCs/>
          <w:sz w:val="24"/>
          <w:szCs w:val="24"/>
          <w:lang w:eastAsia="zh-CN"/>
        </w:rPr>
        <w:t>、如基金管理人委托其他机构办理本基金的登记业务，应保证上述相关事宜按时进行。否则，由基金管理人承担相应的责任。</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6</w:t>
      </w:r>
      <w:r w:rsidRPr="00E9363B">
        <w:rPr>
          <w:rFonts w:ascii="Times New Roman" w:hAnsi="Times New Roman" w:cs="Times New Roman"/>
          <w:bCs/>
          <w:sz w:val="24"/>
          <w:szCs w:val="24"/>
          <w:lang w:eastAsia="zh-CN"/>
        </w:rPr>
        <w:t>、关于清算专用账户的设立和管理</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为满足申购、赎回及分红资金汇划的需要，由基金管理人开立资金清算的专用账户，该账户由登记机构管理。</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7</w:t>
      </w:r>
      <w:r w:rsidRPr="00E9363B">
        <w:rPr>
          <w:rFonts w:ascii="Times New Roman" w:hAnsi="Times New Roman" w:cs="Times New Roman"/>
          <w:bCs/>
          <w:sz w:val="24"/>
          <w:szCs w:val="24"/>
          <w:lang w:eastAsia="zh-CN"/>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予以必要的配合。</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8</w:t>
      </w:r>
      <w:r w:rsidRPr="00E9363B">
        <w:rPr>
          <w:rFonts w:ascii="Times New Roman" w:hAnsi="Times New Roman" w:cs="Times New Roman"/>
          <w:bCs/>
          <w:sz w:val="24"/>
          <w:szCs w:val="24"/>
          <w:lang w:eastAsia="zh-CN"/>
        </w:rPr>
        <w:t>、赎回和分红资金划拨规定</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拨付赎回款或进行基金分红时，如基金资金账户有足够的资金，基金托管人应按时拨付；因基金资金账户没有足够的资金，导致基金托管人不能按时拨付，如系基金管理人的过错原因造成，相应责任由基金管理人承担，基金托管人不承担垫款义务。</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9</w:t>
      </w:r>
      <w:r w:rsidRPr="00E9363B">
        <w:rPr>
          <w:rFonts w:ascii="Times New Roman" w:hAnsi="Times New Roman" w:cs="Times New Roman"/>
          <w:bCs/>
          <w:sz w:val="24"/>
          <w:szCs w:val="24"/>
          <w:lang w:eastAsia="zh-CN"/>
        </w:rPr>
        <w:t>、资金指令除申购款项到达基金资金账户需双方按约定方式对账外，回购到期付款和与投资有关的付款、赎回和分红资金划拨时，基金管理人需向基金托管人下达指令。资金指令的格式、内容、发送、接收和确认方式等与投资指令相同。</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（八）申赎净额结算</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基金托管账户与</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注册登记清算账户</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间的资金清算遵循</w:t>
      </w:r>
      <w:r w:rsidRPr="00E9363B">
        <w:rPr>
          <w:rFonts w:ascii="宋体" w:hAnsi="宋体" w:cs="宋体"/>
          <w:bCs/>
          <w:sz w:val="24"/>
          <w:szCs w:val="24"/>
          <w:lang w:eastAsia="zh-CN"/>
        </w:rPr>
        <w:t>“</w:t>
      </w:r>
      <w:r w:rsidRPr="00E9363B">
        <w:rPr>
          <w:rFonts w:ascii="Times New Roman" w:hAnsi="Times New Roman" w:cs="Times New Roman" w:hint="eastAsia"/>
          <w:bCs/>
          <w:sz w:val="24"/>
          <w:szCs w:val="24"/>
          <w:lang w:eastAsia="zh-CN"/>
        </w:rPr>
        <w:t>全</w:t>
      </w:r>
      <w:r w:rsidRPr="00E9363B">
        <w:rPr>
          <w:rFonts w:ascii="Times New Roman" w:hAnsi="Times New Roman" w:cs="Times New Roman"/>
          <w:bCs/>
          <w:sz w:val="24"/>
          <w:szCs w:val="24"/>
          <w:lang w:eastAsia="zh-CN"/>
        </w:rPr>
        <w:t>额清算、净额交收</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的原则，即按照托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当日</w:t>
      </w:r>
      <w:r w:rsidRPr="00E9363B">
        <w:rPr>
          <w:rFonts w:ascii="宋体" w:hAnsi="宋体" w:cs="宋体"/>
          <w:bCs/>
          <w:sz w:val="24"/>
          <w:szCs w:val="24"/>
          <w:lang w:eastAsia="zh-CN"/>
        </w:rPr>
        <w:t>15:00</w:t>
      </w:r>
      <w:r w:rsidRPr="00E9363B">
        <w:rPr>
          <w:rFonts w:ascii="Times New Roman" w:hAnsi="Times New Roman" w:cs="Times New Roman"/>
          <w:bCs/>
          <w:sz w:val="24"/>
          <w:szCs w:val="24"/>
          <w:lang w:eastAsia="zh-CN"/>
        </w:rPr>
        <w:t>前从</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注册登记清算账户</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划</w:t>
      </w:r>
      <w:r w:rsidRPr="00E9363B">
        <w:rPr>
          <w:rFonts w:ascii="Times New Roman" w:hAnsi="Times New Roman" w:cs="Times New Roman" w:hint="eastAsia"/>
          <w:bCs/>
          <w:sz w:val="24"/>
          <w:szCs w:val="24"/>
          <w:lang w:eastAsia="zh-CN"/>
        </w:rPr>
        <w:t>往</w:t>
      </w:r>
      <w:r w:rsidRPr="00E9363B">
        <w:rPr>
          <w:rFonts w:ascii="Times New Roman" w:hAnsi="Times New Roman" w:cs="Times New Roman"/>
          <w:bCs/>
          <w:sz w:val="24"/>
          <w:szCs w:val="24"/>
          <w:lang w:eastAsia="zh-CN"/>
        </w:rPr>
        <w:t>基金托管账户，基金托管人在资金到账后应立即通知基金管理人进行账务处理；当存在托管账户净应付额时，基金管理人应在当日将划款指令发送给基金托管人，基金托管行按管理人的划款指令将托管账户净应付额在当日</w:t>
      </w:r>
      <w:r w:rsidRPr="00E9363B">
        <w:rPr>
          <w:rFonts w:ascii="宋体" w:hAnsi="宋体" w:cs="宋体"/>
          <w:bCs/>
          <w:sz w:val="24"/>
          <w:szCs w:val="24"/>
          <w:lang w:eastAsia="zh-CN"/>
        </w:rPr>
        <w:t>12:00</w:t>
      </w:r>
      <w:r w:rsidRPr="00E9363B">
        <w:rPr>
          <w:rFonts w:ascii="Times New Roman" w:hAnsi="Times New Roman" w:cs="Times New Roman"/>
          <w:bCs/>
          <w:sz w:val="24"/>
          <w:szCs w:val="24"/>
          <w:lang w:eastAsia="zh-CN"/>
        </w:rPr>
        <w:t>前划往</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注册登记清算账户</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基金托管人在资金划出后立即通知基金管理人进行账务处理。如果当日基金为净应收款，基金托管人应及时查收资金是否到账，对于因基金管理人的原因未准时到账的资金，由此产生的责任应由基金管理人承担。如果当日基金为净应付款，基金托管人应根据基金管理人的指令及时进行划付。对于因基金托管人的原因未准时划付的资金，基金管理人应及时通知基金托管人划付，由此产生的责任应由基金托管人承担。</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（九）基金转换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、在本基金与基金管理人管理的其它基金开展转换业务之前，基金管理人应函告基金托管人并就相关事宜进行协商。</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、基金托管人将根据基金管理人传送的基金转换数据进行账务处理，具体资金清算和数据传递的时间、程序及托管协议当事人承担的权责按基金管理人届时的公告执行。</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、本基金开展基金转换业务应按相关法律法规规定及基金合同的约定进行公告。</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（十）基金现金分红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、基金管理人确定分红方案通知基金托管人，双方核定后依照《信息披露办法》的有关规定在中国证监会规定媒介上公告。</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、基金托管人和基金管理人对基金分红进行账务处理并核对后，基金管理人向基金托管人发送现金红利的划款指令，基金托管人应及时将资金划入专用账户。</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、基金管理人在下达指令时，应给基金托管人留出必需的划款时间。</w:t>
      </w:r>
    </w:p>
    <w:p w:rsidR="003B526D" w:rsidRPr="00E9363B">
      <w:pPr>
        <w:spacing w:line="360" w:lineRule="auto"/>
        <w:ind w:firstLine="480"/>
        <w:rPr>
          <w:rFonts w:ascii="Times New Roman" w:hAnsi="Times New Roman" w:cs="Times New Roman"/>
          <w:bCs/>
          <w:sz w:val="24"/>
          <w:szCs w:val="24"/>
          <w:lang w:eastAsia="zh-CN"/>
        </w:rPr>
      </w:pPr>
    </w:p>
    <w:p w:rsidR="003B526D" w:rsidRPr="00E9363B">
      <w:pPr>
        <w:spacing w:line="360" w:lineRule="auto"/>
        <w:ind w:firstLine="480"/>
        <w:rPr>
          <w:rFonts w:ascii="Times New Roman" w:hAnsi="Times New Roman" w:cs="Times New Roman"/>
          <w:bCs/>
          <w:sz w:val="24"/>
          <w:szCs w:val="24"/>
          <w:lang w:eastAsia="zh-CN"/>
        </w:rPr>
        <w:sectPr>
          <w:pgSz w:w="11906" w:h="16838"/>
          <w:pgMar w:top="1418" w:right="1701" w:bottom="1418" w:left="1701" w:header="851" w:footer="992" w:gutter="0"/>
          <w:cols w:space="720"/>
          <w:docGrid w:type="lines" w:linePitch="312"/>
        </w:sectPr>
      </w:pPr>
    </w:p>
    <w:p w:rsidR="003B526D" w:rsidRPr="00E9363B">
      <w:pPr>
        <w:pStyle w:val="11"/>
        <w:rPr>
          <w:color w:val="000000"/>
        </w:rPr>
      </w:pPr>
      <w:bookmarkStart w:id="67" w:name="_Toc134110545"/>
      <w:r w:rsidRPr="00E9363B">
        <w:rPr>
          <w:rFonts w:hint="eastAsia"/>
          <w:color w:val="000000" w:themeColor="text1"/>
        </w:rPr>
        <w:t>八、基金资产净值计算和会计核算</w:t>
      </w:r>
      <w:bookmarkEnd w:id="67"/>
    </w:p>
    <w:p w:rsidR="003B526D" w:rsidRPr="00E9363B">
      <w:pPr>
        <w:spacing w:line="360" w:lineRule="auto"/>
        <w:ind w:firstLine="420"/>
        <w:rPr>
          <w:lang w:eastAsia="zh-CN"/>
        </w:rPr>
      </w:pP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（一）</w:t>
      </w:r>
      <w:r w:rsidRPr="00E9363B">
        <w:rPr>
          <w:rFonts w:ascii="Times New Roman" w:hAnsi="Times New Roman" w:cs="Times New Roman"/>
          <w:bCs/>
          <w:sz w:val="24"/>
          <w:szCs w:val="24"/>
          <w:lang w:eastAsia="zh-CN"/>
        </w:rPr>
        <w:t>基金资产净值的计算、复核与完成的时间及程序</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hint="eastAsia"/>
          <w:bCs/>
          <w:sz w:val="24"/>
          <w:szCs w:val="24"/>
          <w:lang w:eastAsia="zh-CN"/>
        </w:rPr>
        <w:t>、基金资产净值</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基金资产净值是指基金资产总值减去基金负债后的价值。基金份额净值是按照估值日基金资产净值除以当日基金份额的余额数量计算，</w:t>
      </w:r>
      <w:r w:rsidRPr="00E9363B">
        <w:rPr>
          <w:rFonts w:ascii="Times New Roman" w:hAnsi="Times New Roman" w:cs="Times New Roman"/>
          <w:bCs/>
          <w:sz w:val="24"/>
          <w:szCs w:val="24"/>
          <w:lang w:eastAsia="zh-CN"/>
        </w:rPr>
        <w:t>精确到</w:t>
      </w:r>
      <w:r w:rsidRPr="00E9363B">
        <w:rPr>
          <w:rFonts w:ascii="宋体" w:hAnsi="宋体" w:cs="宋体"/>
          <w:bCs/>
          <w:sz w:val="24"/>
          <w:szCs w:val="24"/>
          <w:lang w:eastAsia="zh-CN"/>
        </w:rPr>
        <w:t>0.0001</w:t>
      </w:r>
      <w:r w:rsidRPr="00E9363B">
        <w:rPr>
          <w:rFonts w:ascii="Times New Roman" w:hAnsi="Times New Roman" w:cs="Times New Roman"/>
          <w:bCs/>
          <w:sz w:val="24"/>
          <w:szCs w:val="24"/>
          <w:lang w:eastAsia="zh-CN"/>
        </w:rPr>
        <w:t>元，小数点后第</w:t>
      </w:r>
      <w:r w:rsidRPr="00E9363B">
        <w:rPr>
          <w:rFonts w:ascii="宋体" w:hAnsi="宋体" w:cs="宋体"/>
          <w:bCs/>
          <w:sz w:val="24"/>
          <w:szCs w:val="24"/>
          <w:lang w:eastAsia="zh-CN"/>
        </w:rPr>
        <w:t>5</w:t>
      </w:r>
      <w:r w:rsidRPr="00E9363B">
        <w:rPr>
          <w:rFonts w:ascii="Times New Roman" w:hAnsi="Times New Roman" w:cs="Times New Roman"/>
          <w:bCs/>
          <w:sz w:val="24"/>
          <w:szCs w:val="24"/>
          <w:lang w:eastAsia="zh-CN"/>
        </w:rPr>
        <w:t>位（如有）四舍五入，由此产生的收益或损失由基金财产承担。基金管理人可以设立大额赎回情形下的净值精度应急调整机制。国家另有规定的，从其规定。</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基金管理人每个估值日计算该估值日的基金资产净值及基金份额净值，经基金托管人复核无误后，按规定公告。但基金管理人根据法律法规或基金合同的规定暂停估值时除外。</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hint="eastAsia"/>
          <w:bCs/>
          <w:sz w:val="24"/>
          <w:szCs w:val="24"/>
          <w:lang w:eastAsia="zh-CN"/>
        </w:rPr>
        <w:t>、复核程序</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基金管理人应每个估值日对该估值日的基金资产进行估值。但基金管理人根据法律法规或基金合同的规定暂停估值时除外。基金管理人每个估值日对该估值日的基金资产进行估值后，将基金份额净值结果发送基金托管人，经基金托管人复核无误后，由基金管理人按规定对外公布。</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hint="eastAsia"/>
          <w:bCs/>
          <w:sz w:val="24"/>
          <w:szCs w:val="24"/>
          <w:lang w:eastAsia="zh-CN"/>
        </w:rPr>
        <w:t>3</w:t>
      </w:r>
      <w:r w:rsidRPr="00E9363B">
        <w:rPr>
          <w:rFonts w:ascii="Times New Roman" w:hAnsi="Times New Roman" w:cs="Times New Roman" w:hint="eastAsia"/>
          <w:bCs/>
          <w:sz w:val="24"/>
          <w:szCs w:val="24"/>
          <w:lang w:eastAsia="zh-CN"/>
        </w:rPr>
        <w:t>、</w:t>
      </w:r>
      <w:r w:rsidRPr="00E9363B">
        <w:rPr>
          <w:rFonts w:ascii="Times New Roman" w:hAnsi="Times New Roman" w:cs="Times New Roman"/>
          <w:bCs/>
          <w:sz w:val="24"/>
          <w:szCs w:val="24"/>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（二）</w:t>
      </w:r>
      <w:r w:rsidRPr="00E9363B">
        <w:rPr>
          <w:rFonts w:ascii="Times New Roman" w:hAnsi="Times New Roman" w:cs="Times New Roman"/>
          <w:bCs/>
          <w:sz w:val="24"/>
          <w:szCs w:val="24"/>
          <w:lang w:eastAsia="zh-CN"/>
        </w:rPr>
        <w:t>基金资产估值方法和特殊情形的处理</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、估值对象</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基金所拥有的目标</w:t>
      </w:r>
      <w:r w:rsidRPr="00E9363B">
        <w:rPr>
          <w:rFonts w:ascii="宋体" w:hAnsi="宋体" w:cs="宋体"/>
          <w:bCs/>
          <w:sz w:val="24"/>
          <w:szCs w:val="24"/>
          <w:lang w:eastAsia="zh-CN"/>
        </w:rPr>
        <w:t>ETF</w:t>
      </w:r>
      <w:r w:rsidRPr="00E9363B">
        <w:rPr>
          <w:rFonts w:ascii="Times New Roman" w:hAnsi="Times New Roman" w:cs="Times New Roman"/>
          <w:bCs/>
          <w:sz w:val="24"/>
          <w:szCs w:val="24"/>
          <w:lang w:eastAsia="zh-CN"/>
        </w:rPr>
        <w:t>基金份额、股票、债券和银行存款本息、应收款项、其它投资等资产及负债。</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、估值方法</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1</w:t>
      </w:r>
      <w:r w:rsidRPr="00E9363B">
        <w:rPr>
          <w:rFonts w:ascii="Times New Roman" w:hAnsi="Times New Roman" w:cs="Times New Roman" w:hint="eastAsia"/>
          <w:bCs/>
          <w:sz w:val="24"/>
          <w:szCs w:val="24"/>
          <w:lang w:eastAsia="zh-CN"/>
        </w:rPr>
        <w:t>）目标</w:t>
      </w:r>
      <w:r w:rsidRPr="00E9363B">
        <w:rPr>
          <w:rFonts w:ascii="宋体" w:hAnsi="宋体" w:cs="宋体" w:hint="eastAsia"/>
          <w:bCs/>
          <w:sz w:val="24"/>
          <w:szCs w:val="24"/>
          <w:lang w:eastAsia="zh-CN"/>
        </w:rPr>
        <w:t>ETF</w:t>
      </w:r>
      <w:r w:rsidRPr="00E9363B">
        <w:rPr>
          <w:rFonts w:ascii="Times New Roman" w:hAnsi="Times New Roman" w:cs="Times New Roman" w:hint="eastAsia"/>
          <w:bCs/>
          <w:sz w:val="24"/>
          <w:szCs w:val="24"/>
          <w:lang w:eastAsia="zh-CN"/>
        </w:rPr>
        <w:t>基金份额估值方法</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对持有的目标</w:t>
      </w:r>
      <w:r w:rsidRPr="00E9363B">
        <w:rPr>
          <w:rFonts w:ascii="宋体" w:hAnsi="宋体" w:cs="宋体" w:hint="eastAsia"/>
          <w:bCs/>
          <w:sz w:val="24"/>
          <w:szCs w:val="24"/>
          <w:lang w:eastAsia="zh-CN"/>
        </w:rPr>
        <w:t>ETF</w:t>
      </w:r>
      <w:r w:rsidRPr="00E9363B">
        <w:rPr>
          <w:rFonts w:ascii="Times New Roman" w:hAnsi="Times New Roman" w:cs="Times New Roman" w:hint="eastAsia"/>
          <w:bCs/>
          <w:sz w:val="24"/>
          <w:szCs w:val="24"/>
          <w:lang w:eastAsia="zh-CN"/>
        </w:rPr>
        <w:t>基金份额，按估值日目标</w:t>
      </w:r>
      <w:r w:rsidRPr="00E9363B">
        <w:rPr>
          <w:rFonts w:ascii="宋体" w:hAnsi="宋体" w:cs="宋体" w:hint="eastAsia"/>
          <w:bCs/>
          <w:sz w:val="24"/>
          <w:szCs w:val="24"/>
          <w:lang w:eastAsia="zh-CN"/>
        </w:rPr>
        <w:t>ETF</w:t>
      </w:r>
      <w:r w:rsidRPr="00E9363B">
        <w:rPr>
          <w:rFonts w:ascii="Times New Roman" w:hAnsi="Times New Roman" w:cs="Times New Roman" w:hint="eastAsia"/>
          <w:bCs/>
          <w:sz w:val="24"/>
          <w:szCs w:val="24"/>
          <w:lang w:eastAsia="zh-CN"/>
        </w:rPr>
        <w:t>基金的份额净值估值。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2</w:t>
      </w:r>
      <w:r w:rsidRPr="00E9363B">
        <w:rPr>
          <w:rFonts w:ascii="Times New Roman" w:hAnsi="Times New Roman" w:cs="Times New Roman" w:hint="eastAsia"/>
          <w:bCs/>
          <w:sz w:val="24"/>
          <w:szCs w:val="24"/>
          <w:lang w:eastAsia="zh-CN"/>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3</w:t>
      </w:r>
      <w:r w:rsidRPr="00E9363B">
        <w:rPr>
          <w:rFonts w:ascii="Times New Roman" w:hAnsi="Times New Roman" w:cs="Times New Roman" w:hint="eastAsia"/>
          <w:bCs/>
          <w:sz w:val="24"/>
          <w:szCs w:val="24"/>
          <w:lang w:eastAsia="zh-CN"/>
        </w:rPr>
        <w:t>）处于未上市期间的有价证券应区分如下情况处理：</w:t>
      </w:r>
    </w:p>
    <w:p w:rsidR="003B526D" w:rsidRPr="00E9363B">
      <w:pPr>
        <w:spacing w:line="360" w:lineRule="auto"/>
        <w:ind w:firstLine="480"/>
        <w:rPr>
          <w:lang w:eastAsia="zh-CN"/>
        </w:rPr>
      </w:pPr>
      <w:r w:rsidRPr="00E9363B">
        <w:rPr>
          <w:rFonts w:ascii="宋体" w:hAnsi="宋体" w:cs="宋体" w:hint="eastAsia"/>
          <w:bCs/>
          <w:sz w:val="24"/>
          <w:szCs w:val="24"/>
          <w:lang w:eastAsia="zh-CN"/>
        </w:rPr>
        <w:t>1）送股、转增股、配股和公开增发的新股，按估值日在证券交易所挂牌的同一股票的估值方法估值；该日无交易的，以最近一日的市价（收盘价）估值；</w:t>
      </w:r>
    </w:p>
    <w:p w:rsidR="003B526D" w:rsidRPr="00E9363B">
      <w:pPr>
        <w:spacing w:line="360" w:lineRule="auto"/>
        <w:ind w:firstLine="480"/>
        <w:rPr>
          <w:lang w:eastAsia="zh-CN"/>
        </w:rPr>
      </w:pPr>
      <w:r w:rsidRPr="00E9363B">
        <w:rPr>
          <w:rFonts w:ascii="宋体" w:hAnsi="宋体" w:cs="宋体" w:hint="eastAsia"/>
          <w:bCs/>
          <w:sz w:val="24"/>
          <w:szCs w:val="24"/>
          <w:lang w:eastAsia="zh-CN"/>
        </w:rPr>
        <w:t>2）首次公开发行未上市的股票，采用估值技术确定公允价值；</w:t>
      </w:r>
    </w:p>
    <w:p w:rsidR="003B526D" w:rsidRPr="00E9363B">
      <w:pPr>
        <w:spacing w:line="360" w:lineRule="auto"/>
        <w:ind w:firstLine="480"/>
        <w:rPr>
          <w:lang w:eastAsia="zh-CN"/>
        </w:rPr>
      </w:pPr>
      <w:r w:rsidRPr="00E9363B">
        <w:rPr>
          <w:rFonts w:ascii="宋体" w:hAnsi="宋体" w:cs="宋体" w:hint="eastAsia"/>
          <w:bCs/>
          <w:sz w:val="24"/>
          <w:szCs w:val="24"/>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4</w:t>
      </w:r>
      <w:r w:rsidRPr="00E9363B">
        <w:rPr>
          <w:rFonts w:ascii="Times New Roman" w:hAnsi="Times New Roman" w:cs="Times New Roman" w:hint="eastAsia"/>
          <w:bCs/>
          <w:sz w:val="24"/>
          <w:szCs w:val="24"/>
          <w:lang w:eastAsia="zh-CN"/>
        </w:rPr>
        <w:t>）对于已上市或已挂牌转让的不含权固定收益品种，选取估值日第三方估值基准服务机构提供的相应品种当日的估值全价进行估值。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5</w:t>
      </w:r>
      <w:r w:rsidRPr="00E9363B">
        <w:rPr>
          <w:rFonts w:ascii="Times New Roman" w:hAnsi="Times New Roman" w:cs="Times New Roman" w:hint="eastAsia"/>
          <w:bCs/>
          <w:sz w:val="24"/>
          <w:szCs w:val="24"/>
          <w:lang w:eastAsia="zh-CN"/>
        </w:rPr>
        <w:t>）对于已上市或已挂牌转让的含权固定收益品种，选取估值日第三方估值基准服务机构提供的相应品种当日的唯一估值全价或推荐估值全价进行估值。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6</w:t>
      </w:r>
      <w:r w:rsidRPr="00E9363B">
        <w:rPr>
          <w:rFonts w:ascii="Times New Roman" w:hAnsi="Times New Roman" w:cs="Times New Roman" w:hint="eastAsia"/>
          <w:bCs/>
          <w:sz w:val="24"/>
          <w:szCs w:val="24"/>
          <w:lang w:eastAsia="zh-CN"/>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7</w:t>
      </w:r>
      <w:r w:rsidRPr="00E9363B">
        <w:rPr>
          <w:rFonts w:ascii="Times New Roman" w:hAnsi="Times New Roman" w:cs="Times New Roman" w:hint="eastAsia"/>
          <w:bCs/>
          <w:sz w:val="24"/>
          <w:szCs w:val="24"/>
          <w:lang w:eastAsia="zh-CN"/>
        </w:rPr>
        <w:t>）对于未上市或未挂牌转让且不存在活跃市场的固定收益品种，采用在当前情况下适用并且有足够可利用数据和其他信息支持的估值技术确定其公允价值。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8</w:t>
      </w:r>
      <w:r w:rsidRPr="00E9363B">
        <w:rPr>
          <w:rFonts w:ascii="Times New Roman" w:hAnsi="Times New Roman" w:cs="Times New Roman" w:hint="eastAsia"/>
          <w:bCs/>
          <w:sz w:val="24"/>
          <w:szCs w:val="24"/>
          <w:lang w:eastAsia="zh-CN"/>
        </w:rPr>
        <w:t>）期货合约以估值当日结算价进行估值，估值当日无结算价的，且最近交易日后经济环境未发生重大变化的，采用最近交易日结算价估值。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9</w:t>
      </w:r>
      <w:r w:rsidRPr="00E9363B">
        <w:rPr>
          <w:rFonts w:ascii="Times New Roman" w:hAnsi="Times New Roman" w:cs="Times New Roman" w:hint="eastAsia"/>
          <w:bCs/>
          <w:sz w:val="24"/>
          <w:szCs w:val="24"/>
          <w:lang w:eastAsia="zh-CN"/>
        </w:rPr>
        <w:t>）本基金投资期权，根据相关法律法规以及监管部门的规定估值。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10</w:t>
      </w:r>
      <w:r w:rsidRPr="00E9363B">
        <w:rPr>
          <w:rFonts w:ascii="Times New Roman" w:hAnsi="Times New Roman" w:cs="Times New Roman" w:hint="eastAsia"/>
          <w:bCs/>
          <w:sz w:val="24"/>
          <w:szCs w:val="24"/>
          <w:lang w:eastAsia="zh-CN"/>
        </w:rPr>
        <w:t>）本基金参与融资业务的，按照相关法律法规、监管部门和行业协会的相关规定进行估值。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11</w:t>
      </w:r>
      <w:r w:rsidRPr="00E9363B">
        <w:rPr>
          <w:rFonts w:ascii="Times New Roman" w:hAnsi="Times New Roman" w:cs="Times New Roman" w:hint="eastAsia"/>
          <w:bCs/>
          <w:sz w:val="24"/>
          <w:szCs w:val="24"/>
          <w:lang w:eastAsia="zh-CN"/>
        </w:rPr>
        <w:t>）本基金参与转融通证券出借业务的，按照相关法律法规和行业协会的相关规定进行估值。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12</w:t>
      </w:r>
      <w:r w:rsidRPr="00E9363B">
        <w:rPr>
          <w:rFonts w:ascii="Times New Roman" w:hAnsi="Times New Roman" w:cs="Times New Roman" w:hint="eastAsia"/>
          <w:bCs/>
          <w:sz w:val="24"/>
          <w:szCs w:val="24"/>
          <w:lang w:eastAsia="zh-CN"/>
        </w:rPr>
        <w:t>）本基金投资存托凭证的估值核算，依照境内上市交易的股票执行。</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13</w:t>
      </w:r>
      <w:r w:rsidRPr="00E9363B">
        <w:rPr>
          <w:rFonts w:ascii="Times New Roman" w:hAnsi="Times New Roman" w:cs="Times New Roman" w:hint="eastAsia"/>
          <w:bCs/>
          <w:sz w:val="24"/>
          <w:szCs w:val="24"/>
          <w:lang w:eastAsia="zh-CN"/>
        </w:rPr>
        <w:t>）如有充分理由表明按上述方法进行估值不能客观反映其公允价值的，基金管理人可根据具体情况与基金托管人商定后，按最能反映公允价值的价格估值。</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14</w:t>
      </w:r>
      <w:r w:rsidRPr="00E9363B">
        <w:rPr>
          <w:rFonts w:ascii="Times New Roman" w:hAnsi="Times New Roman" w:cs="Times New Roman" w:hint="eastAsia"/>
          <w:bCs/>
          <w:sz w:val="24"/>
          <w:szCs w:val="24"/>
          <w:lang w:eastAsia="zh-CN"/>
        </w:rPr>
        <w:t>）当发生大额申购或赎回情形时，基金管理人可以采用摆动定价机制，以确保基金估值的公平性。</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w:t>
      </w:r>
      <w:r w:rsidRPr="00E9363B">
        <w:rPr>
          <w:rFonts w:ascii="宋体" w:hAnsi="宋体" w:cs="宋体" w:hint="eastAsia"/>
          <w:bCs/>
          <w:sz w:val="24"/>
          <w:szCs w:val="24"/>
          <w:lang w:eastAsia="zh-CN"/>
        </w:rPr>
        <w:t>15</w:t>
      </w:r>
      <w:r w:rsidRPr="00E9363B">
        <w:rPr>
          <w:rFonts w:ascii="Times New Roman" w:hAnsi="Times New Roman" w:cs="Times New Roman" w:hint="eastAsia"/>
          <w:bCs/>
          <w:sz w:val="24"/>
          <w:szCs w:val="24"/>
          <w:lang w:eastAsia="zh-CN"/>
        </w:rPr>
        <w:t>）相关法律法规以及监管部门有强制规定的，从其规定。如有新增事项，按国家最新规定估值。</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、特殊情况的处理</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）基金管理人或基金托管人按估值方法的第（</w:t>
      </w:r>
      <w:r w:rsidRPr="00E9363B">
        <w:rPr>
          <w:rFonts w:ascii="宋体" w:hAnsi="宋体" w:cs="宋体"/>
          <w:bCs/>
          <w:sz w:val="24"/>
          <w:szCs w:val="24"/>
          <w:lang w:eastAsia="zh-CN"/>
        </w:rPr>
        <w:t>13</w:t>
      </w:r>
      <w:r w:rsidRPr="00E9363B">
        <w:rPr>
          <w:rFonts w:ascii="Times New Roman" w:hAnsi="Times New Roman" w:cs="Times New Roman"/>
          <w:bCs/>
          <w:sz w:val="24"/>
          <w:szCs w:val="24"/>
          <w:lang w:eastAsia="zh-CN"/>
        </w:rPr>
        <w:t>）项进行估值时，所造成的误差不作为基金资产估值错误处理。</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由于不可抗力，或证券交易所、登记结算机构、指数编制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（三）</w:t>
      </w:r>
      <w:r w:rsidRPr="00E9363B">
        <w:rPr>
          <w:rFonts w:ascii="Times New Roman" w:hAnsi="Times New Roman" w:cs="Times New Roman"/>
          <w:bCs/>
          <w:sz w:val="24"/>
          <w:szCs w:val="24"/>
          <w:lang w:eastAsia="zh-CN"/>
        </w:rPr>
        <w:t>基金份额净值错误的处理方式</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、当基金份额净值小数点后</w:t>
      </w: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位以内（含第</w:t>
      </w: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位）发生估值错误时，视为基金份额净值错误；基金份额净值计算出现错误时，基金管理人应当立即予以纠正，通报基金托管人，并采取合理的措施防止损失进一步扩大；错误偏差达到基金份额净值的</w:t>
      </w:r>
      <w:r w:rsidRPr="00E9363B">
        <w:rPr>
          <w:rFonts w:ascii="宋体" w:hAnsi="宋体" w:cs="宋体"/>
          <w:bCs/>
          <w:sz w:val="24"/>
          <w:szCs w:val="24"/>
          <w:lang w:eastAsia="zh-CN"/>
        </w:rPr>
        <w:t>0.25%</w:t>
      </w:r>
      <w:r w:rsidRPr="00E9363B">
        <w:rPr>
          <w:rFonts w:ascii="Times New Roman" w:hAnsi="Times New Roman" w:cs="Times New Roman"/>
          <w:bCs/>
          <w:sz w:val="24"/>
          <w:szCs w:val="24"/>
          <w:lang w:eastAsia="zh-CN"/>
        </w:rPr>
        <w:t>时，基金管理人应当通报基金托管人并报中国证监会备案；错误偏差达到基金份额净值的</w:t>
      </w:r>
      <w:r w:rsidRPr="00E9363B">
        <w:rPr>
          <w:rFonts w:ascii="宋体" w:hAnsi="宋体" w:cs="宋体"/>
          <w:bCs/>
          <w:sz w:val="24"/>
          <w:szCs w:val="24"/>
          <w:lang w:eastAsia="zh-CN"/>
        </w:rPr>
        <w:t>0.50%</w:t>
      </w:r>
      <w:r w:rsidRPr="00E9363B">
        <w:rPr>
          <w:rFonts w:ascii="Times New Roman" w:hAnsi="Times New Roman" w:cs="Times New Roman"/>
          <w:bCs/>
          <w:sz w:val="24"/>
          <w:szCs w:val="24"/>
          <w:lang w:eastAsia="zh-CN"/>
        </w:rPr>
        <w:t>时，基金管理人和基金托管人应当公告并报中国证监会备案。</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由于基金管理人和基金托管人计算基金净值错误导致本基金财产或基金份额持有人的实际损失的，基金管理人和基金托管人应根据实际情况界定双方承担的责任进行赔偿，基金管理人和基金托管人有权向获得不当得利之主体主张返还不当得利。</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、当基金管理人计算的基金资产净值与基金托管人的计算结果不一致时，相关各方应本着勤勉尽责的态度重新计算核对，如果最后仍无法达成一致，应以基金管理人的计算结果为准对外公布，</w:t>
      </w:r>
      <w:r w:rsidRPr="00E9363B">
        <w:rPr>
          <w:rFonts w:ascii="Times New Roman" w:hAnsi="Times New Roman" w:cs="Times New Roman" w:hint="eastAsia"/>
          <w:bCs/>
          <w:sz w:val="24"/>
          <w:szCs w:val="24"/>
          <w:lang w:eastAsia="zh-CN"/>
        </w:rPr>
        <w:t>若基金托管人已提出合理意见而基金管理人未采纳的，</w:t>
      </w:r>
      <w:r w:rsidRPr="00E9363B">
        <w:rPr>
          <w:rFonts w:ascii="Times New Roman" w:hAnsi="Times New Roman" w:cs="Times New Roman"/>
          <w:bCs/>
          <w:sz w:val="24"/>
          <w:szCs w:val="24"/>
          <w:lang w:eastAsia="zh-CN"/>
        </w:rPr>
        <w:t>由此造成的损失以及因该交易日基金资产净值计算顺延错误而引起的损失由基金管理人承担赔偿责任，基金托管人不负赔偿责任。</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（四）</w:t>
      </w:r>
      <w:r w:rsidRPr="00E9363B">
        <w:rPr>
          <w:rFonts w:ascii="Times New Roman" w:hAnsi="Times New Roman" w:cs="Times New Roman"/>
          <w:bCs/>
          <w:sz w:val="24"/>
          <w:szCs w:val="24"/>
          <w:lang w:eastAsia="zh-CN"/>
        </w:rPr>
        <w:t>暂停估值的情形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1、基金投资所涉及的证券交易市场遇法定节假日或因其他原因暂停营业时；</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2、因不可抗力致使基金管理人、基金托管人无法准确评估基金资产价值时；</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3、当特定资产占前一估值日基金资产净值50%以上的，经与基金托管人协商确认后，基金管理人应当暂停估值；</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4、基金所投资的目标ETF发生暂停估值、暂停公告基金份额净值的情形；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5、中国证监会和基金合同认定的其它情形。</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（五）</w:t>
      </w:r>
      <w:r w:rsidRPr="00E9363B">
        <w:rPr>
          <w:rFonts w:ascii="Times New Roman" w:hAnsi="Times New Roman" w:cs="Times New Roman"/>
          <w:bCs/>
          <w:sz w:val="24"/>
          <w:szCs w:val="24"/>
          <w:lang w:eastAsia="zh-CN"/>
        </w:rPr>
        <w:t>基金会计制度</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按国家有关部门规定的会计制度执行。</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（六）</w:t>
      </w:r>
      <w:r w:rsidRPr="00E9363B">
        <w:rPr>
          <w:rFonts w:ascii="Times New Roman" w:hAnsi="Times New Roman" w:cs="Times New Roman"/>
          <w:bCs/>
          <w:sz w:val="24"/>
          <w:szCs w:val="24"/>
          <w:lang w:eastAsia="zh-CN"/>
        </w:rPr>
        <w:t>基金账册的建立</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（七）</w:t>
      </w:r>
      <w:r w:rsidRPr="00E9363B">
        <w:rPr>
          <w:rFonts w:ascii="Times New Roman" w:hAnsi="Times New Roman" w:cs="Times New Roman"/>
          <w:bCs/>
          <w:sz w:val="24"/>
          <w:szCs w:val="24"/>
          <w:lang w:eastAsia="zh-CN"/>
        </w:rPr>
        <w:t>基金财务报表与报告的编制和复核</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Pr>
          <w:rFonts w:ascii="宋体" w:hAnsi="宋体" w:cs="宋体" w:hint="eastAsia"/>
          <w:bCs/>
          <w:sz w:val="24"/>
          <w:szCs w:val="24"/>
          <w:lang w:eastAsia="zh-CN"/>
        </w:rPr>
        <w:t>、</w:t>
      </w:r>
      <w:r w:rsidRPr="00E9363B">
        <w:rPr>
          <w:rFonts w:ascii="Times New Roman" w:hAnsi="Times New Roman" w:cs="Times New Roman"/>
          <w:bCs/>
          <w:sz w:val="24"/>
          <w:szCs w:val="24"/>
          <w:lang w:eastAsia="zh-CN"/>
        </w:rPr>
        <w:t>财务报表的编制</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基金财务报表由基金管理人编制，基金托管人复核。</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Pr>
          <w:rFonts w:ascii="宋体" w:hAnsi="宋体" w:cs="宋体" w:hint="eastAsia"/>
          <w:bCs/>
          <w:sz w:val="24"/>
          <w:szCs w:val="24"/>
          <w:lang w:eastAsia="zh-CN"/>
        </w:rPr>
        <w:t>、</w:t>
      </w:r>
      <w:r w:rsidRPr="00E9363B">
        <w:rPr>
          <w:rFonts w:ascii="Times New Roman" w:hAnsi="Times New Roman" w:cs="Times New Roman"/>
          <w:bCs/>
          <w:sz w:val="24"/>
          <w:szCs w:val="24"/>
          <w:lang w:eastAsia="zh-CN"/>
        </w:rPr>
        <w:t>报表复核</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基金托管人在收到基金管理人编制的基金财务报表后，进行独立的复核。核对不符时，应及时通知基金管理人共同查出原因，进行调整，直至双方数据完全一致。</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Pr>
          <w:rFonts w:ascii="宋体" w:hAnsi="宋体" w:cs="宋体" w:hint="eastAsia"/>
          <w:bCs/>
          <w:sz w:val="24"/>
          <w:szCs w:val="24"/>
          <w:lang w:eastAsia="zh-CN"/>
        </w:rPr>
        <w:t>、</w:t>
      </w:r>
      <w:r w:rsidRPr="00E9363B">
        <w:rPr>
          <w:rFonts w:ascii="Times New Roman" w:hAnsi="Times New Roman" w:cs="Times New Roman"/>
          <w:bCs/>
          <w:sz w:val="24"/>
          <w:szCs w:val="24"/>
          <w:lang w:eastAsia="zh-CN"/>
        </w:rPr>
        <w:t>财务报表的编制与复核时间安排</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）报表的编制</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基金管理人应当在每月结束后</w:t>
      </w:r>
      <w:r w:rsidRPr="00E9363B">
        <w:rPr>
          <w:rFonts w:ascii="宋体" w:hAnsi="宋体" w:cs="宋体"/>
          <w:bCs/>
          <w:sz w:val="24"/>
          <w:szCs w:val="24"/>
          <w:lang w:eastAsia="zh-CN"/>
        </w:rPr>
        <w:t>5</w:t>
      </w:r>
      <w:r w:rsidRPr="00E9363B">
        <w:rPr>
          <w:rFonts w:ascii="Times New Roman" w:hAnsi="Times New Roman" w:cs="Times New Roman"/>
          <w:bCs/>
          <w:sz w:val="24"/>
          <w:szCs w:val="24"/>
          <w:lang w:eastAsia="zh-CN"/>
        </w:rPr>
        <w:t>个工作日内完成月度报表的编制；在季度结束之日起</w:t>
      </w:r>
      <w:r w:rsidRPr="00E9363B">
        <w:rPr>
          <w:rFonts w:ascii="宋体" w:hAnsi="宋体" w:cs="宋体"/>
          <w:bCs/>
          <w:sz w:val="24"/>
          <w:szCs w:val="24"/>
          <w:lang w:eastAsia="zh-CN"/>
        </w:rPr>
        <w:t>15</w:t>
      </w:r>
      <w:r w:rsidRPr="00E9363B">
        <w:rPr>
          <w:rFonts w:ascii="Times New Roman" w:hAnsi="Times New Roman" w:cs="Times New Roman"/>
          <w:bCs/>
          <w:sz w:val="24"/>
          <w:szCs w:val="24"/>
          <w:lang w:eastAsia="zh-CN"/>
        </w:rPr>
        <w:t>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）报表的复核</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基金管理人应留足充分的时间，便于基金托管人复核相关报表及报告。</w:t>
      </w:r>
    </w:p>
    <w:p w:rsidR="003B526D" w:rsidRPr="00E9363B">
      <w:pPr>
        <w:spacing w:line="360" w:lineRule="auto"/>
        <w:ind w:firstLine="480"/>
        <w:rPr>
          <w:rFonts w:ascii="Times New Roman" w:hAnsi="Times New Roman" w:cs="Times New Roman"/>
          <w:bCs/>
          <w:sz w:val="24"/>
          <w:szCs w:val="24"/>
          <w:lang w:eastAsia="zh-CN"/>
        </w:rPr>
      </w:pPr>
    </w:p>
    <w:p w:rsidR="003B526D" w:rsidRPr="00E9363B">
      <w:pPr>
        <w:spacing w:line="360" w:lineRule="auto"/>
        <w:ind w:firstLine="480"/>
        <w:rPr>
          <w:rFonts w:ascii="Times New Roman" w:hAnsi="Times New Roman" w:cs="Times New Roman"/>
          <w:bCs/>
          <w:sz w:val="24"/>
          <w:szCs w:val="24"/>
          <w:lang w:eastAsia="zh-CN"/>
        </w:rPr>
        <w:sectPr>
          <w:pgSz w:w="11906" w:h="16838"/>
          <w:pgMar w:top="1418" w:right="1701" w:bottom="1418" w:left="1701" w:header="851" w:footer="992" w:gutter="0"/>
          <w:cols w:space="720"/>
          <w:docGrid w:type="lines" w:linePitch="312"/>
        </w:sectPr>
      </w:pPr>
    </w:p>
    <w:p w:rsidR="003B526D" w:rsidRPr="00E9363B">
      <w:pPr>
        <w:pStyle w:val="11"/>
        <w:rPr>
          <w:bCs w:val="0"/>
          <w:color w:val="000000"/>
        </w:rPr>
      </w:pPr>
      <w:bookmarkStart w:id="68" w:name="_Toc134110546"/>
      <w:r w:rsidRPr="00E9363B">
        <w:rPr>
          <w:rFonts w:hint="eastAsia"/>
          <w:color w:val="000000" w:themeColor="text1"/>
        </w:rPr>
        <w:t>九、基金收益分配</w:t>
      </w:r>
      <w:bookmarkEnd w:id="68"/>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基金收益分配是指按规定将基金的可分配收益按基金份额进行比例分配。</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（一）基金收益分配的原则</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1、本基金收益分配方式分两种：现金分红与红利再投资，投资者可选择现金红利或将现金红利自动转为对应类别的基金份额进行再投资；若投资者不选择，本基金默认的收益分配方式是现金分红；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2、本基金各基金份额类别在费用收取上不同，其对应的可分配收益可能有所不同。同一类别的每一基金份额享有同等分配权；</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3、在符合以下有关基金分红条件的情形下，基金管理人可以根据实际情况进行收益分配，具体分配方案以届时的公告为准：</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本基金分别于每年三月、六月、九月、十二月最后一个工作日对基金相对业绩比较基准的超额收益率以及基金的可供分配利润进行评价，收益评价日核定的基金累计报酬率超过业绩比较基准同期累计报酬率或者基金可供分配利润金额大于</w:t>
      </w:r>
      <w:r w:rsidRPr="00E9363B">
        <w:rPr>
          <w:rFonts w:ascii="宋体" w:hAnsi="宋体" w:cs="宋体"/>
          <w:bCs/>
          <w:sz w:val="24"/>
          <w:szCs w:val="24"/>
          <w:lang w:eastAsia="zh-CN"/>
        </w:rPr>
        <w:t>0</w:t>
      </w:r>
      <w:r w:rsidRPr="00E9363B">
        <w:rPr>
          <w:rFonts w:ascii="Times New Roman" w:hAnsi="Times New Roman" w:cs="Times New Roman"/>
          <w:bCs/>
          <w:sz w:val="24"/>
          <w:szCs w:val="24"/>
          <w:lang w:eastAsia="zh-CN"/>
        </w:rPr>
        <w:t>元时，基金管理人可进行收益分配，累计报酬率计算方式详见招募说明书；若《基金合同》生效不满</w:t>
      </w: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个月可不进行收益分配；</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4、在符合上述基金分红条件的前提下，本基金可每季度进行1次收益分配；</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5、本基金可以根据实际情况在其他日期进行收益评价，在符合上述有关基金分红条件的情形下，本基金可进行收益分配；</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6、在对基金份额持有人利益无实质不利影响的前提下，基金管理人可调整基金收益的分配原则和支付方式，不需召开基金份额持有人大会审议；</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7、法律法规或监管机关另有规定的，从其规定。</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（二）基金收益分配的时间和程序</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、本基金收益分配方案由基金管理人拟定、基金托管人复核后，依照《信息披露办法》的有关规定在规定媒介公告。</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、在分配方案公布后（依据具体方案的规定），基金管理人就支付的现金红利向基金托管人发送划款指令，基金托管人按照基金管理人的指令及时进行分红资金的划付。</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、法律法规或监管机关另有规定的，从其规定。</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bookmarkStart w:id="69" w:name="_Hlt80958353"/>
      <w:bookmarkEnd w:id="69"/>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（三）实施侧袋机制期间的收益分配</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本基金实施侧袋机制的，侧袋账户不进行收益分配，详见招募说明书的规定。</w:t>
      </w:r>
    </w:p>
    <w:p w:rsidR="003B526D" w:rsidRPr="00E9363B">
      <w:pPr>
        <w:pStyle w:val="11"/>
        <w:rPr>
          <w:bCs w:val="0"/>
          <w:color w:val="000000"/>
        </w:rPr>
      </w:pPr>
      <w:r w:rsidRPr="00E9363B">
        <w:rPr>
          <w:rFonts w:ascii="宋体" w:hAnsi="宋体" w:cs="宋体"/>
        </w:rPr>
        <w:br w:type="page"/>
      </w:r>
      <w:bookmarkStart w:id="70" w:name="_Toc134110547"/>
      <w:r w:rsidRPr="00E9363B">
        <w:rPr>
          <w:rFonts w:hint="eastAsia"/>
          <w:color w:val="000000" w:themeColor="text1"/>
        </w:rPr>
        <w:t>十、基金信息披露</w:t>
      </w:r>
      <w:bookmarkEnd w:id="70"/>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（一）保密义务</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、非因基金管理人和基金托管人的原因导致保密信息被披露、泄露或公开；</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、基金管理人和基金托管人为遵守和服从法院判决或裁定、仲裁裁决或中国证监会等监管机构的命令、决定所做出的信息披露或公开</w:t>
      </w:r>
      <w:r w:rsidR="00AD5FE7">
        <w:rPr>
          <w:rFonts w:ascii="Times New Roman" w:hAnsi="Times New Roman" w:cs="Times New Roman" w:hint="eastAsia"/>
          <w:bCs/>
          <w:sz w:val="24"/>
          <w:szCs w:val="24"/>
          <w:lang w:eastAsia="zh-CN"/>
        </w:rPr>
        <w:t>；</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、基金管理人或基金托管人在要求保密的前提下对自身聘请的外部法律顾问、财务顾问、审计人员、技术顾问等做出的必要信息披露。</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（二）信息披露的内容</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投资资产支持证券的信息披露、清算报告、实施侧袋机制期间的信息披露以及中国证监会规定的其他信息。基金年度报告中的财务会计报告应当经过符合《中华人民共和国证券法》规定的会计师事务所审计。</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（三）基金托管人和基金管理人在信息披露中的职责和信息披露程序</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、职责</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中应由基金托管人复核的事项进行复核，基金托管人复核无误后，由基金管理人予以公布。</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对于不需要基金托管人（或基金管理人）复核的信息，基金管理人（或基金托管人）在公告前应告知基金托管人（或基金管理人）。</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基金管理人和基金托管人应积极配合、互相监督，保证其履行按照法定方式和限时披露的义务。</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基金管理人应当在中国证监会规定的时间内，将应予披露的基金信息通过中国证监会规定媒介披露。根据法律法规应由基金托管人公开披露的信息，基金托管人将通过规定媒介公开披露。</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当出现下述情况时，基金管理人和基金托管人可暂停或延迟披露基金相关信息：</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）不可抗力；</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）基金投资所涉及的证券交易所遇法定节假日或因其他原因暂停营业时；</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）出现《基金合同》约定的暂停估值的情形；</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）法律法规规定、中国证监会或基金合同认定的其他情形。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、程序</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按有关规定须经基金托管人复核的信息披露文件，由基金管理人起草、并经基金托管人复核后由基金管理人公告。发生基金合同中规定需要披露的事项时，按基金合同规定公布。</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、信息文本的存放</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依法必须披露的信息发布后，基金管理人、基金托管人应当按照相关法律法规规定将信息置备于各自住所，以供社会公众查阅、复制。在支付工本费后可在合理时间获得上述文件的复制件或复印件。基金管理人和基金托管人应保证文本的内容与所公告的内容完全一致。</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（四）实施侧袋机制期间的信息披露</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本基金实施侧袋机制的，相关信息披露义务人应当根据法律法规、基金合同和招募说明书的规定进行信息披露，详见招募说明书的规定。</w:t>
      </w:r>
    </w:p>
    <w:p w:rsidR="003B526D" w:rsidRPr="00E9363B">
      <w:pPr>
        <w:spacing w:line="360" w:lineRule="auto"/>
        <w:ind w:firstLine="420"/>
        <w:rPr>
          <w:rFonts w:ascii="Cambria"/>
          <w:b/>
          <w:lang w:eastAsia="zh-CN"/>
        </w:rPr>
      </w:pPr>
    </w:p>
    <w:p w:rsidR="003B526D" w:rsidRPr="00E9363B">
      <w:pPr>
        <w:spacing w:line="360" w:lineRule="auto"/>
        <w:ind w:firstLine="420"/>
        <w:rPr>
          <w:rFonts w:ascii="Cambria"/>
          <w:lang w:eastAsia="zh-CN"/>
        </w:rPr>
        <w:sectPr>
          <w:pgSz w:w="11906" w:h="16838"/>
          <w:pgMar w:top="1418" w:right="1701" w:bottom="1418" w:left="1701" w:header="851" w:footer="992" w:gutter="0"/>
          <w:cols w:space="720"/>
          <w:docGrid w:type="lines" w:linePitch="312"/>
        </w:sectPr>
      </w:pPr>
    </w:p>
    <w:p w:rsidR="003B526D" w:rsidRPr="00E9363B">
      <w:pPr>
        <w:pStyle w:val="11"/>
        <w:rPr>
          <w:color w:val="000000"/>
        </w:rPr>
      </w:pPr>
      <w:bookmarkStart w:id="71" w:name="_Toc134110548"/>
      <w:r w:rsidRPr="00E9363B">
        <w:rPr>
          <w:rFonts w:hint="eastAsia"/>
          <w:color w:val="000000" w:themeColor="text1"/>
        </w:rPr>
        <w:t>十一、基金费用</w:t>
      </w:r>
      <w:bookmarkEnd w:id="71"/>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（一）基金管理费的计提比例和计提方法</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本基金的管理费按前一日基金资产净值扣除前一日所持有目标</w:t>
      </w:r>
      <w:r w:rsidRPr="00E9363B">
        <w:rPr>
          <w:rFonts w:ascii="宋体" w:hAnsi="宋体" w:cs="宋体"/>
          <w:bCs/>
          <w:sz w:val="24"/>
          <w:szCs w:val="24"/>
          <w:lang w:eastAsia="zh-CN"/>
        </w:rPr>
        <w:t>ETF</w:t>
      </w:r>
      <w:r w:rsidRPr="00E9363B">
        <w:rPr>
          <w:rFonts w:ascii="Times New Roman" w:hAnsi="Times New Roman" w:cs="Times New Roman"/>
          <w:bCs/>
          <w:sz w:val="24"/>
          <w:szCs w:val="24"/>
          <w:lang w:eastAsia="zh-CN"/>
        </w:rPr>
        <w:t>公允价值后的余额（若为负数，则取</w:t>
      </w:r>
      <w:r w:rsidRPr="00E9363B">
        <w:rPr>
          <w:rFonts w:ascii="宋体" w:hAnsi="宋体" w:cs="宋体"/>
          <w:bCs/>
          <w:sz w:val="24"/>
          <w:szCs w:val="24"/>
          <w:lang w:eastAsia="zh-CN"/>
        </w:rPr>
        <w:t>0</w:t>
      </w:r>
      <w:r w:rsidRPr="00E9363B">
        <w:rPr>
          <w:rFonts w:ascii="Times New Roman" w:hAnsi="Times New Roman" w:cs="Times New Roman"/>
          <w:bCs/>
          <w:sz w:val="24"/>
          <w:szCs w:val="24"/>
          <w:lang w:eastAsia="zh-CN"/>
        </w:rPr>
        <w:t>）的</w:t>
      </w:r>
      <w:r w:rsidRPr="00E9363B">
        <w:rPr>
          <w:rFonts w:ascii="宋体" w:hAnsi="宋体" w:cs="宋体"/>
          <w:bCs/>
          <w:sz w:val="24"/>
          <w:szCs w:val="24"/>
          <w:lang w:eastAsia="zh-CN"/>
        </w:rPr>
        <w:t>0.15%</w:t>
      </w:r>
      <w:r w:rsidRPr="00E9363B">
        <w:rPr>
          <w:rFonts w:ascii="Times New Roman" w:hAnsi="Times New Roman" w:cs="Times New Roman"/>
          <w:bCs/>
          <w:sz w:val="24"/>
          <w:szCs w:val="24"/>
          <w:lang w:eastAsia="zh-CN"/>
        </w:rPr>
        <w:t>年费率计提。管理费的计算方法如下：</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H＝E×0.15%÷当年天数</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H为每日应计提的基金管理费</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E为调整后的前一日的基金资产净值。调整后的前一日基金资产净值＝前一日基金资产净值－前一日本基金持有的目标ETF公允价值，金额为负时以零计</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基金管理费每日计提，逐日累计至每月月末，按月支付，经基金管理人与基金托管人双方核对无误后，基金托管人按照与基金管理人协商一致的方式于次月前</w:t>
      </w:r>
      <w:r w:rsidRPr="00E9363B">
        <w:rPr>
          <w:rFonts w:ascii="宋体" w:hAnsi="宋体" w:cs="宋体"/>
          <w:bCs/>
          <w:sz w:val="24"/>
          <w:szCs w:val="24"/>
          <w:lang w:eastAsia="zh-CN"/>
        </w:rPr>
        <w:t>5</w:t>
      </w:r>
      <w:r w:rsidRPr="00E9363B">
        <w:rPr>
          <w:rFonts w:ascii="Times New Roman" w:hAnsi="Times New Roman" w:cs="Times New Roman"/>
          <w:bCs/>
          <w:sz w:val="24"/>
          <w:szCs w:val="24"/>
          <w:lang w:eastAsia="zh-CN"/>
        </w:rPr>
        <w:t>个工作日内从基金财产中一次性支付给基金管理人。若遇法定节假日、公休假等，支付日期顺延。</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（二）基金托管费的计提比例和计提方法</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本基金的托管费按前一日基金资产净值扣除前一日所持有目标</w:t>
      </w:r>
      <w:r w:rsidRPr="00E9363B">
        <w:rPr>
          <w:rFonts w:ascii="宋体" w:hAnsi="宋体" w:cs="宋体" w:hint="eastAsia"/>
          <w:bCs/>
          <w:sz w:val="24"/>
          <w:szCs w:val="24"/>
          <w:lang w:eastAsia="zh-CN"/>
        </w:rPr>
        <w:t>ETF</w:t>
      </w:r>
      <w:r w:rsidRPr="00E9363B">
        <w:rPr>
          <w:rFonts w:ascii="Times New Roman" w:hAnsi="Times New Roman" w:cs="Times New Roman" w:hint="eastAsia"/>
          <w:bCs/>
          <w:sz w:val="24"/>
          <w:szCs w:val="24"/>
          <w:lang w:eastAsia="zh-CN"/>
        </w:rPr>
        <w:t>公允价值后的余额（若为负数，则取</w:t>
      </w:r>
      <w:r w:rsidRPr="00E9363B">
        <w:rPr>
          <w:rFonts w:ascii="宋体" w:hAnsi="宋体" w:cs="宋体" w:hint="eastAsia"/>
          <w:bCs/>
          <w:sz w:val="24"/>
          <w:szCs w:val="24"/>
          <w:lang w:eastAsia="zh-CN"/>
        </w:rPr>
        <w:t>0</w:t>
      </w:r>
      <w:r w:rsidRPr="00E9363B">
        <w:rPr>
          <w:rFonts w:ascii="Times New Roman" w:hAnsi="Times New Roman" w:cs="Times New Roman" w:hint="eastAsia"/>
          <w:bCs/>
          <w:sz w:val="24"/>
          <w:szCs w:val="24"/>
          <w:lang w:eastAsia="zh-CN"/>
        </w:rPr>
        <w:t>）的</w:t>
      </w:r>
      <w:r w:rsidRPr="00E9363B">
        <w:rPr>
          <w:rFonts w:ascii="宋体" w:hAnsi="宋体" w:cs="宋体" w:hint="eastAsia"/>
          <w:bCs/>
          <w:sz w:val="24"/>
          <w:szCs w:val="24"/>
          <w:lang w:eastAsia="zh-CN"/>
        </w:rPr>
        <w:t>0.05%</w:t>
      </w:r>
      <w:r w:rsidRPr="00E9363B">
        <w:rPr>
          <w:rFonts w:ascii="Times New Roman" w:hAnsi="Times New Roman" w:cs="Times New Roman" w:hint="eastAsia"/>
          <w:bCs/>
          <w:sz w:val="24"/>
          <w:szCs w:val="24"/>
          <w:lang w:eastAsia="zh-CN"/>
        </w:rPr>
        <w:t>年费率计提。托管费的计算方法如下：</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hint="eastAsia"/>
          <w:bCs/>
          <w:sz w:val="24"/>
          <w:szCs w:val="24"/>
          <w:lang w:eastAsia="zh-CN"/>
        </w:rPr>
        <w:t>H＝E×0.05%÷当年天数</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hint="eastAsia"/>
          <w:bCs/>
          <w:sz w:val="24"/>
          <w:szCs w:val="24"/>
          <w:lang w:eastAsia="zh-CN"/>
        </w:rPr>
        <w:t>H为每日应计提的基金托管费</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hint="eastAsia"/>
          <w:bCs/>
          <w:sz w:val="24"/>
          <w:szCs w:val="24"/>
          <w:lang w:eastAsia="zh-CN"/>
        </w:rPr>
        <w:t>E为调整后的前一日的基金资产净值。调整后的前一日基金资产净值＝前一日基金资产净值－前一日本基金持有的目标ETF公允价值，金额为负时以零计</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基金托管费每日计提，逐日累计至每月月末，按月支付，经基金管理人与基金托管人双方核对无误后，基金托管人按照与基金管理人协商一致的方式于次月前</w:t>
      </w:r>
      <w:r w:rsidRPr="00E9363B">
        <w:rPr>
          <w:rFonts w:ascii="宋体" w:hAnsi="宋体" w:cs="宋体" w:hint="eastAsia"/>
          <w:bCs/>
          <w:sz w:val="24"/>
          <w:szCs w:val="24"/>
          <w:lang w:eastAsia="zh-CN"/>
        </w:rPr>
        <w:t>5</w:t>
      </w:r>
      <w:r w:rsidRPr="00E9363B">
        <w:rPr>
          <w:rFonts w:ascii="Times New Roman" w:hAnsi="Times New Roman" w:cs="Times New Roman" w:hint="eastAsia"/>
          <w:bCs/>
          <w:sz w:val="24"/>
          <w:szCs w:val="24"/>
          <w:lang w:eastAsia="zh-CN"/>
        </w:rPr>
        <w:t>个工作日内从基金财产中一次性支付。若遇法定节假日、公休假等，支付日期顺延。</w:t>
      </w:r>
      <w:r w:rsidRPr="00E9363B">
        <w:rPr>
          <w:rFonts w:ascii="宋体" w:hAnsi="宋体" w:cs="宋体"/>
          <w:bCs/>
          <w:sz w:val="24"/>
          <w:szCs w:val="24"/>
          <w:lang w:eastAsia="zh-CN"/>
        </w:rPr>
        <w:t xml:space="preserve"> </w:t>
      </w:r>
      <w:bookmarkStart w:id="72" w:name="CTS_608c7338e08f4004a54213593452c4e8"/>
      <w:bookmarkEnd w:id="72"/>
    </w:p>
    <w:p w:rsidR="003B526D" w:rsidRPr="00E9363B">
      <w:pPr>
        <w:spacing w:line="360" w:lineRule="auto"/>
        <w:ind w:firstLine="480"/>
        <w:rPr>
          <w:rFonts w:ascii="宋体" w:hAnsi="宋体"/>
          <w:bCs/>
          <w:sz w:val="24"/>
          <w:lang w:eastAsia="zh-CN"/>
        </w:rPr>
      </w:pPr>
      <w:r w:rsidRPr="00E9363B">
        <w:rPr>
          <w:rFonts w:ascii="宋体" w:hAnsi="宋体" w:hint="eastAsia"/>
          <w:sz w:val="24"/>
          <w:lang w:eastAsia="zh-CN"/>
        </w:rPr>
        <w:t>（三</w:t>
      </w:r>
      <w:r w:rsidRPr="00E9363B">
        <w:rPr>
          <w:rFonts w:ascii="宋体" w:hAnsi="宋体" w:hint="eastAsia"/>
          <w:bCs/>
          <w:sz w:val="24"/>
          <w:lang w:eastAsia="zh-CN"/>
        </w:rPr>
        <w:t>）销售服务费</w:t>
      </w:r>
    </w:p>
    <w:p w:rsidR="003B526D" w:rsidRPr="00E9363B">
      <w:pPr>
        <w:spacing w:line="360" w:lineRule="auto"/>
        <w:ind w:firstLine="480"/>
        <w:rPr>
          <w:rFonts w:ascii="宋体" w:hAnsi="宋体"/>
          <w:bCs/>
          <w:sz w:val="24"/>
          <w:lang w:eastAsia="zh-CN"/>
        </w:rPr>
      </w:pPr>
      <w:r w:rsidRPr="00E9363B">
        <w:rPr>
          <w:rFonts w:ascii="宋体" w:hAnsi="宋体" w:hint="eastAsia"/>
          <w:bCs/>
          <w:sz w:val="24"/>
          <w:lang w:eastAsia="zh-CN"/>
        </w:rPr>
        <w:t>本基金A类基金份额不收取销售服务费，C类基金份额的销售服务费年费率为0.30%，按前一日C类基金资产净值的0.30%年费率计提。</w:t>
      </w:r>
    </w:p>
    <w:p w:rsidR="003B526D" w:rsidRPr="00E9363B">
      <w:pPr>
        <w:spacing w:line="360" w:lineRule="auto"/>
        <w:ind w:firstLine="480"/>
        <w:rPr>
          <w:rFonts w:ascii="宋体" w:hAnsi="宋体"/>
          <w:bCs/>
          <w:sz w:val="24"/>
          <w:lang w:eastAsia="zh-CN"/>
        </w:rPr>
      </w:pPr>
      <w:r w:rsidRPr="00E9363B">
        <w:rPr>
          <w:rFonts w:ascii="宋体" w:hAnsi="宋体" w:hint="eastAsia"/>
          <w:bCs/>
          <w:sz w:val="24"/>
          <w:lang w:eastAsia="zh-CN"/>
        </w:rPr>
        <w:t>销售服务费的计算方法如下：</w:t>
      </w:r>
    </w:p>
    <w:p w:rsidR="003B526D" w:rsidRPr="00E9363B">
      <w:pPr>
        <w:spacing w:line="360" w:lineRule="auto"/>
        <w:ind w:firstLine="480"/>
        <w:rPr>
          <w:rFonts w:ascii="宋体" w:hAnsi="宋体"/>
          <w:bCs/>
          <w:sz w:val="24"/>
          <w:lang w:eastAsia="zh-CN"/>
        </w:rPr>
      </w:pPr>
      <w:r w:rsidRPr="00E9363B">
        <w:rPr>
          <w:rFonts w:ascii="宋体" w:hAnsi="宋体" w:hint="eastAsia"/>
          <w:bCs/>
          <w:sz w:val="24"/>
          <w:lang w:eastAsia="zh-CN"/>
        </w:rPr>
        <w:t>H＝E×0.30%÷当年天数</w:t>
      </w:r>
    </w:p>
    <w:p w:rsidR="003B526D" w:rsidRPr="00E9363B">
      <w:pPr>
        <w:spacing w:line="360" w:lineRule="auto"/>
        <w:ind w:firstLine="480"/>
        <w:rPr>
          <w:rFonts w:ascii="宋体" w:hAnsi="宋体"/>
          <w:bCs/>
          <w:sz w:val="24"/>
          <w:lang w:eastAsia="zh-CN"/>
        </w:rPr>
      </w:pPr>
      <w:r w:rsidRPr="00E9363B">
        <w:rPr>
          <w:rFonts w:ascii="宋体" w:hAnsi="宋体" w:hint="eastAsia"/>
          <w:bCs/>
          <w:sz w:val="24"/>
          <w:lang w:eastAsia="zh-CN"/>
        </w:rPr>
        <w:t>H 为C类基金份额每日应计提的销售服务费</w:t>
      </w:r>
    </w:p>
    <w:p w:rsidR="003B526D" w:rsidRPr="00E9363B">
      <w:pPr>
        <w:spacing w:line="360" w:lineRule="auto"/>
        <w:ind w:firstLine="480"/>
        <w:rPr>
          <w:rFonts w:ascii="宋体" w:hAnsi="宋体"/>
          <w:bCs/>
          <w:sz w:val="24"/>
          <w:lang w:eastAsia="zh-CN"/>
        </w:rPr>
      </w:pPr>
      <w:r w:rsidRPr="00E9363B">
        <w:rPr>
          <w:rFonts w:ascii="宋体" w:hAnsi="宋体" w:hint="eastAsia"/>
          <w:bCs/>
          <w:sz w:val="24"/>
          <w:lang w:eastAsia="zh-CN"/>
        </w:rPr>
        <w:t>E 为C类基金份额前一日基金资产净值</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hint="eastAsia"/>
          <w:bCs/>
          <w:sz w:val="24"/>
          <w:lang w:eastAsia="zh-CN"/>
        </w:rPr>
        <w:t>销售服务费</w:t>
      </w:r>
      <w:r w:rsidRPr="00E9363B">
        <w:rPr>
          <w:rFonts w:ascii="宋体" w:hAnsi="宋体" w:hint="eastAsia"/>
          <w:color w:val="000000"/>
          <w:sz w:val="24"/>
          <w:lang w:eastAsia="zh-CN"/>
        </w:rPr>
        <w:t>每日计提，</w:t>
      </w:r>
      <w:r w:rsidRPr="00E9363B">
        <w:rPr>
          <w:rFonts w:ascii="Times New Roman" w:hAnsi="Times New Roman" w:cs="Times New Roman" w:hint="eastAsia"/>
          <w:bCs/>
          <w:sz w:val="24"/>
          <w:szCs w:val="24"/>
          <w:lang w:eastAsia="zh-CN"/>
        </w:rPr>
        <w:t>逐日累计至每月月末，按月支付，经基金管理人与基金托管人双方核对无误后，基金托管人按照与基金管理人协商一致的方式于次月前</w:t>
      </w:r>
      <w:r w:rsidRPr="00E9363B">
        <w:rPr>
          <w:rFonts w:ascii="宋体" w:hAnsi="宋体" w:cs="宋体" w:hint="eastAsia"/>
          <w:bCs/>
          <w:sz w:val="24"/>
          <w:szCs w:val="24"/>
          <w:lang w:eastAsia="zh-CN"/>
        </w:rPr>
        <w:t>5</w:t>
      </w:r>
      <w:r w:rsidRPr="00E9363B">
        <w:rPr>
          <w:rFonts w:ascii="Times New Roman" w:hAnsi="Times New Roman" w:cs="Times New Roman" w:hint="eastAsia"/>
          <w:bCs/>
          <w:sz w:val="24"/>
          <w:szCs w:val="24"/>
          <w:lang w:eastAsia="zh-CN"/>
        </w:rPr>
        <w:t>个工作日内从基金财产中一次性支付。若遇法定节假日、公休假等，支付日期顺延</w:t>
      </w:r>
      <w:r w:rsidRPr="00E9363B">
        <w:rPr>
          <w:rFonts w:ascii="宋体" w:hAnsi="宋体" w:hint="eastAsia"/>
          <w:color w:val="000000"/>
          <w:sz w:val="24"/>
          <w:lang w:eastAsia="zh-CN"/>
        </w:rPr>
        <w:t>。</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Times New Roman" w:hAnsi="Times New Roman" w:cs="Times New Roman" w:hint="eastAsia"/>
          <w:bCs/>
          <w:sz w:val="24"/>
          <w:szCs w:val="24"/>
          <w:lang w:eastAsia="zh-CN"/>
        </w:rPr>
        <w:t>四</w:t>
      </w:r>
      <w:r w:rsidRPr="00E9363B">
        <w:rPr>
          <w:rFonts w:ascii="Times New Roman" w:hAnsi="Times New Roman" w:cs="Times New Roman"/>
          <w:bCs/>
          <w:sz w:val="24"/>
          <w:szCs w:val="24"/>
          <w:lang w:eastAsia="zh-CN"/>
        </w:rPr>
        <w:t>）基金合同生效后与基金相关的信息披露费用、会计师费、律师费、诉讼费和仲裁费等费用、基金份额持有人大会费用、基金的证券交易费用、基金投资其他基金产生的相关费用（法律法规禁止从基金财产中列支的除外）、基金的银行汇划费用、证券账户开户费用、银行账户维护费等根据有关法律法规、基金合同及相应协议的规定，列入当期基金费用。</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（五）不列入基金费用的项目</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下列费用不列入基金费用：</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1、基金管理人和基金托管人因未履行或未完全履行义务导致的费用支出或基金财产的损失；</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2、基金管理人和基金托管人处理与基金运作无关的事项发生的费用；</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3、《基金合同》生效前的相关费用；</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4、标的指数许可使用费。标的指数许可使用费由基金管理人承担，不得从基金财产中列支；</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5、其他根据相关法律法规及中国证监会的有关规定不得列入基金费用的项目。</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Times New Roman" w:hAnsi="Times New Roman" w:cs="Times New Roman" w:hint="eastAsia"/>
          <w:bCs/>
          <w:sz w:val="24"/>
          <w:szCs w:val="24"/>
          <w:lang w:eastAsia="zh-CN"/>
        </w:rPr>
        <w:t>六</w:t>
      </w:r>
      <w:r w:rsidRPr="00E9363B">
        <w:rPr>
          <w:rFonts w:ascii="Times New Roman" w:hAnsi="Times New Roman" w:cs="Times New Roman"/>
          <w:bCs/>
          <w:sz w:val="24"/>
          <w:szCs w:val="24"/>
          <w:lang w:eastAsia="zh-CN"/>
        </w:rPr>
        <w:t>）基金管理费、基金托管费、销售服务费的复核</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基金托管人对基金管理人计提的基金管理费、基金托管费、销售服务费等，根据本托管协议和基金合同的有关规定进行复核。</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Times New Roman" w:hAnsi="Times New Roman" w:cs="Times New Roman" w:hint="eastAsia"/>
          <w:bCs/>
          <w:sz w:val="24"/>
          <w:szCs w:val="24"/>
          <w:lang w:eastAsia="zh-CN"/>
        </w:rPr>
        <w:t>七</w:t>
      </w:r>
      <w:r w:rsidRPr="00E9363B">
        <w:rPr>
          <w:rFonts w:ascii="Times New Roman" w:hAnsi="Times New Roman" w:cs="Times New Roman"/>
          <w:bCs/>
          <w:sz w:val="24"/>
          <w:szCs w:val="24"/>
          <w:lang w:eastAsia="zh-CN"/>
        </w:rPr>
        <w:t>）违规处理方式</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基金托管人发现基金管理人违反《基金法》、基金合同、《运作办法》及其他有关规定从基金财产中列支费用时，基金托管人可要求基金管理人予以说明解释，如基金管理人无正当理由，基金托管人可拒绝支付。</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（八）实施侧袋机制期间的基金费用</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本基金实施侧袋机制的，与侧袋账户有关的费用可以从侧袋账户中列支，但应待侧袋账户资产变现后方可列支，有关费用可酌情收取或减免，但不得收取管理费，详见招募说明书的规定。</w:t>
      </w:r>
    </w:p>
    <w:p w:rsidR="003B526D" w:rsidRPr="00E9363B">
      <w:pPr>
        <w:spacing w:line="360" w:lineRule="auto"/>
        <w:ind w:firstLine="480"/>
        <w:rPr>
          <w:rFonts w:ascii="Times New Roman" w:hAnsi="Times New Roman" w:cs="Times New Roman"/>
          <w:bCs/>
          <w:sz w:val="24"/>
          <w:szCs w:val="24"/>
          <w:lang w:eastAsia="zh-CN"/>
        </w:rPr>
        <w:sectPr>
          <w:pgSz w:w="11906" w:h="16838"/>
          <w:pgMar w:top="1418" w:right="1701" w:bottom="1418" w:left="1701" w:header="851" w:footer="992" w:gutter="0"/>
          <w:cols w:space="720"/>
          <w:docGrid w:type="lines" w:linePitch="312"/>
        </w:sectPr>
      </w:pPr>
    </w:p>
    <w:p w:rsidR="003B526D" w:rsidRPr="00E9363B">
      <w:pPr>
        <w:pStyle w:val="11"/>
        <w:rPr>
          <w:color w:val="000000"/>
        </w:rPr>
      </w:pPr>
      <w:bookmarkStart w:id="73" w:name="_Toc134110549"/>
      <w:r w:rsidRPr="00E9363B">
        <w:rPr>
          <w:rFonts w:hint="eastAsia"/>
          <w:color w:val="000000" w:themeColor="text1"/>
        </w:rPr>
        <w:t>十二、基金份额持有人名册的保管</w:t>
      </w:r>
      <w:bookmarkEnd w:id="73"/>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法律法规规定的最低期限。如不能妥善保管，则按相关法规承担责任。</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3B526D" w:rsidRPr="00E9363B">
      <w:pPr>
        <w:spacing w:line="360" w:lineRule="auto"/>
        <w:ind w:firstLine="420"/>
        <w:rPr>
          <w:rFonts w:ascii="宋体" w:hAnsi="宋体" w:cs="宋体"/>
          <w:lang w:eastAsia="zh-CN"/>
        </w:rPr>
      </w:pPr>
      <w:r w:rsidRPr="00E9363B">
        <w:rPr>
          <w:rFonts w:ascii="宋体" w:hAnsi="宋体" w:cs="宋体" w:hint="eastAsia"/>
          <w:szCs w:val="21"/>
          <w:lang w:eastAsia="zh-CN"/>
        </w:rPr>
        <w:t xml:space="preserve"> </w:t>
      </w:r>
    </w:p>
    <w:p w:rsidR="003B526D" w:rsidRPr="00E9363B">
      <w:pPr>
        <w:spacing w:line="360" w:lineRule="auto"/>
        <w:ind w:firstLine="420"/>
        <w:rPr>
          <w:rFonts w:ascii="Cambria"/>
          <w:lang w:eastAsia="zh-CN"/>
        </w:rPr>
        <w:sectPr>
          <w:pgSz w:w="11906" w:h="16838"/>
          <w:pgMar w:top="1418" w:right="1701" w:bottom="1418" w:left="1701" w:header="851" w:footer="992" w:gutter="0"/>
          <w:cols w:space="720"/>
          <w:docGrid w:type="lines" w:linePitch="312"/>
        </w:sectPr>
      </w:pPr>
    </w:p>
    <w:p w:rsidR="003B526D" w:rsidRPr="00E9363B">
      <w:pPr>
        <w:pStyle w:val="11"/>
        <w:rPr>
          <w:color w:val="000000"/>
        </w:rPr>
      </w:pPr>
      <w:bookmarkStart w:id="74" w:name="_Toc134110550"/>
      <w:r w:rsidRPr="00E9363B">
        <w:rPr>
          <w:rFonts w:hint="eastAsia"/>
          <w:color w:val="000000" w:themeColor="text1"/>
        </w:rPr>
        <w:t>十三、基金有关文件档案的保存</w:t>
      </w:r>
      <w:bookmarkEnd w:id="74"/>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（一）档案保存</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管理人应保存基金财产管理业务活动的记录、账册、报表和其他相关资料。基金托管人应保存基金托管业务活动的记录、账册、报表和其他相关资料。基金管理人和基金托管人都应当按规定的期限保管。保存期限</w:t>
      </w:r>
      <w:bookmarkStart w:id="75" w:name="_GoBack"/>
      <w:bookmarkEnd w:id="75"/>
      <w:r w:rsidRPr="00E9363B">
        <w:rPr>
          <w:rFonts w:ascii="Times New Roman" w:hAnsi="Times New Roman" w:cs="Times New Roman"/>
          <w:bCs/>
          <w:sz w:val="24"/>
          <w:szCs w:val="24"/>
          <w:lang w:eastAsia="zh-CN"/>
        </w:rPr>
        <w:t>不低于法律法规规定的最低期限。</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（二）合同档案的建立</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、基金管理人签署重大合同文本后，应及时将合同文本正本送达基金托管人处。</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、基金管理人应及时将与本基金账务处理、资金划拨等有关的合同、协议传真基金托管人。</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（三）变更与协助</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若基金管理人</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基金托管人发生变更，未变更的一方有义务协助变更后的接任人接收相应文件。</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（四）基金管理人和基金托管人应按各自职责完整保存原始凭证、记账凭证、基金账册、交易记录和重要合同等，承担保密义务并保存不低于法律法规规定的最低期限</w:t>
      </w:r>
      <w:r w:rsidRPr="00E9363B">
        <w:rPr>
          <w:rFonts w:ascii="Times New Roman" w:hAnsi="Times New Roman" w:cs="Times New Roman" w:hint="eastAsia"/>
          <w:bCs/>
          <w:sz w:val="24"/>
          <w:szCs w:val="24"/>
          <w:lang w:eastAsia="zh-CN"/>
        </w:rPr>
        <w:t>。</w:t>
      </w:r>
    </w:p>
    <w:p w:rsidR="003B526D" w:rsidRPr="00E9363B">
      <w:pPr>
        <w:spacing w:line="360" w:lineRule="auto"/>
        <w:ind w:firstLine="480"/>
        <w:rPr>
          <w:rFonts w:ascii="Times New Roman" w:hAnsi="Times New Roman" w:cs="Times New Roman"/>
          <w:bCs/>
          <w:sz w:val="24"/>
          <w:szCs w:val="24"/>
          <w:lang w:eastAsia="zh-CN"/>
        </w:rPr>
      </w:pPr>
    </w:p>
    <w:p w:rsidR="003B526D" w:rsidRPr="00E9363B">
      <w:pPr>
        <w:spacing w:line="360" w:lineRule="auto"/>
        <w:ind w:firstLine="480"/>
        <w:rPr>
          <w:rFonts w:ascii="Times New Roman" w:hAnsi="Times New Roman" w:cs="Times New Roman"/>
          <w:bCs/>
          <w:sz w:val="24"/>
          <w:szCs w:val="24"/>
          <w:lang w:eastAsia="zh-CN"/>
        </w:rPr>
        <w:sectPr>
          <w:pgSz w:w="11906" w:h="16838"/>
          <w:pgMar w:top="1418" w:right="1701" w:bottom="1418" w:left="1701" w:header="851" w:footer="992" w:gutter="0"/>
          <w:cols w:space="720"/>
          <w:docGrid w:type="lines" w:linePitch="312"/>
        </w:sectPr>
      </w:pPr>
    </w:p>
    <w:p w:rsidR="003B526D" w:rsidRPr="00E9363B">
      <w:pPr>
        <w:pStyle w:val="11"/>
        <w:rPr>
          <w:color w:val="000000"/>
        </w:rPr>
      </w:pPr>
      <w:bookmarkStart w:id="76" w:name="_Toc134110551"/>
      <w:r w:rsidRPr="00E9363B">
        <w:rPr>
          <w:rFonts w:hint="eastAsia"/>
          <w:color w:val="000000" w:themeColor="text1"/>
        </w:rPr>
        <w:t>十四、基金管理人和基金托管人的更换</w:t>
      </w:r>
      <w:bookmarkEnd w:id="76"/>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（一）基金管理人的更换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、基金管理人的更换条件</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有下列情形之一的，基金管理人职责终止：</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）被依法取消基金管理资格；</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）被基金份额持有人大会解任；</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）依法解散、被依法撤销或被依法宣告破产；</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）法律法规及中国证监会规定的和《基金合同》约定的其他情形。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、基金管理人的更换程序</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更换基金管理人必须依照如下程序进行：</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）提名：新任基金管理人由基金托管人或由单独或合计持有</w:t>
      </w:r>
      <w:r w:rsidRPr="00E9363B">
        <w:rPr>
          <w:rFonts w:ascii="宋体" w:hAnsi="宋体" w:cs="宋体"/>
          <w:bCs/>
          <w:sz w:val="24"/>
          <w:szCs w:val="24"/>
          <w:lang w:eastAsia="zh-CN"/>
        </w:rPr>
        <w:t>10%</w:t>
      </w:r>
      <w:r w:rsidRPr="00E9363B">
        <w:rPr>
          <w:rFonts w:ascii="Times New Roman" w:hAnsi="Times New Roman" w:cs="Times New Roman"/>
          <w:bCs/>
          <w:sz w:val="24"/>
          <w:szCs w:val="24"/>
          <w:lang w:eastAsia="zh-CN"/>
        </w:rPr>
        <w:t>以上（含</w:t>
      </w:r>
      <w:r w:rsidRPr="00E9363B">
        <w:rPr>
          <w:rFonts w:ascii="宋体" w:hAnsi="宋体" w:cs="宋体"/>
          <w:bCs/>
          <w:sz w:val="24"/>
          <w:szCs w:val="24"/>
          <w:lang w:eastAsia="zh-CN"/>
        </w:rPr>
        <w:t>10%</w:t>
      </w:r>
      <w:r w:rsidRPr="00E9363B">
        <w:rPr>
          <w:rFonts w:ascii="Times New Roman" w:hAnsi="Times New Roman" w:cs="Times New Roman"/>
          <w:bCs/>
          <w:sz w:val="24"/>
          <w:szCs w:val="24"/>
          <w:lang w:eastAsia="zh-CN"/>
        </w:rPr>
        <w:t>）基金份额的基金份额持有人提名；</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）决议：基金份额持有人大会在基金管理人职责终止后</w:t>
      </w:r>
      <w:r w:rsidRPr="00E9363B">
        <w:rPr>
          <w:rFonts w:ascii="宋体" w:hAnsi="宋体" w:cs="宋体"/>
          <w:bCs/>
          <w:sz w:val="24"/>
          <w:szCs w:val="24"/>
          <w:lang w:eastAsia="zh-CN"/>
        </w:rPr>
        <w:t>6</w:t>
      </w:r>
      <w:r w:rsidRPr="00E9363B">
        <w:rPr>
          <w:rFonts w:ascii="Times New Roman" w:hAnsi="Times New Roman" w:cs="Times New Roman"/>
          <w:bCs/>
          <w:sz w:val="24"/>
          <w:szCs w:val="24"/>
          <w:lang w:eastAsia="zh-CN"/>
        </w:rPr>
        <w:t>个月内对被提名的基金管理人形成决议，该决议需经参加大会的基金份额持有人所持表决权的三分之二以上（含三分之二）表决通过，决议自表决通过之日起生效；</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）临时基金管理人：新任基金管理人产生之前，由中国证监会指定临时基金管理人；</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）备案：基金份额持有人大会更换基金管理人的决议须报中国证监会备案；</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5</w:t>
      </w:r>
      <w:r w:rsidRPr="00E9363B">
        <w:rPr>
          <w:rFonts w:ascii="Times New Roman" w:hAnsi="Times New Roman" w:cs="Times New Roman"/>
          <w:bCs/>
          <w:sz w:val="24"/>
          <w:szCs w:val="24"/>
          <w:lang w:eastAsia="zh-CN"/>
        </w:rPr>
        <w:t>）公告：基金管理人更换后，由基金托管人在更换基金管理人的基金份额持有人大会决议生效后</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日内在规定媒介公告；</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6</w:t>
      </w:r>
      <w:r w:rsidRPr="00E9363B">
        <w:rPr>
          <w:rFonts w:ascii="Times New Roman" w:hAnsi="Times New Roman" w:cs="Times New Roman"/>
          <w:bCs/>
          <w:sz w:val="24"/>
          <w:szCs w:val="24"/>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7</w:t>
      </w:r>
      <w:r w:rsidRPr="00E9363B">
        <w:rPr>
          <w:rFonts w:ascii="Times New Roman" w:hAnsi="Times New Roman" w:cs="Times New Roman"/>
          <w:bCs/>
          <w:sz w:val="24"/>
          <w:szCs w:val="24"/>
          <w:lang w:eastAsia="zh-CN"/>
        </w:rPr>
        <w:t>）审计：基金管理人职责终止的，应当按照法律法规规定聘请会计师事务所对基金财产进行审计，并将审计结果予以公告，同时报中国证监会备案。审计费用从基金财产中列支；</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8</w:t>
      </w:r>
      <w:r w:rsidRPr="00E9363B">
        <w:rPr>
          <w:rFonts w:ascii="Times New Roman" w:hAnsi="Times New Roman" w:cs="Times New Roman"/>
          <w:bCs/>
          <w:sz w:val="24"/>
          <w:szCs w:val="24"/>
          <w:lang w:eastAsia="zh-CN"/>
        </w:rPr>
        <w:t>）基金名称变更：基金管理人更换后，如果原任或新任基金管理人要求，应按其要求替换或删除基金名称中与原基金管理人有关的名称字样。</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（二）基金托管人的更换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、基金托管人的更换条件</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有下列情形之一的，基金托管人职责终止：</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）被依法取消基金托管资格；</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）被基金份额持有人大会解任；</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）依法解散、被依法撤销或被依法宣告破产；</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）法律法规及中国证监会规定的和《基金合同》约定的其他情形。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、基金托管人的更换程序</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）提名：新任基金托管人由基金管理人或由单独或合计持有</w:t>
      </w:r>
      <w:r w:rsidRPr="00E9363B">
        <w:rPr>
          <w:rFonts w:ascii="宋体" w:hAnsi="宋体" w:cs="宋体"/>
          <w:bCs/>
          <w:sz w:val="24"/>
          <w:szCs w:val="24"/>
          <w:lang w:eastAsia="zh-CN"/>
        </w:rPr>
        <w:t>10%</w:t>
      </w:r>
      <w:r w:rsidRPr="00E9363B">
        <w:rPr>
          <w:rFonts w:ascii="Times New Roman" w:hAnsi="Times New Roman" w:cs="Times New Roman"/>
          <w:bCs/>
          <w:sz w:val="24"/>
          <w:szCs w:val="24"/>
          <w:lang w:eastAsia="zh-CN"/>
        </w:rPr>
        <w:t>以上（含</w:t>
      </w:r>
      <w:r w:rsidRPr="00E9363B">
        <w:rPr>
          <w:rFonts w:ascii="宋体" w:hAnsi="宋体" w:cs="宋体"/>
          <w:bCs/>
          <w:sz w:val="24"/>
          <w:szCs w:val="24"/>
          <w:lang w:eastAsia="zh-CN"/>
        </w:rPr>
        <w:t>10%</w:t>
      </w:r>
      <w:r w:rsidRPr="00E9363B">
        <w:rPr>
          <w:rFonts w:ascii="Times New Roman" w:hAnsi="Times New Roman" w:cs="Times New Roman"/>
          <w:bCs/>
          <w:sz w:val="24"/>
          <w:szCs w:val="24"/>
          <w:lang w:eastAsia="zh-CN"/>
        </w:rPr>
        <w:t>）基金份额的基金份额持有人提名；</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）决议：基金份额持有人大会在基金托管人职责终止后</w:t>
      </w:r>
      <w:r w:rsidRPr="00E9363B">
        <w:rPr>
          <w:rFonts w:ascii="宋体" w:hAnsi="宋体" w:cs="宋体"/>
          <w:bCs/>
          <w:sz w:val="24"/>
          <w:szCs w:val="24"/>
          <w:lang w:eastAsia="zh-CN"/>
        </w:rPr>
        <w:t>6</w:t>
      </w:r>
      <w:r w:rsidRPr="00E9363B">
        <w:rPr>
          <w:rFonts w:ascii="Times New Roman" w:hAnsi="Times New Roman" w:cs="Times New Roman"/>
          <w:bCs/>
          <w:sz w:val="24"/>
          <w:szCs w:val="24"/>
          <w:lang w:eastAsia="zh-CN"/>
        </w:rPr>
        <w:t>个月内对被提名的基金托管人形成决议，该决议需经参加大会的基金份额持有人所持表决权的三分之二以上（含三分之二）表决通过，决议自表决通过之日起生效；</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）临时基金托管人：新任基金托管人产生之前，由中国证监会指定临时基金托管人；</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）备案：基金份额持有人大会更换基金托管人的决议须报中国证监会备案；</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5</w:t>
      </w:r>
      <w:r w:rsidRPr="00E9363B">
        <w:rPr>
          <w:rFonts w:ascii="Times New Roman" w:hAnsi="Times New Roman" w:cs="Times New Roman"/>
          <w:bCs/>
          <w:sz w:val="24"/>
          <w:szCs w:val="24"/>
          <w:lang w:eastAsia="zh-CN"/>
        </w:rPr>
        <w:t>）公告：基金托管人更换后，由基金管理人在更换基金托管人的基金份额持有人大会决议生效后</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日内在规定媒介公告；</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6</w:t>
      </w:r>
      <w:r w:rsidRPr="00E9363B">
        <w:rPr>
          <w:rFonts w:ascii="Times New Roman" w:hAnsi="Times New Roman" w:cs="Times New Roman"/>
          <w:bCs/>
          <w:sz w:val="24"/>
          <w:szCs w:val="24"/>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7</w:t>
      </w:r>
      <w:r w:rsidRPr="00E9363B">
        <w:rPr>
          <w:rFonts w:ascii="Times New Roman" w:hAnsi="Times New Roman" w:cs="Times New Roman"/>
          <w:bCs/>
          <w:sz w:val="24"/>
          <w:szCs w:val="24"/>
          <w:lang w:eastAsia="zh-CN"/>
        </w:rPr>
        <w:t>）审计：基金托管人职责终止的，应当按照法律法规规定聘请会计师事务所对基金财产进行审计，并将审计结果予以公告，同时报中国证监会备案。审计费用从基金财产中列支。</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（三）基金管理人与基金托管人同时更换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、提名：如果基金管理人和基金托管人同时更换，由单独或合计持有基金总份额</w:t>
      </w:r>
      <w:r w:rsidRPr="00E9363B">
        <w:rPr>
          <w:rFonts w:ascii="宋体" w:hAnsi="宋体" w:cs="宋体"/>
          <w:bCs/>
          <w:sz w:val="24"/>
          <w:szCs w:val="24"/>
          <w:lang w:eastAsia="zh-CN"/>
        </w:rPr>
        <w:t>10%</w:t>
      </w:r>
      <w:r w:rsidRPr="00E9363B">
        <w:rPr>
          <w:rFonts w:ascii="Times New Roman" w:hAnsi="Times New Roman" w:cs="Times New Roman"/>
          <w:bCs/>
          <w:sz w:val="24"/>
          <w:szCs w:val="24"/>
          <w:lang w:eastAsia="zh-CN"/>
        </w:rPr>
        <w:t>以上（含</w:t>
      </w:r>
      <w:r w:rsidRPr="00E9363B">
        <w:rPr>
          <w:rFonts w:ascii="宋体" w:hAnsi="宋体" w:cs="宋体"/>
          <w:bCs/>
          <w:sz w:val="24"/>
          <w:szCs w:val="24"/>
          <w:lang w:eastAsia="zh-CN"/>
        </w:rPr>
        <w:t>10%</w:t>
      </w:r>
      <w:r w:rsidRPr="00E9363B">
        <w:rPr>
          <w:rFonts w:ascii="Times New Roman" w:hAnsi="Times New Roman" w:cs="Times New Roman"/>
          <w:bCs/>
          <w:sz w:val="24"/>
          <w:szCs w:val="24"/>
          <w:lang w:eastAsia="zh-CN"/>
        </w:rPr>
        <w:t>）的基金份额持有人提名新的基金管理人和基金托管人；</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、基金管理人和基金托管人的更换分别按上述程序进行；</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、公告：新任基金管理人和新任基金托管人应在更换基金管理人和基金托管人的基金份额持有人大会决议生效后</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日内在规定媒介上联合公告。</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四）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或基金托管费。</w:t>
      </w:r>
    </w:p>
    <w:p w:rsidR="003B526D" w:rsidRPr="00E9363B">
      <w:pPr>
        <w:spacing w:line="360" w:lineRule="auto"/>
        <w:ind w:firstLine="480"/>
        <w:rPr>
          <w:lang w:eastAsia="zh-CN"/>
        </w:rPr>
      </w:pPr>
      <w:r w:rsidRPr="00E9363B">
        <w:rPr>
          <w:rFonts w:ascii="Times New Roman" w:hAnsi="Times New Roman" w:cs="Times New Roman"/>
          <w:bCs/>
          <w:sz w:val="24"/>
          <w:szCs w:val="24"/>
          <w:lang w:eastAsia="zh-CN"/>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E9363B">
        <w:rPr>
          <w:rFonts w:ascii="Times New Roman" w:hAnsi="Times New Roman" w:cs="Times New Roman" w:hint="eastAsia"/>
          <w:bCs/>
          <w:sz w:val="24"/>
          <w:szCs w:val="24"/>
          <w:lang w:eastAsia="zh-CN"/>
        </w:rPr>
        <w:t>。</w:t>
      </w:r>
    </w:p>
    <w:p w:rsidR="003B526D" w:rsidRPr="00E9363B">
      <w:pPr>
        <w:spacing w:line="360" w:lineRule="auto"/>
        <w:ind w:firstLine="420"/>
        <w:rPr>
          <w:szCs w:val="21"/>
          <w:lang w:eastAsia="zh-CN"/>
        </w:rPr>
      </w:pPr>
    </w:p>
    <w:p w:rsidR="003B526D" w:rsidRPr="00E9363B">
      <w:pPr>
        <w:spacing w:line="360" w:lineRule="auto"/>
        <w:ind w:firstLine="420"/>
        <w:rPr>
          <w:rFonts w:ascii="Cambria"/>
          <w:lang w:eastAsia="zh-CN"/>
        </w:rPr>
        <w:sectPr>
          <w:pgSz w:w="11906" w:h="16838"/>
          <w:pgMar w:top="1418" w:right="1701" w:bottom="1418" w:left="1701" w:header="851" w:footer="992" w:gutter="0"/>
          <w:cols w:space="720"/>
          <w:docGrid w:type="lines" w:linePitch="312"/>
        </w:sectPr>
      </w:pPr>
    </w:p>
    <w:p w:rsidR="003B526D" w:rsidRPr="00E9363B">
      <w:pPr>
        <w:pStyle w:val="11"/>
        <w:rPr>
          <w:color w:val="000000"/>
        </w:rPr>
      </w:pPr>
      <w:bookmarkStart w:id="77" w:name="_Toc134110552"/>
      <w:r w:rsidRPr="00E9363B">
        <w:rPr>
          <w:rFonts w:hint="eastAsia"/>
          <w:color w:val="000000" w:themeColor="text1"/>
        </w:rPr>
        <w:t>十五、禁止行为</w:t>
      </w:r>
      <w:bookmarkEnd w:id="77"/>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本协议当事人禁止从事的行为，包括但不限于：</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（一）基金管理人、基金托管人将其固有财产或者他人财产混同于基金财产从事证券投资。</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（二）基金管理人不公平地对待其管理的不同基金财产，基金托管人不公平地对待其托管的不同基金财产。</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（三）基金管理人、基金托管人利用基金财产或职务之便为基金份额持有人以外的第三人牟取利益。</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（四）基金管理人、基金托管人向基金份额持有人违规承诺收益或者承担损失。</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（五）基金管理人、基金托管人对他人泄露基金运作和管理过程中任何尚未按法律法规规定的方式公开披露的信息。</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（六）基金管理人在没有充足资金的情况下向基金托管人发出投资指令和赎回、分红资金的划拨指令，或违规向基金托管人发出指令。</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（七）基金管理人、基金托管人在行政上、财务上不独立，其高级管理人员和其他从业人员相互兼职。</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（八）基金托管人私自动用或处分基金财产，根据基金管理人的合法指令、基金合同或托管协议的规定进行处分的除外。</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（九）基金财产用于下列投资或者活动：</w:t>
      </w:r>
    </w:p>
    <w:p w:rsidR="003B526D" w:rsidRPr="00E9363B">
      <w:pPr>
        <w:spacing w:line="360" w:lineRule="auto"/>
        <w:ind w:firstLine="480"/>
        <w:rPr>
          <w:rFonts w:ascii="Times New Roman" w:hAnsi="Times New Roman" w:cs="Times New Roman"/>
          <w:bCs/>
          <w:sz w:val="24"/>
          <w:szCs w:val="24"/>
          <w:lang w:eastAsia="zh-CN"/>
        </w:rPr>
      </w:pPr>
      <w:r w:rsidR="00192EE6">
        <w:rPr>
          <w:rFonts w:ascii="Times New Roman" w:hAnsi="Times New Roman" w:cs="Times New Roman" w:hint="eastAsia"/>
          <w:bCs/>
          <w:sz w:val="24"/>
          <w:szCs w:val="24"/>
          <w:lang w:eastAsia="zh-CN"/>
        </w:rPr>
        <w:t>1</w:t>
      </w:r>
      <w:r w:rsidR="00192EE6">
        <w:rPr>
          <w:rFonts w:ascii="Times New Roman" w:hAnsi="Times New Roman" w:cs="Times New Roman" w:hint="eastAsia"/>
          <w:bCs/>
          <w:sz w:val="24"/>
          <w:szCs w:val="24"/>
          <w:lang w:eastAsia="zh-CN"/>
        </w:rPr>
        <w:t>、</w:t>
      </w:r>
      <w:r w:rsidRPr="00E9363B">
        <w:rPr>
          <w:rFonts w:ascii="Times New Roman" w:hAnsi="Times New Roman" w:cs="Times New Roman"/>
          <w:bCs/>
          <w:sz w:val="24"/>
          <w:szCs w:val="24"/>
          <w:lang w:eastAsia="zh-CN"/>
        </w:rPr>
        <w:t>承销证券；</w:t>
      </w:r>
      <w:r w:rsidRPr="00E9363B">
        <w:rPr>
          <w:rFonts w:ascii="宋体" w:hAnsi="宋体" w:cs="宋体"/>
          <w:bCs/>
          <w:sz w:val="24"/>
          <w:szCs w:val="24"/>
          <w:lang w:eastAsia="zh-CN"/>
        </w:rPr>
        <w:t>2</w:t>
      </w:r>
      <w:r w:rsidR="00192EE6">
        <w:rPr>
          <w:rFonts w:ascii="Times New Roman" w:hAnsi="Times New Roman" w:cs="Times New Roman" w:hint="eastAsia"/>
          <w:bCs/>
          <w:sz w:val="24"/>
          <w:szCs w:val="24"/>
          <w:lang w:eastAsia="zh-CN"/>
        </w:rPr>
        <w:t>、</w:t>
      </w:r>
      <w:r w:rsidRPr="00E9363B">
        <w:rPr>
          <w:rFonts w:ascii="Times New Roman" w:hAnsi="Times New Roman" w:cs="Times New Roman"/>
          <w:bCs/>
          <w:sz w:val="24"/>
          <w:szCs w:val="24"/>
          <w:lang w:eastAsia="zh-CN"/>
        </w:rPr>
        <w:t>违反规定向他人贷款或者提供担保；</w:t>
      </w:r>
      <w:r w:rsidRPr="00E9363B">
        <w:rPr>
          <w:rFonts w:ascii="宋体" w:hAnsi="宋体" w:cs="宋体"/>
          <w:bCs/>
          <w:sz w:val="24"/>
          <w:szCs w:val="24"/>
          <w:lang w:eastAsia="zh-CN"/>
        </w:rPr>
        <w:t>3</w:t>
      </w:r>
      <w:r w:rsidR="00192EE6">
        <w:rPr>
          <w:rFonts w:ascii="Times New Roman" w:hAnsi="Times New Roman" w:cs="Times New Roman" w:hint="eastAsia"/>
          <w:bCs/>
          <w:sz w:val="24"/>
          <w:szCs w:val="24"/>
          <w:lang w:eastAsia="zh-CN"/>
        </w:rPr>
        <w:t>、</w:t>
      </w:r>
      <w:r w:rsidRPr="00E9363B">
        <w:rPr>
          <w:rFonts w:ascii="Times New Roman" w:hAnsi="Times New Roman" w:cs="Times New Roman"/>
          <w:bCs/>
          <w:sz w:val="24"/>
          <w:szCs w:val="24"/>
          <w:lang w:eastAsia="zh-CN"/>
        </w:rPr>
        <w:t>从事承担无限责任的投资；</w:t>
      </w:r>
      <w:r w:rsidRPr="00E9363B">
        <w:rPr>
          <w:rFonts w:ascii="宋体" w:hAnsi="宋体" w:cs="宋体"/>
          <w:bCs/>
          <w:sz w:val="24"/>
          <w:szCs w:val="24"/>
          <w:lang w:eastAsia="zh-CN"/>
        </w:rPr>
        <w:t>4</w:t>
      </w:r>
      <w:r w:rsidR="00192EE6">
        <w:rPr>
          <w:rFonts w:ascii="Times New Roman" w:hAnsi="Times New Roman" w:cs="Times New Roman" w:hint="eastAsia"/>
          <w:bCs/>
          <w:sz w:val="24"/>
          <w:szCs w:val="24"/>
          <w:lang w:eastAsia="zh-CN"/>
        </w:rPr>
        <w:t>、</w:t>
      </w:r>
      <w:r w:rsidRPr="00E9363B">
        <w:rPr>
          <w:rFonts w:ascii="Times New Roman" w:hAnsi="Times New Roman" w:cs="Times New Roman"/>
          <w:bCs/>
          <w:sz w:val="24"/>
          <w:szCs w:val="24"/>
          <w:lang w:eastAsia="zh-CN"/>
        </w:rPr>
        <w:t>向其基金管理人、基金托管人出资；</w:t>
      </w:r>
      <w:r w:rsidRPr="00E9363B">
        <w:rPr>
          <w:rFonts w:ascii="宋体" w:hAnsi="宋体" w:cs="宋体"/>
          <w:bCs/>
          <w:sz w:val="24"/>
          <w:szCs w:val="24"/>
          <w:lang w:eastAsia="zh-CN"/>
        </w:rPr>
        <w:t>5</w:t>
      </w:r>
      <w:r w:rsidR="00192EE6">
        <w:rPr>
          <w:rFonts w:ascii="Times New Roman" w:hAnsi="Times New Roman" w:cs="Times New Roman" w:hint="eastAsia"/>
          <w:bCs/>
          <w:sz w:val="24"/>
          <w:szCs w:val="24"/>
          <w:lang w:eastAsia="zh-CN"/>
        </w:rPr>
        <w:t>、</w:t>
      </w:r>
      <w:r w:rsidRPr="00E9363B">
        <w:rPr>
          <w:rFonts w:ascii="Times New Roman" w:hAnsi="Times New Roman" w:cs="Times New Roman"/>
          <w:bCs/>
          <w:sz w:val="24"/>
          <w:szCs w:val="24"/>
          <w:lang w:eastAsia="zh-CN"/>
        </w:rPr>
        <w:t>从事内幕交易、操纵证券交易价格及其他不正当的证券交易活动；</w:t>
      </w:r>
      <w:r w:rsidRPr="00E9363B">
        <w:rPr>
          <w:rFonts w:ascii="宋体" w:hAnsi="宋体" w:cs="宋体"/>
          <w:bCs/>
          <w:sz w:val="24"/>
          <w:szCs w:val="24"/>
          <w:lang w:eastAsia="zh-CN"/>
        </w:rPr>
        <w:t>6</w:t>
      </w:r>
      <w:r w:rsidR="00192EE6">
        <w:rPr>
          <w:rFonts w:ascii="Times New Roman" w:hAnsi="Times New Roman" w:cs="Times New Roman" w:hint="eastAsia"/>
          <w:bCs/>
          <w:sz w:val="24"/>
          <w:szCs w:val="24"/>
          <w:lang w:eastAsia="zh-CN"/>
        </w:rPr>
        <w:t>、</w:t>
      </w:r>
      <w:r w:rsidRPr="00E9363B">
        <w:rPr>
          <w:rFonts w:ascii="Times New Roman" w:hAnsi="Times New Roman" w:cs="Times New Roman"/>
          <w:bCs/>
          <w:sz w:val="24"/>
          <w:szCs w:val="24"/>
          <w:lang w:eastAsia="zh-CN"/>
        </w:rPr>
        <w:t>法律、行政法规和中国证监会规定禁止的其他活动。</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法律法规或监管部门取消或变更上述限制，如适用于本基金，基金管理人在履行适当程序后，则本基金投资不再受相关限制或以变更后的规定为准。</w:t>
      </w:r>
    </w:p>
    <w:p w:rsidR="003B526D" w:rsidRPr="00E9363B">
      <w:pPr>
        <w:spacing w:line="360" w:lineRule="auto"/>
        <w:ind w:firstLine="480"/>
        <w:rPr>
          <w:lang w:eastAsia="zh-CN"/>
        </w:rPr>
      </w:pPr>
      <w:r w:rsidRPr="00E9363B">
        <w:rPr>
          <w:rFonts w:ascii="Times New Roman" w:hAnsi="Times New Roman" w:cs="Times New Roman"/>
          <w:bCs/>
          <w:sz w:val="24"/>
          <w:szCs w:val="24"/>
          <w:lang w:eastAsia="zh-CN"/>
        </w:rPr>
        <w:t>（十）法律法规和基金合同禁止的其他行为，以及法律、行政法规和中国证监会规定禁止基金管理人、基金托管人从事的其他行为</w:t>
      </w:r>
      <w:r w:rsidRPr="00E9363B">
        <w:rPr>
          <w:rFonts w:ascii="Times New Roman" w:hAnsi="Times New Roman" w:cs="Times New Roman" w:hint="eastAsia"/>
          <w:bCs/>
          <w:sz w:val="24"/>
          <w:szCs w:val="24"/>
          <w:lang w:eastAsia="zh-CN"/>
        </w:rPr>
        <w:t>。</w:t>
      </w:r>
    </w:p>
    <w:p w:rsidR="003B526D" w:rsidRPr="00E9363B">
      <w:pPr>
        <w:pStyle w:val="11"/>
        <w:rPr>
          <w:color w:val="000000"/>
        </w:rPr>
      </w:pPr>
      <w:r w:rsidRPr="00E9363B">
        <w:rPr>
          <w:rFonts w:ascii="宋体" w:hAnsi="宋体" w:cs="宋体"/>
        </w:rPr>
        <w:br w:type="page"/>
      </w:r>
      <w:bookmarkStart w:id="78" w:name="_Toc134110553"/>
      <w:r w:rsidRPr="00E9363B">
        <w:rPr>
          <w:rFonts w:hint="eastAsia"/>
          <w:color w:val="000000" w:themeColor="text1"/>
        </w:rPr>
        <w:t>十六、托管协议的</w:t>
      </w:r>
      <w:r w:rsidRPr="00E9363B">
        <w:rPr>
          <w:color w:val="000000" w:themeColor="text1"/>
        </w:rPr>
        <w:t>变更</w:t>
      </w:r>
      <w:r w:rsidRPr="00E9363B">
        <w:rPr>
          <w:rFonts w:hint="eastAsia"/>
          <w:color w:val="000000" w:themeColor="text1"/>
        </w:rPr>
        <w:t>、终止与基金财产的清算</w:t>
      </w:r>
      <w:bookmarkEnd w:id="78"/>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hint="eastAsia"/>
          <w:bCs/>
          <w:sz w:val="24"/>
          <w:szCs w:val="24"/>
          <w:lang w:eastAsia="zh-CN"/>
        </w:rPr>
        <w:t>（一）</w:t>
      </w:r>
      <w:r w:rsidRPr="00E9363B">
        <w:rPr>
          <w:rFonts w:ascii="Times New Roman" w:hAnsi="Times New Roman" w:cs="Times New Roman"/>
          <w:bCs/>
          <w:sz w:val="24"/>
          <w:szCs w:val="24"/>
          <w:lang w:eastAsia="zh-CN"/>
        </w:rPr>
        <w:t>托管协议的变更程序</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本协议双方当事人经协商一致，可以对协议进行修改。修改后的新协议，其内容不得与基金合同的规定有任何冲突。</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（二）基金托管协议终止的情形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、基金合同终止；</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、基金托管人解散、依法被撤销、破产或由其他基金托管人接管基金资产；</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、基金管理人解散、依法被撤销、破产或由其他基金管理人接管基金管理权；</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、发生法律法规或基金合同规定的终止事项。</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（三）基金财产的清算</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、基金财产清算小组</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）自出现基金合同终止事由之日起</w:t>
      </w:r>
      <w:r w:rsidRPr="00E9363B">
        <w:rPr>
          <w:rFonts w:ascii="宋体" w:hAnsi="宋体" w:cs="宋体"/>
          <w:bCs/>
          <w:sz w:val="24"/>
          <w:szCs w:val="24"/>
          <w:lang w:eastAsia="zh-CN"/>
        </w:rPr>
        <w:t>30</w:t>
      </w:r>
      <w:r w:rsidRPr="00E9363B">
        <w:rPr>
          <w:rFonts w:ascii="Times New Roman" w:hAnsi="Times New Roman" w:cs="Times New Roman"/>
          <w:bCs/>
          <w:sz w:val="24"/>
          <w:szCs w:val="24"/>
          <w:lang w:eastAsia="zh-CN"/>
        </w:rPr>
        <w:t>个工作日内成立清算小组，基金管理人组织基金财产清算小组并在中国证监会的监督下进行基金清算。</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）基金财产清算小组成员由基金管理人、基金托管人、符合《中华人民共和国证券法》规定的注册会计师、律师以及中国证监会指定的人员组成。基金财产清算小组可以聘用必要的工作人员。</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）在基金财产清算过程中，基金管理人和基金托管人应各自履行职责，继续忠实、勤勉、尽责地履行基金合同和本托管协议规定的义务，维护基金份额持有人的合法权益。</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）基金财产清算小组负责基金财产的保管、清理、估价、变现和分配。基金财产清算小组可以依法进行必要的民事活动。</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、基金财产清算程序</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基金合同终止情形发生，应当按法律法规和基金合同的有关规定对基金财产进行清算。基金财产清算程序主要包括：</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1</w:t>
      </w:r>
      <w:r w:rsidRPr="00E9363B">
        <w:rPr>
          <w:rFonts w:ascii="Times New Roman" w:hAnsi="Times New Roman" w:cs="Times New Roman"/>
          <w:bCs/>
          <w:sz w:val="24"/>
          <w:szCs w:val="24"/>
          <w:lang w:eastAsia="zh-CN"/>
        </w:rPr>
        <w:t>）基金合同终止情形出现时，由基金财产清算小组统一接管基金；</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2</w:t>
      </w:r>
      <w:r w:rsidRPr="00E9363B">
        <w:rPr>
          <w:rFonts w:ascii="Times New Roman" w:hAnsi="Times New Roman" w:cs="Times New Roman"/>
          <w:bCs/>
          <w:sz w:val="24"/>
          <w:szCs w:val="24"/>
          <w:lang w:eastAsia="zh-CN"/>
        </w:rPr>
        <w:t>）对基金财产和债权债务进行清理和确认；</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）对基金财产进行估值和变现；</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）制作清算报告；</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5</w:t>
      </w:r>
      <w:r w:rsidRPr="00E9363B">
        <w:rPr>
          <w:rFonts w:ascii="Times New Roman" w:hAnsi="Times New Roman" w:cs="Times New Roman"/>
          <w:bCs/>
          <w:sz w:val="24"/>
          <w:szCs w:val="24"/>
          <w:lang w:eastAsia="zh-CN"/>
        </w:rPr>
        <w:t>）聘请会计师事务所对清算报告进行外部审计，聘请律师事务所对清算报告出具法律意见书；</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6</w:t>
      </w:r>
      <w:r w:rsidRPr="00E9363B">
        <w:rPr>
          <w:rFonts w:ascii="Times New Roman" w:hAnsi="Times New Roman" w:cs="Times New Roman"/>
          <w:bCs/>
          <w:sz w:val="24"/>
          <w:szCs w:val="24"/>
          <w:lang w:eastAsia="zh-CN"/>
        </w:rPr>
        <w:t>）将清算报告报中国证监会备案并公告；</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w:t>
      </w:r>
      <w:r w:rsidRPr="00E9363B">
        <w:rPr>
          <w:rFonts w:ascii="宋体" w:hAnsi="宋体" w:cs="宋体"/>
          <w:bCs/>
          <w:sz w:val="24"/>
          <w:szCs w:val="24"/>
          <w:lang w:eastAsia="zh-CN"/>
        </w:rPr>
        <w:t>7</w:t>
      </w:r>
      <w:r w:rsidRPr="00E9363B">
        <w:rPr>
          <w:rFonts w:ascii="Times New Roman" w:hAnsi="Times New Roman" w:cs="Times New Roman"/>
          <w:bCs/>
          <w:sz w:val="24"/>
          <w:szCs w:val="24"/>
          <w:lang w:eastAsia="zh-CN"/>
        </w:rPr>
        <w:t>）对基金剩余财产进行分配。</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3</w:t>
      </w:r>
      <w:r w:rsidRPr="00E9363B">
        <w:rPr>
          <w:rFonts w:ascii="Times New Roman" w:hAnsi="Times New Roman" w:cs="Times New Roman"/>
          <w:bCs/>
          <w:sz w:val="24"/>
          <w:szCs w:val="24"/>
          <w:lang w:eastAsia="zh-CN"/>
        </w:rPr>
        <w:t>、基金财产清算的期限为</w:t>
      </w:r>
      <w:r w:rsidRPr="00E9363B">
        <w:rPr>
          <w:rFonts w:ascii="宋体" w:hAnsi="宋体" w:cs="宋体"/>
          <w:bCs/>
          <w:sz w:val="24"/>
          <w:szCs w:val="24"/>
          <w:lang w:eastAsia="zh-CN"/>
        </w:rPr>
        <w:t>6</w:t>
      </w:r>
      <w:r w:rsidRPr="00E9363B">
        <w:rPr>
          <w:rFonts w:ascii="Times New Roman" w:hAnsi="Times New Roman" w:cs="Times New Roman"/>
          <w:bCs/>
          <w:sz w:val="24"/>
          <w:szCs w:val="24"/>
          <w:lang w:eastAsia="zh-CN"/>
        </w:rPr>
        <w:t>个月，但因本基金所持证券的流动性受到限制而不能及时变现的，清算期限可相应顺延。</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、清算费用</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清算费用是指基金财产清算小组在进行基金财产清算过程中发生的所有合理费用，清算费用由基金财产清算小组优先从基金剩余财产中支付。</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5</w:t>
      </w:r>
      <w:r w:rsidRPr="00E9363B">
        <w:rPr>
          <w:rFonts w:ascii="Times New Roman" w:hAnsi="Times New Roman" w:cs="Times New Roman"/>
          <w:bCs/>
          <w:sz w:val="24"/>
          <w:szCs w:val="24"/>
          <w:lang w:eastAsia="zh-CN"/>
        </w:rPr>
        <w:t>、基金财产清算剩余资产的分配</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依据基金财产清算的分配方案，将基金财产清算后的全部剩余资产扣除基金财产清算费用、交纳所欠税款并清偿基金债务后，按基金份额持有人持有的基金份额比例进行分配。</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6</w:t>
      </w:r>
      <w:r w:rsidRPr="00E9363B">
        <w:rPr>
          <w:rFonts w:ascii="Times New Roman" w:hAnsi="Times New Roman" w:cs="Times New Roman"/>
          <w:bCs/>
          <w:sz w:val="24"/>
          <w:szCs w:val="24"/>
          <w:lang w:eastAsia="zh-CN"/>
        </w:rPr>
        <w:t>、基金财产清算的公告</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E9363B">
        <w:rPr>
          <w:rFonts w:ascii="宋体" w:hAnsi="宋体" w:cs="宋体"/>
          <w:bCs/>
          <w:sz w:val="24"/>
          <w:szCs w:val="24"/>
          <w:lang w:eastAsia="zh-CN"/>
        </w:rPr>
        <w:t>5</w:t>
      </w:r>
      <w:r w:rsidRPr="00E9363B">
        <w:rPr>
          <w:rFonts w:ascii="Times New Roman" w:hAnsi="Times New Roman" w:cs="Times New Roman"/>
          <w:bCs/>
          <w:sz w:val="24"/>
          <w:szCs w:val="24"/>
          <w:lang w:eastAsia="zh-CN"/>
        </w:rPr>
        <w:t>个工作日内由基金财产清算小组进行公告。</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7</w:t>
      </w:r>
      <w:r w:rsidRPr="00E9363B">
        <w:rPr>
          <w:rFonts w:ascii="Times New Roman" w:hAnsi="Times New Roman" w:cs="Times New Roman"/>
          <w:bCs/>
          <w:sz w:val="24"/>
          <w:szCs w:val="24"/>
          <w:lang w:eastAsia="zh-CN"/>
        </w:rPr>
        <w:t>、基金财产清算账册及文件的保存</w:t>
      </w:r>
    </w:p>
    <w:p w:rsidR="003B526D" w:rsidRPr="00E9363B">
      <w:pPr>
        <w:spacing w:line="360" w:lineRule="auto"/>
        <w:ind w:firstLine="480"/>
        <w:rPr>
          <w:lang w:eastAsia="zh-CN"/>
        </w:rPr>
      </w:pPr>
      <w:r w:rsidRPr="00E9363B">
        <w:rPr>
          <w:rFonts w:ascii="Times New Roman" w:hAnsi="Times New Roman" w:cs="Times New Roman"/>
          <w:bCs/>
          <w:sz w:val="24"/>
          <w:szCs w:val="24"/>
          <w:lang w:eastAsia="zh-CN"/>
        </w:rPr>
        <w:t>基金财产清算账册及有关文件由基金托管人保存，保存期限不低于法律法规规定的最低期限。</w:t>
      </w:r>
    </w:p>
    <w:p w:rsidR="003B526D" w:rsidRPr="00E9363B">
      <w:pPr>
        <w:pStyle w:val="NormalIndent"/>
        <w:spacing w:line="360" w:lineRule="auto"/>
        <w:rPr>
          <w:lang w:eastAsia="zh-CN"/>
        </w:rPr>
        <w:sectPr>
          <w:pgSz w:w="11906" w:h="16838"/>
          <w:pgMar w:top="1440" w:right="1800" w:bottom="1440" w:left="1800" w:header="851" w:footer="992" w:gutter="0"/>
          <w:cols w:space="720"/>
          <w:docGrid w:type="lines" w:linePitch="312"/>
        </w:sectPr>
      </w:pPr>
    </w:p>
    <w:p w:rsidR="003B526D" w:rsidRPr="00E9363B">
      <w:pPr>
        <w:pStyle w:val="11"/>
        <w:rPr>
          <w:color w:val="000000"/>
        </w:rPr>
      </w:pPr>
      <w:bookmarkStart w:id="79" w:name="_Toc134110554"/>
      <w:r w:rsidRPr="00E9363B">
        <w:rPr>
          <w:rFonts w:hint="eastAsia"/>
          <w:color w:val="000000" w:themeColor="text1"/>
        </w:rPr>
        <w:t>十七、违约责任</w:t>
      </w:r>
      <w:bookmarkEnd w:id="79"/>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（一）基金管理人、基金托管人不履行本协议或履行本协议不符合约定的，应当承担违约责任。</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一方承担连带责任后有权根据另一方过错程度向另一方追偿。</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三）一方当事人违约，给另一方当事人造成损失的，应就直接损失进行赔偿；给基金财产造成损失的，应就直接损失进行赔偿，另一方当事人有权利及义务代表基金向违约方追偿。但是如发生下列情况，当事人免责</w:t>
      </w:r>
      <w:r w:rsidRPr="00E9363B">
        <w:rPr>
          <w:rFonts w:ascii="Times New Roman" w:hAnsi="Times New Roman" w:cs="Times New Roman" w:hint="eastAsia"/>
          <w:bCs/>
          <w:sz w:val="24"/>
          <w:szCs w:val="24"/>
          <w:lang w:eastAsia="zh-CN"/>
        </w:rPr>
        <w:t>：</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hint="eastAsia"/>
          <w:bCs/>
          <w:sz w:val="24"/>
          <w:szCs w:val="24"/>
          <w:lang w:eastAsia="zh-CN"/>
        </w:rPr>
        <w:t>1</w:t>
      </w:r>
      <w:r w:rsidRPr="00E9363B">
        <w:rPr>
          <w:rFonts w:ascii="Times New Roman" w:hAnsi="Times New Roman" w:cs="Times New Roman" w:hint="eastAsia"/>
          <w:bCs/>
          <w:sz w:val="24"/>
          <w:szCs w:val="24"/>
          <w:lang w:eastAsia="zh-CN"/>
        </w:rPr>
        <w:t>、不可抗力；</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hint="eastAsia"/>
          <w:bCs/>
          <w:sz w:val="24"/>
          <w:szCs w:val="24"/>
          <w:lang w:eastAsia="zh-CN"/>
        </w:rPr>
        <w:t>2</w:t>
      </w:r>
      <w:r w:rsidRPr="00E9363B">
        <w:rPr>
          <w:rFonts w:ascii="Times New Roman" w:hAnsi="Times New Roman" w:cs="Times New Roman" w:hint="eastAsia"/>
          <w:bCs/>
          <w:sz w:val="24"/>
          <w:szCs w:val="24"/>
          <w:lang w:eastAsia="zh-CN"/>
        </w:rPr>
        <w:t>、基金管理人和</w:t>
      </w:r>
      <w:r w:rsidRPr="00E9363B">
        <w:rPr>
          <w:rFonts w:ascii="宋体" w:hAnsi="宋体" w:cs="宋体" w:hint="eastAsia"/>
          <w:bCs/>
          <w:sz w:val="24"/>
          <w:szCs w:val="24"/>
          <w:lang w:eastAsia="zh-CN"/>
        </w:rPr>
        <w:t>/</w:t>
      </w:r>
      <w:r w:rsidRPr="00E9363B">
        <w:rPr>
          <w:rFonts w:ascii="Times New Roman" w:hAnsi="Times New Roman" w:cs="Times New Roman" w:hint="eastAsia"/>
          <w:bCs/>
          <w:sz w:val="24"/>
          <w:szCs w:val="24"/>
          <w:lang w:eastAsia="zh-CN"/>
        </w:rPr>
        <w:t>或基金托管人按照当时有效的法律法规或中国证监会的规定作为或不作为而造成的损失等；</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hint="eastAsia"/>
          <w:bCs/>
          <w:sz w:val="24"/>
          <w:szCs w:val="24"/>
          <w:lang w:eastAsia="zh-CN"/>
        </w:rPr>
        <w:t>3</w:t>
      </w:r>
      <w:r w:rsidRPr="00E9363B">
        <w:rPr>
          <w:rFonts w:ascii="Times New Roman" w:hAnsi="Times New Roman" w:cs="Times New Roman" w:hint="eastAsia"/>
          <w:bCs/>
          <w:sz w:val="24"/>
          <w:szCs w:val="24"/>
          <w:lang w:eastAsia="zh-CN"/>
        </w:rPr>
        <w:t>、基金管理人由于按照基金合同规定的投资原则投资或不投资造成的损失等</w:t>
      </w:r>
      <w:r w:rsidR="00AD5FE7">
        <w:rPr>
          <w:rFonts w:ascii="Times New Roman" w:hAnsi="Times New Roman" w:cs="Times New Roman" w:hint="eastAsia"/>
          <w:bCs/>
          <w:sz w:val="24"/>
          <w:szCs w:val="24"/>
          <w:lang w:eastAsia="zh-CN"/>
        </w:rPr>
        <w:t>；</w:t>
      </w:r>
    </w:p>
    <w:p w:rsidR="003B526D" w:rsidRPr="00E9363B">
      <w:pPr>
        <w:spacing w:line="360" w:lineRule="auto"/>
        <w:ind w:firstLine="480"/>
        <w:rPr>
          <w:rFonts w:ascii="Times New Roman" w:hAnsi="Times New Roman" w:cs="Times New Roman"/>
          <w:bCs/>
          <w:sz w:val="24"/>
          <w:szCs w:val="24"/>
          <w:lang w:eastAsia="zh-CN"/>
        </w:rPr>
      </w:pPr>
      <w:r w:rsidRPr="00E9363B">
        <w:rPr>
          <w:rFonts w:ascii="宋体" w:hAnsi="宋体" w:cs="宋体"/>
          <w:bCs/>
          <w:sz w:val="24"/>
          <w:szCs w:val="24"/>
          <w:lang w:eastAsia="zh-CN"/>
        </w:rPr>
        <w:t>4</w:t>
      </w:r>
      <w:r w:rsidRPr="00E9363B">
        <w:rPr>
          <w:rFonts w:ascii="Times New Roman" w:hAnsi="Times New Roman" w:cs="Times New Roman"/>
          <w:bCs/>
          <w:sz w:val="24"/>
          <w:szCs w:val="24"/>
          <w:lang w:eastAsia="zh-CN"/>
        </w:rPr>
        <w:t>、基金托管人对存放或存管在基金托管人以外机构的基金资产，或交由证券公司等其他机构负责清算交收的基金资产及其收益，由于该机构欺诈、故意、疏忽、过失或破产等原因给本基金资产造成的损失等。</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四）一方当事人违约，另一方当事人在职责范围内有义务及时采取必要的措施，尽力防止损失的扩大。没有采取适当措施致使损失扩大的，不得就扩大的损失要求赔偿。非违约方因防止损失扩大而支出的合理费用由违约方承担。</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（五）违约行为虽已发生，但本托管协议能够继续履行的，在最大限度地保护基金份额持有人利益的前提下，基金管理人和基金托管人应当继续履行本协议。</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（七）本协议所指</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损失</w:t>
      </w:r>
      <w:r w:rsidRPr="00E9363B">
        <w:rPr>
          <w:rFonts w:ascii="宋体" w:hAnsi="宋体" w:cs="宋体"/>
          <w:bCs/>
          <w:sz w:val="24"/>
          <w:szCs w:val="24"/>
          <w:lang w:eastAsia="zh-CN"/>
        </w:rPr>
        <w:t>”</w:t>
      </w:r>
      <w:r w:rsidRPr="00E9363B">
        <w:rPr>
          <w:rFonts w:ascii="Times New Roman" w:hAnsi="Times New Roman" w:cs="Times New Roman"/>
          <w:bCs/>
          <w:sz w:val="24"/>
          <w:szCs w:val="24"/>
          <w:lang w:eastAsia="zh-CN"/>
        </w:rPr>
        <w:t>，限于直接财产损失。</w:t>
      </w:r>
    </w:p>
    <w:p w:rsidR="003B526D" w:rsidRPr="00E9363B">
      <w:pPr>
        <w:spacing w:line="360" w:lineRule="auto"/>
        <w:ind w:firstLine="480"/>
        <w:rPr>
          <w:rFonts w:ascii="Times New Roman" w:hAnsi="Times New Roman" w:cs="Times New Roman"/>
          <w:bCs/>
          <w:sz w:val="24"/>
          <w:szCs w:val="24"/>
          <w:lang w:eastAsia="zh-CN"/>
        </w:rPr>
      </w:pPr>
    </w:p>
    <w:p w:rsidR="003B526D" w:rsidRPr="00E9363B">
      <w:pPr>
        <w:spacing w:line="360" w:lineRule="auto"/>
        <w:ind w:firstLine="480"/>
        <w:rPr>
          <w:rFonts w:ascii="Times New Roman" w:hAnsi="Times New Roman" w:cs="Times New Roman"/>
          <w:bCs/>
          <w:sz w:val="24"/>
          <w:szCs w:val="24"/>
          <w:lang w:eastAsia="zh-CN"/>
        </w:rPr>
        <w:sectPr>
          <w:pgSz w:w="11906" w:h="16838"/>
          <w:pgMar w:top="1418" w:right="1701" w:bottom="1418" w:left="1701" w:header="851" w:footer="992" w:gutter="0"/>
          <w:cols w:space="720"/>
          <w:docGrid w:type="lines" w:linePitch="312"/>
        </w:sectPr>
      </w:pPr>
    </w:p>
    <w:p w:rsidR="003B526D" w:rsidRPr="00E9363B">
      <w:pPr>
        <w:pStyle w:val="11"/>
        <w:rPr>
          <w:color w:val="000000"/>
        </w:rPr>
      </w:pPr>
      <w:bookmarkStart w:id="80" w:name="_Toc134110555"/>
      <w:r w:rsidRPr="00E9363B">
        <w:rPr>
          <w:rFonts w:hint="eastAsia"/>
          <w:color w:val="000000" w:themeColor="text1"/>
        </w:rPr>
        <w:t>十八、争议解决方式</w:t>
      </w:r>
      <w:bookmarkEnd w:id="80"/>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双方当事人同意，因本托管协议而产生的或与托管协议有关的一切争议，如经友好协商未能解决的，任何一方均有权将争议提交上海国际经济贸易仲裁委员会（上海国际仲裁中心），仲裁地点为上海市，按照该会届时有效的仲裁规则进行仲裁。仲裁裁决是终局的，对双方当事人均有约束力。除非仲裁裁决另有规定，仲裁费由败诉方承担。</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争议处理期间，双方当事人应恪守基金管理人和基金托管人职责，各自继续忠实、勤勉、尽责地履行基金合同和本托管协议规定的义务，维护基金份额持有人的合法权益。</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本协议受中国法律（为本协议之目的，在此不包括香港、澳门特别行政区和台湾地区法律）管辖并从其解释。</w:t>
      </w:r>
    </w:p>
    <w:p w:rsidR="003B526D" w:rsidRPr="00E9363B">
      <w:pPr>
        <w:spacing w:line="360" w:lineRule="auto"/>
        <w:ind w:firstLine="480"/>
        <w:rPr>
          <w:rFonts w:ascii="Times New Roman" w:hAnsi="Times New Roman" w:cs="Times New Roman"/>
          <w:bCs/>
          <w:sz w:val="24"/>
          <w:szCs w:val="24"/>
          <w:lang w:eastAsia="zh-CN"/>
        </w:rPr>
        <w:sectPr>
          <w:pgSz w:w="11906" w:h="16838"/>
          <w:pgMar w:top="1418" w:right="1701" w:bottom="1418" w:left="1701" w:header="851" w:footer="992" w:gutter="0"/>
          <w:cols w:space="720"/>
          <w:docGrid w:type="lines" w:linePitch="312"/>
        </w:sectPr>
      </w:pPr>
    </w:p>
    <w:p w:rsidR="003B526D" w:rsidRPr="00E9363B">
      <w:pPr>
        <w:pStyle w:val="11"/>
        <w:rPr>
          <w:color w:val="000000"/>
        </w:rPr>
      </w:pPr>
      <w:bookmarkStart w:id="81" w:name="_Toc134110556"/>
      <w:r w:rsidRPr="00E9363B">
        <w:rPr>
          <w:rFonts w:hint="eastAsia"/>
          <w:color w:val="000000" w:themeColor="text1"/>
        </w:rPr>
        <w:t>十九、托管协议的效力</w:t>
      </w:r>
      <w:bookmarkEnd w:id="81"/>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双方对托管协议的效力约定如下：</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一）基金管理人在向中国证监会申请注册本基金时提交的托管协议草案，应经托管协议当事人双方盖章以及双方法定代表人或授权代表签章，协议当事人双方根据中国证监会的意见修改托管协议草案。托管协议以中国证监会注册的文本为正式文本。</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（二）托管协议自基金合同成立之日起成立，自基金合同生效之日起生效。托管协议的有效期自其生效之日起至基金财产清算结果报中国证监会备案并公告之日止。</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（三）托管协议自生效之日起对托管协议当事人具有同等的法律约束力。</w:t>
      </w:r>
    </w:p>
    <w:p w:rsidR="003B526D" w:rsidRPr="00E9363B">
      <w:pPr>
        <w:spacing w:line="360" w:lineRule="auto"/>
        <w:ind w:firstLine="480"/>
        <w:rPr>
          <w:lang w:eastAsia="zh-CN"/>
        </w:rPr>
      </w:pPr>
      <w:r w:rsidRPr="00E9363B">
        <w:rPr>
          <w:rFonts w:ascii="Times New Roman" w:hAnsi="Times New Roman" w:cs="Times New Roman" w:hint="eastAsia"/>
          <w:bCs/>
          <w:sz w:val="24"/>
          <w:szCs w:val="24"/>
          <w:lang w:eastAsia="zh-CN"/>
        </w:rPr>
        <w:t>（四）本协议一式</w:t>
      </w:r>
      <w:r w:rsidRPr="00E9363B">
        <w:rPr>
          <w:rFonts w:ascii="Times New Roman" w:hAnsi="Times New Roman" w:cs="Times New Roman"/>
          <w:bCs/>
          <w:sz w:val="24"/>
          <w:szCs w:val="24"/>
          <w:lang w:eastAsia="zh-CN"/>
        </w:rPr>
        <w:t>四份，协议双方各持一份，上报中国证监会和银行业监督管理机构各一份，每份具有同等法律效力。</w:t>
      </w:r>
    </w:p>
    <w:p w:rsidR="003B526D" w:rsidRPr="00E9363B">
      <w:pPr>
        <w:pStyle w:val="NormalIndent"/>
        <w:spacing w:line="360" w:lineRule="auto"/>
        <w:rPr>
          <w:lang w:eastAsia="zh-CN"/>
        </w:rPr>
        <w:sectPr>
          <w:pgSz w:w="11906" w:h="16838"/>
          <w:pgMar w:top="1418" w:right="1701" w:bottom="1418" w:left="1701" w:header="851" w:footer="992" w:gutter="0"/>
          <w:cols w:space="720"/>
          <w:docGrid w:type="lines" w:linePitch="312"/>
        </w:sectPr>
      </w:pPr>
    </w:p>
    <w:p w:rsidR="003B526D" w:rsidRPr="00E9363B">
      <w:pPr>
        <w:pStyle w:val="11"/>
        <w:rPr>
          <w:color w:val="000000"/>
        </w:rPr>
      </w:pPr>
      <w:bookmarkStart w:id="82" w:name="_Toc134110557"/>
      <w:r w:rsidRPr="00E9363B">
        <w:rPr>
          <w:rFonts w:hint="eastAsia"/>
          <w:color w:val="000000" w:themeColor="text1"/>
        </w:rPr>
        <w:t>二十、其他事项</w:t>
      </w:r>
      <w:bookmarkEnd w:id="82"/>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如发生有权司法机关依法冻结基金份额持有人的基金份额时，基金管理人应予以配合，承担司法协助义务。</w:t>
      </w:r>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除本协议有明确定义外，本协议的用语定义适用基金合同的约定。本协议未尽事宜，当事人依据基金合同、有关法律法规等规定协商办理。</w:t>
      </w:r>
    </w:p>
    <w:p w:rsidR="003B526D" w:rsidRPr="00E9363B">
      <w:pPr>
        <w:spacing w:line="360" w:lineRule="auto"/>
        <w:ind w:firstLine="420"/>
        <w:rPr>
          <w:rFonts w:ascii="Cambria"/>
          <w:lang w:eastAsia="zh-CN"/>
        </w:rPr>
      </w:pPr>
    </w:p>
    <w:p w:rsidR="003B526D" w:rsidRPr="00E9363B">
      <w:pPr>
        <w:spacing w:line="360" w:lineRule="auto"/>
        <w:ind w:firstLine="420"/>
        <w:rPr>
          <w:rFonts w:ascii="Cambria"/>
          <w:lang w:eastAsia="zh-CN"/>
        </w:rPr>
      </w:pPr>
    </w:p>
    <w:p w:rsidR="003B526D" w:rsidRPr="00E9363B">
      <w:pPr>
        <w:spacing w:line="360" w:lineRule="auto"/>
        <w:ind w:firstLine="420"/>
        <w:rPr>
          <w:rFonts w:ascii="Cambria"/>
          <w:lang w:eastAsia="zh-CN"/>
        </w:rPr>
      </w:pPr>
    </w:p>
    <w:p w:rsidR="003B526D" w:rsidRPr="00E9363B">
      <w:pPr>
        <w:pStyle w:val="11"/>
        <w:rPr>
          <w:color w:val="000000"/>
        </w:rPr>
      </w:pPr>
      <w:bookmarkStart w:id="83" w:name="_Toc134110558"/>
      <w:r w:rsidRPr="00E9363B">
        <w:rPr>
          <w:rFonts w:hint="eastAsia"/>
          <w:color w:val="000000" w:themeColor="text1"/>
        </w:rPr>
        <w:t>二十一、托管协议的签订</w:t>
      </w:r>
      <w:bookmarkEnd w:id="83"/>
    </w:p>
    <w:p w:rsidR="003B526D" w:rsidRPr="00E9363B">
      <w:pPr>
        <w:spacing w:line="360" w:lineRule="auto"/>
        <w:ind w:firstLine="480"/>
        <w:rPr>
          <w:rFonts w:ascii="Times New Roman" w:hAnsi="Times New Roman" w:cs="Times New Roman"/>
          <w:bCs/>
          <w:sz w:val="24"/>
          <w:szCs w:val="24"/>
          <w:lang w:eastAsia="zh-CN"/>
        </w:rPr>
      </w:pPr>
      <w:r w:rsidRPr="00E9363B">
        <w:rPr>
          <w:rFonts w:ascii="Times New Roman" w:hAnsi="Times New Roman" w:cs="Times New Roman"/>
          <w:bCs/>
          <w:sz w:val="24"/>
          <w:szCs w:val="24"/>
          <w:lang w:eastAsia="zh-CN"/>
        </w:rPr>
        <w:t>本协议双方法定代表人或授权代表签章、签订地、签订日</w:t>
      </w:r>
    </w:p>
    <w:p w:rsidR="003B526D" w:rsidRPr="00E9363B">
      <w:pPr>
        <w:spacing w:line="360" w:lineRule="auto"/>
        <w:ind w:firstLine="480"/>
        <w:rPr>
          <w:rFonts w:ascii="Times New Roman" w:hAnsi="Times New Roman" w:cs="Times New Roman"/>
          <w:bCs/>
          <w:sz w:val="24"/>
          <w:szCs w:val="24"/>
          <w:lang w:eastAsia="zh-CN"/>
        </w:rPr>
      </w:pPr>
    </w:p>
    <w:p w:rsidR="003B526D" w:rsidRPr="00E9363B">
      <w:pPr>
        <w:spacing w:line="360" w:lineRule="auto"/>
        <w:rPr>
          <w:rFonts w:ascii="Cambria" w:hAnsi="Cambria"/>
          <w:szCs w:val="21"/>
          <w:lang w:eastAsia="zh-CN"/>
        </w:rPr>
      </w:pPr>
    </w:p>
    <w:p w:rsidR="003B526D" w:rsidRPr="00E9363B">
      <w:pPr>
        <w:widowControl/>
        <w:jc w:val="left"/>
        <w:rPr>
          <w:color w:val="000000"/>
          <w:sz w:val="24"/>
          <w:lang w:eastAsia="zh-CN"/>
        </w:rPr>
      </w:pPr>
      <w:r w:rsidRPr="00E9363B">
        <w:rPr>
          <w:rFonts w:ascii="宋体" w:hAnsi="宋体" w:cs="宋体"/>
          <w:color w:val="000000" w:themeColor="text1"/>
          <w:sz w:val="24"/>
          <w:lang w:eastAsia="zh-CN"/>
        </w:rPr>
        <w:br w:type="page"/>
      </w:r>
    </w:p>
    <w:p w:rsidR="003B526D" w:rsidRPr="00E9363B">
      <w:pPr>
        <w:spacing w:line="360" w:lineRule="auto"/>
        <w:rPr>
          <w:color w:val="000000"/>
          <w:sz w:val="24"/>
          <w:lang w:eastAsia="zh-CN"/>
        </w:rPr>
        <w:sectPr>
          <w:headerReference w:type="default" r:id="rId10"/>
          <w:pgSz w:w="11906" w:h="16838"/>
          <w:pgMar w:top="1418" w:right="1701" w:bottom="1418" w:left="1701" w:header="851" w:footer="992" w:gutter="0"/>
          <w:cols w:space="720"/>
          <w:docGrid w:type="lines" w:linePitch="312"/>
        </w:sectPr>
      </w:pPr>
    </w:p>
    <w:p w:rsidR="003B526D" w:rsidRPr="00E9363B">
      <w:pPr>
        <w:spacing w:line="360" w:lineRule="auto"/>
        <w:rPr>
          <w:color w:val="000000"/>
          <w:sz w:val="24"/>
          <w:lang w:eastAsia="zh-CN"/>
        </w:rPr>
      </w:pPr>
      <w:r w:rsidRPr="00E9363B">
        <w:rPr>
          <w:color w:val="000000" w:themeColor="text1"/>
          <w:sz w:val="24"/>
          <w:lang w:eastAsia="zh-CN"/>
        </w:rPr>
        <w:t>本页无正文，为《</w:t>
      </w:r>
      <w:r w:rsidRPr="00E9363B">
        <w:rPr>
          <w:rFonts w:hint="eastAsia"/>
          <w:bCs/>
          <w:sz w:val="24"/>
          <w:lang w:eastAsia="zh-CN"/>
        </w:rPr>
        <w:t>易方达中证红利价值交易型开放式指数证券投资基金联接基金</w:t>
      </w:r>
      <w:r w:rsidRPr="00E9363B">
        <w:rPr>
          <w:color w:val="000000" w:themeColor="text1"/>
          <w:sz w:val="24"/>
          <w:lang w:eastAsia="zh-CN"/>
        </w:rPr>
        <w:t>托管协议</w:t>
      </w:r>
      <w:r w:rsidRPr="00E9363B">
        <w:rPr>
          <w:color w:val="000000" w:themeColor="text1"/>
          <w:sz w:val="24"/>
          <w:lang w:eastAsia="zh-CN"/>
        </w:rPr>
        <w:t>》的签字盖章页。</w:t>
      </w:r>
    </w:p>
    <w:p w:rsidR="003B526D" w:rsidRPr="00E9363B">
      <w:pPr>
        <w:spacing w:line="360" w:lineRule="auto"/>
        <w:ind w:firstLine="480"/>
        <w:rPr>
          <w:color w:val="000000"/>
          <w:sz w:val="24"/>
          <w:lang w:eastAsia="zh-CN"/>
        </w:rPr>
      </w:pPr>
    </w:p>
    <w:p w:rsidR="003B526D" w:rsidRPr="00E9363B">
      <w:pPr>
        <w:pBdr>
          <w:top w:val="nil"/>
          <w:left w:val="nil"/>
          <w:bottom w:val="nil"/>
          <w:right w:val="nil"/>
        </w:pBdr>
        <w:spacing w:line="360" w:lineRule="auto"/>
        <w:rPr>
          <w:color w:val="000000"/>
          <w:sz w:val="24"/>
          <w:lang w:eastAsia="zh-CN"/>
        </w:rPr>
      </w:pPr>
      <w:r w:rsidRPr="00E9363B">
        <w:rPr>
          <w:color w:val="000000" w:themeColor="text1"/>
          <w:sz w:val="24"/>
          <w:lang w:eastAsia="zh-CN"/>
        </w:rPr>
        <w:t>《托管协议》当事人盖章及法定代表人或授权代表签字</w:t>
      </w:r>
      <w:r w:rsidRPr="00E9363B">
        <w:rPr>
          <w:rFonts w:ascii="宋体" w:hAnsi="宋体" w:cs="宋体"/>
          <w:color w:val="000000" w:themeColor="text1"/>
          <w:sz w:val="24"/>
          <w:lang w:eastAsia="zh-CN"/>
        </w:rPr>
        <w:t>/</w:t>
      </w:r>
      <w:r w:rsidRPr="00E9363B">
        <w:rPr>
          <w:color w:val="000000" w:themeColor="text1"/>
          <w:sz w:val="24"/>
          <w:lang w:eastAsia="zh-CN"/>
        </w:rPr>
        <w:t>签章、签订地、签订日</w:t>
      </w:r>
    </w:p>
    <w:p w:rsidR="003B526D" w:rsidRPr="00E9363B">
      <w:pPr>
        <w:spacing w:line="360" w:lineRule="auto"/>
        <w:ind w:firstLine="480"/>
        <w:rPr>
          <w:color w:val="000000"/>
          <w:sz w:val="24"/>
          <w:lang w:eastAsia="zh-CN"/>
        </w:rPr>
      </w:pPr>
    </w:p>
    <w:p w:rsidR="003B526D" w:rsidRPr="00E9363B">
      <w:pPr>
        <w:spacing w:line="360" w:lineRule="auto"/>
        <w:rPr>
          <w:color w:val="000000"/>
          <w:sz w:val="24"/>
          <w:lang w:eastAsia="zh-CN"/>
        </w:rPr>
      </w:pPr>
      <w:r w:rsidRPr="00E9363B">
        <w:rPr>
          <w:color w:val="000000" w:themeColor="text1"/>
          <w:sz w:val="24"/>
          <w:lang w:eastAsia="zh-CN"/>
        </w:rPr>
        <w:t>基金管理人：</w:t>
      </w:r>
      <w:r w:rsidRPr="00E9363B">
        <w:rPr>
          <w:rFonts w:hint="eastAsia"/>
          <w:color w:val="000000" w:themeColor="text1"/>
          <w:sz w:val="24"/>
          <w:lang w:eastAsia="zh-CN"/>
        </w:rPr>
        <w:t>易方达基金管理有限公</w:t>
      </w:r>
      <w:r w:rsidRPr="00E9363B">
        <w:rPr>
          <w:color w:val="000000" w:themeColor="text1"/>
          <w:sz w:val="24"/>
          <w:lang w:eastAsia="zh-CN"/>
        </w:rPr>
        <w:t>司（章）</w:t>
      </w:r>
    </w:p>
    <w:p w:rsidR="003B526D" w:rsidRPr="00E9363B">
      <w:pPr>
        <w:spacing w:line="360" w:lineRule="auto"/>
        <w:ind w:firstLine="480"/>
        <w:rPr>
          <w:color w:val="000000"/>
          <w:sz w:val="24"/>
          <w:lang w:eastAsia="zh-CN"/>
        </w:rPr>
      </w:pPr>
    </w:p>
    <w:p w:rsidR="003B526D" w:rsidRPr="00E9363B">
      <w:pPr>
        <w:spacing w:line="360" w:lineRule="auto"/>
        <w:ind w:firstLine="480"/>
        <w:rPr>
          <w:color w:val="000000"/>
          <w:sz w:val="24"/>
          <w:lang w:eastAsia="zh-CN"/>
        </w:rPr>
      </w:pPr>
    </w:p>
    <w:p w:rsidR="003B526D" w:rsidRPr="00E9363B">
      <w:pPr>
        <w:spacing w:line="360" w:lineRule="auto"/>
        <w:ind w:firstLine="480"/>
        <w:rPr>
          <w:color w:val="000000"/>
          <w:sz w:val="24"/>
          <w:lang w:eastAsia="zh-CN"/>
        </w:rPr>
      </w:pPr>
    </w:p>
    <w:p w:rsidR="003B526D" w:rsidRPr="00E9363B">
      <w:pPr>
        <w:spacing w:line="360" w:lineRule="auto"/>
        <w:rPr>
          <w:color w:val="000000"/>
          <w:sz w:val="24"/>
          <w:lang w:eastAsia="zh-CN"/>
        </w:rPr>
      </w:pPr>
      <w:r w:rsidRPr="00E9363B">
        <w:rPr>
          <w:color w:val="000000" w:themeColor="text1"/>
          <w:sz w:val="24"/>
          <w:lang w:eastAsia="zh-CN"/>
        </w:rPr>
        <w:t>法定代表人或授权代表（签字</w:t>
      </w:r>
      <w:r w:rsidRPr="00E9363B">
        <w:rPr>
          <w:rFonts w:ascii="宋体" w:hAnsi="宋体" w:cs="宋体"/>
          <w:color w:val="000000" w:themeColor="text1"/>
          <w:sz w:val="24"/>
          <w:lang w:eastAsia="zh-CN"/>
        </w:rPr>
        <w:t>/</w:t>
      </w:r>
      <w:r w:rsidRPr="00E9363B">
        <w:rPr>
          <w:color w:val="000000" w:themeColor="text1"/>
          <w:sz w:val="24"/>
          <w:lang w:eastAsia="zh-CN"/>
        </w:rPr>
        <w:t>签章）：</w:t>
      </w:r>
    </w:p>
    <w:p w:rsidR="003B526D" w:rsidRPr="00E9363B">
      <w:pPr>
        <w:spacing w:line="360" w:lineRule="auto"/>
        <w:ind w:firstLine="480"/>
        <w:rPr>
          <w:color w:val="000000"/>
          <w:sz w:val="24"/>
          <w:lang w:eastAsia="zh-CN"/>
        </w:rPr>
      </w:pPr>
    </w:p>
    <w:p w:rsidR="003B526D" w:rsidRPr="00E9363B">
      <w:pPr>
        <w:spacing w:line="360" w:lineRule="auto"/>
        <w:ind w:firstLine="480"/>
        <w:rPr>
          <w:color w:val="000000"/>
          <w:sz w:val="24"/>
          <w:lang w:eastAsia="zh-CN"/>
        </w:rPr>
      </w:pPr>
    </w:p>
    <w:p w:rsidR="003B526D" w:rsidRPr="00E9363B">
      <w:pPr>
        <w:spacing w:line="360" w:lineRule="auto"/>
        <w:ind w:firstLine="480"/>
        <w:rPr>
          <w:color w:val="000000"/>
          <w:sz w:val="24"/>
          <w:lang w:eastAsia="zh-CN"/>
        </w:rPr>
      </w:pPr>
    </w:p>
    <w:p w:rsidR="003B526D" w:rsidRPr="00E9363B">
      <w:pPr>
        <w:spacing w:line="360" w:lineRule="auto"/>
        <w:ind w:firstLine="480"/>
        <w:rPr>
          <w:color w:val="000000"/>
          <w:sz w:val="24"/>
          <w:lang w:eastAsia="zh-CN"/>
        </w:rPr>
      </w:pPr>
    </w:p>
    <w:p w:rsidR="003B526D" w:rsidRPr="00E9363B">
      <w:pPr>
        <w:spacing w:line="360" w:lineRule="auto"/>
        <w:rPr>
          <w:color w:val="000000"/>
          <w:sz w:val="24"/>
          <w:lang w:eastAsia="zh-CN"/>
        </w:rPr>
      </w:pPr>
      <w:r w:rsidRPr="00E9363B">
        <w:rPr>
          <w:color w:val="000000" w:themeColor="text1"/>
          <w:sz w:val="24"/>
          <w:lang w:eastAsia="zh-CN"/>
        </w:rPr>
        <w:t>基金托管人：兴业银行股份有限公司（</w:t>
      </w:r>
      <w:r w:rsidRPr="00E9363B">
        <w:rPr>
          <w:rFonts w:hint="eastAsia"/>
          <w:color w:val="000000" w:themeColor="text1"/>
          <w:sz w:val="24"/>
          <w:lang w:eastAsia="zh-CN"/>
        </w:rPr>
        <w:t>章</w:t>
      </w:r>
      <w:r w:rsidRPr="00E9363B">
        <w:rPr>
          <w:color w:val="000000" w:themeColor="text1"/>
          <w:sz w:val="24"/>
          <w:lang w:eastAsia="zh-CN"/>
        </w:rPr>
        <w:t>）</w:t>
      </w:r>
    </w:p>
    <w:p w:rsidR="003B526D" w:rsidRPr="00E9363B">
      <w:pPr>
        <w:spacing w:line="360" w:lineRule="auto"/>
        <w:ind w:firstLine="480"/>
        <w:rPr>
          <w:color w:val="000000"/>
          <w:sz w:val="24"/>
          <w:lang w:eastAsia="zh-CN"/>
        </w:rPr>
      </w:pPr>
    </w:p>
    <w:p w:rsidR="003B526D" w:rsidRPr="00E9363B">
      <w:pPr>
        <w:spacing w:line="360" w:lineRule="auto"/>
        <w:ind w:firstLine="480"/>
        <w:rPr>
          <w:color w:val="000000"/>
          <w:sz w:val="24"/>
          <w:lang w:eastAsia="zh-CN"/>
        </w:rPr>
      </w:pPr>
    </w:p>
    <w:p w:rsidR="003B526D" w:rsidRPr="00E9363B">
      <w:pPr>
        <w:spacing w:line="360" w:lineRule="auto"/>
        <w:ind w:firstLine="480"/>
        <w:rPr>
          <w:color w:val="000000"/>
          <w:sz w:val="24"/>
          <w:lang w:eastAsia="zh-CN"/>
        </w:rPr>
      </w:pPr>
    </w:p>
    <w:p w:rsidR="003B526D" w:rsidRPr="00E9363B">
      <w:pPr>
        <w:spacing w:line="360" w:lineRule="auto"/>
        <w:rPr>
          <w:color w:val="000000"/>
          <w:sz w:val="24"/>
          <w:lang w:eastAsia="zh-CN"/>
        </w:rPr>
      </w:pPr>
      <w:r w:rsidRPr="00E9363B">
        <w:rPr>
          <w:color w:val="000000" w:themeColor="text1"/>
          <w:sz w:val="24"/>
          <w:lang w:eastAsia="zh-CN"/>
        </w:rPr>
        <w:t>法定代表人或授权代表（签字</w:t>
      </w:r>
      <w:r w:rsidRPr="00E9363B">
        <w:rPr>
          <w:rFonts w:ascii="宋体" w:hAnsi="宋体" w:cs="宋体"/>
          <w:color w:val="000000" w:themeColor="text1"/>
          <w:sz w:val="24"/>
          <w:lang w:eastAsia="zh-CN"/>
        </w:rPr>
        <w:t>/</w:t>
      </w:r>
      <w:r w:rsidRPr="00E9363B">
        <w:rPr>
          <w:color w:val="000000" w:themeColor="text1"/>
          <w:sz w:val="24"/>
          <w:lang w:eastAsia="zh-CN"/>
        </w:rPr>
        <w:t>签章）：</w:t>
      </w:r>
    </w:p>
    <w:p w:rsidR="003B526D" w:rsidRPr="00E9363B">
      <w:pPr>
        <w:spacing w:line="360" w:lineRule="auto"/>
        <w:ind w:firstLine="480"/>
        <w:rPr>
          <w:color w:val="000000"/>
          <w:sz w:val="24"/>
          <w:lang w:eastAsia="zh-CN"/>
        </w:rPr>
      </w:pPr>
    </w:p>
    <w:p w:rsidR="003B526D" w:rsidRPr="00E9363B">
      <w:pPr>
        <w:spacing w:line="360" w:lineRule="auto"/>
        <w:rPr>
          <w:color w:val="000000"/>
          <w:sz w:val="24"/>
          <w:lang w:eastAsia="zh-CN"/>
        </w:rPr>
      </w:pPr>
      <w:r w:rsidRPr="00E9363B">
        <w:rPr>
          <w:color w:val="000000" w:themeColor="text1"/>
          <w:sz w:val="24"/>
          <w:lang w:eastAsia="zh-CN"/>
        </w:rPr>
        <w:t>签订地点：</w:t>
      </w:r>
    </w:p>
    <w:p w:rsidR="003B526D">
      <w:pPr>
        <w:spacing w:line="360" w:lineRule="auto"/>
        <w:rPr>
          <w:color w:val="000000"/>
          <w:sz w:val="24"/>
          <w:lang w:eastAsia="zh-CN"/>
        </w:rPr>
      </w:pPr>
      <w:r w:rsidRPr="00E9363B">
        <w:rPr>
          <w:color w:val="000000" w:themeColor="text1"/>
          <w:sz w:val="24"/>
          <w:lang w:eastAsia="zh-CN"/>
        </w:rPr>
        <w:t>签订日：</w:t>
      </w:r>
      <w:r w:rsidRPr="00E9363B">
        <w:rPr>
          <w:rFonts w:ascii="宋体" w:hAnsi="宋体" w:cs="宋体" w:hint="eastAsia"/>
          <w:color w:val="000000" w:themeColor="text1"/>
          <w:sz w:val="24"/>
          <w:lang w:eastAsia="zh-CN"/>
        </w:rPr>
        <w:t xml:space="preserve">   </w:t>
      </w:r>
      <w:r w:rsidRPr="00E9363B">
        <w:rPr>
          <w:rFonts w:ascii="宋体" w:hAnsi="宋体" w:cs="宋体"/>
          <w:color w:val="000000" w:themeColor="text1"/>
          <w:sz w:val="24"/>
          <w:lang w:eastAsia="zh-CN"/>
        </w:rPr>
        <w:t xml:space="preserve">    </w:t>
      </w:r>
      <w:r w:rsidRPr="00E9363B">
        <w:rPr>
          <w:color w:val="000000" w:themeColor="text1"/>
          <w:sz w:val="24"/>
          <w:lang w:eastAsia="zh-CN"/>
        </w:rPr>
        <w:t>年</w:t>
      </w:r>
      <w:r w:rsidRPr="00E9363B">
        <w:rPr>
          <w:rFonts w:ascii="宋体" w:hAnsi="宋体" w:cs="宋体" w:hint="eastAsia"/>
          <w:color w:val="000000" w:themeColor="text1"/>
          <w:sz w:val="24"/>
          <w:lang w:eastAsia="zh-CN"/>
        </w:rPr>
        <w:t xml:space="preserve"> </w:t>
      </w:r>
      <w:r w:rsidRPr="00E9363B">
        <w:rPr>
          <w:rFonts w:ascii="宋体" w:hAnsi="宋体" w:cs="宋体"/>
          <w:color w:val="000000" w:themeColor="text1"/>
          <w:sz w:val="24"/>
          <w:lang w:eastAsia="zh-CN"/>
        </w:rPr>
        <w:t xml:space="preserve">        </w:t>
      </w:r>
      <w:r w:rsidRPr="00E9363B">
        <w:rPr>
          <w:color w:val="000000" w:themeColor="text1"/>
          <w:sz w:val="24"/>
          <w:lang w:eastAsia="zh-CN"/>
        </w:rPr>
        <w:t>月</w:t>
      </w:r>
      <w:r w:rsidRPr="00E9363B">
        <w:rPr>
          <w:rFonts w:ascii="宋体" w:hAnsi="宋体" w:cs="宋体" w:hint="eastAsia"/>
          <w:color w:val="000000" w:themeColor="text1"/>
          <w:sz w:val="24"/>
          <w:lang w:eastAsia="zh-CN"/>
        </w:rPr>
        <w:t xml:space="preserve"> </w:t>
      </w:r>
      <w:r w:rsidRPr="00E9363B">
        <w:rPr>
          <w:rFonts w:ascii="宋体" w:hAnsi="宋体" w:cs="宋体"/>
          <w:color w:val="000000" w:themeColor="text1"/>
          <w:sz w:val="24"/>
          <w:lang w:eastAsia="zh-CN"/>
        </w:rPr>
        <w:t xml:space="preserve">    </w:t>
      </w:r>
      <w:r w:rsidRPr="00E9363B">
        <w:rPr>
          <w:rFonts w:ascii="宋体" w:hAnsi="宋体" w:cs="宋体" w:hint="eastAsia"/>
          <w:color w:val="000000" w:themeColor="text1"/>
          <w:sz w:val="24"/>
          <w:lang w:eastAsia="zh-CN"/>
        </w:rPr>
        <w:t xml:space="preserve"> </w:t>
      </w:r>
      <w:r w:rsidRPr="00E9363B">
        <w:rPr>
          <w:rFonts w:ascii="宋体" w:hAnsi="宋体" w:cs="宋体"/>
          <w:color w:val="000000" w:themeColor="text1"/>
          <w:sz w:val="24"/>
          <w:lang w:eastAsia="zh-CN"/>
        </w:rPr>
        <w:t xml:space="preserve">  </w:t>
      </w:r>
      <w:r w:rsidRPr="00E9363B">
        <w:rPr>
          <w:rFonts w:ascii="宋体" w:hAnsi="宋体" w:cs="宋体" w:hint="eastAsia"/>
          <w:color w:val="000000" w:themeColor="text1"/>
          <w:sz w:val="24"/>
          <w:lang w:eastAsia="zh-CN"/>
        </w:rPr>
        <w:t xml:space="preserve"> </w:t>
      </w:r>
      <w:r w:rsidRPr="00E9363B">
        <w:rPr>
          <w:color w:val="000000" w:themeColor="text1"/>
          <w:sz w:val="24"/>
          <w:lang w:eastAsia="zh-CN"/>
        </w:rPr>
        <w:t>日</w:t>
      </w:r>
    </w:p>
    <w:p w:rsidR="003B526D">
      <w:pPr>
        <w:spacing w:line="360" w:lineRule="auto"/>
        <w:rPr>
          <w:lang w:eastAsia="zh-CN"/>
        </w:rPr>
      </w:pPr>
    </w:p>
    <w:sectPr>
      <w:footerReference w:type="default" r:id="rId11"/>
      <w:type w:val="continuous"/>
      <w:pgSz w:w="11906" w:h="16838"/>
      <w:pgMar w:top="1418" w:right="1701" w:bottom="1418"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26D">
    <w:pPr>
      <w:pStyle w:val="2"/>
      <w:snapToGrid/>
      <w:rPr>
        <w:rStyle w:val="PageNumber"/>
      </w:rPr>
    </w:pPr>
    <w:r>
      <w:rPr>
        <w:rFonts w:ascii="Times New Roman"/>
      </w:rPr>
      <w:fldChar w:fldCharType="begin"/>
    </w:r>
    <w:r>
      <w:rPr>
        <w:rStyle w:val="PageNumber"/>
        <w:rFonts w:ascii="Times New Roman"/>
        <w:highlight w:val="white"/>
      </w:rPr>
      <w:instrText xml:space="preserve">PAGE  </w:instrText>
    </w:r>
    <w:r>
      <w:rPr>
        <w:rFonts w:ascii="Times New Roman"/>
      </w:rPr>
      <w:fldChar w:fldCharType="separate"/>
    </w:r>
    <w:r>
      <w:rPr>
        <w:rFonts w:ascii="Times New Roman"/>
      </w:rPr>
      <w:fldChar w:fldCharType="end"/>
    </w:r>
  </w:p>
  <w:p w:rsidR="003B526D">
    <w:pPr>
      <w:pStyle w:val="2"/>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26D">
    <w:pPr>
      <w:pStyle w:val="2"/>
      <w:snapToGrid/>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26D">
    <w:pPr>
      <w:pStyle w:val="1"/>
      <w:snapToGrid/>
      <w:jc w:val="center"/>
    </w:pPr>
    <w:r>
      <w:rPr>
        <w:rFonts w:ascii="Times New Roman"/>
      </w:rPr>
      <w:fldChar w:fldCharType="begin"/>
    </w:r>
    <w:r>
      <w:rPr>
        <w:rFonts w:ascii="Times New Roman"/>
        <w:highlight w:val="white"/>
      </w:rPr>
      <w:instrText xml:space="preserve"> PAGE   \* MERGEFORMAT </w:instrText>
    </w:r>
    <w:r>
      <w:rPr>
        <w:rFonts w:ascii="Times New Roman"/>
      </w:rPr>
      <w:fldChar w:fldCharType="separate"/>
    </w:r>
    <w:r w:rsidRPr="00130E5E" w:rsidR="00130E5E">
      <w:rPr>
        <w:rFonts w:ascii="Times New Roman"/>
        <w:noProof/>
        <w:highlight w:val="white"/>
        <w:lang w:val="zh-CN" w:eastAsia="zh-CN"/>
      </w:rPr>
      <w:t>53</w:t>
    </w:r>
    <w:r>
      <w:rPr>
        <w:rFonts w:asci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26D">
    <w:pPr>
      <w:pStyle w:val="1"/>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70F6" w:rsidRPr="00FA7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26D" w:rsidRPr="00FA70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26D" w:rsidRPr="00FA70F6"/>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rson w15:author="廖生暖">
    <w15:presenceInfo w15:providerId="None" w15:userId="廖生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6D"/>
    <w:rsid w:val="000C3DEC"/>
    <w:rsid w:val="00130E5E"/>
    <w:rsid w:val="00192EE6"/>
    <w:rsid w:val="001C0488"/>
    <w:rsid w:val="00320567"/>
    <w:rsid w:val="0035249B"/>
    <w:rsid w:val="003B526D"/>
    <w:rsid w:val="00654BAD"/>
    <w:rsid w:val="00A561EF"/>
    <w:rsid w:val="00AD5FE7"/>
    <w:rsid w:val="00CE704A"/>
    <w:rsid w:val="00E60EC0"/>
    <w:rsid w:val="00E9363B"/>
    <w:rsid w:val="00ED6306"/>
    <w:rsid w:val="00FA70F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37CF859A-22B8-4566-AE23-81B5DC79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宋体" w:hAnsi="Cambria Math" w:cs="Cambria Math"/>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标题 11"/>
    <w:basedOn w:val="Normal"/>
    <w:next w:val="Normal"/>
    <w:link w:val="1Char"/>
    <w:uiPriority w:val="9"/>
    <w:qFormat/>
    <w:pPr>
      <w:keepNext/>
      <w:keepLines/>
      <w:spacing w:before="340" w:after="330" w:line="578" w:lineRule="auto"/>
      <w:jc w:val="center"/>
      <w:outlineLvl w:val="0"/>
    </w:pPr>
    <w:rPr>
      <w:rFonts w:ascii="Times New Roman" w:hAnsi="Times New Roman" w:cs="Times New Roman"/>
      <w:b/>
      <w:bCs/>
      <w:sz w:val="30"/>
      <w:szCs w:val="44"/>
      <w:lang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a"/>
    <w:uiPriority w:val="10"/>
    <w:qFormat/>
    <w:pPr>
      <w:spacing w:before="300" w:after="200"/>
      <w:contextualSpacing/>
    </w:pPr>
    <w:rPr>
      <w:sz w:val="48"/>
      <w:szCs w:val="48"/>
    </w:rPr>
  </w:style>
  <w:style w:type="character" w:customStyle="1" w:styleId="a">
    <w:name w:val="标题 字符"/>
    <w:basedOn w:val="DefaultParagraphFont"/>
    <w:link w:val="Title"/>
    <w:uiPriority w:val="10"/>
    <w:rPr>
      <w:sz w:val="48"/>
      <w:szCs w:val="48"/>
    </w:rPr>
  </w:style>
  <w:style w:type="paragraph" w:styleId="Subtitle">
    <w:name w:val="Subtitle"/>
    <w:basedOn w:val="Normal"/>
    <w:next w:val="Normal"/>
    <w:link w:val="a0"/>
    <w:uiPriority w:val="11"/>
    <w:qFormat/>
    <w:pPr>
      <w:spacing w:before="200" w:after="200"/>
    </w:pPr>
    <w:rPr>
      <w:sz w:val="24"/>
      <w:szCs w:val="24"/>
    </w:rPr>
  </w:style>
  <w:style w:type="character" w:customStyle="1" w:styleId="a0">
    <w:name w:val="副标题 字符"/>
    <w:basedOn w:val="DefaultParagraphFont"/>
    <w:link w:val="Subtitle"/>
    <w:uiPriority w:val="11"/>
    <w:rPr>
      <w:sz w:val="24"/>
      <w:szCs w:val="24"/>
    </w:rPr>
  </w:style>
  <w:style w:type="paragraph" w:styleId="Quote">
    <w:name w:val="Quote"/>
    <w:basedOn w:val="Normal"/>
    <w:next w:val="Normal"/>
    <w:link w:val="a1"/>
    <w:uiPriority w:val="29"/>
    <w:qFormat/>
    <w:pPr>
      <w:ind w:left="720" w:right="720"/>
    </w:pPr>
    <w:rPr>
      <w:i/>
    </w:rPr>
  </w:style>
  <w:style w:type="character" w:customStyle="1" w:styleId="a1">
    <w:name w:val="引用 字符"/>
    <w:link w:val="Quote"/>
    <w:uiPriority w:val="29"/>
    <w:rPr>
      <w:i/>
    </w:rPr>
  </w:style>
  <w:style w:type="paragraph" w:styleId="IntenseQuote">
    <w:name w:val="Intense Quote"/>
    <w:basedOn w:val="Normal"/>
    <w:next w:val="Normal"/>
    <w:link w:val="a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2">
    <w:name w:val="明显引用 字符"/>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FootnoteText">
    <w:name w:val="footnote text"/>
    <w:basedOn w:val="Normal"/>
    <w:link w:val="a3"/>
    <w:uiPriority w:val="99"/>
    <w:semiHidden/>
    <w:unhideWhenUsed/>
    <w:pPr>
      <w:spacing w:after="40"/>
    </w:pPr>
    <w:rPr>
      <w:sz w:val="18"/>
    </w:rPr>
  </w:style>
  <w:style w:type="character" w:customStyle="1" w:styleId="a3">
    <w:name w:val="脚注文本 字符"/>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a4"/>
    <w:uiPriority w:val="99"/>
    <w:semiHidden/>
    <w:unhideWhenUsed/>
    <w:rPr>
      <w:sz w:val="20"/>
    </w:rPr>
  </w:style>
  <w:style w:type="character" w:customStyle="1" w:styleId="a4">
    <w:name w:val="尾注文本 字符"/>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a5">
    <w:name w:val="页脚 字符"/>
    <w:link w:val="1"/>
    <w:uiPriority w:val="99"/>
    <w:rPr>
      <w:rFonts w:cs="Cambria Math"/>
      <w:sz w:val="18"/>
      <w:szCs w:val="18"/>
    </w:rPr>
  </w:style>
  <w:style w:type="character" w:styleId="Strong">
    <w:name w:val="Strong"/>
    <w:qFormat/>
    <w:rPr>
      <w:b/>
    </w:rPr>
  </w:style>
  <w:style w:type="character" w:styleId="CommentReference">
    <w:name w:val="annotation reference"/>
    <w:rPr>
      <w:rFonts w:cs="Cambria Math"/>
      <w:sz w:val="21"/>
      <w:szCs w:val="21"/>
    </w:rPr>
  </w:style>
  <w:style w:type="character" w:styleId="PageNumber">
    <w:name w:val="page number"/>
    <w:qFormat/>
    <w:rPr>
      <w:rFonts w:cs="Cambria Math"/>
    </w:rPr>
  </w:style>
  <w:style w:type="character" w:styleId="Hyperlink">
    <w:name w:val="Hyperlink"/>
    <w:uiPriority w:val="99"/>
    <w:rPr>
      <w:rFonts w:cs="Cambria Math"/>
      <w:color w:val="0000FF"/>
      <w:u w:val="single"/>
    </w:rPr>
  </w:style>
  <w:style w:type="character" w:customStyle="1" w:styleId="a6">
    <w:name w:val="正文文本 字符"/>
    <w:link w:val="BodyText"/>
    <w:uiPriority w:val="99"/>
    <w:semiHidden/>
    <w:rPr>
      <w:sz w:val="20"/>
      <w:szCs w:val="20"/>
    </w:rPr>
  </w:style>
  <w:style w:type="character" w:customStyle="1" w:styleId="a7">
    <w:name w:val="正文文本缩进 字符"/>
    <w:link w:val="BodyTextIndent"/>
    <w:uiPriority w:val="99"/>
    <w:semiHidden/>
    <w:rPr>
      <w:rFonts w:cs="Cambria Math"/>
      <w:sz w:val="20"/>
      <w:szCs w:val="20"/>
    </w:rPr>
  </w:style>
  <w:style w:type="character" w:customStyle="1" w:styleId="a8">
    <w:name w:val="批注框文本 字符"/>
    <w:link w:val="BalloonText"/>
    <w:uiPriority w:val="99"/>
    <w:semiHidden/>
    <w:rPr>
      <w:rFonts w:cs="Cambria Math"/>
      <w:sz w:val="2"/>
    </w:rPr>
  </w:style>
  <w:style w:type="character" w:customStyle="1" w:styleId="a9">
    <w:name w:val="文档结构图 字符"/>
    <w:link w:val="DocumentMap"/>
    <w:uiPriority w:val="99"/>
    <w:semiHidden/>
    <w:rPr>
      <w:rFonts w:cs="Cambria Math"/>
      <w:sz w:val="2"/>
    </w:rPr>
  </w:style>
  <w:style w:type="character" w:customStyle="1" w:styleId="a10">
    <w:name w:val="批注文字 字符"/>
    <w:link w:val="CommentText"/>
    <w:rPr>
      <w:rFonts w:cs="Cambria Math"/>
      <w:sz w:val="21"/>
    </w:rPr>
  </w:style>
  <w:style w:type="character" w:customStyle="1" w:styleId="a11">
    <w:name w:val="页眉 字符"/>
    <w:link w:val="10"/>
    <w:uiPriority w:val="99"/>
    <w:semiHidden/>
    <w:rPr>
      <w:rFonts w:cs="Cambria Math"/>
      <w:sz w:val="18"/>
      <w:szCs w:val="18"/>
    </w:rPr>
  </w:style>
  <w:style w:type="character" w:customStyle="1" w:styleId="a12">
    <w:name w:val="批注主题 字符"/>
    <w:link w:val="CommentSubject"/>
    <w:uiPriority w:val="99"/>
    <w:semiHidden/>
    <w:rPr>
      <w:rFonts w:cs="Cambria Math"/>
      <w:b/>
      <w:bCs/>
      <w:sz w:val="20"/>
      <w:szCs w:val="20"/>
    </w:rPr>
  </w:style>
  <w:style w:type="paragraph" w:styleId="TOC2">
    <w:name w:val="toc 2"/>
    <w:basedOn w:val="Normal"/>
    <w:next w:val="Normal"/>
    <w:uiPriority w:val="39"/>
    <w:pPr>
      <w:tabs>
        <w:tab w:val="right" w:leader="dot" w:pos="8494"/>
      </w:tabs>
      <w:spacing w:line="360" w:lineRule="auto"/>
      <w:ind w:left="420"/>
    </w:pPr>
    <w:rPr>
      <w:sz w:val="24"/>
      <w:szCs w:val="24"/>
    </w:rPr>
  </w:style>
  <w:style w:type="paragraph" w:styleId="BodyTextIndent">
    <w:name w:val="Body Text Indent"/>
    <w:basedOn w:val="Normal"/>
    <w:link w:val="a7"/>
    <w:pPr>
      <w:snapToGrid w:val="0"/>
      <w:spacing w:line="560" w:lineRule="exact"/>
      <w:ind w:firstLine="480"/>
    </w:pPr>
    <w:rPr>
      <w:rFonts w:eastAsia="仿宋_GB2312"/>
      <w:sz w:val="24"/>
      <w:szCs w:val="30"/>
    </w:rPr>
  </w:style>
  <w:style w:type="paragraph" w:styleId="TOC9">
    <w:name w:val="toc 9"/>
    <w:basedOn w:val="Normal"/>
    <w:next w:val="Normal"/>
    <w:semiHidden/>
    <w:pPr>
      <w:ind w:left="3360"/>
    </w:pPr>
  </w:style>
  <w:style w:type="paragraph" w:styleId="TOC3">
    <w:name w:val="toc 3"/>
    <w:basedOn w:val="Normal"/>
    <w:next w:val="Normal"/>
    <w:semiHidden/>
    <w:pPr>
      <w:ind w:left="840"/>
    </w:pPr>
  </w:style>
  <w:style w:type="paragraph" w:styleId="DocumentMap">
    <w:name w:val="Document Map"/>
    <w:basedOn w:val="Normal"/>
    <w:link w:val="a9"/>
    <w:semiHidden/>
    <w:pPr>
      <w:shd w:val="clear" w:color="000080" w:fill="000080"/>
    </w:pPr>
  </w:style>
  <w:style w:type="paragraph" w:styleId="BodyText">
    <w:name w:val="Body Text"/>
    <w:basedOn w:val="Normal"/>
    <w:link w:val="a6"/>
    <w:uiPriority w:val="99"/>
    <w:unhideWhenUsed/>
    <w:pPr>
      <w:spacing w:after="120"/>
    </w:pPr>
  </w:style>
  <w:style w:type="paragraph" w:customStyle="1" w:styleId="1">
    <w:name w:val="页脚1"/>
    <w:basedOn w:val="Normal"/>
    <w:link w:val="a5"/>
    <w:uiPriority w:val="99"/>
    <w:pPr>
      <w:tabs>
        <w:tab w:val="center" w:pos="4153"/>
        <w:tab w:val="right" w:pos="8306"/>
      </w:tabs>
      <w:snapToGrid w:val="0"/>
      <w:jc w:val="left"/>
    </w:pPr>
    <w:rPr>
      <w:sz w:val="18"/>
      <w:szCs w:val="18"/>
    </w:rPr>
  </w:style>
  <w:style w:type="paragraph" w:styleId="CommentText">
    <w:name w:val="annotation text"/>
    <w:basedOn w:val="Normal"/>
    <w:link w:val="a10"/>
    <w:pPr>
      <w:jc w:val="left"/>
    </w:pPr>
  </w:style>
  <w:style w:type="paragraph" w:styleId="BalloonText">
    <w:name w:val="Balloon Text"/>
    <w:basedOn w:val="Normal"/>
    <w:link w:val="a8"/>
    <w:semiHidden/>
    <w:rPr>
      <w:sz w:val="18"/>
      <w:szCs w:val="18"/>
    </w:rPr>
  </w:style>
  <w:style w:type="paragraph" w:styleId="TOC8">
    <w:name w:val="toc 8"/>
    <w:basedOn w:val="Normal"/>
    <w:next w:val="Normal"/>
    <w:semiHidden/>
    <w:pPr>
      <w:ind w:left="2940"/>
    </w:pPr>
  </w:style>
  <w:style w:type="paragraph" w:styleId="NormalIndent">
    <w:name w:val="Normal Indent"/>
    <w:basedOn w:val="Normal"/>
    <w:pPr>
      <w:ind w:firstLine="420"/>
    </w:pPr>
    <w:rPr>
      <w:sz w:val="24"/>
      <w:szCs w:val="24"/>
    </w:rPr>
  </w:style>
  <w:style w:type="paragraph" w:styleId="TOC7">
    <w:name w:val="toc 7"/>
    <w:basedOn w:val="Normal"/>
    <w:next w:val="Normal"/>
    <w:semiHidden/>
    <w:pPr>
      <w:ind w:left="2520"/>
    </w:pPr>
  </w:style>
  <w:style w:type="paragraph" w:styleId="NormalWeb">
    <w:name w:val="Normal (Web)"/>
    <w:basedOn w:val="Normal"/>
    <w:uiPriority w:val="99"/>
    <w:pPr>
      <w:widowControl/>
      <w:spacing w:before="100" w:beforeAutospacing="1" w:after="100" w:afterAutospacing="1"/>
      <w:jc w:val="left"/>
    </w:pPr>
    <w:rPr>
      <w:rFonts w:ascii="Cambria" w:hAnsi="Cambria" w:cs="Cambria"/>
      <w:color w:val="000000"/>
      <w:sz w:val="24"/>
      <w:szCs w:val="24"/>
    </w:rPr>
  </w:style>
  <w:style w:type="paragraph" w:styleId="TOC6">
    <w:name w:val="toc 6"/>
    <w:basedOn w:val="Normal"/>
    <w:next w:val="Normal"/>
    <w:semiHidden/>
    <w:pPr>
      <w:ind w:left="2100"/>
    </w:pPr>
  </w:style>
  <w:style w:type="paragraph" w:styleId="TOC4">
    <w:name w:val="toc 4"/>
    <w:basedOn w:val="Normal"/>
    <w:next w:val="Normal"/>
    <w:semiHidden/>
    <w:pPr>
      <w:ind w:left="1260"/>
    </w:pPr>
  </w:style>
  <w:style w:type="paragraph" w:styleId="TOC5">
    <w:name w:val="toc 5"/>
    <w:basedOn w:val="Normal"/>
    <w:next w:val="Normal"/>
    <w:semiHidden/>
    <w:pPr>
      <w:ind w:left="1680"/>
    </w:pPr>
  </w:style>
  <w:style w:type="paragraph" w:customStyle="1" w:styleId="10">
    <w:name w:val="页眉1"/>
    <w:basedOn w:val="Normal"/>
    <w:link w:val="a11"/>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a12"/>
    <w:semiHidden/>
    <w:rPr>
      <w:b/>
      <w:bCs/>
    </w:rPr>
  </w:style>
  <w:style w:type="paragraph" w:styleId="TOC1">
    <w:name w:val="toc 1"/>
    <w:basedOn w:val="Normal"/>
    <w:next w:val="Normal"/>
    <w:uiPriority w:val="39"/>
    <w:qFormat/>
  </w:style>
  <w:style w:type="paragraph" w:styleId="Revision">
    <w:name w:val="Revision"/>
    <w:uiPriority w:val="99"/>
    <w:semiHidden/>
    <w:rPr>
      <w:sz w:val="21"/>
    </w:rPr>
  </w:style>
  <w:style w:type="paragraph" w:customStyle="1" w:styleId="2">
    <w:name w:val="页脚2"/>
    <w:basedOn w:val="Normal"/>
    <w:link w:val="Char"/>
    <w:uiPriority w:val="99"/>
    <w:unhideWhenUsed/>
    <w:qFormat/>
    <w:pPr>
      <w:tabs>
        <w:tab w:val="center" w:pos="4153"/>
        <w:tab w:val="right" w:pos="8306"/>
      </w:tabs>
      <w:snapToGrid w:val="0"/>
      <w:jc w:val="left"/>
    </w:pPr>
    <w:rPr>
      <w:sz w:val="18"/>
      <w:szCs w:val="18"/>
    </w:rPr>
  </w:style>
  <w:style w:type="character" w:customStyle="1" w:styleId="Char">
    <w:name w:val="页脚 Char"/>
    <w:basedOn w:val="DefaultParagraphFont"/>
    <w:link w:val="2"/>
    <w:uiPriority w:val="99"/>
    <w:qFormat/>
    <w:rPr>
      <w:sz w:val="18"/>
      <w:szCs w:val="18"/>
    </w:rPr>
  </w:style>
  <w:style w:type="character" w:customStyle="1" w:styleId="1Char">
    <w:name w:val="标题 1 Char"/>
    <w:basedOn w:val="DefaultParagraphFont"/>
    <w:link w:val="11"/>
    <w:uiPriority w:val="9"/>
    <w:qFormat/>
    <w:rPr>
      <w:rFonts w:ascii="Times New Roman" w:hAnsi="Times New Roman" w:cs="Times New Roman"/>
      <w:b/>
      <w:bCs/>
      <w:sz w:val="30"/>
      <w:szCs w:val="44"/>
      <w:lang w:eastAsia="zh-CN"/>
    </w:rPr>
  </w:style>
  <w:style w:type="paragraph" w:styleId="Header">
    <w:name w:val="header"/>
    <w:basedOn w:val="Normal"/>
    <w:link w:val="12"/>
    <w:uiPriority w:val="99"/>
    <w:unhideWhenUsed/>
    <w:rsid w:val="00FA70F6"/>
    <w:pPr>
      <w:pBdr>
        <w:bottom w:val="single" w:sz="6" w:space="1" w:color="auto"/>
      </w:pBdr>
      <w:tabs>
        <w:tab w:val="center" w:pos="4153"/>
        <w:tab w:val="right" w:pos="8306"/>
      </w:tabs>
      <w:snapToGrid w:val="0"/>
      <w:jc w:val="center"/>
    </w:pPr>
    <w:rPr>
      <w:sz w:val="18"/>
      <w:szCs w:val="18"/>
    </w:rPr>
  </w:style>
  <w:style w:type="character" w:customStyle="1" w:styleId="12">
    <w:name w:val="页眉 字符1"/>
    <w:basedOn w:val="DefaultParagraphFont"/>
    <w:link w:val="Header"/>
    <w:uiPriority w:val="99"/>
    <w:rsid w:val="00FA70F6"/>
    <w:rPr>
      <w:sz w:val="18"/>
      <w:szCs w:val="18"/>
    </w:rPr>
  </w:style>
  <w:style w:type="paragraph" w:styleId="Footer">
    <w:name w:val="footer"/>
    <w:basedOn w:val="Normal"/>
    <w:link w:val="13"/>
    <w:uiPriority w:val="99"/>
    <w:unhideWhenUsed/>
    <w:rsid w:val="00FA70F6"/>
    <w:pPr>
      <w:tabs>
        <w:tab w:val="center" w:pos="4153"/>
        <w:tab w:val="right" w:pos="8306"/>
      </w:tabs>
      <w:snapToGrid w:val="0"/>
      <w:jc w:val="left"/>
    </w:pPr>
    <w:rPr>
      <w:sz w:val="18"/>
      <w:szCs w:val="18"/>
    </w:rPr>
  </w:style>
  <w:style w:type="character" w:customStyle="1" w:styleId="13">
    <w:name w:val="页脚 字符1"/>
    <w:basedOn w:val="DefaultParagraphFont"/>
    <w:link w:val="Footer"/>
    <w:uiPriority w:val="99"/>
    <w:rsid w:val="00FA70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54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