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DA980">
      <w:pPr>
        <w:spacing w:before="960" w:line="320" w:lineRule="exact"/>
        <w:jc w:val="center"/>
        <w:outlineLvl w:val="2"/>
        <w:rPr>
          <w:rFonts w:ascii="宋体" w:hAnsi="宋体"/>
          <w:b/>
          <w:w w:val="200"/>
        </w:rPr>
      </w:pPr>
    </w:p>
    <w:p w14:paraId="3D6C378A">
      <w:pPr>
        <w:spacing w:before="960" w:line="620" w:lineRule="exact"/>
        <w:jc w:val="center"/>
        <w:outlineLvl w:val="2"/>
        <w:rPr>
          <w:rFonts w:ascii="宋体" w:hAnsi="宋体"/>
          <w:b/>
          <w:sz w:val="44"/>
        </w:rPr>
      </w:pPr>
      <w:r>
        <w:rPr>
          <w:rFonts w:hint="eastAsia" w:ascii="宋体" w:hAnsi="宋体"/>
          <w:b/>
          <w:sz w:val="44"/>
        </w:rPr>
        <w:t>富国中证800自由现金流交易型开放式指数证券投资基金联接基金</w:t>
      </w:r>
    </w:p>
    <w:p w14:paraId="7B9B9121">
      <w:pPr>
        <w:spacing w:before="960" w:line="620" w:lineRule="exact"/>
        <w:jc w:val="center"/>
        <w:outlineLvl w:val="2"/>
        <w:rPr>
          <w:rFonts w:ascii="宋体" w:hAnsi="宋体"/>
          <w:b/>
          <w:sz w:val="44"/>
        </w:rPr>
      </w:pPr>
      <w:r>
        <w:rPr>
          <w:rFonts w:hint="eastAsia" w:ascii="宋体" w:hAnsi="宋体"/>
          <w:b/>
          <w:sz w:val="44"/>
        </w:rPr>
        <w:t>托管协议</w:t>
      </w:r>
    </w:p>
    <w:p w14:paraId="1A1BA3B0">
      <w:pPr>
        <w:spacing w:before="960" w:line="620" w:lineRule="exact"/>
        <w:jc w:val="center"/>
        <w:outlineLvl w:val="2"/>
        <w:rPr>
          <w:rFonts w:ascii="宋体" w:hAnsi="宋体"/>
          <w:b/>
          <w:sz w:val="44"/>
        </w:rPr>
      </w:pPr>
    </w:p>
    <w:p w14:paraId="316364CA">
      <w:pPr>
        <w:spacing w:line="320" w:lineRule="exact"/>
        <w:ind w:left="360" w:right="26"/>
        <w:jc w:val="center"/>
        <w:rPr>
          <w:rFonts w:ascii="宋体" w:hAnsi="宋体"/>
          <w:b/>
          <w:sz w:val="30"/>
        </w:rPr>
      </w:pPr>
    </w:p>
    <w:p w14:paraId="4D1E68A8">
      <w:pPr>
        <w:spacing w:line="320" w:lineRule="exact"/>
        <w:ind w:left="479" w:right="26" w:firstLine="1200"/>
        <w:rPr>
          <w:rFonts w:ascii="宋体" w:hAnsi="宋体"/>
          <w:sz w:val="28"/>
          <w:szCs w:val="28"/>
        </w:rPr>
      </w:pPr>
      <w:r>
        <w:rPr>
          <w:rFonts w:hint="eastAsia" w:ascii="宋体" w:hAnsi="宋体"/>
          <w:sz w:val="28"/>
          <w:szCs w:val="28"/>
        </w:rPr>
        <w:t>基金管理人：富国基金管理有限公司</w:t>
      </w:r>
    </w:p>
    <w:p w14:paraId="22A1D59E">
      <w:pPr>
        <w:spacing w:line="320" w:lineRule="exact"/>
        <w:ind w:left="359" w:right="26" w:firstLine="1200"/>
        <w:rPr>
          <w:rFonts w:ascii="宋体" w:hAnsi="宋体"/>
          <w:sz w:val="28"/>
          <w:szCs w:val="28"/>
        </w:rPr>
      </w:pPr>
    </w:p>
    <w:p w14:paraId="358CC70C">
      <w:pPr>
        <w:spacing w:line="320" w:lineRule="exact"/>
        <w:ind w:left="479" w:right="26" w:firstLine="1200"/>
        <w:rPr>
          <w:rFonts w:ascii="宋体" w:hAnsi="宋体"/>
          <w:sz w:val="28"/>
          <w:szCs w:val="28"/>
        </w:rPr>
      </w:pPr>
      <w:r>
        <w:rPr>
          <w:rFonts w:hint="eastAsia" w:ascii="宋体" w:hAnsi="宋体"/>
          <w:sz w:val="28"/>
          <w:szCs w:val="28"/>
        </w:rPr>
        <w:t>基金托管人：中国银行股份有限公司</w:t>
      </w:r>
    </w:p>
    <w:p w14:paraId="74BCD71F">
      <w:pPr>
        <w:spacing w:line="320" w:lineRule="exact"/>
        <w:ind w:right="26"/>
        <w:rPr>
          <w:rFonts w:ascii="宋体" w:hAnsi="宋体"/>
          <w:sz w:val="28"/>
          <w:szCs w:val="28"/>
        </w:rPr>
      </w:pPr>
    </w:p>
    <w:p w14:paraId="0B95B035">
      <w:pPr>
        <w:spacing w:line="320" w:lineRule="exact"/>
        <w:ind w:right="26"/>
        <w:rPr>
          <w:rFonts w:ascii="宋体" w:hAnsi="宋体"/>
          <w:sz w:val="28"/>
          <w:szCs w:val="28"/>
        </w:rPr>
      </w:pPr>
      <w:bookmarkStart w:id="29" w:name="_GoBack"/>
      <w:bookmarkEnd w:id="29"/>
    </w:p>
    <w:p w14:paraId="0895A31F">
      <w:pPr>
        <w:spacing w:line="320" w:lineRule="exact"/>
        <w:ind w:right="26"/>
        <w:jc w:val="center"/>
        <w:rPr>
          <w:rFonts w:ascii="宋体" w:hAnsi="宋体"/>
          <w:sz w:val="28"/>
          <w:szCs w:val="28"/>
        </w:rPr>
      </w:pPr>
    </w:p>
    <w:p w14:paraId="6F9F82C6">
      <w:pPr>
        <w:spacing w:line="320" w:lineRule="exact"/>
        <w:ind w:right="26"/>
        <w:jc w:val="center"/>
        <w:rPr>
          <w:rFonts w:ascii="宋体" w:hAnsi="宋体"/>
          <w:sz w:val="28"/>
          <w:szCs w:val="28"/>
        </w:rPr>
      </w:pPr>
    </w:p>
    <w:p w14:paraId="5568CDB4">
      <w:pPr>
        <w:spacing w:line="320" w:lineRule="exact"/>
        <w:ind w:right="26"/>
        <w:jc w:val="center"/>
        <w:rPr>
          <w:rFonts w:ascii="宋体" w:hAnsi="宋体"/>
          <w:sz w:val="28"/>
          <w:szCs w:val="28"/>
        </w:rPr>
      </w:pPr>
    </w:p>
    <w:p w14:paraId="30A86243">
      <w:pPr>
        <w:spacing w:line="320" w:lineRule="exact"/>
        <w:ind w:right="26"/>
        <w:jc w:val="center"/>
        <w:rPr>
          <w:rFonts w:ascii="宋体" w:hAnsi="宋体"/>
          <w:sz w:val="28"/>
          <w:szCs w:val="28"/>
        </w:rPr>
      </w:pPr>
    </w:p>
    <w:p w14:paraId="46CE5F15">
      <w:pPr>
        <w:spacing w:line="320" w:lineRule="exact"/>
        <w:ind w:right="26"/>
        <w:jc w:val="center"/>
        <w:rPr>
          <w:rFonts w:ascii="宋体" w:hAnsi="宋体"/>
          <w:sz w:val="28"/>
          <w:szCs w:val="28"/>
        </w:rPr>
      </w:pPr>
    </w:p>
    <w:p w14:paraId="7622920D">
      <w:pPr>
        <w:spacing w:line="320" w:lineRule="exact"/>
        <w:ind w:right="26"/>
        <w:jc w:val="center"/>
        <w:rPr>
          <w:rFonts w:ascii="宋体" w:hAnsi="宋体"/>
          <w:sz w:val="28"/>
          <w:szCs w:val="28"/>
        </w:rPr>
      </w:pPr>
      <w:r>
        <w:rPr>
          <w:rFonts w:hint="eastAsia" w:ascii="宋体" w:hAnsi="宋体"/>
          <w:sz w:val="28"/>
          <w:szCs w:val="28"/>
        </w:rPr>
        <w:t>二○二</w:t>
      </w:r>
      <w:r>
        <w:rPr>
          <w:rFonts w:ascii="宋体" w:hAnsi="宋体"/>
          <w:sz w:val="28"/>
          <w:szCs w:val="28"/>
        </w:rPr>
        <w:t>五</w:t>
      </w:r>
      <w:r>
        <w:rPr>
          <w:rFonts w:hint="eastAsia" w:ascii="宋体" w:hAnsi="宋体"/>
          <w:sz w:val="28"/>
          <w:szCs w:val="28"/>
        </w:rPr>
        <w:t>年</w:t>
      </w:r>
      <w:r>
        <w:rPr>
          <w:rFonts w:hint="eastAsia" w:ascii="宋体" w:hAnsi="宋体"/>
          <w:sz w:val="28"/>
          <w:szCs w:val="28"/>
          <w:lang w:val="en-US" w:eastAsia="zh-CN"/>
        </w:rPr>
        <w:t>六</w:t>
      </w:r>
      <w:r>
        <w:rPr>
          <w:rFonts w:hint="eastAsia" w:ascii="宋体" w:hAnsi="宋体"/>
          <w:sz w:val="28"/>
          <w:szCs w:val="28"/>
        </w:rPr>
        <w:t>月</w:t>
      </w:r>
    </w:p>
    <w:p w14:paraId="2749EC5E">
      <w:pPr>
        <w:spacing w:before="100" w:beforeAutospacing="1" w:after="100" w:afterAutospacing="1" w:line="400" w:lineRule="exact"/>
        <w:ind w:right="26" w:firstLine="403"/>
        <w:rPr>
          <w:rFonts w:ascii="宋体" w:hAnsi="宋体"/>
          <w:szCs w:val="21"/>
        </w:rPr>
      </w:pPr>
      <w:r>
        <w:rPr>
          <w:rFonts w:ascii="宋体" w:hAnsi="宋体"/>
          <w:b/>
        </w:rPr>
        <w:br w:type="page"/>
      </w:r>
      <w:r>
        <w:rPr>
          <w:rFonts w:hint="eastAsia" w:ascii="宋体" w:hAnsi="宋体"/>
          <w:szCs w:val="21"/>
        </w:rPr>
        <w:t>鉴于富国基金管理有限公司是一家依照中国法律合法成立并有效存续的有限责任公司，按照相关法律法规的规定具备担任基金管理人的资格和能力；</w:t>
      </w:r>
    </w:p>
    <w:p w14:paraId="59FD9E80">
      <w:pPr>
        <w:spacing w:before="100" w:beforeAutospacing="1" w:after="100" w:afterAutospacing="1" w:line="400" w:lineRule="exact"/>
        <w:ind w:right="26" w:firstLine="403"/>
        <w:rPr>
          <w:rFonts w:ascii="宋体" w:hAnsi="宋体"/>
          <w:szCs w:val="21"/>
        </w:rPr>
      </w:pPr>
      <w:r>
        <w:rPr>
          <w:rFonts w:hint="eastAsia" w:ascii="宋体" w:hAnsi="宋体"/>
          <w:szCs w:val="21"/>
        </w:rPr>
        <w:t>鉴于中国银行股份有限公司是一家依照中国法律合法成立并有效存续的银行，按照相关法律法规的规定具备担任基金托管人的资格和能力；</w:t>
      </w:r>
    </w:p>
    <w:p w14:paraId="71B671DC">
      <w:pPr>
        <w:spacing w:before="100" w:beforeAutospacing="1" w:after="100" w:afterAutospacing="1" w:line="400" w:lineRule="exact"/>
        <w:ind w:right="26" w:firstLine="403"/>
        <w:rPr>
          <w:rFonts w:ascii="宋体" w:hAnsi="宋体"/>
          <w:szCs w:val="21"/>
        </w:rPr>
      </w:pPr>
      <w:r>
        <w:rPr>
          <w:rFonts w:hint="eastAsia" w:ascii="宋体" w:hAnsi="宋体"/>
          <w:szCs w:val="21"/>
        </w:rPr>
        <w:t>鉴于富国基金管理有限公司拟担任富国中证800自由现金流交易型开放式指数证券投资基金联接基金的基金管理人，中国银行股份有限公司拟担任富国中证800自由现金流交易型开放式指数证券投资基金联接基金的基金托管人；</w:t>
      </w:r>
    </w:p>
    <w:p w14:paraId="7F3AEB32">
      <w:pPr>
        <w:spacing w:before="100" w:beforeAutospacing="1" w:after="100" w:afterAutospacing="1" w:line="400" w:lineRule="exact"/>
        <w:ind w:right="26" w:firstLine="403"/>
        <w:rPr>
          <w:rFonts w:ascii="宋体" w:hAnsi="宋体"/>
          <w:szCs w:val="21"/>
        </w:rPr>
      </w:pPr>
      <w:r>
        <w:rPr>
          <w:rFonts w:hint="eastAsia" w:ascii="宋体" w:hAnsi="宋体"/>
          <w:szCs w:val="21"/>
        </w:rPr>
        <w:t>为明确富国中证800自由现金流交易型开放式指数证券投资基金联接基金基金管理人和基金托管人之间的权利义务关系，特制订本协议。</w:t>
      </w:r>
      <w:bookmarkStart w:id="0" w:name="_Toc30230313"/>
    </w:p>
    <w:p w14:paraId="125DDB1F">
      <w:pPr>
        <w:spacing w:before="100" w:beforeAutospacing="1" w:after="100" w:afterAutospacing="1" w:line="400" w:lineRule="exact"/>
        <w:ind w:right="26" w:firstLine="403"/>
        <w:rPr>
          <w:rFonts w:ascii="宋体" w:hAnsi="宋体"/>
          <w:szCs w:val="21"/>
        </w:rPr>
      </w:pPr>
      <w:r>
        <w:rPr>
          <w:rFonts w:hint="eastAsia" w:ascii="宋体" w:hAnsi="宋体"/>
          <w:szCs w:val="21"/>
        </w:rPr>
        <w:t>若本基金实施侧袋机制的，侧袋机制实施期间的相关安排见基金合同和招募说明书的规定。</w:t>
      </w:r>
    </w:p>
    <w:p w14:paraId="35ABF4C7">
      <w:pPr>
        <w:pStyle w:val="18"/>
        <w:spacing w:before="100" w:beforeAutospacing="1" w:after="100" w:afterAutospacing="1" w:line="400" w:lineRule="exact"/>
        <w:ind w:firstLine="549"/>
        <w:rPr>
          <w:rFonts w:hAnsi="宋体"/>
        </w:rPr>
      </w:pPr>
    </w:p>
    <w:p w14:paraId="20DA38D5">
      <w:pPr>
        <w:pStyle w:val="2"/>
        <w:spacing w:before="100" w:beforeAutospacing="1" w:after="100" w:afterAutospacing="1" w:line="400" w:lineRule="exact"/>
        <w:ind w:firstLine="422"/>
        <w:rPr>
          <w:rFonts w:ascii="宋体" w:hAnsi="宋体"/>
          <w:sz w:val="21"/>
          <w:szCs w:val="21"/>
        </w:rPr>
      </w:pPr>
      <w:bookmarkStart w:id="1" w:name="_Toc116900096"/>
      <w:r>
        <w:rPr>
          <w:rFonts w:hint="eastAsia" w:ascii="宋体" w:hAnsi="宋体"/>
          <w:sz w:val="21"/>
          <w:szCs w:val="21"/>
        </w:rPr>
        <w:t>一、托管协议当事人</w:t>
      </w:r>
      <w:bookmarkEnd w:id="0"/>
      <w:bookmarkEnd w:id="1"/>
    </w:p>
    <w:p w14:paraId="6EC3023E">
      <w:pPr>
        <w:pStyle w:val="18"/>
        <w:spacing w:before="100" w:beforeAutospacing="1" w:after="100" w:afterAutospacing="1" w:line="400" w:lineRule="exact"/>
        <w:ind w:firstLine="403"/>
        <w:rPr>
          <w:rFonts w:hAnsi="宋体"/>
        </w:rPr>
      </w:pPr>
      <w:r>
        <w:rPr>
          <w:rFonts w:hint="eastAsia" w:hAnsi="宋体"/>
        </w:rPr>
        <w:t>（一）基金管理人（或简称“管理人”）</w:t>
      </w:r>
    </w:p>
    <w:p w14:paraId="4A39ED93">
      <w:pPr>
        <w:spacing w:before="100" w:beforeAutospacing="1" w:after="100" w:afterAutospacing="1" w:line="400" w:lineRule="exact"/>
        <w:ind w:right="26" w:firstLine="403"/>
        <w:rPr>
          <w:rFonts w:ascii="宋体" w:hAnsi="宋体"/>
          <w:szCs w:val="21"/>
        </w:rPr>
      </w:pPr>
      <w:r>
        <w:rPr>
          <w:rFonts w:hint="eastAsia" w:ascii="宋体" w:hAnsi="宋体"/>
          <w:szCs w:val="21"/>
        </w:rPr>
        <w:t>名称：富国基金管理有限公司</w:t>
      </w:r>
    </w:p>
    <w:p w14:paraId="2B5BED5B">
      <w:pPr>
        <w:spacing w:before="100" w:beforeAutospacing="1" w:after="100" w:afterAutospacing="1" w:line="400" w:lineRule="exact"/>
        <w:ind w:right="26" w:firstLine="403"/>
        <w:rPr>
          <w:rFonts w:ascii="宋体" w:hAnsi="宋体"/>
          <w:szCs w:val="21"/>
        </w:rPr>
      </w:pPr>
      <w:r>
        <w:rPr>
          <w:rFonts w:hint="eastAsia" w:ascii="宋体" w:hAnsi="宋体"/>
          <w:szCs w:val="21"/>
        </w:rPr>
        <w:t>住所：中国（上海）自由贸易试验区世纪大道1196号世纪汇办公楼二座27-30层</w:t>
      </w:r>
    </w:p>
    <w:p w14:paraId="00AD8472">
      <w:pPr>
        <w:spacing w:before="100" w:beforeAutospacing="1" w:after="100" w:afterAutospacing="1" w:line="400" w:lineRule="exact"/>
        <w:ind w:right="26" w:firstLine="403"/>
        <w:rPr>
          <w:rFonts w:ascii="宋体" w:hAnsi="宋体"/>
          <w:szCs w:val="21"/>
        </w:rPr>
      </w:pPr>
      <w:r>
        <w:rPr>
          <w:rFonts w:hint="eastAsia" w:ascii="宋体" w:hAnsi="宋体"/>
          <w:szCs w:val="21"/>
        </w:rPr>
        <w:t>法定代表人:裴长江</w:t>
      </w:r>
    </w:p>
    <w:p w14:paraId="1BBEA85D">
      <w:pPr>
        <w:spacing w:before="100" w:beforeAutospacing="1" w:after="100" w:afterAutospacing="1" w:line="400" w:lineRule="exact"/>
        <w:ind w:right="26" w:firstLine="403"/>
        <w:rPr>
          <w:rFonts w:ascii="宋体" w:hAnsi="宋体"/>
          <w:szCs w:val="21"/>
        </w:rPr>
      </w:pPr>
      <w:r>
        <w:rPr>
          <w:rFonts w:hint="eastAsia" w:ascii="宋体" w:hAnsi="宋体"/>
          <w:szCs w:val="21"/>
        </w:rPr>
        <w:t>成立时间：</w:t>
      </w:r>
      <w:r>
        <w:rPr>
          <w:rFonts w:ascii="宋体" w:hAnsi="宋体"/>
          <w:bCs/>
          <w:color w:val="000000"/>
        </w:rPr>
        <w:t>1999年4月13日</w:t>
      </w:r>
    </w:p>
    <w:p w14:paraId="7C4DABEF">
      <w:pPr>
        <w:spacing w:before="100" w:beforeAutospacing="1" w:after="100" w:afterAutospacing="1" w:line="400" w:lineRule="exact"/>
        <w:ind w:right="26" w:firstLine="403"/>
        <w:rPr>
          <w:rFonts w:ascii="宋体" w:hAnsi="宋体"/>
          <w:szCs w:val="21"/>
        </w:rPr>
      </w:pPr>
      <w:r>
        <w:rPr>
          <w:rFonts w:hint="eastAsia" w:ascii="宋体" w:hAnsi="宋体"/>
          <w:szCs w:val="21"/>
        </w:rPr>
        <w:t>批准设立机关：中国证券监督管理委员会</w:t>
      </w:r>
    </w:p>
    <w:p w14:paraId="4AC9E559">
      <w:pPr>
        <w:spacing w:before="100" w:beforeAutospacing="1" w:after="100" w:afterAutospacing="1" w:line="400" w:lineRule="exact"/>
        <w:ind w:right="26" w:firstLine="403"/>
        <w:rPr>
          <w:rFonts w:ascii="宋体" w:hAnsi="宋体"/>
          <w:szCs w:val="21"/>
        </w:rPr>
      </w:pPr>
      <w:r>
        <w:rPr>
          <w:rFonts w:hint="eastAsia" w:ascii="宋体" w:hAnsi="宋体"/>
          <w:szCs w:val="21"/>
        </w:rPr>
        <w:t>批准设立文号：证监基金字【1999】11号</w:t>
      </w:r>
    </w:p>
    <w:p w14:paraId="3E7070C2">
      <w:pPr>
        <w:spacing w:before="100" w:beforeAutospacing="1" w:after="100" w:afterAutospacing="1" w:line="400" w:lineRule="exact"/>
        <w:ind w:right="26" w:firstLine="403"/>
        <w:rPr>
          <w:rFonts w:ascii="宋体" w:hAnsi="宋体"/>
          <w:szCs w:val="21"/>
        </w:rPr>
      </w:pPr>
      <w:r>
        <w:rPr>
          <w:rFonts w:hint="eastAsia" w:ascii="宋体" w:hAnsi="宋体"/>
          <w:szCs w:val="21"/>
        </w:rPr>
        <w:t>组织形式：有限责任公司</w:t>
      </w:r>
    </w:p>
    <w:p w14:paraId="7AA28BC1">
      <w:pPr>
        <w:spacing w:before="100" w:beforeAutospacing="1" w:after="100" w:afterAutospacing="1" w:line="400" w:lineRule="exact"/>
        <w:ind w:right="26" w:firstLine="403"/>
        <w:rPr>
          <w:rFonts w:ascii="宋体" w:hAnsi="宋体"/>
          <w:szCs w:val="21"/>
        </w:rPr>
      </w:pPr>
      <w:r>
        <w:rPr>
          <w:rFonts w:hint="eastAsia" w:ascii="宋体" w:hAnsi="宋体"/>
          <w:szCs w:val="21"/>
        </w:rPr>
        <w:t>注册资本：5.2亿元人民币</w:t>
      </w:r>
    </w:p>
    <w:p w14:paraId="48D85DAE">
      <w:pPr>
        <w:spacing w:before="100" w:beforeAutospacing="1" w:after="100" w:afterAutospacing="1" w:line="400" w:lineRule="exact"/>
        <w:ind w:right="26" w:firstLine="403"/>
        <w:rPr>
          <w:rFonts w:ascii="宋体" w:hAnsi="宋体"/>
          <w:szCs w:val="21"/>
          <w:u w:val="single"/>
        </w:rPr>
      </w:pPr>
      <w:r>
        <w:rPr>
          <w:rFonts w:hint="eastAsia" w:ascii="宋体" w:hAnsi="宋体"/>
          <w:szCs w:val="21"/>
        </w:rPr>
        <w:t>经营范围：公开募集证券投资基金管理、基金销售、特定客户资产管理</w:t>
      </w:r>
    </w:p>
    <w:p w14:paraId="2F8EABB6">
      <w:pPr>
        <w:pStyle w:val="18"/>
        <w:spacing w:before="100" w:beforeAutospacing="1" w:after="100" w:afterAutospacing="1" w:line="400" w:lineRule="exact"/>
        <w:ind w:firstLine="403"/>
        <w:rPr>
          <w:rFonts w:hAnsi="宋体"/>
        </w:rPr>
      </w:pPr>
      <w:r>
        <w:rPr>
          <w:rFonts w:hint="eastAsia" w:hAnsi="宋体"/>
        </w:rPr>
        <w:t>存续期间：持续经营</w:t>
      </w:r>
    </w:p>
    <w:p w14:paraId="0F5E343F">
      <w:pPr>
        <w:pStyle w:val="18"/>
        <w:spacing w:before="100" w:beforeAutospacing="1" w:after="100" w:afterAutospacing="1" w:line="400" w:lineRule="exact"/>
        <w:ind w:firstLine="403"/>
        <w:rPr>
          <w:rFonts w:hAnsi="宋体"/>
        </w:rPr>
      </w:pPr>
    </w:p>
    <w:p w14:paraId="2C07012C">
      <w:pPr>
        <w:pStyle w:val="18"/>
        <w:spacing w:before="100" w:beforeAutospacing="1" w:after="100" w:afterAutospacing="1" w:line="400" w:lineRule="exact"/>
        <w:ind w:firstLine="403"/>
        <w:rPr>
          <w:rFonts w:hAnsi="宋体"/>
        </w:rPr>
      </w:pPr>
      <w:r>
        <w:rPr>
          <w:rFonts w:hint="eastAsia" w:hAnsi="宋体"/>
        </w:rPr>
        <w:t>（二）基金托管人（或简称“托管人”）</w:t>
      </w:r>
    </w:p>
    <w:p w14:paraId="23C4B5E0">
      <w:pPr>
        <w:pStyle w:val="18"/>
        <w:spacing w:before="100" w:beforeAutospacing="1" w:after="100" w:afterAutospacing="1" w:line="400" w:lineRule="exact"/>
        <w:ind w:firstLine="403"/>
        <w:rPr>
          <w:rFonts w:hAnsi="宋体"/>
        </w:rPr>
      </w:pPr>
      <w:r>
        <w:rPr>
          <w:rFonts w:hint="eastAsia" w:hAnsi="宋体"/>
        </w:rPr>
        <w:t>名称：中国银行股份有限公司</w:t>
      </w:r>
    </w:p>
    <w:p w14:paraId="4C821164">
      <w:pPr>
        <w:pStyle w:val="18"/>
        <w:spacing w:before="100" w:beforeAutospacing="1" w:after="100" w:afterAutospacing="1" w:line="400" w:lineRule="exact"/>
        <w:ind w:firstLine="403"/>
        <w:rPr>
          <w:rFonts w:hAnsi="宋体"/>
        </w:rPr>
      </w:pPr>
      <w:r>
        <w:rPr>
          <w:rFonts w:hint="eastAsia" w:hAnsi="宋体"/>
        </w:rPr>
        <w:t>住所：北京市西城区复兴门内大街1号</w:t>
      </w:r>
    </w:p>
    <w:p w14:paraId="34E1F9F4">
      <w:pPr>
        <w:pStyle w:val="18"/>
        <w:spacing w:before="100" w:beforeAutospacing="1" w:after="100" w:afterAutospacing="1" w:line="400" w:lineRule="exact"/>
        <w:ind w:firstLine="403"/>
        <w:rPr>
          <w:rFonts w:hAnsi="宋体"/>
        </w:rPr>
      </w:pPr>
      <w:r>
        <w:rPr>
          <w:rFonts w:hint="eastAsia" w:hAnsi="宋体"/>
        </w:rPr>
        <w:t>法定代表人: 葛海蛟</w:t>
      </w:r>
    </w:p>
    <w:p w14:paraId="5C3ECA33">
      <w:pPr>
        <w:pStyle w:val="18"/>
        <w:spacing w:before="100" w:beforeAutospacing="1" w:after="100" w:afterAutospacing="1" w:line="400" w:lineRule="exact"/>
        <w:ind w:firstLine="403"/>
        <w:rPr>
          <w:rFonts w:hAnsi="宋体"/>
        </w:rPr>
      </w:pPr>
      <w:r>
        <w:rPr>
          <w:rFonts w:hint="eastAsia" w:hAnsi="宋体"/>
        </w:rPr>
        <w:t>成立时间：1983年10月31日</w:t>
      </w:r>
    </w:p>
    <w:p w14:paraId="6FDFE815">
      <w:pPr>
        <w:pStyle w:val="18"/>
        <w:spacing w:before="100" w:beforeAutospacing="1" w:after="100" w:afterAutospacing="1" w:line="400" w:lineRule="exact"/>
        <w:ind w:firstLine="403"/>
        <w:rPr>
          <w:rFonts w:hAnsi="宋体"/>
        </w:rPr>
      </w:pPr>
      <w:r>
        <w:rPr>
          <w:rFonts w:hint="eastAsia" w:hAnsi="宋体"/>
        </w:rPr>
        <w:t>基金托管业务批准文号：中国证监会证监基字【1998】24号</w:t>
      </w:r>
    </w:p>
    <w:p w14:paraId="7BD75A7F">
      <w:pPr>
        <w:pStyle w:val="18"/>
        <w:spacing w:before="100" w:beforeAutospacing="1" w:after="100" w:afterAutospacing="1" w:line="400" w:lineRule="exact"/>
        <w:ind w:firstLine="403"/>
        <w:rPr>
          <w:rFonts w:hAnsi="宋体"/>
        </w:rPr>
      </w:pPr>
      <w:r>
        <w:rPr>
          <w:rFonts w:hint="eastAsia" w:hAnsi="宋体"/>
        </w:rPr>
        <w:t>组织形式：股份有限公司</w:t>
      </w:r>
    </w:p>
    <w:p w14:paraId="0FB7B77F">
      <w:pPr>
        <w:spacing w:before="100" w:beforeAutospacing="1" w:after="100" w:afterAutospacing="1" w:line="400" w:lineRule="exact"/>
        <w:ind w:left="1674" w:right="26" w:hanging="1271"/>
        <w:rPr>
          <w:rFonts w:hAnsi="宋体"/>
        </w:rPr>
      </w:pPr>
      <w:r>
        <w:rPr>
          <w:rFonts w:hint="eastAsia" w:hAnsi="宋体"/>
        </w:rPr>
        <w:t>注册资本：人民币贰仟玖佰肆拾叁亿捌仟柒佰柒拾玖万壹仟贰佰肆拾壹元整</w:t>
      </w:r>
    </w:p>
    <w:p w14:paraId="16073245">
      <w:pPr>
        <w:spacing w:before="100" w:beforeAutospacing="1" w:after="100" w:afterAutospacing="1" w:line="400" w:lineRule="exact"/>
        <w:ind w:left="1674" w:right="26" w:hanging="1271"/>
        <w:rPr>
          <w:rFonts w:ascii="宋体" w:hAnsi="宋体"/>
          <w:szCs w:val="21"/>
        </w:rPr>
      </w:pPr>
      <w:r>
        <w:rPr>
          <w:rFonts w:ascii="宋体" w:hAnsi="宋体"/>
          <w:szCs w:val="21"/>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2D203E36">
      <w:pPr>
        <w:spacing w:before="100" w:beforeAutospacing="1" w:after="100" w:afterAutospacing="1" w:line="400" w:lineRule="exact"/>
        <w:ind w:firstLine="403"/>
        <w:rPr>
          <w:rFonts w:ascii="宋体" w:hAnsi="宋体"/>
          <w:szCs w:val="21"/>
        </w:rPr>
      </w:pPr>
      <w:r>
        <w:rPr>
          <w:rFonts w:hint="eastAsia" w:ascii="宋体" w:hAnsi="宋体"/>
          <w:szCs w:val="21"/>
        </w:rPr>
        <w:t>存续期间：持续经营</w:t>
      </w:r>
    </w:p>
    <w:p w14:paraId="48FF597C">
      <w:pPr>
        <w:spacing w:before="100" w:beforeAutospacing="1" w:after="100" w:afterAutospacing="1" w:line="400" w:lineRule="exact"/>
        <w:ind w:firstLine="403"/>
        <w:rPr>
          <w:rFonts w:ascii="宋体" w:hAnsi="宋体"/>
          <w:szCs w:val="21"/>
        </w:rPr>
      </w:pPr>
    </w:p>
    <w:p w14:paraId="0718C8E9">
      <w:pPr>
        <w:pStyle w:val="2"/>
        <w:spacing w:before="100" w:beforeAutospacing="1" w:after="100" w:afterAutospacing="1" w:line="400" w:lineRule="exact"/>
        <w:ind w:firstLine="422"/>
        <w:rPr>
          <w:rFonts w:ascii="宋体" w:hAnsi="宋体"/>
          <w:sz w:val="21"/>
          <w:szCs w:val="21"/>
        </w:rPr>
      </w:pPr>
      <w:bookmarkStart w:id="2" w:name="_Toc116900097"/>
      <w:r>
        <w:rPr>
          <w:rFonts w:hint="eastAsia" w:ascii="宋体" w:hAnsi="宋体"/>
          <w:sz w:val="21"/>
          <w:szCs w:val="21"/>
        </w:rPr>
        <w:t>二、托管协议的依据、目的、原则和解释</w:t>
      </w:r>
      <w:bookmarkEnd w:id="2"/>
    </w:p>
    <w:p w14:paraId="5CE04478">
      <w:pPr>
        <w:spacing w:before="100" w:beforeAutospacing="1" w:after="100" w:afterAutospacing="1" w:line="400" w:lineRule="exact"/>
        <w:ind w:firstLine="403"/>
        <w:rPr>
          <w:rFonts w:ascii="宋体" w:hAnsi="宋体"/>
          <w:szCs w:val="21"/>
        </w:rPr>
      </w:pPr>
      <w:r>
        <w:rPr>
          <w:rFonts w:hint="eastAsia" w:ascii="宋体" w:hAnsi="宋体"/>
          <w:szCs w:val="21"/>
        </w:rPr>
        <w:t>（一）依据</w:t>
      </w:r>
    </w:p>
    <w:p w14:paraId="22AFA7C8">
      <w:pPr>
        <w:pStyle w:val="15"/>
        <w:spacing w:before="100" w:beforeAutospacing="1" w:after="100" w:afterAutospacing="1"/>
        <w:ind w:firstLine="403"/>
        <w:rPr>
          <w:rFonts w:ascii="宋体" w:eastAsia="宋体"/>
          <w:color w:val="auto"/>
          <w:sz w:val="21"/>
          <w:szCs w:val="21"/>
        </w:rPr>
      </w:pPr>
      <w:r>
        <w:rPr>
          <w:rFonts w:ascii="宋体" w:eastAsia="宋体"/>
          <w:color w:val="auto"/>
          <w:sz w:val="21"/>
          <w:szCs w:val="21"/>
        </w:rPr>
        <w:t>本协议依据《中华人民共和国民法典》、《中华人民共和国证券投资基金法》（以下简称“《基金法》”）、《公开募集证券投资基金运作管理办法》（以下简称“《运作办法》”）、《公开募集证券投资基金信息披露管理办法》（以下简称“《信息披露办法》”）、《证券投资基金信息披露内容与格式准则第7号〈托管协议的内容与格式〉》、《公开募集开放式证券投资基金流动性风险管理规定》、《公开募集证券投资基金运作指引第2号——基金中基金指引》、《公开募集证券投资基金运作指引第3号——指数基金指引》（以下简称“《指数基金指引》”）及其他有关法律法规与《</w:t>
      </w:r>
      <w:r>
        <w:rPr>
          <w:rFonts w:hint="eastAsia" w:ascii="宋体" w:eastAsia="宋体"/>
          <w:color w:val="auto"/>
          <w:sz w:val="21"/>
          <w:szCs w:val="21"/>
        </w:rPr>
        <w:t>富国中证800自由现金流交易型开放式指数证券投资基金联接基金基金合同》（以下简称“《基金合同》”）订立。</w:t>
      </w:r>
    </w:p>
    <w:p w14:paraId="47C4649E">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（二）目的</w:t>
      </w:r>
    </w:p>
    <w:p w14:paraId="5454EDBE">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订立本协议的目的是明确富国中证800自由现金流交易型开放式指数证券投资基金联接基金基金托管人和富国中证800自由现金流交易型开放式指数证券投资基金联接基金基金管理人之间在基金财产的保管、投资运作、净值计算、收益分配、信息披露及相互监督等相关事宜中的权利、义务及职责，确保基金财产的安全，保护基金份额持有人的合法权益。</w:t>
      </w:r>
    </w:p>
    <w:p w14:paraId="593184E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（三）原则</w:t>
      </w:r>
    </w:p>
    <w:p w14:paraId="5BC3E3C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基金管理人和基金托管人本着平等自愿、诚实信用的原则，经协商一致，签订本协议。</w:t>
      </w:r>
    </w:p>
    <w:p w14:paraId="05058DE1">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（四）解释</w:t>
      </w:r>
    </w:p>
    <w:p w14:paraId="4120A2A4">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除非文义另有所指，本协议的所有术语与</w:t>
      </w:r>
      <w:bookmarkStart w:id="3" w:name="OLE_LINK3"/>
      <w:r>
        <w:rPr>
          <w:rFonts w:hint="eastAsia" w:ascii="宋体" w:eastAsia="宋体"/>
          <w:color w:val="auto"/>
          <w:sz w:val="21"/>
          <w:szCs w:val="21"/>
        </w:rPr>
        <w:t>《基金合同》</w:t>
      </w:r>
      <w:bookmarkEnd w:id="3"/>
      <w:r>
        <w:rPr>
          <w:rFonts w:hint="eastAsia" w:ascii="宋体" w:eastAsia="宋体"/>
          <w:color w:val="auto"/>
          <w:sz w:val="21"/>
          <w:szCs w:val="21"/>
        </w:rPr>
        <w:t>的相应术语具有相同含义；若有抵触应以《基金合同》为准。</w:t>
      </w:r>
    </w:p>
    <w:p w14:paraId="1C0C465F">
      <w:pPr>
        <w:pStyle w:val="15"/>
        <w:spacing w:before="100" w:beforeAutospacing="1" w:after="100" w:afterAutospacing="1"/>
        <w:ind w:firstLine="403"/>
        <w:rPr>
          <w:rFonts w:ascii="宋体" w:eastAsia="宋体"/>
          <w:color w:val="auto"/>
          <w:sz w:val="21"/>
          <w:szCs w:val="21"/>
        </w:rPr>
      </w:pPr>
    </w:p>
    <w:p w14:paraId="1DF4675B">
      <w:pPr>
        <w:pStyle w:val="2"/>
        <w:spacing w:before="100" w:beforeAutospacing="1" w:after="100" w:afterAutospacing="1" w:line="400" w:lineRule="exact"/>
        <w:ind w:firstLine="422"/>
        <w:rPr>
          <w:rFonts w:ascii="宋体" w:hAnsi="宋体"/>
          <w:sz w:val="21"/>
          <w:szCs w:val="21"/>
        </w:rPr>
      </w:pPr>
      <w:bookmarkStart w:id="4" w:name="_Toc116900098"/>
      <w:r>
        <w:rPr>
          <w:rFonts w:hint="eastAsia" w:ascii="宋体" w:hAnsi="宋体"/>
          <w:sz w:val="21"/>
          <w:szCs w:val="21"/>
        </w:rPr>
        <w:t>三、基金托管人对基金管理人的业务监督和核查</w:t>
      </w:r>
      <w:bookmarkEnd w:id="4"/>
    </w:p>
    <w:p w14:paraId="442DD46B">
      <w:pPr>
        <w:snapToGrid w:val="0"/>
        <w:spacing w:before="100" w:beforeAutospacing="1" w:after="100" w:afterAutospacing="1" w:line="400" w:lineRule="exact"/>
        <w:ind w:firstLine="420"/>
        <w:rPr>
          <w:rFonts w:ascii="宋体" w:hAnsi="宋体" w:cs="方正仿宋简体"/>
          <w:szCs w:val="21"/>
        </w:rPr>
      </w:pPr>
      <w:bookmarkStart w:id="5" w:name="_Hlk66702693"/>
      <w:r>
        <w:rPr>
          <w:rFonts w:hint="eastAsia" w:ascii="宋体" w:hAnsi="宋体" w:cs="方正仿宋简体"/>
          <w:szCs w:val="21"/>
        </w:rPr>
        <w:t>（一）基金托管人根据有关法律法规的规定，对基金管理人的下列投资运作进行监督：</w:t>
      </w:r>
    </w:p>
    <w:p w14:paraId="2D3AD5DA">
      <w:pPr>
        <w:snapToGrid w:val="0"/>
        <w:spacing w:before="100" w:beforeAutospacing="1" w:after="100" w:afterAutospacing="1" w:line="400" w:lineRule="exact"/>
        <w:ind w:firstLine="420"/>
        <w:rPr>
          <w:rFonts w:ascii="宋体" w:hAnsi="宋体" w:cs="方正仿宋简体"/>
          <w:szCs w:val="21"/>
        </w:rPr>
      </w:pPr>
      <w:bookmarkStart w:id="6" w:name="_Hlk83565062"/>
      <w:r>
        <w:rPr>
          <w:rFonts w:hint="eastAsia" w:ascii="宋体" w:hAnsi="宋体" w:cs="方正仿宋简体"/>
          <w:szCs w:val="21"/>
        </w:rPr>
        <w:t>1、对基金的投资范围、投资对象进行监督。</w:t>
      </w:r>
    </w:p>
    <w:p w14:paraId="452AE2E3">
      <w:pPr>
        <w:snapToGrid w:val="0"/>
        <w:spacing w:before="100" w:beforeAutospacing="1" w:after="100" w:afterAutospacing="1" w:line="400" w:lineRule="exact"/>
        <w:ind w:firstLine="420"/>
        <w:rPr>
          <w:rFonts w:ascii="宋体" w:hAnsi="宋体" w:cs="方正仿宋简体"/>
          <w:szCs w:val="21"/>
        </w:rPr>
      </w:pPr>
      <w:r>
        <w:rPr>
          <w:rFonts w:ascii="宋体" w:hAnsi="宋体" w:cs="方正仿宋简体"/>
          <w:szCs w:val="21"/>
        </w:rPr>
        <w:t>本基金的投资范围主要为目标ETF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w:t>
      </w:r>
    </w:p>
    <w:p w14:paraId="194EFE60">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本基金可根据法律法规的规定参与融资及转融通证券出借业务。</w:t>
      </w:r>
    </w:p>
    <w:p w14:paraId="6224658C">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如法律法规或监管机构以后允许基金投资其他品种，基金管理人在履行适当程序后，可以将其纳入投资范围。</w:t>
      </w:r>
    </w:p>
    <w:p w14:paraId="29588D45">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基金的投资组合比例为：本基金投资于目标ETF的比例不得低于基金资产净值的90%。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p>
    <w:p w14:paraId="31005494">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如法律法规或监管机构对该比例要求有变更的，在履行适当程序后，以变更后的比例为准，本基金的投资比例会做相应调整。</w:t>
      </w:r>
    </w:p>
    <w:p w14:paraId="76AEE14B">
      <w:pPr>
        <w:spacing w:line="360" w:lineRule="auto"/>
        <w:ind w:firstLine="420"/>
        <w:rPr>
          <w:rFonts w:ascii="宋体" w:hAnsi="宋体" w:cs="方正仿宋简体"/>
          <w:szCs w:val="21"/>
        </w:rPr>
      </w:pPr>
      <w:r>
        <w:rPr>
          <w:rFonts w:hint="eastAsia" w:ascii="宋体" w:hAnsi="宋体" w:cs="方正仿宋简体"/>
          <w:szCs w:val="21"/>
        </w:rPr>
        <w:t>2、对基金投融资比例进行监督。基金的投资组合应遵循以下限制：</w:t>
      </w:r>
    </w:p>
    <w:p w14:paraId="2E05FF3F">
      <w:pPr>
        <w:spacing w:line="360" w:lineRule="auto"/>
        <w:ind w:firstLine="420"/>
        <w:rPr>
          <w:rFonts w:hAnsi="宋体"/>
          <w:szCs w:val="21"/>
        </w:rPr>
      </w:pPr>
      <w:r>
        <w:rPr>
          <w:rFonts w:hint="eastAsia" w:hAnsi="宋体"/>
          <w:szCs w:val="21"/>
        </w:rPr>
        <w:t>（1）本基金投资于目标ETF的比例不低于基金资产净值的90%；</w:t>
      </w:r>
    </w:p>
    <w:p w14:paraId="371DD740">
      <w:pPr>
        <w:spacing w:line="360" w:lineRule="auto"/>
        <w:ind w:firstLine="420"/>
        <w:rPr>
          <w:rFonts w:hAnsi="宋体"/>
          <w:szCs w:val="21"/>
        </w:rPr>
      </w:pPr>
      <w:r>
        <w:rPr>
          <w:rFonts w:hint="eastAsia" w:hAnsi="宋体"/>
          <w:szCs w:val="21"/>
        </w:rPr>
        <w:t>（2）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p>
    <w:p w14:paraId="0ED7710B">
      <w:pPr>
        <w:spacing w:line="360" w:lineRule="auto"/>
        <w:ind w:firstLine="420"/>
        <w:rPr>
          <w:rFonts w:hAnsi="宋体"/>
          <w:szCs w:val="21"/>
        </w:rPr>
      </w:pPr>
      <w:r>
        <w:rPr>
          <w:rFonts w:hint="eastAsia" w:hAnsi="宋体"/>
          <w:szCs w:val="21"/>
        </w:rPr>
        <w:t>（3）本基金投资于同一原始权益人的各类资产支持证券的比例，不得超过基金资产净值的10%；</w:t>
      </w:r>
    </w:p>
    <w:p w14:paraId="7A186EB6">
      <w:pPr>
        <w:spacing w:line="360" w:lineRule="auto"/>
        <w:ind w:firstLine="420"/>
        <w:rPr>
          <w:rFonts w:hAnsi="宋体"/>
          <w:szCs w:val="21"/>
        </w:rPr>
      </w:pPr>
      <w:r>
        <w:rPr>
          <w:rFonts w:hint="eastAsia" w:hAnsi="宋体"/>
          <w:szCs w:val="21"/>
        </w:rPr>
        <w:t>（4）本基金持有的全部资产支持证券，其市值不得超过基金资产净值的20%；</w:t>
      </w:r>
    </w:p>
    <w:p w14:paraId="165C3368">
      <w:pPr>
        <w:spacing w:line="360" w:lineRule="auto"/>
        <w:ind w:firstLine="420"/>
        <w:rPr>
          <w:rFonts w:hAnsi="宋体"/>
          <w:szCs w:val="21"/>
        </w:rPr>
      </w:pPr>
      <w:r>
        <w:rPr>
          <w:rFonts w:hint="eastAsia" w:hAnsi="宋体"/>
          <w:szCs w:val="21"/>
        </w:rPr>
        <w:t>（5）本基金持有的同一（指同一信用级别）资产支持证券的比例，不得超过该资产支持证券规模的10%；</w:t>
      </w:r>
    </w:p>
    <w:p w14:paraId="6A2CD6D9">
      <w:pPr>
        <w:spacing w:line="360" w:lineRule="auto"/>
        <w:ind w:firstLine="420"/>
        <w:rPr>
          <w:rFonts w:hAnsi="宋体"/>
          <w:szCs w:val="21"/>
        </w:rPr>
      </w:pPr>
      <w:r>
        <w:rPr>
          <w:rFonts w:hint="eastAsia" w:hAnsi="宋体"/>
          <w:szCs w:val="21"/>
        </w:rPr>
        <w:t>（6）本基金管理人管理</w:t>
      </w:r>
      <w:r>
        <w:rPr>
          <w:rFonts w:hAnsi="宋体"/>
          <w:szCs w:val="21"/>
        </w:rPr>
        <w:t>且由本基金托管人托管的全部基金投资于同一原始权益人的各类资产支持证券，不得超过其各类资产支持证券合计规模的10%；</w:t>
      </w:r>
    </w:p>
    <w:p w14:paraId="553B3A44">
      <w:pPr>
        <w:spacing w:line="360" w:lineRule="auto"/>
        <w:ind w:firstLine="420"/>
        <w:rPr>
          <w:rFonts w:hAnsi="宋体"/>
          <w:szCs w:val="21"/>
        </w:rPr>
      </w:pPr>
      <w:r>
        <w:rPr>
          <w:rFonts w:hint="eastAsia" w:hAnsi="宋体"/>
          <w:szCs w:val="21"/>
        </w:rPr>
        <w:t>（7）本基金应投资于信用级别评级为BBB以上（含BBB）的资产支持证券。基金持有资产支持证券期间，如果其信用等级下降、不再符合投资标准，应在评级报告发布之日起3个月内予以全部卖出；</w:t>
      </w:r>
    </w:p>
    <w:p w14:paraId="5C373112">
      <w:pPr>
        <w:spacing w:line="360" w:lineRule="auto"/>
        <w:ind w:firstLine="420"/>
        <w:rPr>
          <w:rFonts w:hAnsi="宋体"/>
          <w:szCs w:val="21"/>
        </w:rPr>
      </w:pPr>
      <w:r>
        <w:rPr>
          <w:rFonts w:hint="eastAsia" w:hAnsi="宋体"/>
          <w:szCs w:val="21"/>
        </w:rPr>
        <w:t>（8）基金财产参与股票发行申购，本基金所申报的金额不超过本基金的总资产，本基金所申报的股票数量不超过拟发行股票公司本次发行股票的总量；</w:t>
      </w:r>
    </w:p>
    <w:p w14:paraId="4C626EBB">
      <w:pPr>
        <w:spacing w:line="360" w:lineRule="auto"/>
        <w:ind w:firstLine="420"/>
        <w:rPr>
          <w:rFonts w:hAnsi="宋体"/>
          <w:szCs w:val="21"/>
        </w:rPr>
      </w:pPr>
      <w:r>
        <w:rPr>
          <w:rFonts w:hint="eastAsia" w:hAnsi="宋体"/>
          <w:szCs w:val="21"/>
        </w:rPr>
        <w:t>本基金参与股指期货交易和国债期货交易的，应当遵循下列（9）-（1</w:t>
      </w:r>
      <w:r>
        <w:rPr>
          <w:rFonts w:hAnsi="宋体"/>
          <w:szCs w:val="21"/>
        </w:rPr>
        <w:t>2</w:t>
      </w:r>
      <w:r>
        <w:rPr>
          <w:rFonts w:hint="eastAsia" w:hAnsi="宋体"/>
          <w:szCs w:val="21"/>
        </w:rPr>
        <w:t>）要求：</w:t>
      </w:r>
    </w:p>
    <w:p w14:paraId="773EEB0D">
      <w:pPr>
        <w:spacing w:line="360" w:lineRule="auto"/>
        <w:ind w:firstLine="420"/>
        <w:rPr>
          <w:rFonts w:hAnsi="宋体"/>
          <w:szCs w:val="21"/>
        </w:rPr>
      </w:pPr>
      <w:r>
        <w:rPr>
          <w:rFonts w:hint="eastAsia" w:hAnsi="宋体"/>
          <w:szCs w:val="21"/>
        </w:rPr>
        <w:t>（9）本基金在任何交易日日终，持有的买入股指期货合约价值，不得超过基金资产净值的10%；持有的买入国债期货合约价值，不得超过基金资产净值的15%；</w:t>
      </w:r>
    </w:p>
    <w:p w14:paraId="43CC39E0">
      <w:pPr>
        <w:spacing w:line="360" w:lineRule="auto"/>
        <w:ind w:firstLine="420"/>
        <w:rPr>
          <w:rFonts w:hAnsi="宋体"/>
          <w:szCs w:val="21"/>
        </w:rPr>
      </w:pPr>
      <w:r>
        <w:rPr>
          <w:rFonts w:hint="eastAsia" w:hAnsi="宋体"/>
          <w:szCs w:val="21"/>
        </w:rPr>
        <w:t>（10）本基金在任何交易日日终，持有的买入国债期货和股指期货合约价值与有价证券市值之和，不得超过基金资产净值的100%。其中，有价证券指股票、债券（不含到期日在一年以内的政府债券）、资产支持证券、买入返售金融资产（不含质押式回购）等；</w:t>
      </w:r>
    </w:p>
    <w:p w14:paraId="0CD50C70">
      <w:pPr>
        <w:spacing w:line="360" w:lineRule="auto"/>
        <w:ind w:firstLine="420"/>
        <w:rPr>
          <w:rFonts w:hAnsi="宋体"/>
          <w:szCs w:val="21"/>
        </w:rPr>
      </w:pPr>
      <w:r>
        <w:rPr>
          <w:rFonts w:hint="eastAsia" w:hAnsi="宋体"/>
          <w:szCs w:val="21"/>
        </w:rPr>
        <w:t>（11）本基金在任何交易日日终，持有的卖出股指期货合约价值不得超过基金持有的股票总市值的20%；持有的卖出国债期货合约价值不得超过基金持有的债券总市值的30%；</w:t>
      </w:r>
    </w:p>
    <w:p w14:paraId="255F3FED">
      <w:pPr>
        <w:spacing w:line="360" w:lineRule="auto"/>
        <w:ind w:firstLine="420"/>
        <w:rPr>
          <w:rFonts w:hAnsi="宋体"/>
          <w:szCs w:val="21"/>
        </w:rPr>
      </w:pPr>
      <w:r>
        <w:rPr>
          <w:rFonts w:hint="eastAsia" w:hAnsi="宋体"/>
          <w:szCs w:val="21"/>
        </w:rPr>
        <w:t>（1</w:t>
      </w:r>
      <w:r>
        <w:rPr>
          <w:rFonts w:hAnsi="宋体"/>
          <w:szCs w:val="21"/>
        </w:rPr>
        <w:t>2</w:t>
      </w:r>
      <w:r>
        <w:rPr>
          <w:rFonts w:hint="eastAsia" w:hAnsi="宋体"/>
          <w:szCs w:val="21"/>
        </w:rPr>
        <w:t>）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52241F25">
      <w:pPr>
        <w:spacing w:line="360" w:lineRule="auto"/>
        <w:ind w:firstLine="420"/>
        <w:rPr>
          <w:rFonts w:hAnsi="宋体"/>
          <w:szCs w:val="21"/>
        </w:rPr>
      </w:pPr>
      <w:r>
        <w:rPr>
          <w:rFonts w:hint="eastAsia" w:hAnsi="宋体"/>
          <w:szCs w:val="21"/>
        </w:rPr>
        <w:t>本基金参与股票期权交易的，应当遵守下列（</w:t>
      </w:r>
      <w:r>
        <w:rPr>
          <w:rFonts w:hAnsi="宋体"/>
          <w:szCs w:val="21"/>
        </w:rPr>
        <w:t>13</w:t>
      </w:r>
      <w:r>
        <w:rPr>
          <w:rFonts w:hint="eastAsia" w:hAnsi="宋体"/>
          <w:szCs w:val="21"/>
        </w:rPr>
        <w:t>）-（</w:t>
      </w:r>
      <w:r>
        <w:rPr>
          <w:rFonts w:hAnsi="宋体"/>
          <w:szCs w:val="21"/>
        </w:rPr>
        <w:t>14</w:t>
      </w:r>
      <w:r>
        <w:rPr>
          <w:rFonts w:hint="eastAsia" w:hAnsi="宋体"/>
          <w:szCs w:val="21"/>
        </w:rPr>
        <w:t>）要求：</w:t>
      </w:r>
    </w:p>
    <w:p w14:paraId="4ECBA32F">
      <w:pPr>
        <w:spacing w:line="360" w:lineRule="auto"/>
        <w:ind w:firstLine="420"/>
        <w:rPr>
          <w:rFonts w:hAnsi="宋体"/>
          <w:szCs w:val="21"/>
        </w:rPr>
      </w:pPr>
      <w:r>
        <w:rPr>
          <w:rFonts w:hint="eastAsia" w:hAnsi="宋体"/>
          <w:szCs w:val="21"/>
        </w:rPr>
        <w:t>（1</w:t>
      </w:r>
      <w:r>
        <w:rPr>
          <w:rFonts w:hAnsi="宋体"/>
          <w:szCs w:val="21"/>
        </w:rPr>
        <w:t>3</w:t>
      </w:r>
      <w:r>
        <w:rPr>
          <w:rFonts w:hint="eastAsia" w:hAnsi="宋体"/>
          <w:szCs w:val="21"/>
        </w:rPr>
        <w:t>）因未平仓的期权合约支付和收取的权利金总额不得超过基金资产净值的10%；</w:t>
      </w:r>
    </w:p>
    <w:p w14:paraId="39FCB4D7">
      <w:pPr>
        <w:spacing w:line="360" w:lineRule="auto"/>
        <w:ind w:firstLine="420"/>
        <w:rPr>
          <w:rFonts w:hAnsi="宋体"/>
          <w:szCs w:val="21"/>
        </w:rPr>
      </w:pPr>
      <w:r>
        <w:rPr>
          <w:rFonts w:hint="eastAsia" w:hAnsi="宋体"/>
          <w:szCs w:val="21"/>
        </w:rPr>
        <w:t>（1</w:t>
      </w:r>
      <w:r>
        <w:rPr>
          <w:rFonts w:hAnsi="宋体"/>
          <w:szCs w:val="21"/>
        </w:rPr>
        <w:t>4</w:t>
      </w:r>
      <w:r>
        <w:rPr>
          <w:rFonts w:hint="eastAsia" w:hAnsi="宋体"/>
          <w:szCs w:val="21"/>
        </w:rPr>
        <w:t>）未平仓的期权合约面值不得超过基金资产净值的20%。其中，合约面值按照行权价乘以合约乘数计算；</w:t>
      </w:r>
    </w:p>
    <w:p w14:paraId="2EB2774B">
      <w:pPr>
        <w:spacing w:line="360" w:lineRule="auto"/>
        <w:ind w:firstLine="420"/>
        <w:rPr>
          <w:rFonts w:hAnsi="宋体"/>
          <w:szCs w:val="21"/>
        </w:rPr>
      </w:pPr>
      <w:r>
        <w:rPr>
          <w:rFonts w:hint="eastAsia" w:hAnsi="宋体"/>
          <w:szCs w:val="21"/>
        </w:rPr>
        <w:t>（1</w:t>
      </w:r>
      <w:r>
        <w:rPr>
          <w:rFonts w:hAnsi="宋体"/>
          <w:szCs w:val="21"/>
        </w:rPr>
        <w:t>5</w:t>
      </w:r>
      <w:r>
        <w:rPr>
          <w:rFonts w:hint="eastAsia" w:hAnsi="宋体"/>
          <w:szCs w:val="21"/>
        </w:rPr>
        <w:t>）本基金参与融资业务的，在任何交易日日终，持有的融资买入股票与其他有价证券市值之和，不得超过基金资产净值的95%；</w:t>
      </w:r>
    </w:p>
    <w:p w14:paraId="0F975443">
      <w:pPr>
        <w:spacing w:line="360" w:lineRule="auto"/>
        <w:ind w:firstLine="420"/>
        <w:rPr>
          <w:rFonts w:hAnsi="宋体"/>
          <w:szCs w:val="21"/>
        </w:rPr>
      </w:pPr>
      <w:r>
        <w:rPr>
          <w:rFonts w:hint="eastAsia" w:hAnsi="宋体"/>
          <w:szCs w:val="21"/>
        </w:rPr>
        <w:t>（1</w:t>
      </w:r>
      <w:r>
        <w:rPr>
          <w:rFonts w:hAnsi="宋体"/>
          <w:szCs w:val="21"/>
        </w:rPr>
        <w:t>6</w:t>
      </w:r>
      <w:r>
        <w:rPr>
          <w:rFonts w:hint="eastAsia" w:hAnsi="宋体"/>
          <w:szCs w:val="21"/>
        </w:rPr>
        <w:t>）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14:paraId="3B8843EA">
      <w:pPr>
        <w:spacing w:line="360" w:lineRule="auto"/>
        <w:ind w:firstLine="420"/>
        <w:rPr>
          <w:rFonts w:hAnsi="宋体"/>
          <w:szCs w:val="21"/>
        </w:rPr>
      </w:pPr>
      <w:r>
        <w:rPr>
          <w:rFonts w:hint="eastAsia" w:hAnsi="宋体"/>
          <w:szCs w:val="21"/>
        </w:rPr>
        <w:t>（1</w:t>
      </w:r>
      <w:r>
        <w:rPr>
          <w:rFonts w:hAnsi="宋体"/>
          <w:szCs w:val="21"/>
        </w:rPr>
        <w:t>7</w:t>
      </w:r>
      <w:r>
        <w:rPr>
          <w:rFonts w:hint="eastAsia" w:hAnsi="宋体"/>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5A23CF9">
      <w:pPr>
        <w:spacing w:line="360" w:lineRule="auto"/>
        <w:ind w:firstLine="420"/>
        <w:rPr>
          <w:rFonts w:hAnsi="宋体"/>
          <w:szCs w:val="21"/>
        </w:rPr>
      </w:pPr>
      <w:r>
        <w:rPr>
          <w:rFonts w:hint="eastAsia" w:hAnsi="宋体"/>
          <w:szCs w:val="21"/>
        </w:rPr>
        <w:t>（</w:t>
      </w:r>
      <w:r>
        <w:rPr>
          <w:rFonts w:hAnsi="宋体"/>
          <w:szCs w:val="21"/>
        </w:rPr>
        <w:t>18</w:t>
      </w:r>
      <w:r>
        <w:rPr>
          <w:rFonts w:hint="eastAsia" w:hAnsi="宋体"/>
          <w:szCs w:val="21"/>
        </w:rPr>
        <w:t>）本基金与私募类证券资管产品及中国证监会认定的其他主体为交易对手开展逆回购交易的，可接受质押品的资质要求应当与基金合同约定的投资范围保持一致；</w:t>
      </w:r>
    </w:p>
    <w:p w14:paraId="6C0A1BE8">
      <w:pPr>
        <w:spacing w:line="360" w:lineRule="auto"/>
        <w:ind w:firstLine="420"/>
        <w:rPr>
          <w:rFonts w:hAnsi="宋体"/>
          <w:szCs w:val="21"/>
        </w:rPr>
      </w:pPr>
      <w:r>
        <w:rPr>
          <w:rFonts w:hint="eastAsia" w:hAnsi="宋体"/>
          <w:szCs w:val="21"/>
        </w:rPr>
        <w:t>（</w:t>
      </w:r>
      <w:r>
        <w:rPr>
          <w:rFonts w:hAnsi="宋体"/>
          <w:szCs w:val="21"/>
        </w:rPr>
        <w:t>19</w:t>
      </w:r>
      <w:r>
        <w:rPr>
          <w:rFonts w:hint="eastAsia" w:hAnsi="宋体"/>
          <w:szCs w:val="21"/>
        </w:rPr>
        <w:t>）本基金资产总值不超过基金资产净值的140%；</w:t>
      </w:r>
    </w:p>
    <w:p w14:paraId="5ADD926F">
      <w:pPr>
        <w:spacing w:line="360" w:lineRule="auto"/>
        <w:ind w:firstLine="420"/>
        <w:rPr>
          <w:rFonts w:hAnsi="宋体"/>
          <w:szCs w:val="21"/>
        </w:rPr>
      </w:pPr>
      <w:r>
        <w:rPr>
          <w:rFonts w:hint="eastAsia" w:hAnsi="宋体"/>
          <w:szCs w:val="21"/>
        </w:rPr>
        <w:t>（</w:t>
      </w:r>
      <w:r>
        <w:rPr>
          <w:rFonts w:hAnsi="宋体"/>
          <w:szCs w:val="21"/>
        </w:rPr>
        <w:t>20</w:t>
      </w:r>
      <w:r>
        <w:rPr>
          <w:rFonts w:hint="eastAsia" w:hAnsi="宋体"/>
          <w:szCs w:val="21"/>
        </w:rPr>
        <w:t>）本基金投资存托凭证的比例限制依照境内上市交易的股票执行；</w:t>
      </w:r>
    </w:p>
    <w:p w14:paraId="01478F9C">
      <w:pPr>
        <w:spacing w:line="360" w:lineRule="auto"/>
        <w:ind w:firstLine="420"/>
        <w:rPr>
          <w:rFonts w:hAnsi="宋体"/>
          <w:szCs w:val="21"/>
        </w:rPr>
      </w:pPr>
      <w:r>
        <w:rPr>
          <w:rFonts w:hint="eastAsia" w:hAnsi="宋体"/>
          <w:szCs w:val="21"/>
        </w:rPr>
        <w:t>（</w:t>
      </w:r>
      <w:r>
        <w:rPr>
          <w:rFonts w:hAnsi="宋体"/>
          <w:szCs w:val="21"/>
        </w:rPr>
        <w:t>21</w:t>
      </w:r>
      <w:r>
        <w:rPr>
          <w:rFonts w:hint="eastAsia" w:hAnsi="宋体"/>
          <w:szCs w:val="21"/>
        </w:rPr>
        <w:t>）法律法规及中国证监会规定的</w:t>
      </w:r>
      <w:r>
        <w:rPr>
          <w:rFonts w:hAnsi="宋体"/>
          <w:szCs w:val="21"/>
        </w:rPr>
        <w:t>其他投资比例限制。</w:t>
      </w:r>
    </w:p>
    <w:p w14:paraId="315CFAA3">
      <w:pPr>
        <w:spacing w:line="360" w:lineRule="auto"/>
        <w:ind w:firstLine="420"/>
        <w:rPr>
          <w:rFonts w:hAnsi="宋体"/>
          <w:szCs w:val="21"/>
        </w:rPr>
      </w:pPr>
      <w:r>
        <w:rPr>
          <w:rFonts w:hAnsi="宋体"/>
          <w:szCs w:val="21"/>
        </w:rPr>
        <w:t>除上述第（1）、（2）、（7）、（1</w:t>
      </w:r>
      <w:r>
        <w:rPr>
          <w:rFonts w:hint="eastAsia" w:hAnsi="宋体"/>
          <w:szCs w:val="21"/>
        </w:rPr>
        <w:t>6</w:t>
      </w:r>
      <w:r>
        <w:rPr>
          <w:rFonts w:hAnsi="宋体"/>
          <w:szCs w:val="21"/>
        </w:rPr>
        <w:t>）至（18）项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因证券/期货市场波动、证券发行人合并、基金规模变动、标的指数成份股调整、标的指数成份股流动性限制、目标ETF暂停申购、赎回或二级市场交易停牌等基金管理人之外的因素致使基金投资比例不符合第（1）项投资比例的，基金管理人应当在20个交易日内进行调整，但中国证监会规定的特殊情形除外。因证券市场波动、证券发行人合并、基金规模变动等基金管理人之外的因素致使基金投资不符合第（1</w:t>
      </w:r>
      <w:r>
        <w:rPr>
          <w:rFonts w:hint="eastAsia" w:hAnsi="宋体"/>
          <w:szCs w:val="21"/>
        </w:rPr>
        <w:t>6</w:t>
      </w:r>
      <w:r>
        <w:rPr>
          <w:rFonts w:hAnsi="宋体"/>
          <w:szCs w:val="21"/>
        </w:rPr>
        <w:t>）项规定的，基金管理人不得新增出借业务。法律法规另有规定的，从其规定。</w:t>
      </w:r>
    </w:p>
    <w:p w14:paraId="57080413">
      <w:pPr>
        <w:widowControl/>
        <w:spacing w:line="360" w:lineRule="auto"/>
        <w:ind w:firstLine="420"/>
        <w:contextualSpacing/>
        <w:rPr>
          <w:rFonts w:hAnsi="宋体"/>
          <w:szCs w:val="21"/>
        </w:rPr>
      </w:pPr>
      <w:r>
        <w:rPr>
          <w:rFonts w:hint="eastAsia" w:hAnsi="宋体"/>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B2DA8F2">
      <w:pPr>
        <w:widowControl/>
        <w:spacing w:line="360" w:lineRule="auto"/>
        <w:ind w:firstLine="420"/>
        <w:contextualSpacing/>
        <w:rPr>
          <w:rFonts w:hAnsi="宋体"/>
          <w:szCs w:val="21"/>
        </w:rPr>
      </w:pPr>
      <w:r>
        <w:rPr>
          <w:rFonts w:hint="eastAsia" w:hAnsi="宋体"/>
          <w:szCs w:val="21"/>
        </w:rPr>
        <w:t>法律法规或监管部门取消或变更上述限制，如适用于本基金，基金管理人在履行适当程序后，则本基金投资不再受相关限制或以变更后的规定为准。</w:t>
      </w:r>
    </w:p>
    <w:p w14:paraId="61B72D8B">
      <w:pPr>
        <w:widowControl/>
        <w:spacing w:line="360" w:lineRule="auto"/>
        <w:ind w:firstLine="420"/>
        <w:contextualSpacing/>
        <w:rPr>
          <w:rFonts w:hAnsi="宋体"/>
          <w:szCs w:val="21"/>
        </w:rPr>
      </w:pPr>
      <w:r>
        <w:rPr>
          <w:rFonts w:hint="eastAsia" w:hAnsi="宋体"/>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bookmarkEnd w:id="6"/>
    </w:p>
    <w:p w14:paraId="4B5B2156">
      <w:pPr>
        <w:widowControl/>
        <w:spacing w:line="360" w:lineRule="auto"/>
        <w:ind w:firstLine="420"/>
        <w:contextualSpacing/>
        <w:rPr>
          <w:rFonts w:hAnsi="宋体"/>
          <w:szCs w:val="21"/>
        </w:rPr>
      </w:pPr>
      <w:r>
        <w:rPr>
          <w:rFonts w:hint="eastAsia" w:hAnsi="宋体"/>
          <w:szCs w:val="21"/>
        </w:rPr>
        <w:t>本基金参与转融通证券出借业务，</w:t>
      </w:r>
      <w:r>
        <w:rPr>
          <w:rFonts w:hAnsi="宋体"/>
          <w:szCs w:val="21"/>
        </w:rPr>
        <w:t>基金托管人将根据本协议中</w:t>
      </w:r>
      <w:r>
        <w:rPr>
          <w:rFonts w:hint="eastAsia" w:hAnsi="宋体"/>
          <w:szCs w:val="21"/>
        </w:rPr>
        <w:t>基金的投资组合限制第（</w:t>
      </w:r>
      <w:r>
        <w:rPr>
          <w:rFonts w:hAnsi="宋体"/>
          <w:szCs w:val="21"/>
        </w:rPr>
        <w:t>1</w:t>
      </w:r>
      <w:r>
        <w:rPr>
          <w:rFonts w:hint="eastAsia" w:hAnsi="宋体"/>
          <w:szCs w:val="21"/>
        </w:rPr>
        <w:t>6）条约定的比例和限额对基金参与转融通出借业务进行监督和复核。</w:t>
      </w:r>
      <w:bookmarkEnd w:id="5"/>
    </w:p>
    <w:p w14:paraId="021AB30B">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复核。</w:t>
      </w:r>
    </w:p>
    <w:p w14:paraId="55535575">
      <w:pPr>
        <w:snapToGrid w:val="0"/>
        <w:spacing w:before="100" w:beforeAutospacing="1" w:after="100" w:afterAutospacing="1" w:line="400" w:lineRule="exact"/>
        <w:ind w:firstLine="420"/>
        <w:rPr>
          <w:rFonts w:ascii="宋体" w:hAnsi="宋体"/>
          <w:szCs w:val="21"/>
        </w:rPr>
      </w:pPr>
      <w:r>
        <w:rPr>
          <w:rFonts w:hint="eastAsia" w:ascii="宋体" w:hAnsi="宋体" w:cs="方正仿宋简体"/>
          <w:szCs w:val="21"/>
        </w:rPr>
        <w:t>（三）基金托管人在上述第（一）、（二）款的监督和核查中发现基金管理人违反上述</w:t>
      </w:r>
      <w:r>
        <w:rPr>
          <w:rFonts w:hint="eastAsia" w:ascii="宋体" w:hAnsi="宋体"/>
          <w:szCs w:val="21"/>
        </w:rPr>
        <w:t>约定</w:t>
      </w:r>
      <w:r>
        <w:rPr>
          <w:rFonts w:hint="eastAsia" w:ascii="宋体" w:hAnsi="宋体" w:cs="方正仿宋简体"/>
          <w:szCs w:val="21"/>
        </w:rPr>
        <w:t>，</w:t>
      </w:r>
      <w:r>
        <w:rPr>
          <w:rFonts w:hint="eastAsia" w:ascii="宋体" w:hAnsi="宋体"/>
          <w:szCs w:val="21"/>
        </w:rPr>
        <w:t>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790246A4">
      <w:pPr>
        <w:snapToGrid w:val="0"/>
        <w:spacing w:before="100" w:beforeAutospacing="1" w:after="100" w:afterAutospacing="1" w:line="400" w:lineRule="exact"/>
        <w:ind w:firstLine="420"/>
        <w:rPr>
          <w:rFonts w:ascii="宋体" w:hAnsi="宋体"/>
          <w:szCs w:val="21"/>
        </w:rPr>
      </w:pPr>
      <w:r>
        <w:rPr>
          <w:rFonts w:hint="eastAsia" w:ascii="宋体" w:hAnsi="宋体" w:cs="方正仿宋简体"/>
          <w:szCs w:val="21"/>
        </w:rPr>
        <w:t>（四）基金托管人发现基金管理人的投资指令违反法律法规、本协议的规定，</w:t>
      </w:r>
      <w:r>
        <w:rPr>
          <w:rFonts w:hint="eastAsia" w:ascii="宋体" w:hAnsi="宋体"/>
          <w:szCs w:val="21"/>
        </w:rPr>
        <w:t>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72881087">
      <w:pPr>
        <w:spacing w:before="100" w:beforeAutospacing="1" w:after="100" w:afterAutospacing="1" w:line="400" w:lineRule="exact"/>
        <w:ind w:firstLine="420"/>
        <w:rPr>
          <w:rFonts w:ascii="宋体" w:hAnsi="宋体"/>
          <w:szCs w:val="21"/>
        </w:rPr>
      </w:pPr>
      <w:r>
        <w:rPr>
          <w:rFonts w:hint="eastAsia" w:ascii="宋体" w:hAnsi="宋体" w:cs="方正仿宋简体"/>
          <w:szCs w:val="21"/>
        </w:rPr>
        <w:t>（五）基金管理人应积极配合和协助基金托管人的监督和核查，包括但不限于：在规定时间内答复基金托管人并改正，就基金托管人的合理疑义进行解释或举证，提供相关数据资料和制度等。</w:t>
      </w:r>
    </w:p>
    <w:p w14:paraId="68EEF18B">
      <w:pPr>
        <w:pStyle w:val="2"/>
        <w:spacing w:before="100" w:beforeAutospacing="1" w:after="100" w:afterAutospacing="1" w:line="400" w:lineRule="exact"/>
        <w:ind w:firstLine="422"/>
        <w:rPr>
          <w:rFonts w:ascii="宋体" w:hAnsi="宋体"/>
          <w:sz w:val="21"/>
          <w:szCs w:val="21"/>
        </w:rPr>
      </w:pPr>
      <w:r>
        <w:rPr>
          <w:rFonts w:hint="eastAsia" w:ascii="宋体" w:hAnsi="宋体"/>
          <w:sz w:val="21"/>
          <w:szCs w:val="21"/>
        </w:rPr>
        <w:t>四、基金管理人对基金托管人的业务核查</w:t>
      </w:r>
    </w:p>
    <w:p w14:paraId="31B54DEB">
      <w:pPr>
        <w:snapToGrid w:val="0"/>
        <w:spacing w:before="100" w:beforeAutospacing="1" w:after="100" w:afterAutospacing="1" w:line="400" w:lineRule="exact"/>
        <w:ind w:firstLine="420"/>
        <w:rPr>
          <w:rFonts w:ascii="宋体" w:hAnsi="宋体"/>
          <w:szCs w:val="21"/>
        </w:rPr>
      </w:pPr>
      <w:r>
        <w:rPr>
          <w:rFonts w:hint="eastAsia" w:ascii="宋体" w:hAnsi="宋体"/>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137B03D8">
      <w:pPr>
        <w:snapToGrid w:val="0"/>
        <w:spacing w:before="100" w:beforeAutospacing="1" w:after="100" w:afterAutospacing="1" w:line="400" w:lineRule="exact"/>
        <w:ind w:firstLine="420"/>
        <w:rPr>
          <w:rFonts w:ascii="宋体" w:hAnsi="宋体"/>
          <w:szCs w:val="21"/>
        </w:rPr>
      </w:pPr>
      <w:r>
        <w:rPr>
          <w:rFonts w:hint="eastAsia" w:ascii="宋体" w:hAnsi="宋体"/>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714F3647">
      <w:pPr>
        <w:snapToGrid w:val="0"/>
        <w:spacing w:before="100" w:beforeAutospacing="1" w:after="100" w:afterAutospacing="1" w:line="400" w:lineRule="exact"/>
        <w:ind w:firstLine="420"/>
        <w:rPr>
          <w:rFonts w:ascii="宋体" w:hAnsi="宋体"/>
          <w:szCs w:val="21"/>
        </w:rPr>
      </w:pPr>
      <w:r>
        <w:rPr>
          <w:rFonts w:hint="eastAsia" w:ascii="宋体" w:hAnsi="宋体"/>
          <w:szCs w:val="21"/>
        </w:rPr>
        <w:t>3、基金托管人应积极配合基金管理人的核查行为，包括但不限于：提交相关资料以供基金管理人核查基金财产的完整性和真实性，在规定时间内答复基金管理人并改正。</w:t>
      </w:r>
    </w:p>
    <w:p w14:paraId="06E24692">
      <w:pPr>
        <w:snapToGrid w:val="0"/>
        <w:spacing w:before="100" w:beforeAutospacing="1" w:after="100" w:afterAutospacing="1" w:line="400" w:lineRule="exact"/>
        <w:ind w:firstLine="420"/>
        <w:rPr>
          <w:rFonts w:ascii="宋体" w:hAnsi="宋体"/>
          <w:szCs w:val="21"/>
        </w:rPr>
      </w:pPr>
    </w:p>
    <w:p w14:paraId="31B9FD6C">
      <w:pPr>
        <w:pStyle w:val="2"/>
        <w:spacing w:before="100" w:beforeAutospacing="1" w:after="100" w:afterAutospacing="1" w:line="400" w:lineRule="exact"/>
        <w:ind w:firstLine="422"/>
        <w:rPr>
          <w:rFonts w:ascii="宋体" w:hAnsi="宋体"/>
          <w:sz w:val="21"/>
          <w:szCs w:val="21"/>
        </w:rPr>
      </w:pPr>
      <w:bookmarkStart w:id="7" w:name="_Toc116900099"/>
      <w:r>
        <w:rPr>
          <w:rFonts w:hint="eastAsia" w:ascii="宋体" w:hAnsi="宋体"/>
          <w:sz w:val="21"/>
          <w:szCs w:val="21"/>
        </w:rPr>
        <w:t>五、基金财产的保管</w:t>
      </w:r>
      <w:bookmarkEnd w:id="7"/>
    </w:p>
    <w:p w14:paraId="473BDC6B">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（一）基金财产保管的原则</w:t>
      </w:r>
    </w:p>
    <w:p w14:paraId="5E83D9F3">
      <w:pPr>
        <w:snapToGrid w:val="0"/>
        <w:spacing w:before="100" w:beforeAutospacing="1" w:after="100" w:afterAutospacing="1" w:line="400" w:lineRule="exact"/>
        <w:ind w:firstLine="420"/>
        <w:rPr>
          <w:rFonts w:ascii="宋体" w:hAnsi="宋体"/>
          <w:szCs w:val="21"/>
        </w:rPr>
      </w:pPr>
      <w:r>
        <w:rPr>
          <w:rFonts w:hint="eastAsia" w:ascii="宋体" w:hAnsi="宋体"/>
          <w:szCs w:val="21"/>
        </w:rPr>
        <w:t>1、基金财产应独立于基金管理人、基金托管人、证券经纪机构的固有财产。</w:t>
      </w:r>
    </w:p>
    <w:p w14:paraId="034D1A65">
      <w:pPr>
        <w:snapToGrid w:val="0"/>
        <w:spacing w:before="100" w:beforeAutospacing="1" w:after="100" w:afterAutospacing="1" w:line="400" w:lineRule="exact"/>
        <w:ind w:firstLine="420"/>
        <w:rPr>
          <w:rFonts w:ascii="宋体" w:hAnsi="宋体"/>
          <w:szCs w:val="21"/>
        </w:rPr>
      </w:pPr>
      <w:r>
        <w:rPr>
          <w:rFonts w:hint="eastAsia" w:ascii="宋体" w:hAnsi="宋体"/>
          <w:szCs w:val="21"/>
        </w:rPr>
        <w:t>2、基金托管人应安全、完整保管基金财产，未经基金管理人的合法合规指令或法律法规、《基金合同》及本协议另有规定，基金托管人不得自行运用、处分、分配基金的任何财产。</w:t>
      </w:r>
    </w:p>
    <w:p w14:paraId="3FFA435F">
      <w:pPr>
        <w:snapToGrid w:val="0"/>
        <w:spacing w:before="100" w:beforeAutospacing="1" w:after="100" w:afterAutospacing="1" w:line="400" w:lineRule="exact"/>
        <w:ind w:firstLine="420"/>
        <w:rPr>
          <w:rFonts w:ascii="宋体" w:hAnsi="宋体"/>
          <w:szCs w:val="21"/>
        </w:rPr>
      </w:pPr>
      <w:r>
        <w:rPr>
          <w:rFonts w:hint="eastAsia" w:ascii="宋体" w:hAnsi="宋体"/>
          <w:szCs w:val="21"/>
        </w:rPr>
        <w:t>3、基金托管人按照规定开设基金财产的资金账户、证券账户等投资所需账户。</w:t>
      </w:r>
    </w:p>
    <w:p w14:paraId="7EF77392">
      <w:pPr>
        <w:pStyle w:val="15"/>
        <w:snapToGrid w:val="0"/>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4、基金托管人对所托管的不同基金财产分别设置账户，独立核算，分账管理，确保基金财产的完整与独立。</w:t>
      </w:r>
    </w:p>
    <w:p w14:paraId="761993A2">
      <w:pPr>
        <w:pStyle w:val="15"/>
        <w:snapToGrid w:val="0"/>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5、除依据《基金法》、《运作办法》、《基金合同》及其他有关法律法规规定外，基金托管人不得委托第三人托管基金财产。</w:t>
      </w:r>
    </w:p>
    <w:p w14:paraId="4E41A7C2">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（二）基金合同生效前募集资金的验资和入账</w:t>
      </w:r>
    </w:p>
    <w:p w14:paraId="47CDABB2">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1、基金募集期满或基金管理人宣布停止募集时，</w:t>
      </w:r>
      <w:r>
        <w:rPr>
          <w:rFonts w:hint="eastAsia" w:ascii="宋体" w:eastAsia="宋体" w:cs="方正仿宋简体"/>
          <w:sz w:val="21"/>
          <w:szCs w:val="21"/>
        </w:rPr>
        <w:t>募集的基金份额总额、基金募集金额、基金份额持有人人数符合《基金法》、《运作办法》等有关规定的，</w:t>
      </w:r>
      <w:r>
        <w:rPr>
          <w:rFonts w:hint="eastAsia" w:ascii="宋体" w:eastAsia="宋体"/>
          <w:color w:val="auto"/>
          <w:sz w:val="21"/>
          <w:szCs w:val="21"/>
        </w:rPr>
        <w:t>由基金管理人在法定期限内聘请符合《中华人民共和国证券法》规定的会计师事务所对基金进行验资，并出具验资报告，出具的验资报告应由参加验资的</w:t>
      </w:r>
      <w:r>
        <w:rPr>
          <w:rFonts w:ascii="宋体" w:eastAsia="宋体"/>
          <w:color w:val="auto"/>
          <w:sz w:val="21"/>
          <w:szCs w:val="21"/>
        </w:rPr>
        <w:t>2</w:t>
      </w:r>
      <w:r>
        <w:rPr>
          <w:rFonts w:hint="eastAsia" w:ascii="宋体" w:eastAsia="宋体"/>
          <w:color w:val="auto"/>
          <w:sz w:val="21"/>
          <w:szCs w:val="21"/>
        </w:rPr>
        <w:t>名以上（含</w:t>
      </w:r>
      <w:r>
        <w:rPr>
          <w:rFonts w:ascii="宋体" w:eastAsia="宋体"/>
          <w:color w:val="auto"/>
          <w:sz w:val="21"/>
          <w:szCs w:val="21"/>
        </w:rPr>
        <w:t>2</w:t>
      </w:r>
      <w:r>
        <w:rPr>
          <w:rFonts w:hint="eastAsia" w:ascii="宋体" w:eastAsia="宋体"/>
          <w:color w:val="auto"/>
          <w:sz w:val="21"/>
          <w:szCs w:val="21"/>
        </w:rPr>
        <w:t>名）中国注册会计师签字方为有效。</w:t>
      </w:r>
    </w:p>
    <w:p w14:paraId="3840ACEC">
      <w:pPr>
        <w:pStyle w:val="15"/>
        <w:spacing w:before="100" w:beforeAutospacing="1" w:after="100" w:afterAutospacing="1"/>
        <w:ind w:firstLine="403"/>
        <w:rPr>
          <w:rFonts w:ascii="宋体" w:eastAsia="宋体"/>
          <w:sz w:val="21"/>
          <w:szCs w:val="21"/>
        </w:rPr>
      </w:pPr>
      <w:r>
        <w:rPr>
          <w:rFonts w:hint="eastAsia" w:ascii="宋体" w:eastAsia="宋体"/>
          <w:sz w:val="21"/>
          <w:szCs w:val="21"/>
        </w:rPr>
        <w:t>2、基金管理人应将属于本基金财产的全部资金划入在基金托管人处为本基金开立的基金银行账户中，并确保划入的资金与验资确认金额相一致。</w:t>
      </w:r>
    </w:p>
    <w:p w14:paraId="2436AABC">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（三）基金的银行账户的开设和管理</w:t>
      </w:r>
    </w:p>
    <w:p w14:paraId="6040AF55">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1、基金托管人应负责本基金的银行账户的开设和管理。</w:t>
      </w:r>
    </w:p>
    <w:p w14:paraId="2C934332">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28859D8C">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14:paraId="28F9C92B">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4、基金银行账户的管理应符合法律法规的有关规定。</w:t>
      </w:r>
    </w:p>
    <w:p w14:paraId="11A7512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（四）基金进行定期存款投资的账户开设和管理</w:t>
      </w:r>
    </w:p>
    <w:p w14:paraId="5AE06F60">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6F1D9089">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（五）基金证券账户、证券交易资金账户</w:t>
      </w:r>
      <w:r>
        <w:rPr>
          <w:rFonts w:ascii="宋体" w:eastAsia="宋体"/>
          <w:color w:val="auto"/>
          <w:sz w:val="21"/>
          <w:szCs w:val="21"/>
        </w:rPr>
        <w:t>及其他投资账户的开设和管理</w:t>
      </w:r>
    </w:p>
    <w:p w14:paraId="5C3ECFBA">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1、基金托管人应当代表本基金，以基金托管人和本基金联名的方式在中国证券登记结算有限责任公司开设证券账户。</w:t>
      </w:r>
    </w:p>
    <w:p w14:paraId="70B40B6D">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2、本基金证券账户的开立和使用，限于满足开展本基金业务的需要。基金托管人和基金管理人不得出借或转让本基金的证券账户，亦不得使用本基金的证券账户进行本基金业务以外的活动。</w:t>
      </w:r>
    </w:p>
    <w:p w14:paraId="46275447">
      <w:pPr>
        <w:pStyle w:val="15"/>
        <w:spacing w:before="100" w:beforeAutospacing="1" w:after="100" w:afterAutospacing="1"/>
        <w:ind w:firstLine="403"/>
        <w:rPr>
          <w:rFonts w:ascii="宋体" w:eastAsia="宋体"/>
          <w:sz w:val="21"/>
          <w:szCs w:val="21"/>
        </w:rPr>
      </w:pPr>
      <w:r>
        <w:rPr>
          <w:rFonts w:hint="eastAsia" w:ascii="宋体" w:eastAsia="宋体"/>
          <w:sz w:val="21"/>
          <w:szCs w:val="21"/>
        </w:rPr>
        <w:t>3、基金管理人为基金财产在证券经纪机构开立证券交易资金账户，用于基金财产证券交易结算资金的存管、记载交易结算资金的变动明细以及场内证券交易清算，并与基金托管人开立的资金托管账户建立第三方存管对应关系。</w:t>
      </w:r>
    </w:p>
    <w:p w14:paraId="6DD8EF0C">
      <w:pPr>
        <w:pStyle w:val="15"/>
        <w:spacing w:before="100" w:beforeAutospacing="1" w:after="100" w:afterAutospacing="1"/>
        <w:ind w:firstLine="403"/>
        <w:rPr>
          <w:rFonts w:ascii="宋体" w:eastAsia="宋体"/>
          <w:color w:val="auto"/>
          <w:sz w:val="21"/>
          <w:szCs w:val="21"/>
        </w:rPr>
      </w:pPr>
      <w:r>
        <w:rPr>
          <w:rFonts w:hint="eastAsia" w:ascii="宋体" w:eastAsia="宋体"/>
          <w:sz w:val="21"/>
          <w:szCs w:val="21"/>
        </w:rPr>
        <w:t>4、</w:t>
      </w:r>
      <w:r>
        <w:rPr>
          <w:rFonts w:hint="eastAsia" w:ascii="宋体" w:eastAsia="宋体"/>
          <w:color w:val="auto"/>
          <w:sz w:val="21"/>
          <w:szCs w:val="21"/>
        </w:rPr>
        <w:t>在本托管协议生效日之后，本基金被允许从事其他投资品种的投资业务的，涉及相关账户的开设、使用的，若无相关规定，则基金托管人应当比照并遵守上述关于账户开设、使用的规定。</w:t>
      </w:r>
    </w:p>
    <w:p w14:paraId="36579599">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（六）债券托管专户的开设和管理</w:t>
      </w:r>
    </w:p>
    <w:p w14:paraId="5912DA55">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合同生效后，基金管理人负责以基金的名义申请并取得进入全国银行间同业拆借中心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w:t>
      </w:r>
      <w:r>
        <w:rPr>
          <w:rFonts w:ascii="宋体" w:eastAsia="宋体"/>
          <w:color w:val="auto"/>
          <w:sz w:val="21"/>
          <w:szCs w:val="21"/>
        </w:rPr>
        <w:t>和资金结算专户，并代表基金进行银行间债券市场债券和资金的清算。</w:t>
      </w:r>
    </w:p>
    <w:p w14:paraId="434EE138">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（七）基金财产投资的有关有价凭证的保管</w:t>
      </w:r>
    </w:p>
    <w:p w14:paraId="4423023A">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基金财产投资的实物证券、银行定期存款存单等有价凭证由基金托管人负责妥善保管。基金托管人对其以外机构实际有效控制的有价凭证不承担保管责任。</w:t>
      </w:r>
    </w:p>
    <w:p w14:paraId="0E193F98">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（八）与基金财产有关的重大合同及有关凭证的保管</w:t>
      </w:r>
    </w:p>
    <w:p w14:paraId="79A9597F">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或受限于第三方机构业务规则、监管机构或行业协会发布的格式合同等基金管理人不可控制因素外，基金管理人在代表基金签署与基金有关的重大合同时应尽可能保证基金一方持有两份以上的正本，以便基金管理人和基金托管人至少各持有一份正本的原件。重大合同由基金管理人与基金托管人按规定各自保管</w:t>
      </w:r>
      <w:r>
        <w:rPr>
          <w:rFonts w:hint="eastAsia" w:ascii="宋体" w:eastAsia="宋体"/>
          <w:bCs/>
          <w:color w:val="auto"/>
          <w:sz w:val="21"/>
          <w:szCs w:val="21"/>
        </w:rPr>
        <w:t>，保存期限不少于法律法规的规定</w:t>
      </w:r>
      <w:r>
        <w:rPr>
          <w:rFonts w:hint="eastAsia" w:ascii="宋体" w:eastAsia="宋体"/>
          <w:color w:val="auto"/>
          <w:sz w:val="21"/>
          <w:szCs w:val="21"/>
        </w:rPr>
        <w:t>。</w:t>
      </w:r>
    </w:p>
    <w:p w14:paraId="70DB4E9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对于无法取得两份以上正本的，基金管理人应向基金托管人提供加盖公章的合同复印件或</w:t>
      </w:r>
      <w:r>
        <w:rPr>
          <w:rFonts w:ascii="宋体" w:eastAsia="宋体"/>
          <w:color w:val="auto"/>
          <w:sz w:val="21"/>
          <w:szCs w:val="21"/>
        </w:rPr>
        <w:t>传真件</w:t>
      </w:r>
      <w:r>
        <w:rPr>
          <w:rFonts w:hint="eastAsia" w:ascii="宋体" w:eastAsia="宋体"/>
          <w:color w:val="auto"/>
          <w:sz w:val="21"/>
          <w:szCs w:val="21"/>
        </w:rPr>
        <w:t>，未经双方协商一致</w:t>
      </w:r>
      <w:r>
        <w:rPr>
          <w:rFonts w:ascii="宋体" w:eastAsia="宋体"/>
          <w:color w:val="auto"/>
          <w:sz w:val="21"/>
          <w:szCs w:val="21"/>
        </w:rPr>
        <w:t>的</w:t>
      </w:r>
      <w:r>
        <w:rPr>
          <w:rFonts w:hint="eastAsia" w:ascii="宋体" w:eastAsia="宋体"/>
          <w:color w:val="auto"/>
          <w:sz w:val="21"/>
          <w:szCs w:val="21"/>
        </w:rPr>
        <w:t>，合同原件不得转移。</w:t>
      </w:r>
    </w:p>
    <w:p w14:paraId="28625DE8">
      <w:pPr>
        <w:pStyle w:val="15"/>
        <w:spacing w:before="100" w:beforeAutospacing="1" w:after="100" w:afterAutospacing="1"/>
        <w:ind w:firstLine="403"/>
        <w:rPr>
          <w:rFonts w:ascii="宋体" w:eastAsia="宋体"/>
          <w:color w:val="auto"/>
          <w:sz w:val="21"/>
          <w:szCs w:val="21"/>
        </w:rPr>
      </w:pPr>
    </w:p>
    <w:p w14:paraId="60B95489">
      <w:pPr>
        <w:pStyle w:val="2"/>
        <w:spacing w:before="100" w:beforeAutospacing="1" w:after="100" w:afterAutospacing="1" w:line="400" w:lineRule="exact"/>
        <w:ind w:firstLine="422"/>
        <w:rPr>
          <w:rFonts w:ascii="宋体" w:hAnsi="宋体"/>
          <w:sz w:val="21"/>
          <w:szCs w:val="21"/>
        </w:rPr>
      </w:pPr>
      <w:bookmarkStart w:id="8" w:name="_Toc116900100"/>
      <w:r>
        <w:rPr>
          <w:rFonts w:hint="eastAsia" w:ascii="宋体" w:hAnsi="宋体"/>
          <w:sz w:val="21"/>
          <w:szCs w:val="21"/>
        </w:rPr>
        <w:t>六、指令的发送、确认及执行</w:t>
      </w:r>
      <w:bookmarkEnd w:id="8"/>
    </w:p>
    <w:p w14:paraId="40ED0202">
      <w:pPr>
        <w:pStyle w:val="15"/>
        <w:spacing w:before="100" w:beforeAutospacing="1" w:after="100" w:afterAutospacing="1"/>
        <w:ind w:firstLine="403"/>
        <w:rPr>
          <w:rFonts w:ascii="宋体" w:eastAsia="宋体"/>
          <w:color w:val="auto"/>
          <w:sz w:val="21"/>
          <w:szCs w:val="21"/>
        </w:rPr>
      </w:pPr>
      <w:r>
        <w:rPr>
          <w:rFonts w:ascii="宋体" w:eastAsia="宋体"/>
          <w:color w:val="auto"/>
          <w:sz w:val="21"/>
          <w:szCs w:val="21"/>
        </w:rPr>
        <w:t>基金管理人在运用基金财产开展场内证券交易前，基金管理人通过基金托管账户与证券交易资金账户已建立的第三方存管系统在基金托管账户与证券交易资金账户之间划款，即银证互转。</w:t>
      </w:r>
    </w:p>
    <w:p w14:paraId="5F72D254">
      <w:pPr>
        <w:pStyle w:val="15"/>
        <w:spacing w:before="100" w:beforeAutospacing="1" w:after="100" w:afterAutospacing="1"/>
        <w:ind w:firstLine="403"/>
        <w:rPr>
          <w:rFonts w:ascii="宋体" w:eastAsia="宋体"/>
          <w:color w:val="auto"/>
          <w:sz w:val="21"/>
          <w:szCs w:val="21"/>
        </w:rPr>
      </w:pPr>
      <w:r>
        <w:rPr>
          <w:rFonts w:ascii="宋体" w:eastAsia="宋体"/>
          <w:color w:val="auto"/>
          <w:sz w:val="21"/>
          <w:szCs w:val="21"/>
        </w:rPr>
        <w:t>基金管理人在运用基金财产时向基金托管人发送场外交易资金划拨及其他款项付款指令，基金托管人执行基金管理人的指令、办理基金名下的资金往来等有关事项。</w:t>
      </w:r>
    </w:p>
    <w:p w14:paraId="52FBC4EB">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基金管理人发送的指令包括电子指令和纸质指令。</w:t>
      </w:r>
    </w:p>
    <w:p w14:paraId="1FBE547F">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电子指令包括基金管理人发送的电子指令（采用深证通金融数据交换平台发送的电子指令、采用SWIFT电子报文发送的电子指令、通过中国银行托管网银发送的电子指令）、自动产生的电子指令（基金托管人的全球托管系统根据基金管理人的授权通过预先设定的业务规则自动产生的电子指令）。电子指令一经发出即被视为合法有效指令，</w:t>
      </w:r>
      <w:r>
        <w:rPr>
          <w:rFonts w:ascii="宋体" w:eastAsia="宋体"/>
          <w:color w:val="auto"/>
          <w:sz w:val="21"/>
          <w:szCs w:val="21"/>
        </w:rPr>
        <w:t>纸质传真纸质指令作为应急方式备用。基金管理人通过深</w:t>
      </w:r>
      <w:r>
        <w:rPr>
          <w:rFonts w:hint="eastAsia" w:ascii="宋体" w:eastAsia="宋体"/>
          <w:color w:val="auto"/>
          <w:sz w:val="21"/>
          <w:szCs w:val="21"/>
        </w:rPr>
        <w:t>证通金融数据交换平台发送的电子指令，基金托管人根据USER ID和APP ID唯一识别基金管理人身份，基金管理人应妥善保管USER ID和APP ID，基金托管人身份识别后对于执行该电子指令造成的</w:t>
      </w:r>
      <w:r>
        <w:rPr>
          <w:rFonts w:ascii="宋体" w:eastAsia="宋体"/>
          <w:color w:val="auto"/>
          <w:sz w:val="21"/>
          <w:szCs w:val="21"/>
        </w:rPr>
        <w:t>相应</w:t>
      </w:r>
      <w:r>
        <w:rPr>
          <w:rFonts w:hint="eastAsia" w:ascii="宋体" w:eastAsia="宋体"/>
          <w:color w:val="auto"/>
          <w:sz w:val="21"/>
          <w:szCs w:val="21"/>
        </w:rPr>
        <w:t>损失基金托管人不承担责任。</w:t>
      </w:r>
    </w:p>
    <w:p w14:paraId="63BC5FE8">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纸质指令是指基金管理人无法通过以上电子传送渠道传送到基金托管人全球托管系统的指令，纸质指令的传送方式为传真、邮件等双方认可的方式。</w:t>
      </w:r>
    </w:p>
    <w:p w14:paraId="4CB823F8">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（一）基金管理人对发送纸质指令人员的书面授权</w:t>
      </w:r>
    </w:p>
    <w:p w14:paraId="4F48AF05">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基金管理人应当事先向基金托管人发出书面通知（以下称“授权通知”），载明基金管理人有权发送指令的人员名单（以下称“指令发送人员”）及各个人员的权限范围。基金管理人应向基金托管人提供指令发送人员的人名印鉴的预留印鉴样本和签字样本。</w:t>
      </w:r>
    </w:p>
    <w:p w14:paraId="326F290F">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2、基金管理人向基金托管人发出的授权通知应加盖公章并由法定代表人或其授权签字人签署，若由授权签字人签署，还应附上法定代表人的授权书。基金管理人向基金托管人以传真的形式发送授权通知后同时电话通知基金托管人。授权通知自基金托管人电话确认后于通知载明的生效时间起生效。通知载明的生效时间不得早于电话确认时间。基金管理人在此后3个工作日内将授权通知原件送交基金托管人。</w:t>
      </w:r>
    </w:p>
    <w:p w14:paraId="6D8700E9">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3、基金管理人和基金托管人对授权通知及其更改负有保密义务，其内容不得向指令发送人员及相关操作人员以外的任何人披露、泄露。</w:t>
      </w:r>
    </w:p>
    <w:p w14:paraId="6F3ACA07">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（二）指令的内容</w:t>
      </w:r>
    </w:p>
    <w:p w14:paraId="3D655139">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指令是基金管理人在运作基金财产时，向基金托管人发出的资金划拨及投资指令。相关登记结算公司向基金托管人发送的结算通知视为基金管理人向基金托管人发出的指令。</w:t>
      </w:r>
    </w:p>
    <w:p w14:paraId="72E9DA16">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（三）指令的发送、确认和执行</w:t>
      </w:r>
    </w:p>
    <w:p w14:paraId="7ED36A72">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指令由“授权通知”确定的指令发送人员代表基金管理人用传真的方式或其他双方确认的方式向基金托管人发送。对于指令发送人员发出的指令，基金管理人不得否认其效力。但如果基金管理人已经撤销或更改对指令发送人员的授权，并且基金托管人已收到该通知，则对于此后该指令发送人员无权发送的指令，或超权限发送的指令，基金管理人不承担责任。</w:t>
      </w:r>
    </w:p>
    <w:p w14:paraId="0FA79E10">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2、基金管理人应按照《基金法》、《运作办法》、《基金合同》和有关法律法规的规定，在其合法的经营权限和交易权限内，并依据相关业务规则发送指令。指令发出后，基金管理人应及时</w:t>
      </w:r>
      <w:r>
        <w:rPr>
          <w:rFonts w:ascii="宋体" w:eastAsia="宋体"/>
          <w:color w:val="auto"/>
          <w:sz w:val="21"/>
          <w:szCs w:val="21"/>
        </w:rPr>
        <w:t xml:space="preserve">通过电话或其他双方认可的方式通知基金托管人。    </w:t>
      </w:r>
    </w:p>
    <w:p w14:paraId="2C678F06">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3、基金托管人在接</w:t>
      </w:r>
      <w:r>
        <w:rPr>
          <w:rFonts w:ascii="宋体" w:eastAsia="宋体"/>
          <w:color w:val="auto"/>
          <w:sz w:val="21"/>
          <w:szCs w:val="21"/>
        </w:rPr>
        <w:t>收</w:t>
      </w:r>
      <w:r>
        <w:rPr>
          <w:rFonts w:hint="eastAsia" w:ascii="宋体" w:eastAsia="宋体"/>
          <w:color w:val="auto"/>
          <w:sz w:val="21"/>
          <w:szCs w:val="21"/>
        </w:rPr>
        <w:t>指令时，应对指令的要素是否齐全、印鉴是否与授权通知相符等进行表面真实性的检查，对合法合规的指令，基金托管人应在规定期限内执行，不得</w:t>
      </w:r>
      <w:r>
        <w:rPr>
          <w:rFonts w:hint="eastAsia" w:ascii="宋体" w:eastAsia="宋体"/>
          <w:sz w:val="21"/>
          <w:szCs w:val="21"/>
        </w:rPr>
        <w:t>不合理</w:t>
      </w:r>
      <w:r>
        <w:rPr>
          <w:rFonts w:hint="eastAsia" w:ascii="宋体" w:eastAsia="宋体"/>
          <w:color w:val="auto"/>
          <w:sz w:val="21"/>
          <w:szCs w:val="21"/>
        </w:rPr>
        <w:t>延误。</w:t>
      </w:r>
    </w:p>
    <w:p w14:paraId="1BE6B066">
      <w:pPr>
        <w:spacing w:before="100" w:after="100" w:line="400" w:lineRule="atLeast"/>
        <w:ind w:firstLine="403"/>
        <w:rPr>
          <w:sz w:val="28"/>
          <w:szCs w:val="21"/>
        </w:rPr>
      </w:pPr>
      <w:r>
        <w:rPr>
          <w:rFonts w:hint="eastAsia" w:ascii="宋体"/>
          <w:szCs w:val="21"/>
        </w:rPr>
        <w:t>4、</w:t>
      </w:r>
      <w:r>
        <w:rPr>
          <w:rFonts w:ascii="宋体" w:hAnsi="宋体" w:cs="宋体"/>
          <w:color w:val="000000"/>
        </w:rPr>
        <w:t>对于银行间业务，如需发送银行间成交单的，基金管理人应在交易结束后将银行间同业市场债券交易成交单经有权人员签字并加盖印章后及时发送给基金托管人。如不需采用发送交易成交单的形式，基金管理人应对基金托管人进行书面授权确认。如果银行间簿记系统已经生成的交易需要取消或终止，基金管理人需书面通知基金托管人。</w:t>
      </w:r>
    </w:p>
    <w:p w14:paraId="263C52A1">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5、基金管理人在发送指令时，应为基金托管人执行指令留出执行指令时所必需的时间。</w:t>
      </w:r>
      <w:bookmarkStart w:id="9" w:name="OLE_LINK2"/>
      <w:bookmarkStart w:id="10" w:name="OLE_LINK1"/>
      <w:r>
        <w:rPr>
          <w:rFonts w:hint="eastAsia" w:ascii="宋体" w:eastAsia="宋体"/>
          <w:color w:val="auto"/>
          <w:sz w:val="21"/>
          <w:szCs w:val="21"/>
        </w:rPr>
        <w:t>因基金管理人指令传输不及时未能留出足够的执行时间，致使指令未能及时执行所造成的损失由基金管理人承担。</w:t>
      </w:r>
      <w:bookmarkEnd w:id="9"/>
      <w:bookmarkEnd w:id="10"/>
    </w:p>
    <w:p w14:paraId="733AABBF">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（四）基金管理人发送错误指令的情形和处理程序</w:t>
      </w:r>
    </w:p>
    <w:p w14:paraId="2CDBC69C">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基金管理人发送错误指令的情形主要包括：指令要素错误、无投资行为的指令、预留印鉴错误等情形。</w:t>
      </w:r>
    </w:p>
    <w:p w14:paraId="065F0AD8">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基金托管人发现基金管理人的指令错误时，有权拒绝执行，并及时通知基金管理人改正。对基金管理人更正并重新发送后的指令经基金托管人核对确认后方能执行。</w:t>
      </w:r>
    </w:p>
    <w:p w14:paraId="072FAE7B">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（五）基金托管人依照法律法规暂缓、拒绝执行指令的情形和处理程序</w:t>
      </w:r>
    </w:p>
    <w:p w14:paraId="4B454607">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托管人发现基金管理人的指令违反法律法规规定或者《基金合同》约定，应当视情况暂缓或不予执行，并及时通知基金管理人要求其变更或撤销相关指令，若基金管理人在基金托管人发出上述通知后仍未变更或撤销相关指令，基金托管人应当暂缓或拒绝执行，并向中国证监会报告。</w:t>
      </w:r>
    </w:p>
    <w:p w14:paraId="3B9C4DDD">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管理人向基金托管人下达指令时，应确保基金的银行存款账户有足够的资金余额，确保基金的证券账户有足够的证券余额。对超头寸的指令，以及超过证券账户证券余额的指令，基金托管人可不予执行，但应及时通知基金管理人，由此造成的损失，由基金管理人承担。</w:t>
      </w:r>
    </w:p>
    <w:p w14:paraId="7663F086">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（六）基金托管人未按照基金管理人指令执行的处理方法</w:t>
      </w:r>
    </w:p>
    <w:p w14:paraId="730F2B54">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托管人因未正确执行基金管理人合法合规的指令，致使本基金的利益受到损害，基金托管人应在发现后及时采取措施予以补救，并承担相应的责任。除此之外，基金托管人对正确执行基金管理人的合法合规指令对基金造成的损失不承担责任。</w:t>
      </w:r>
    </w:p>
    <w:p w14:paraId="27FE3006">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（七）被授权人及授权权限的变更</w:t>
      </w:r>
      <w:r>
        <w:rPr>
          <w:rFonts w:ascii="宋体" w:eastAsia="宋体"/>
          <w:color w:val="auto"/>
          <w:sz w:val="21"/>
          <w:szCs w:val="21"/>
        </w:rPr>
        <w:tab/>
      </w:r>
    </w:p>
    <w:p w14:paraId="5D852F6B">
      <w:pPr>
        <w:pStyle w:val="15"/>
        <w:spacing w:before="100" w:beforeAutospacing="1" w:after="100" w:afterAutospacing="1"/>
        <w:ind w:firstLine="403"/>
        <w:rPr>
          <w:rFonts w:ascii="宋体" w:eastAsia="宋体"/>
          <w:color w:val="auto"/>
          <w:sz w:val="21"/>
          <w:szCs w:val="21"/>
        </w:rPr>
      </w:pPr>
      <w:r>
        <w:rPr>
          <w:rFonts w:ascii="宋体" w:eastAsia="宋体"/>
          <w:color w:val="auto"/>
          <w:sz w:val="21"/>
          <w:szCs w:val="21"/>
        </w:rPr>
        <w:t>基金管理人若对授权通知的内容进行修改（包括但不限于指令发送人员的名单的修改，及/或权限的修改），应当至少提前1个工作日通知基金托管人；修改授权通知的文件应由基金管理人加盖公章并由法定代表人或其授权签字人签署，若由授权签字人签署，还应附上法定代表人的授权书。基金管理人对授权通知的修改应当以传真的形式或其他双方确认的方式发送给基金托管人，同时电话通知基金托管人。基金管理人对授权通知的内容的修改自基金托管人电话确认后于通知载明的生效时间起生效。通知载明的生效时间不得早于电话确认时间。基金管理人在此后3个工作日内将对授权通知修改的文件原件送交基金托管人。</w:t>
      </w:r>
    </w:p>
    <w:p w14:paraId="59790286">
      <w:pPr>
        <w:pStyle w:val="15"/>
        <w:spacing w:before="100" w:beforeAutospacing="1" w:after="100" w:afterAutospacing="1"/>
        <w:ind w:firstLine="403"/>
        <w:rPr>
          <w:rFonts w:ascii="宋体" w:eastAsia="宋体"/>
          <w:color w:val="auto"/>
          <w:sz w:val="21"/>
          <w:szCs w:val="21"/>
        </w:rPr>
      </w:pPr>
    </w:p>
    <w:p w14:paraId="1262A2AD">
      <w:pPr>
        <w:pStyle w:val="2"/>
        <w:spacing w:before="100" w:beforeAutospacing="1" w:after="100" w:afterAutospacing="1" w:line="400" w:lineRule="exact"/>
        <w:ind w:firstLine="422"/>
        <w:rPr>
          <w:rFonts w:ascii="宋体" w:hAnsi="宋体"/>
          <w:sz w:val="21"/>
          <w:szCs w:val="21"/>
        </w:rPr>
      </w:pPr>
      <w:bookmarkStart w:id="11" w:name="_Toc116900101"/>
      <w:r>
        <w:rPr>
          <w:rFonts w:hint="eastAsia" w:ascii="宋体" w:hAnsi="宋体"/>
          <w:sz w:val="21"/>
          <w:szCs w:val="21"/>
        </w:rPr>
        <w:t>七、交易及清算交收安排</w:t>
      </w:r>
      <w:bookmarkEnd w:id="11"/>
    </w:p>
    <w:p w14:paraId="6D079213">
      <w:pPr>
        <w:pStyle w:val="29"/>
        <w:spacing w:before="100" w:beforeAutospacing="1" w:after="100" w:afterAutospacing="1" w:line="400" w:lineRule="exact"/>
        <w:ind w:left="0" w:firstLine="403"/>
        <w:rPr>
          <w:rFonts w:ascii="宋体" w:hAnsi="宋体" w:eastAsia="宋体"/>
          <w:b/>
          <w:sz w:val="21"/>
          <w:szCs w:val="21"/>
        </w:rPr>
      </w:pPr>
      <w:r>
        <w:rPr>
          <w:rFonts w:hint="eastAsia" w:ascii="宋体" w:hAnsi="宋体" w:eastAsia="宋体"/>
          <w:sz w:val="21"/>
          <w:szCs w:val="21"/>
        </w:rPr>
        <w:t>（一）基金管理人负责选择代理本基金证券、期货买卖的证券经纪机构、期货经纪机构。</w:t>
      </w:r>
    </w:p>
    <w:p w14:paraId="567BCAD4">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1、选择代理证券买卖的证券经营机构的程序</w:t>
      </w:r>
    </w:p>
    <w:p w14:paraId="1ACEA75F">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管理人根据标准进行考察后确定证券经纪机构的选择，并与其签订证券经纪合同。基金管理人、基金托管人和证券经纪机构可就本基金参与证券交易的具体事项另行签订证券经纪服务协议，用以具体明确三方在证券交易资金结算业务中的责任。因相关法律法规或交易规则的修改带来的变化，以届时有效的法律法规和相关交易规则为准。</w:t>
      </w:r>
    </w:p>
    <w:p w14:paraId="04F7AB53">
      <w:pPr>
        <w:pStyle w:val="15"/>
        <w:spacing w:before="100" w:beforeAutospacing="1" w:after="100" w:afterAutospacing="1"/>
        <w:ind w:firstLine="403"/>
        <w:rPr>
          <w:rFonts w:ascii="宋体" w:eastAsia="宋体"/>
          <w:sz w:val="21"/>
          <w:szCs w:val="21"/>
        </w:rPr>
      </w:pPr>
      <w:r>
        <w:rPr>
          <w:rFonts w:ascii="宋体" w:eastAsia="宋体"/>
          <w:sz w:val="21"/>
          <w:szCs w:val="21"/>
        </w:rPr>
        <w:t>2</w:t>
      </w:r>
      <w:r>
        <w:rPr>
          <w:rFonts w:hint="eastAsia" w:ascii="宋体" w:eastAsia="宋体"/>
          <w:sz w:val="21"/>
          <w:szCs w:val="21"/>
        </w:rPr>
        <w:t>、相关信息的通知</w:t>
      </w:r>
    </w:p>
    <w:p w14:paraId="2C745164">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基金管理人应及时以邮件形式通知基金托管人佣金费率等基金基本信息以及变更情况，以便基金托管人估值核算使用。</w:t>
      </w:r>
    </w:p>
    <w:p w14:paraId="056332B0">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（二）基金清算交收</w:t>
      </w:r>
    </w:p>
    <w:p w14:paraId="499C36BF">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w:t>
      </w:r>
    </w:p>
    <w:p w14:paraId="08ED08B1">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对基金管理人的资金划拨指令，基金托管人在复核无误后应在规定期限内执行不得延误。</w:t>
      </w:r>
    </w:p>
    <w:p w14:paraId="087336D6">
      <w:pPr>
        <w:spacing w:before="120" w:after="120" w:line="400" w:lineRule="exact"/>
        <w:ind w:left="120" w:right="120" w:firstLine="420" w:firstLineChars="200"/>
        <w:rPr>
          <w:rFonts w:eastAsia="Times New Roman"/>
          <w:szCs w:val="21"/>
        </w:rPr>
      </w:pPr>
      <w:r>
        <w:rPr>
          <w:rFonts w:ascii="宋体" w:hAnsi="宋体" w:cs="宋体"/>
          <w:color w:val="000000"/>
          <w:szCs w:val="21"/>
        </w:rPr>
        <w:t>如果因为基金管理人违反法律法规的规定进行证券投资或违反双方签订的协议造成基金投资清算困难和风险的，基金托管人发现后应立即通知基金管理人，由基金管理人负责解决，由此给基金造成的损失由基金管理人承担。场外资金对外投资划款由基金托管人凭基金管理人符合本托管协议约定的有效资金划拨指令进行资金划拨；场外投资本金及收益的划回，由基金管理人负责协调相关资金划拨回资金托管账户事宜。</w:t>
      </w:r>
    </w:p>
    <w:p w14:paraId="470B5CA0">
      <w:pPr>
        <w:spacing w:before="100" w:after="100" w:line="400" w:lineRule="exact"/>
        <w:ind w:firstLine="420" w:firstLineChars="200"/>
        <w:rPr>
          <w:szCs w:val="21"/>
        </w:rPr>
      </w:pPr>
      <w:r>
        <w:rPr>
          <w:rFonts w:ascii="宋体" w:hAnsi="宋体" w:cs="宋体"/>
          <w:color w:val="000000"/>
          <w:szCs w:val="21"/>
        </w:rPr>
        <w:t>本基金投资于期货发生的资金交割清算由基金管理人选定的期货经纪公司负责办理，基金托管人对由于期货交易所期货保证金制度和清算交割的需要而存放在期货经纪公司的资金不行使保管职责和交收职责，基金管理人应在期货经纪协议或其它协议中约定由选定的期货经纪公司承担资金安全保管责任和交收责任。</w:t>
      </w:r>
    </w:p>
    <w:p w14:paraId="19ED3866">
      <w:pPr>
        <w:spacing w:before="100" w:after="100" w:line="400" w:lineRule="exact"/>
        <w:ind w:firstLine="420" w:firstLineChars="200"/>
        <w:rPr>
          <w:rFonts w:ascii="宋体" w:hAnsi="宋体" w:cs="宋体"/>
          <w:color w:val="000000"/>
          <w:szCs w:val="21"/>
        </w:rPr>
      </w:pPr>
      <w:r>
        <w:rPr>
          <w:rFonts w:ascii="宋体" w:hAnsi="宋体" w:cs="宋体"/>
          <w:color w:val="000000"/>
          <w:szCs w:val="21"/>
        </w:rPr>
        <w:t>由于基金管理人或基金托管人原因导致基金资金透支、超买或超卖等情形的，由责任方承担相应的责任。</w:t>
      </w:r>
    </w:p>
    <w:p w14:paraId="3C996577">
      <w:pPr>
        <w:spacing w:before="100" w:after="100" w:line="400" w:lineRule="exact"/>
        <w:ind w:firstLine="420" w:firstLineChars="200"/>
        <w:rPr>
          <w:szCs w:val="21"/>
        </w:rPr>
      </w:pPr>
      <w:r>
        <w:rPr>
          <w:rFonts w:ascii="宋体" w:hAnsi="宋体" w:cs="宋体"/>
          <w:color w:val="000000"/>
          <w:szCs w:val="21"/>
        </w:rPr>
        <w:t>基金管理人应保证基金托管人在执行基金管理人发送的划款指令时，基金银行账户或资金交收账户上有充足的资金。基金的资金头寸不足时，基金托管人有权拒绝基金管理人发送的划款指令，并及时通知管理人，由此造成的损失，由基金管理人负责赔偿。基金管理人在发送划款指令时应充分考虑基金托管人的划款处理时间。对于要求当天到账的指令，应在当天15:00前发送；对于要求当天某一时点到账，则指令需提前2个工作小时发送，并保证相关付款条件已经具备。对于新股申购网下公开发行业务，基金管理人应在网下申购缴款日(T日)的前一工作日下班前将新股申购指令发送给基金托管人，指令发送时间最迟不应晚于T日上午10：00时。</w:t>
      </w:r>
    </w:p>
    <w:p w14:paraId="63D659D9">
      <w:pPr>
        <w:spacing w:line="400" w:lineRule="exact"/>
        <w:ind w:firstLine="420" w:firstLineChars="200"/>
      </w:pPr>
      <w:r>
        <w:rPr>
          <w:rFonts w:ascii="宋体" w:hAnsi="宋体" w:cs="宋体"/>
          <w:color w:val="000000"/>
          <w:szCs w:val="21"/>
        </w:rPr>
        <w:t>因基金管理人指令传输不及时，致使资金未能及时划入中国证券登记结算有限责任公司所造成的损失由基金管理人承担。在基金资金头寸充足的情况下，基金托管人对基金管理人符合法律法规、《基金合同》、基金托管协议的指令不得不合理拖延或拒绝执行。</w:t>
      </w:r>
    </w:p>
    <w:p w14:paraId="62F997DC">
      <w:pPr>
        <w:spacing w:line="400" w:lineRule="exact"/>
        <w:ind w:firstLine="420" w:firstLineChars="200"/>
        <w:rPr>
          <w:rFonts w:ascii="宋体" w:hAnsi="宋体" w:cs="宋体"/>
          <w:color w:val="000000"/>
          <w:szCs w:val="21"/>
        </w:rPr>
      </w:pPr>
      <w:r>
        <w:rPr>
          <w:rFonts w:ascii="宋体" w:hAnsi="宋体" w:cs="宋体"/>
          <w:color w:val="000000"/>
          <w:szCs w:val="21"/>
        </w:rPr>
        <w:t>证券经纪机构代理本基金财产与中国证券登记</w:t>
      </w:r>
      <w:r>
        <w:rPr>
          <w:rFonts w:hint="eastAsia" w:ascii="宋体" w:hAnsi="宋体" w:cs="宋体"/>
          <w:color w:val="000000"/>
          <w:szCs w:val="21"/>
        </w:rPr>
        <w:t>结算有限责任公司完成证券交易及非交易涉及的证券资金结算业务，并承担由证券经纪机构原因造成的正常结算、交收业务无法完成的责任。</w:t>
      </w:r>
    </w:p>
    <w:p w14:paraId="1C43B1EF">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（三）资金、证券账目和交易记录核对</w:t>
      </w:r>
    </w:p>
    <w:p w14:paraId="6C0DDD96">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基金管理人和基金托管人应对本基金的资金、证券账目及交易记录进行核对。</w:t>
      </w:r>
    </w:p>
    <w:p w14:paraId="6AFAB36F">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（四）申购、赎回和基金转换的资金清算</w:t>
      </w:r>
    </w:p>
    <w:p w14:paraId="2EC2918D">
      <w:pPr>
        <w:pStyle w:val="29"/>
        <w:spacing w:before="100" w:beforeAutospacing="1" w:after="100" w:afterAutospacing="1" w:line="400" w:lineRule="exact"/>
        <w:ind w:left="0" w:right="26" w:firstLine="403"/>
        <w:rPr>
          <w:rFonts w:ascii="宋体" w:hAnsi="宋体" w:eastAsia="宋体"/>
          <w:color w:val="000000"/>
          <w:sz w:val="21"/>
          <w:szCs w:val="21"/>
        </w:rPr>
      </w:pPr>
      <w:r>
        <w:rPr>
          <w:rFonts w:hint="eastAsia" w:ascii="宋体" w:hAnsi="宋体" w:eastAsia="宋体"/>
          <w:color w:val="000000"/>
          <w:sz w:val="21"/>
          <w:szCs w:val="21"/>
        </w:rPr>
        <w:t>1、T日，投资者进行基金申购、赎回和转换申请，基金管理人和基金托管人分别计算基金资产净值，并进行核对；基金管理人将双方</w:t>
      </w:r>
      <w:r>
        <w:rPr>
          <w:rFonts w:ascii="宋体" w:hAnsi="宋体" w:eastAsia="宋体"/>
          <w:color w:val="000000"/>
          <w:sz w:val="21"/>
          <w:szCs w:val="21"/>
        </w:rPr>
        <w:t>确认的或基金管理人决定采用的各类基金份额净值以基金份额净值公告的形式传真至相关信息披露规定媒介。</w:t>
      </w:r>
    </w:p>
    <w:p w14:paraId="79569B2C">
      <w:pPr>
        <w:pStyle w:val="29"/>
        <w:spacing w:before="100" w:beforeAutospacing="1" w:after="100" w:afterAutospacing="1" w:line="400" w:lineRule="exact"/>
        <w:ind w:left="0" w:right="26" w:firstLine="403"/>
        <w:rPr>
          <w:rFonts w:ascii="宋体" w:hAnsi="宋体" w:eastAsia="宋体"/>
          <w:color w:val="000000"/>
          <w:sz w:val="21"/>
          <w:szCs w:val="21"/>
        </w:rPr>
      </w:pPr>
      <w:r>
        <w:rPr>
          <w:rFonts w:hint="eastAsia" w:ascii="宋体" w:hAnsi="宋体" w:eastAsia="宋体"/>
          <w:color w:val="000000"/>
          <w:sz w:val="21"/>
          <w:szCs w:val="21"/>
        </w:rPr>
        <w:t>2、T+1日，登记机构根据T日各类基金份额净值计算申购份额、赎回金额及转换份额，更新基金份额持有人数据库；并将确认的申购、赎回及转换数据向基金托管人、基金管理人传送。基金管理人、基金托管人根据确认数据进行账务处理。</w:t>
      </w:r>
    </w:p>
    <w:p w14:paraId="0A8BD5BB">
      <w:pPr>
        <w:pStyle w:val="29"/>
        <w:spacing w:before="100" w:beforeAutospacing="1" w:after="100" w:afterAutospacing="1" w:line="400" w:lineRule="exact"/>
        <w:ind w:left="0" w:right="26" w:firstLine="403"/>
        <w:rPr>
          <w:rFonts w:ascii="宋体" w:hAnsi="宋体" w:eastAsia="宋体"/>
          <w:color w:val="000000"/>
          <w:sz w:val="21"/>
          <w:szCs w:val="21"/>
        </w:rPr>
      </w:pPr>
      <w:r>
        <w:rPr>
          <w:rFonts w:hint="eastAsia" w:ascii="宋体" w:hAnsi="宋体" w:eastAsia="宋体"/>
          <w:color w:val="000000"/>
          <w:sz w:val="21"/>
          <w:szCs w:val="21"/>
        </w:rPr>
        <w:t>3、基金托管账户与“基金清算账户”间，申购（直销渠道）资金实行T+1日清算申购，申购（代销渠道）资金实行T+2日清算，赎回款及基金转入转出款实行T+3 日清算。</w:t>
      </w:r>
    </w:p>
    <w:p w14:paraId="31932C65">
      <w:pPr>
        <w:pStyle w:val="29"/>
        <w:spacing w:before="100" w:beforeAutospacing="1" w:after="100" w:afterAutospacing="1" w:line="400" w:lineRule="exact"/>
        <w:ind w:left="0" w:right="26" w:firstLine="403"/>
        <w:rPr>
          <w:rFonts w:ascii="宋体" w:hAnsi="宋体" w:eastAsia="宋体"/>
          <w:color w:val="000000"/>
          <w:sz w:val="21"/>
          <w:szCs w:val="21"/>
        </w:rPr>
      </w:pPr>
      <w:r>
        <w:rPr>
          <w:rFonts w:hint="eastAsia" w:ascii="宋体" w:hAnsi="宋体" w:eastAsia="宋体"/>
          <w:color w:val="000000"/>
          <w:sz w:val="21"/>
          <w:szCs w:val="21"/>
        </w:rPr>
        <w:t>4、基金托管账户与“基金清算账户”间的资金清算遵循“</w:t>
      </w:r>
      <w:r>
        <w:rPr>
          <w:rFonts w:ascii="宋体" w:hAnsi="宋体" w:eastAsia="宋体"/>
          <w:color w:val="000000"/>
          <w:sz w:val="21"/>
          <w:szCs w:val="21"/>
        </w:rPr>
        <w:t>净额</w:t>
      </w:r>
      <w:r>
        <w:rPr>
          <w:rFonts w:hint="eastAsia" w:ascii="宋体" w:hAnsi="宋体" w:eastAsia="宋体"/>
          <w:color w:val="000000"/>
          <w:sz w:val="21"/>
          <w:szCs w:val="21"/>
        </w:rPr>
        <w:t>清算、净额交收”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w:t>
      </w:r>
      <w:r>
        <w:rPr>
          <w:rFonts w:ascii="宋体" w:hAnsi="宋体" w:eastAsia="宋体"/>
          <w:color w:val="000000"/>
          <w:sz w:val="21"/>
          <w:szCs w:val="21"/>
        </w:rPr>
        <w:t>交收</w:t>
      </w:r>
      <w:r>
        <w:rPr>
          <w:rFonts w:hint="eastAsia" w:ascii="宋体" w:hAnsi="宋体" w:eastAsia="宋体"/>
          <w:color w:val="000000"/>
          <w:sz w:val="21"/>
          <w:szCs w:val="21"/>
        </w:rPr>
        <w:t>日16:00前从“基金清算账户”划到基金托管账户；当存在托管账户净应付额时，基金托管人按管理人的划款指令将托管账户净应付额在</w:t>
      </w:r>
      <w:r>
        <w:rPr>
          <w:rFonts w:ascii="宋体" w:hAnsi="宋体" w:eastAsia="宋体"/>
          <w:color w:val="000000"/>
          <w:sz w:val="21"/>
          <w:szCs w:val="21"/>
        </w:rPr>
        <w:t>交收</w:t>
      </w:r>
      <w:r>
        <w:rPr>
          <w:rFonts w:hint="eastAsia" w:ascii="宋体" w:hAnsi="宋体" w:eastAsia="宋体"/>
          <w:color w:val="000000"/>
          <w:sz w:val="21"/>
          <w:szCs w:val="21"/>
        </w:rPr>
        <w:t>日16:00前划到“基金清算账户”。</w:t>
      </w:r>
    </w:p>
    <w:p w14:paraId="761AE0C6">
      <w:pPr>
        <w:pStyle w:val="29"/>
        <w:spacing w:before="100" w:beforeAutospacing="1" w:after="100" w:afterAutospacing="1" w:line="400" w:lineRule="exact"/>
        <w:ind w:left="0" w:right="26" w:firstLine="403"/>
        <w:rPr>
          <w:rFonts w:ascii="宋体" w:eastAsia="宋体"/>
          <w:sz w:val="21"/>
          <w:szCs w:val="21"/>
        </w:rPr>
      </w:pPr>
      <w:r>
        <w:rPr>
          <w:rFonts w:hint="eastAsia" w:ascii="宋体" w:eastAsia="宋体"/>
          <w:sz w:val="21"/>
          <w:szCs w:val="21"/>
        </w:rPr>
        <w:t>5、基金管理人未能按上款约定将托管账户净应收额全额、及时汇至基金托管账户，由此产生的责任应由该基金管理人承担；基金托管人未能按上款约定将托管账户净应付额全额、及时汇至“基金清算账户”，由此产生的责任应由基金托管人承担</w:t>
      </w:r>
      <w:r>
        <w:rPr>
          <w:rFonts w:ascii="宋体" w:eastAsia="宋体" w:cs="方正仿宋简体"/>
          <w:sz w:val="21"/>
          <w:szCs w:val="21"/>
        </w:rPr>
        <w:t>（不可抗力或基金托管人无过错的情况除外）</w:t>
      </w:r>
      <w:r>
        <w:rPr>
          <w:rFonts w:hint="eastAsia" w:ascii="宋体" w:eastAsia="宋体"/>
          <w:sz w:val="21"/>
          <w:szCs w:val="21"/>
        </w:rPr>
        <w:t>。</w:t>
      </w:r>
    </w:p>
    <w:p w14:paraId="002E1414">
      <w:pPr>
        <w:pStyle w:val="15"/>
        <w:spacing w:before="100" w:beforeAutospacing="1" w:after="100" w:afterAutospacing="1"/>
        <w:ind w:firstLine="403"/>
        <w:rPr>
          <w:rFonts w:ascii="宋体" w:eastAsia="宋体"/>
          <w:sz w:val="21"/>
          <w:szCs w:val="21"/>
        </w:rPr>
      </w:pPr>
      <w:r>
        <w:rPr>
          <w:rFonts w:hint="eastAsia" w:ascii="宋体" w:eastAsia="宋体"/>
          <w:sz w:val="21"/>
          <w:szCs w:val="21"/>
        </w:rPr>
        <w:t>6、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14:paraId="02C4F865">
      <w:pPr>
        <w:pStyle w:val="15"/>
        <w:spacing w:before="100" w:beforeAutospacing="1" w:after="100" w:afterAutospacing="1"/>
        <w:ind w:firstLine="403"/>
        <w:rPr>
          <w:rFonts w:ascii="宋体" w:eastAsia="宋体"/>
          <w:sz w:val="21"/>
          <w:szCs w:val="21"/>
        </w:rPr>
      </w:pPr>
    </w:p>
    <w:p w14:paraId="5979E5DA">
      <w:pPr>
        <w:pStyle w:val="2"/>
        <w:spacing w:before="100" w:beforeAutospacing="1" w:after="100" w:afterAutospacing="1" w:line="400" w:lineRule="exact"/>
        <w:ind w:firstLine="422"/>
        <w:rPr>
          <w:rFonts w:ascii="宋体" w:hAnsi="宋体"/>
          <w:sz w:val="21"/>
          <w:szCs w:val="21"/>
        </w:rPr>
      </w:pPr>
      <w:bookmarkStart w:id="12" w:name="_Toc116900103"/>
      <w:r>
        <w:rPr>
          <w:rFonts w:hint="eastAsia" w:ascii="宋体" w:hAnsi="宋体"/>
          <w:sz w:val="21"/>
          <w:szCs w:val="21"/>
        </w:rPr>
        <w:t>八、基金资产净值计算和会计核算</w:t>
      </w:r>
      <w:bookmarkEnd w:id="12"/>
    </w:p>
    <w:p w14:paraId="3473B606">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（一）基金资产净值的计算和复核</w:t>
      </w:r>
    </w:p>
    <w:p w14:paraId="561AD5ED">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1、基金资产净值是指基金资产总值减去基金负债后的价值。各类基金份额净值是指</w:t>
      </w:r>
      <w:r>
        <w:rPr>
          <w:rFonts w:ascii="宋体" w:hAnsi="宋体" w:eastAsia="宋体"/>
          <w:sz w:val="21"/>
          <w:szCs w:val="21"/>
        </w:rPr>
        <w:t>每个工作</w:t>
      </w:r>
      <w:r>
        <w:rPr>
          <w:rFonts w:hint="eastAsia" w:ascii="宋体" w:hAnsi="宋体" w:eastAsia="宋体"/>
          <w:sz w:val="21"/>
          <w:szCs w:val="21"/>
        </w:rPr>
        <w:t>日闭市后该类基金资产净值除以</w:t>
      </w:r>
      <w:r>
        <w:rPr>
          <w:rFonts w:ascii="宋体" w:hAnsi="宋体" w:eastAsia="宋体"/>
          <w:sz w:val="21"/>
          <w:szCs w:val="21"/>
        </w:rPr>
        <w:t>当</w:t>
      </w:r>
      <w:r>
        <w:rPr>
          <w:rFonts w:hint="eastAsia" w:ascii="宋体" w:hAnsi="宋体" w:eastAsia="宋体"/>
          <w:sz w:val="21"/>
          <w:szCs w:val="21"/>
        </w:rPr>
        <w:t>日该类基金份额的</w:t>
      </w:r>
      <w:r>
        <w:rPr>
          <w:rFonts w:hint="eastAsia" w:ascii="Segoe UI Symbol" w:hAnsi="Segoe UI Symbol" w:eastAsia="宋体" w:cs="Segoe UI Symbol"/>
          <w:sz w:val="21"/>
          <w:szCs w:val="21"/>
        </w:rPr>
        <w:t>余额</w:t>
      </w:r>
      <w:r>
        <w:rPr>
          <w:rFonts w:ascii="宋体" w:hAnsi="宋体" w:eastAsia="宋体"/>
          <w:sz w:val="21"/>
          <w:szCs w:val="21"/>
        </w:rPr>
        <w:t>数量</w:t>
      </w:r>
      <w:r>
        <w:rPr>
          <w:rFonts w:hint="eastAsia" w:ascii="宋体" w:hAnsi="宋体" w:eastAsia="宋体"/>
          <w:sz w:val="21"/>
          <w:szCs w:val="21"/>
        </w:rPr>
        <w:t>的价值。</w:t>
      </w:r>
    </w:p>
    <w:p w14:paraId="5E8DC574">
      <w:pPr>
        <w:spacing w:before="100" w:beforeAutospacing="1" w:after="100" w:afterAutospacing="1" w:line="400" w:lineRule="exact"/>
        <w:ind w:firstLine="420"/>
        <w:rPr>
          <w:rFonts w:ascii="宋体" w:hAnsi="宋体"/>
          <w:szCs w:val="21"/>
        </w:rPr>
      </w:pPr>
      <w:r>
        <w:rPr>
          <w:rFonts w:hint="eastAsia" w:ascii="宋体" w:hAnsi="宋体"/>
          <w:szCs w:val="21"/>
        </w:rPr>
        <w:t>2、基金管理人应每个工作日对基金财产估值，但基金管理人根据法律法规或《基金合同》的规定暂停估值时除外。估值原则应符合《基金合同》、《证券投资基金会计核算业务指引》、《企业会计准则》、监管部门有关规定及其他法律法规的规定。基金净值信息由基金管理人负责计算，基金托管人复核。基金管理人应于每个工作日结束后计算得出当日的</w:t>
      </w:r>
      <w:r>
        <w:rPr>
          <w:rFonts w:ascii="宋体" w:hAnsi="宋体"/>
          <w:szCs w:val="21"/>
        </w:rPr>
        <w:t>各类</w:t>
      </w:r>
      <w:r>
        <w:rPr>
          <w:rFonts w:hint="eastAsia" w:ascii="宋体" w:hAnsi="宋体"/>
          <w:szCs w:val="21"/>
        </w:rPr>
        <w:t>基金份额净值，并在盖章后以双方约定的方式发送给基金托管人。基金托管人应对各类基金份额净值计算结果进行复核，并以双方约定的方式将复核结果传送给基金管理人，</w:t>
      </w:r>
      <w:r>
        <w:rPr>
          <w:bCs/>
          <w:szCs w:val="20"/>
        </w:rPr>
        <w:t>经基金托管人复核无误后，</w:t>
      </w:r>
      <w:r>
        <w:rPr>
          <w:rFonts w:hint="eastAsia" w:ascii="宋体" w:hAnsi="宋体"/>
          <w:szCs w:val="21"/>
        </w:rPr>
        <w:t>由基金管理人按规定对外公布。月末、年中和年末估值复核与基金会计账目的核对同时进行。</w:t>
      </w:r>
    </w:p>
    <w:p w14:paraId="7FDCE39B">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3、当</w:t>
      </w:r>
      <w:r>
        <w:rPr>
          <w:rFonts w:hint="eastAsia" w:ascii="宋体" w:hAnsi="宋体" w:eastAsia="宋体" w:cs="方正仿宋简体"/>
          <w:sz w:val="21"/>
          <w:szCs w:val="21"/>
        </w:rPr>
        <w:t>相关法律法规或《基金合同》规定的估值方法不能客观反映基金财产公允价值时，</w:t>
      </w:r>
      <w:r>
        <w:rPr>
          <w:rFonts w:hint="eastAsia" w:ascii="宋体" w:hAnsi="宋体" w:eastAsia="宋体"/>
          <w:sz w:val="21"/>
          <w:szCs w:val="21"/>
        </w:rPr>
        <w:t>基金管理人可根据具体情况</w:t>
      </w:r>
      <w:r>
        <w:rPr>
          <w:rFonts w:ascii="宋体" w:hAnsi="宋体" w:eastAsia="宋体"/>
          <w:sz w:val="21"/>
          <w:szCs w:val="21"/>
        </w:rPr>
        <w:t>，</w:t>
      </w:r>
      <w:r>
        <w:rPr>
          <w:rFonts w:hint="eastAsia" w:ascii="宋体" w:hAnsi="宋体" w:eastAsia="宋体"/>
          <w:sz w:val="21"/>
          <w:szCs w:val="21"/>
        </w:rPr>
        <w:t>并与基金托管人商定后</w:t>
      </w:r>
      <w:r>
        <w:rPr>
          <w:rFonts w:ascii="宋体" w:hAnsi="宋体" w:eastAsia="宋体"/>
          <w:sz w:val="21"/>
          <w:szCs w:val="21"/>
        </w:rPr>
        <w:t>，</w:t>
      </w:r>
      <w:r>
        <w:rPr>
          <w:rFonts w:hint="eastAsia" w:ascii="宋体" w:hAnsi="宋体" w:eastAsia="宋体"/>
          <w:sz w:val="21"/>
          <w:szCs w:val="21"/>
        </w:rPr>
        <w:t>按最能反映公允价值的价格估值。</w:t>
      </w:r>
    </w:p>
    <w:p w14:paraId="5814A3CC">
      <w:pPr>
        <w:pStyle w:val="29"/>
        <w:spacing w:before="100" w:beforeAutospacing="1" w:after="100" w:afterAutospacing="1" w:line="400" w:lineRule="exact"/>
        <w:ind w:left="0" w:right="26" w:firstLine="403"/>
        <w:rPr>
          <w:rFonts w:ascii="宋体" w:hAnsi="宋体" w:eastAsia="宋体" w:cs="方正仿宋简体"/>
          <w:sz w:val="21"/>
          <w:szCs w:val="21"/>
        </w:rPr>
      </w:pPr>
      <w:r>
        <w:rPr>
          <w:rFonts w:hint="eastAsia" w:ascii="宋体" w:hAnsi="宋体" w:eastAsia="宋体"/>
          <w:sz w:val="21"/>
          <w:szCs w:val="21"/>
        </w:rPr>
        <w:t>4、</w:t>
      </w:r>
      <w:r>
        <w:rPr>
          <w:rFonts w:hint="eastAsia" w:ascii="宋体" w:hAnsi="宋体" w:eastAsia="宋体" w:cs="方正仿宋简体"/>
          <w:sz w:val="21"/>
          <w:szCs w:val="21"/>
        </w:rPr>
        <w:t>基金管理人、基金托管人发现基金估值违反《基金合同》订明的估值方法、程序以及相关法律法规的规定或者未能充分维护基金份额持有人利益时，双方应及时进行协商和纠正。</w:t>
      </w:r>
    </w:p>
    <w:p w14:paraId="2ADCB7EE">
      <w:pPr>
        <w:spacing w:before="100" w:beforeAutospacing="1" w:after="100" w:afterAutospacing="1" w:line="400" w:lineRule="exact"/>
        <w:ind w:firstLine="420"/>
        <w:rPr>
          <w:rFonts w:ascii="宋体" w:hAnsi="宋体"/>
          <w:szCs w:val="21"/>
        </w:rPr>
      </w:pPr>
      <w:r>
        <w:rPr>
          <w:rFonts w:hint="eastAsia" w:ascii="宋体" w:hAnsi="宋体" w:cs="方正仿宋简体"/>
          <w:szCs w:val="21"/>
        </w:rPr>
        <w:t>5、</w:t>
      </w:r>
      <w:r>
        <w:rPr>
          <w:rFonts w:hint="eastAsia" w:ascii="宋体" w:hAnsi="宋体"/>
          <w:szCs w:val="21"/>
        </w:rPr>
        <w:t>当某类基金份额净值小数点后4位以内（含第4位）发生估值错误时，视为该类基金份额净值错误。当任一类基金份额净值计算出现错误时，基金管理人应当立即予以纠正，通报基金托管人，并采取合理的措施防止损失进一步扩大；错误偏差达到该类基金份额净值的</w:t>
      </w:r>
      <w:r>
        <w:rPr>
          <w:rFonts w:ascii="宋体" w:hAnsi="宋体"/>
          <w:szCs w:val="21"/>
        </w:rPr>
        <w:t>0.</w:t>
      </w:r>
      <w:r>
        <w:rPr>
          <w:rFonts w:hint="eastAsia" w:ascii="宋体" w:hAnsi="宋体"/>
          <w:szCs w:val="21"/>
        </w:rPr>
        <w:t>2</w:t>
      </w:r>
      <w:r>
        <w:rPr>
          <w:rFonts w:ascii="宋体" w:hAnsi="宋体"/>
          <w:szCs w:val="21"/>
        </w:rPr>
        <w:t>5%</w:t>
      </w:r>
      <w:r>
        <w:rPr>
          <w:rFonts w:hint="eastAsia" w:ascii="宋体" w:hAnsi="宋体"/>
          <w:szCs w:val="21"/>
        </w:rPr>
        <w:t>时，基金管理人应当</w:t>
      </w:r>
      <w:r>
        <w:rPr>
          <w:bCs/>
          <w:szCs w:val="20"/>
        </w:rPr>
        <w:t>通报</w:t>
      </w:r>
      <w:r>
        <w:rPr>
          <w:rFonts w:hint="eastAsia" w:ascii="宋体" w:hAnsi="宋体"/>
          <w:szCs w:val="21"/>
        </w:rPr>
        <w:t>基金托管人并报中国证监会备案；</w:t>
      </w:r>
      <w:r>
        <w:rPr>
          <w:bCs/>
          <w:szCs w:val="20"/>
        </w:rPr>
        <w:t>错误偏差</w:t>
      </w:r>
      <w:r>
        <w:rPr>
          <w:rFonts w:hint="eastAsia" w:ascii="宋体" w:hAnsi="宋体"/>
          <w:szCs w:val="21"/>
        </w:rPr>
        <w:t>达到该类基金份额净值的</w:t>
      </w:r>
      <w:r>
        <w:rPr>
          <w:rFonts w:ascii="宋体" w:hAnsi="宋体"/>
          <w:szCs w:val="21"/>
        </w:rPr>
        <w:t>0.5%</w:t>
      </w:r>
      <w:r>
        <w:rPr>
          <w:rFonts w:hint="eastAsia" w:ascii="宋体" w:hAnsi="宋体"/>
          <w:szCs w:val="21"/>
        </w:rPr>
        <w:t>时，基金管理人应当通知基金托管人，并报中国证监会备案。</w:t>
      </w:r>
      <w:r>
        <w:rPr>
          <w:rFonts w:ascii="宋体" w:hAnsi="宋体"/>
          <w:szCs w:val="21"/>
        </w:rPr>
        <w:t>如法律法规或监管机关</w:t>
      </w:r>
      <w:r>
        <w:rPr>
          <w:rFonts w:hint="eastAsia" w:ascii="宋体" w:hAnsi="宋体"/>
          <w:szCs w:val="21"/>
        </w:rPr>
        <w:t>对</w:t>
      </w:r>
      <w:r>
        <w:rPr>
          <w:rFonts w:ascii="宋体" w:hAnsi="宋体"/>
          <w:szCs w:val="21"/>
        </w:rPr>
        <w:t>前述内容另有规定的，按其规定处理。</w:t>
      </w:r>
      <w:r>
        <w:rPr>
          <w:rFonts w:hint="eastAsia"/>
          <w:bCs/>
          <w:szCs w:val="20"/>
        </w:rPr>
        <w:t>如果行业另有通行做法，基金管理人和基金托管人应本着平等和保护基金份额持有人利益的原则进行协商。</w:t>
      </w:r>
    </w:p>
    <w:p w14:paraId="7088F1BC">
      <w:pPr>
        <w:pStyle w:val="29"/>
        <w:spacing w:before="100" w:beforeAutospacing="1" w:after="100" w:afterAutospacing="1" w:line="400" w:lineRule="exact"/>
        <w:ind w:left="0" w:right="26" w:firstLine="403"/>
        <w:rPr>
          <w:rFonts w:ascii="宋体" w:hAnsi="宋体" w:eastAsia="宋体" w:cs="方正仿宋简体"/>
          <w:sz w:val="21"/>
          <w:szCs w:val="21"/>
        </w:rPr>
      </w:pPr>
      <w:r>
        <w:rPr>
          <w:rFonts w:hint="eastAsia" w:ascii="宋体" w:hAnsi="宋体" w:eastAsia="宋体" w:cs="方正仿宋简体"/>
          <w:sz w:val="21"/>
          <w:szCs w:val="21"/>
        </w:rPr>
        <w:t>6、</w:t>
      </w:r>
      <w:r>
        <w:rPr>
          <w:rFonts w:ascii="宋体" w:hAnsi="宋体" w:eastAsia="宋体"/>
          <w:sz w:val="21"/>
          <w:szCs w:val="21"/>
        </w:rPr>
        <w:t>由于基金管理人对外公布的任何基金净值数据错误，导致该基金财产或基金份额持有人的实际损失，基金管理人应对此承担主会计方责任。若基金托管人计算的净值数据正确，则基金托管人对该损失不承担责任；若该基金净值经基金托管人复核同意的，则基金托管人也应承担相应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50AEB60D">
      <w:pPr>
        <w:pStyle w:val="29"/>
        <w:spacing w:before="100" w:beforeAutospacing="1" w:after="100" w:afterAutospacing="1" w:line="400" w:lineRule="exact"/>
        <w:ind w:left="0" w:right="26" w:firstLine="403"/>
        <w:rPr>
          <w:rFonts w:ascii="宋体" w:hAnsi="宋体" w:eastAsia="宋体" w:cs="方正仿宋简体"/>
          <w:sz w:val="21"/>
          <w:szCs w:val="21"/>
        </w:rPr>
      </w:pPr>
      <w:r>
        <w:rPr>
          <w:rFonts w:hint="eastAsia" w:ascii="宋体" w:hAnsi="宋体" w:eastAsia="宋体" w:cs="方正仿宋简体"/>
          <w:sz w:val="21"/>
          <w:szCs w:val="21"/>
        </w:rPr>
        <w:t>7、</w:t>
      </w:r>
      <w:r>
        <w:rPr>
          <w:rFonts w:hint="eastAsia" w:ascii="宋体" w:hAnsi="宋体" w:eastAsia="宋体"/>
          <w:sz w:val="21"/>
          <w:szCs w:val="21"/>
        </w:rPr>
        <w:t>由于不可抗力，或证券交易所、期货交易所、登记机构、指数编制机构、存款银行、证券经纪机构等第三方机构发送的数据错误，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598AFB32">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8、如果基金托管人的复核结果与基金管理人的计算结果存在差异，且双方经协商未能达成一致，基金管理人可以按照其对基金净值信息的计算结果对外予以公布，基金托管人应将相关情况报中国证监会备案。</w:t>
      </w:r>
    </w:p>
    <w:p w14:paraId="43D38B46">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（二）基金会计核算</w:t>
      </w:r>
    </w:p>
    <w:p w14:paraId="2592DBAA">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1、基金账册的建立</w:t>
      </w:r>
    </w:p>
    <w:p w14:paraId="0E01DD6E">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7898822D">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2、会计数据和财务指标的核对</w:t>
      </w:r>
    </w:p>
    <w:p w14:paraId="0DC6E18D">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基金管理人和基金托管人应定期就会计数据和财务指标进行核对。如发现存在不符，双方应及时查明原因并纠正。</w:t>
      </w:r>
    </w:p>
    <w:p w14:paraId="21C7929A">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3、基金财务报表和定期报告的编制和复核</w:t>
      </w:r>
    </w:p>
    <w:p w14:paraId="004FD027">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基金财务报表由基金管理人和基金托管人每月分别独立编制。月度报表的编制，应于每月终了后</w:t>
      </w:r>
      <w:r>
        <w:rPr>
          <w:rFonts w:ascii="宋体" w:hAnsi="宋体" w:eastAsia="宋体"/>
          <w:sz w:val="21"/>
          <w:szCs w:val="21"/>
        </w:rPr>
        <w:t>5</w:t>
      </w:r>
      <w:r>
        <w:rPr>
          <w:rFonts w:hint="eastAsia" w:ascii="宋体" w:hAnsi="宋体" w:eastAsia="宋体"/>
          <w:sz w:val="21"/>
          <w:szCs w:val="21"/>
        </w:rPr>
        <w:t>个工作日内完成；《基金合同》生效后，基金招募说明书的信息发生重大变更的，基金管理人应当在三个工作日内，更新基金招募说明书并登载在规定网站上。基金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招募说明书和基金产品资料概要。</w:t>
      </w:r>
    </w:p>
    <w:p w14:paraId="10F1101C">
      <w:pPr>
        <w:pStyle w:val="29"/>
        <w:spacing w:before="100" w:beforeAutospacing="1" w:after="100" w:afterAutospacing="1" w:line="400" w:lineRule="exact"/>
        <w:ind w:left="0" w:right="26" w:firstLine="403"/>
        <w:rPr>
          <w:rFonts w:ascii="宋体" w:hAnsi="宋体" w:eastAsia="宋体"/>
          <w:color w:val="000000"/>
          <w:sz w:val="21"/>
          <w:szCs w:val="21"/>
        </w:rPr>
      </w:pPr>
      <w:r>
        <w:rPr>
          <w:rFonts w:hint="eastAsia" w:ascii="宋体" w:hAnsi="宋体" w:eastAsia="宋体"/>
          <w:sz w:val="21"/>
          <w:szCs w:val="21"/>
        </w:rPr>
        <w:t>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w:t>
      </w:r>
      <w:r>
        <w:rPr>
          <w:rFonts w:hint="eastAsia" w:ascii="宋体" w:hAnsi="宋体" w:eastAsia="宋体"/>
          <w:color w:val="000000"/>
          <w:sz w:val="21"/>
          <w:szCs w:val="21"/>
        </w:rPr>
        <w:t>生效不足两个月的，基金管理人可以不编制当期季度报告、中期报告或者年度报告。</w:t>
      </w:r>
    </w:p>
    <w:p w14:paraId="0B03AE89">
      <w:pPr>
        <w:pStyle w:val="29"/>
        <w:spacing w:before="100" w:beforeAutospacing="1" w:after="100" w:afterAutospacing="1" w:line="400" w:lineRule="exact"/>
        <w:ind w:left="0" w:right="26" w:firstLine="403"/>
        <w:rPr>
          <w:rFonts w:ascii="宋体" w:hAnsi="宋体" w:eastAsia="宋体"/>
          <w:sz w:val="21"/>
          <w:szCs w:val="21"/>
        </w:rPr>
      </w:pPr>
      <w:r>
        <w:rPr>
          <w:rFonts w:ascii="宋体" w:hAnsi="宋体" w:eastAsia="宋体"/>
          <w:sz w:val="21"/>
          <w:szCs w:val="21"/>
        </w:rPr>
        <w:t>基金管理人应及时完成报表编制，将有关报表提供</w:t>
      </w:r>
      <w:r>
        <w:rPr>
          <w:rFonts w:hint="eastAsia" w:ascii="宋体" w:hAnsi="宋体" w:eastAsia="宋体"/>
          <w:sz w:val="21"/>
          <w:szCs w:val="21"/>
        </w:rPr>
        <w:t>给</w:t>
      </w:r>
      <w:r>
        <w:rPr>
          <w:rFonts w:ascii="宋体" w:hAnsi="宋体" w:eastAsia="宋体"/>
          <w:sz w:val="21"/>
          <w:szCs w:val="21"/>
        </w:rPr>
        <w:t>基金托管人复核</w:t>
      </w:r>
      <w:r>
        <w:rPr>
          <w:rFonts w:hint="eastAsia" w:ascii="宋体" w:hAnsi="宋体" w:eastAsia="宋体"/>
          <w:sz w:val="21"/>
          <w:szCs w:val="21"/>
        </w:rPr>
        <w:t>，基金托管人在收到后应及时进行复核，并将复核结果书面通知基金管理人</w:t>
      </w:r>
      <w:r>
        <w:rPr>
          <w:rFonts w:ascii="宋体" w:hAnsi="宋体" w:eastAsia="宋体"/>
          <w:sz w:val="21"/>
          <w:szCs w:val="21"/>
        </w:rPr>
        <w:t>；基金管理人应留足充分的时间，便于基金托管人复核相关报表及报告。</w:t>
      </w:r>
    </w:p>
    <w:p w14:paraId="274B6DA2">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中国证监会备案。</w:t>
      </w:r>
    </w:p>
    <w:p w14:paraId="13B99DCD">
      <w:pPr>
        <w:pStyle w:val="29"/>
        <w:spacing w:before="100" w:beforeAutospacing="1" w:after="100" w:afterAutospacing="1" w:line="400" w:lineRule="exact"/>
        <w:ind w:left="0" w:right="26" w:firstLine="403"/>
        <w:rPr>
          <w:rFonts w:ascii="宋体" w:hAnsi="宋体" w:eastAsia="宋体"/>
          <w:sz w:val="21"/>
          <w:szCs w:val="21"/>
        </w:rPr>
      </w:pPr>
    </w:p>
    <w:p w14:paraId="52E78522">
      <w:pPr>
        <w:pStyle w:val="2"/>
        <w:spacing w:before="100" w:beforeAutospacing="1" w:after="100" w:afterAutospacing="1" w:line="400" w:lineRule="exact"/>
        <w:ind w:firstLine="422"/>
        <w:rPr>
          <w:rFonts w:ascii="宋体" w:hAnsi="宋体"/>
          <w:sz w:val="21"/>
          <w:szCs w:val="21"/>
        </w:rPr>
      </w:pPr>
      <w:bookmarkStart w:id="13" w:name="_Toc116900104"/>
      <w:r>
        <w:rPr>
          <w:rFonts w:hint="eastAsia" w:ascii="宋体" w:hAnsi="宋体"/>
          <w:sz w:val="21"/>
          <w:szCs w:val="21"/>
        </w:rPr>
        <w:t>九、基金收益分配</w:t>
      </w:r>
      <w:bookmarkEnd w:id="13"/>
    </w:p>
    <w:p w14:paraId="16EB4405">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（一）基金收益分配的依据</w:t>
      </w:r>
    </w:p>
    <w:p w14:paraId="5A9D1F0C">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1、基金管理人可每月对基金份额净值增长率相对标的指数同期增长率的超额收益率以及基金的可供分配利润进行评价，当收益评价日核定的基金份额净值增长率超过标的指数同期增长率或者基金可供分配利润金额大于零时，基金管理人可进行收益分配。</w:t>
      </w:r>
    </w:p>
    <w:p w14:paraId="66EE45C9">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2、当基金收益分配根据基金份额净值增长率相对标的指数同期增长率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14:paraId="5DF821C2">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3、收益分配应该符合《基金合同》关于收益分配原则的规定。</w:t>
      </w:r>
    </w:p>
    <w:p w14:paraId="13340558">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（二）基金收益分配的时间和程序</w:t>
      </w:r>
    </w:p>
    <w:p w14:paraId="4DBDA9BB">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1、基金收益分配方案由基金管理人根据《基金合同》的相关规定拟定。</w:t>
      </w:r>
    </w:p>
    <w:p w14:paraId="00253D95">
      <w:pPr>
        <w:pStyle w:val="29"/>
        <w:spacing w:before="100" w:beforeAutospacing="1" w:after="100" w:afterAutospacing="1" w:line="400" w:lineRule="exact"/>
        <w:ind w:left="0" w:right="26" w:firstLine="403"/>
        <w:rPr>
          <w:rFonts w:ascii="宋体" w:hAnsi="宋体" w:eastAsia="宋体"/>
          <w:sz w:val="21"/>
          <w:szCs w:val="21"/>
        </w:rPr>
      </w:pPr>
      <w:r>
        <w:rPr>
          <w:rFonts w:ascii="宋体" w:hAnsi="宋体" w:eastAsia="宋体"/>
          <w:sz w:val="21"/>
          <w:szCs w:val="21"/>
        </w:rPr>
        <w:t>2、基金管理人应于收益分配日之前将其拟定的收益分配方案提交基金托管人复核，基金托管人应于收到收益分配方案后及时完成对收益分配方案的复核，复核通过后基金管理人依照《信息披露办法》的有关规定在规定媒介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14:paraId="2FB83E05">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3、本基金收益分配方式分两种：现金分红与红利再投资，投资者可选择现金红利或将现金红利自动转为相应类别的基金份额进行再投资；若投资者不选择，本基金默认的收益分配方式是现金分红；基金份额持有人可对A类和C类基金份额分别选择不同的分红方式。</w:t>
      </w:r>
    </w:p>
    <w:p w14:paraId="4A3004D5">
      <w:pPr>
        <w:pStyle w:val="29"/>
        <w:spacing w:before="100" w:beforeAutospacing="1" w:after="100" w:afterAutospacing="1" w:line="400" w:lineRule="exact"/>
        <w:ind w:left="0" w:right="26" w:firstLine="403"/>
        <w:rPr>
          <w:rFonts w:ascii="宋体" w:hAnsi="宋体" w:eastAsia="宋体"/>
          <w:sz w:val="21"/>
          <w:szCs w:val="21"/>
        </w:rPr>
      </w:pPr>
      <w:r>
        <w:rPr>
          <w:rFonts w:hint="eastAsia" w:ascii="宋体" w:hAnsi="宋体" w:eastAsia="宋体"/>
          <w:sz w:val="21"/>
          <w:szCs w:val="21"/>
        </w:rPr>
        <w:t>4、基金托管人根据基金管理人的收益分配方案和提供的现金红利金额的数据，在红利发放日将分红资金划入基金管理人指定账户。如果投资者选择再投资的方式，基金管理人和基金托管人则应当进行红利再投资的账务处理。</w:t>
      </w:r>
    </w:p>
    <w:p w14:paraId="2F363E64">
      <w:pPr>
        <w:pStyle w:val="29"/>
        <w:spacing w:before="100" w:beforeAutospacing="1" w:after="100" w:afterAutospacing="1" w:line="400" w:lineRule="exact"/>
        <w:ind w:left="0" w:right="26" w:firstLine="403"/>
        <w:rPr>
          <w:rFonts w:ascii="宋体" w:hAnsi="宋体" w:eastAsia="宋体"/>
          <w:sz w:val="21"/>
          <w:szCs w:val="21"/>
        </w:rPr>
      </w:pPr>
    </w:p>
    <w:p w14:paraId="4F044217">
      <w:pPr>
        <w:pStyle w:val="2"/>
        <w:spacing w:before="100" w:beforeAutospacing="1" w:after="100" w:afterAutospacing="1" w:line="400" w:lineRule="exact"/>
        <w:ind w:firstLine="422"/>
        <w:rPr>
          <w:rFonts w:ascii="宋体" w:hAnsi="宋体"/>
          <w:sz w:val="21"/>
          <w:szCs w:val="21"/>
        </w:rPr>
      </w:pPr>
      <w:bookmarkStart w:id="14" w:name="_Hlt82414846"/>
      <w:bookmarkEnd w:id="14"/>
      <w:bookmarkStart w:id="15" w:name="_Toc116900105"/>
      <w:r>
        <w:rPr>
          <w:rFonts w:hint="eastAsia" w:ascii="宋体" w:hAnsi="宋体"/>
          <w:sz w:val="21"/>
          <w:szCs w:val="21"/>
        </w:rPr>
        <w:t>十、基金信息披露</w:t>
      </w:r>
      <w:bookmarkEnd w:id="15"/>
    </w:p>
    <w:p w14:paraId="71685C4C">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（一）保密义务</w:t>
      </w:r>
    </w:p>
    <w:p w14:paraId="4BA9B7AF">
      <w:pPr>
        <w:ind w:firstLine="420"/>
        <w:rPr>
          <w:szCs w:val="21"/>
        </w:rPr>
      </w:pPr>
      <w:r>
        <w:rPr>
          <w:rFonts w:ascii="宋体" w:hAnsi="宋体" w:cs="宋体"/>
          <w:color w:val="000000"/>
        </w:rPr>
        <w:t>除按照法律法规中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ascii="宋体"/>
          <w:szCs w:val="21"/>
        </w:rPr>
        <w:t>但是，如下情况不应视为基金管理人或基金托管人违反保密义务：</w:t>
      </w:r>
    </w:p>
    <w:p w14:paraId="48F899F4">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1、非因基金管理人和基金托管人的原因导致保密信息被披露、泄露或公开；</w:t>
      </w:r>
    </w:p>
    <w:p w14:paraId="0436F644">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2、基金管理人和基金托管人为遵守和服从法院判决、裁定、仲裁裁决或中国证监会等监管机构的命令、决定所做出的信息披露或公开；</w:t>
      </w:r>
    </w:p>
    <w:p w14:paraId="4B92534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3、因审计、法律等专业服务向外部专业顾问提供信息，并要求专业顾问遵守保密义务。</w:t>
      </w:r>
    </w:p>
    <w:p w14:paraId="479112E5">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（二）基金管理人和基金托管人在信息披露中的职责和信息披露程序</w:t>
      </w:r>
    </w:p>
    <w:p w14:paraId="238EC810">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1、基金管理人和基金托管人应根据相关法律法规、《基金合同》的规定各自承担相应的信息披露职责。</w:t>
      </w:r>
    </w:p>
    <w:p w14:paraId="379DE4BB">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2、本基金信息披露的所有文件，包括《基金合同》和本协议规定的定期报告、临时报告、基金产品资料概要、基金净值信息及其他必要的公告文件，由基金管理人和基金托管人按照有关法律法规的规定予以公布。</w:t>
      </w:r>
    </w:p>
    <w:p w14:paraId="3F5CA862">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3、基金年度报告中的财务会计报告必须经符合《中华人民共和国证券法》规定的会计师事务所审计。</w:t>
      </w:r>
    </w:p>
    <w:p w14:paraId="60B49842">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4、本基金的信息披露，应通过符合中国证监会规定条件的媒介进行；基金管理人、基金托管人可以根据需要在其他公共媒介披露信息，但是其他公共媒介不得早于规定媒介披露信息，并且在不同媒介上披露同一信息的内容应当一致。</w:t>
      </w:r>
    </w:p>
    <w:p w14:paraId="0B4201F5">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5、信息文本的存放与备查</w:t>
      </w:r>
    </w:p>
    <w:p w14:paraId="7E51CFA5">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依法必须披露的信息发布后，基金管理人、基金托管人应当按照相关法律法规规定将信息置备于公司住所，供社会公众查阅、复制。</w:t>
      </w:r>
    </w:p>
    <w:p w14:paraId="2397DD4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基金管理人和基金托管人应保证文本的内容与所公告的内容完全一致。</w:t>
      </w:r>
    </w:p>
    <w:p w14:paraId="1410119C">
      <w:pPr>
        <w:snapToGrid w:val="0"/>
        <w:spacing w:before="100" w:beforeAutospacing="1" w:after="100" w:afterAutospacing="1" w:line="400" w:lineRule="exact"/>
        <w:ind w:firstLine="420"/>
        <w:rPr>
          <w:rFonts w:ascii="宋体" w:hAnsi="宋体"/>
          <w:szCs w:val="21"/>
        </w:rPr>
      </w:pPr>
      <w:r>
        <w:rPr>
          <w:rFonts w:hint="eastAsia" w:ascii="宋体" w:hAnsi="宋体"/>
          <w:szCs w:val="21"/>
        </w:rPr>
        <w:t>6、</w:t>
      </w:r>
      <w:r>
        <w:rPr>
          <w:rFonts w:hint="eastAsia" w:ascii="宋体" w:hAnsi="宋体" w:cs="方正仿宋简体"/>
          <w:szCs w:val="21"/>
        </w:rPr>
        <w:t>对于因不可抗力等原因导致基金信息的暂停或延迟披露的（如暂停披露基金净值信息），基金管理人应及时向中国证监会报告，并与基金托管人协商采取补救措施。不可抗力等情形消失后，基金管理人和基金托管人应及时恢复办理信息披露。</w:t>
      </w:r>
    </w:p>
    <w:p w14:paraId="47803EF9">
      <w:pPr>
        <w:pStyle w:val="15"/>
        <w:spacing w:before="100" w:beforeAutospacing="1" w:after="100" w:afterAutospacing="1"/>
        <w:ind w:firstLine="420"/>
        <w:rPr>
          <w:rFonts w:ascii="宋体" w:eastAsia="宋体" w:cs="方正仿宋简体"/>
          <w:color w:val="auto"/>
          <w:sz w:val="21"/>
          <w:szCs w:val="21"/>
        </w:rPr>
      </w:pPr>
      <w:r>
        <w:rPr>
          <w:rFonts w:hint="eastAsia" w:ascii="宋体" w:eastAsia="宋体" w:cs="方正仿宋简体"/>
          <w:color w:val="auto"/>
          <w:sz w:val="21"/>
          <w:szCs w:val="21"/>
        </w:rPr>
        <w:t>（三）基金托管人报告</w:t>
      </w:r>
    </w:p>
    <w:p w14:paraId="1DFCC43B">
      <w:pPr>
        <w:pStyle w:val="15"/>
        <w:spacing w:before="100" w:beforeAutospacing="1" w:after="100" w:afterAutospacing="1"/>
        <w:ind w:firstLine="420"/>
        <w:rPr>
          <w:rFonts w:ascii="宋体" w:eastAsia="宋体" w:cs="方正仿宋简体"/>
          <w:color w:val="auto"/>
          <w:sz w:val="21"/>
          <w:szCs w:val="21"/>
        </w:rPr>
      </w:pPr>
      <w:r>
        <w:rPr>
          <w:rFonts w:hint="eastAsia" w:ascii="宋体" w:eastAsia="宋体" w:cs="方正仿宋简体"/>
          <w:color w:val="auto"/>
          <w:sz w:val="21"/>
          <w:szCs w:val="21"/>
        </w:rPr>
        <w:t>基金托管人应按《基金法》、《运作办法》、《信息披露办法》和其他有关法律法规的规定于每个上半年度结束后两个月内、每年度结束后三个月内在基金中期报告及年度报告中分别出具基金托管人报告。</w:t>
      </w:r>
    </w:p>
    <w:p w14:paraId="0500C2E2">
      <w:pPr>
        <w:pStyle w:val="15"/>
        <w:spacing w:before="100" w:beforeAutospacing="1" w:after="100" w:afterAutospacing="1"/>
        <w:ind w:firstLine="403"/>
        <w:rPr>
          <w:rFonts w:ascii="宋体" w:eastAsia="宋体"/>
          <w:color w:val="auto"/>
          <w:sz w:val="21"/>
          <w:szCs w:val="21"/>
        </w:rPr>
      </w:pPr>
    </w:p>
    <w:p w14:paraId="09411B77">
      <w:pPr>
        <w:pStyle w:val="2"/>
        <w:spacing w:before="100" w:beforeAutospacing="1" w:after="100" w:afterAutospacing="1" w:line="400" w:lineRule="exact"/>
        <w:ind w:firstLine="422"/>
        <w:rPr>
          <w:rFonts w:ascii="宋体" w:hAnsi="宋体"/>
          <w:sz w:val="21"/>
          <w:szCs w:val="21"/>
        </w:rPr>
      </w:pPr>
      <w:bookmarkStart w:id="16" w:name="_Hlk83565720"/>
      <w:bookmarkStart w:id="17" w:name="_Toc116900106"/>
      <w:r>
        <w:rPr>
          <w:rFonts w:hint="eastAsia" w:ascii="宋体" w:hAnsi="宋体"/>
          <w:sz w:val="21"/>
          <w:szCs w:val="21"/>
        </w:rPr>
        <w:t>十一、基金费用</w:t>
      </w:r>
    </w:p>
    <w:p w14:paraId="21C76306">
      <w:pPr>
        <w:spacing w:before="100" w:beforeAutospacing="1" w:after="100" w:afterAutospacing="1" w:line="400" w:lineRule="exact"/>
        <w:ind w:right="26" w:firstLine="403"/>
        <w:rPr>
          <w:rFonts w:ascii="宋体" w:hAnsi="宋体"/>
          <w:szCs w:val="21"/>
        </w:rPr>
      </w:pPr>
      <w:bookmarkStart w:id="18" w:name="_Hlk36035071"/>
      <w:r>
        <w:rPr>
          <w:rFonts w:hint="eastAsia" w:ascii="宋体" w:hAnsi="宋体"/>
          <w:szCs w:val="21"/>
        </w:rPr>
        <w:t>（一）基金管理人的管理费</w:t>
      </w:r>
    </w:p>
    <w:p w14:paraId="792E98E5">
      <w:pPr>
        <w:spacing w:before="100" w:beforeAutospacing="1" w:after="100" w:afterAutospacing="1" w:line="400" w:lineRule="exact"/>
        <w:ind w:firstLine="420"/>
        <w:rPr>
          <w:rFonts w:ascii="宋体" w:hAnsi="宋体"/>
          <w:szCs w:val="21"/>
        </w:rPr>
      </w:pPr>
      <w:r>
        <w:rPr>
          <w:rFonts w:hint="eastAsia" w:ascii="宋体" w:hAnsi="宋体"/>
          <w:szCs w:val="21"/>
        </w:rPr>
        <w:t>本基金基金财产中投资于目标ETF的部分不收取管理费。本基金的管理费按前一日基金资产净值扣除所持有目标ETF基金份额部分的基金资产净值后的余额（若为负数，则取0）的0.</w:t>
      </w:r>
      <w:r>
        <w:rPr>
          <w:rFonts w:ascii="宋体" w:hAnsi="宋体"/>
          <w:szCs w:val="21"/>
        </w:rPr>
        <w:t>50</w:t>
      </w:r>
      <w:r>
        <w:rPr>
          <w:rFonts w:hint="eastAsia" w:ascii="宋体" w:hAnsi="宋体"/>
          <w:szCs w:val="21"/>
        </w:rPr>
        <w:t>%的年费率计提。管理费的计算方法如下：</w:t>
      </w:r>
    </w:p>
    <w:p w14:paraId="0BAC807B">
      <w:pPr>
        <w:spacing w:before="100" w:beforeAutospacing="1" w:after="100" w:afterAutospacing="1" w:line="400" w:lineRule="exact"/>
        <w:ind w:firstLine="420"/>
        <w:rPr>
          <w:rFonts w:ascii="宋体" w:hAnsi="宋体"/>
          <w:szCs w:val="21"/>
        </w:rPr>
      </w:pPr>
      <w:r>
        <w:rPr>
          <w:rFonts w:hint="eastAsia" w:ascii="宋体" w:hAnsi="宋体"/>
          <w:szCs w:val="21"/>
        </w:rPr>
        <w:t>H＝E×0.</w:t>
      </w:r>
      <w:r>
        <w:rPr>
          <w:rFonts w:ascii="宋体" w:hAnsi="宋体"/>
          <w:szCs w:val="21"/>
        </w:rPr>
        <w:t>50</w:t>
      </w:r>
      <w:r>
        <w:rPr>
          <w:rFonts w:hint="eastAsia" w:ascii="宋体" w:hAnsi="宋体"/>
          <w:szCs w:val="21"/>
        </w:rPr>
        <w:t>%÷当年天数</w:t>
      </w:r>
    </w:p>
    <w:p w14:paraId="73C9A8C0">
      <w:pPr>
        <w:spacing w:before="100" w:beforeAutospacing="1" w:after="100" w:afterAutospacing="1" w:line="400" w:lineRule="exact"/>
        <w:ind w:firstLine="420"/>
        <w:rPr>
          <w:rFonts w:ascii="宋体" w:hAnsi="宋体"/>
          <w:szCs w:val="21"/>
        </w:rPr>
      </w:pPr>
      <w:r>
        <w:rPr>
          <w:rFonts w:hint="eastAsia" w:ascii="宋体" w:hAnsi="宋体"/>
          <w:szCs w:val="21"/>
        </w:rPr>
        <w:t>H为每日应计提的基金管理费</w:t>
      </w:r>
    </w:p>
    <w:p w14:paraId="1A5BC530">
      <w:pPr>
        <w:spacing w:before="100" w:beforeAutospacing="1" w:after="100" w:afterAutospacing="1" w:line="400" w:lineRule="exact"/>
        <w:ind w:firstLine="420"/>
        <w:rPr>
          <w:rFonts w:ascii="宋体" w:hAnsi="宋体"/>
          <w:szCs w:val="21"/>
        </w:rPr>
      </w:pPr>
      <w:r>
        <w:rPr>
          <w:rFonts w:hint="eastAsia" w:ascii="宋体" w:hAnsi="宋体"/>
          <w:szCs w:val="21"/>
        </w:rPr>
        <w:t>E为前一日基金资产净值</w:t>
      </w:r>
      <w:r>
        <w:rPr>
          <w:rFonts w:hint="eastAsia"/>
          <w:bCs/>
          <w:szCs w:val="20"/>
        </w:rPr>
        <w:t>扣除</w:t>
      </w:r>
      <w:r>
        <w:rPr>
          <w:rFonts w:hint="eastAsia" w:ascii="宋体" w:hAnsi="宋体"/>
          <w:szCs w:val="21"/>
        </w:rPr>
        <w:t>前一日所持有目标ETF基金份额部分的基金资产净值，若为负数，则E取0</w:t>
      </w:r>
    </w:p>
    <w:p w14:paraId="4DA88A98">
      <w:pPr>
        <w:spacing w:before="100" w:beforeAutospacing="1" w:after="100" w:afterAutospacing="1" w:line="400" w:lineRule="exact"/>
        <w:ind w:firstLine="420"/>
        <w:rPr>
          <w:rFonts w:ascii="宋体" w:hAnsi="宋体"/>
          <w:szCs w:val="21"/>
        </w:rPr>
      </w:pPr>
      <w:bookmarkStart w:id="19" w:name="_Hlk191850266"/>
      <w:r>
        <w:rPr>
          <w:rFonts w:hint="eastAsia" w:ascii="宋体" w:hAnsi="宋体"/>
          <w:szCs w:val="21"/>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bookmarkEnd w:id="19"/>
    </w:p>
    <w:p w14:paraId="55D9BFFC">
      <w:pPr>
        <w:spacing w:before="100" w:beforeAutospacing="1" w:after="100" w:afterAutospacing="1" w:line="400" w:lineRule="exact"/>
        <w:ind w:firstLine="420"/>
        <w:rPr>
          <w:rFonts w:ascii="宋体"/>
          <w:szCs w:val="21"/>
        </w:rPr>
      </w:pPr>
      <w:r>
        <w:rPr>
          <w:rFonts w:hint="eastAsia" w:ascii="宋体"/>
          <w:szCs w:val="21"/>
        </w:rPr>
        <w:t>（二）基金托管人的托管费</w:t>
      </w:r>
    </w:p>
    <w:p w14:paraId="1DA70D6D">
      <w:pPr>
        <w:spacing w:before="100" w:beforeAutospacing="1" w:after="100" w:afterAutospacing="1" w:line="400" w:lineRule="exact"/>
        <w:ind w:firstLine="420"/>
        <w:rPr>
          <w:rFonts w:ascii="宋体" w:hAnsi="宋体"/>
          <w:szCs w:val="21"/>
        </w:rPr>
      </w:pPr>
      <w:r>
        <w:rPr>
          <w:rFonts w:hint="eastAsia" w:ascii="宋体" w:hAnsi="宋体"/>
          <w:szCs w:val="21"/>
        </w:rPr>
        <w:t>本基金基金财产中投资于目标ETF的部分不收取托管费。本基金的托管费按前一日基金资产净值扣除所持有目标ETF基金份额部分的基金资产净值后的余额（若为负数，则取0）的0.</w:t>
      </w:r>
      <w:r>
        <w:rPr>
          <w:rFonts w:ascii="宋体" w:hAnsi="宋体"/>
          <w:szCs w:val="21"/>
        </w:rPr>
        <w:t>10</w:t>
      </w:r>
      <w:r>
        <w:rPr>
          <w:rFonts w:hint="eastAsia" w:ascii="宋体" w:hAnsi="宋体"/>
          <w:szCs w:val="21"/>
        </w:rPr>
        <w:t>%的年费率计提。托管费的计算方法如下：</w:t>
      </w:r>
    </w:p>
    <w:p w14:paraId="2CBAD123">
      <w:pPr>
        <w:spacing w:before="100" w:beforeAutospacing="1" w:after="100" w:afterAutospacing="1" w:line="400" w:lineRule="exact"/>
        <w:ind w:firstLine="420"/>
        <w:rPr>
          <w:rFonts w:ascii="宋体" w:hAnsi="宋体"/>
          <w:szCs w:val="21"/>
        </w:rPr>
      </w:pPr>
      <w:r>
        <w:rPr>
          <w:rFonts w:hint="eastAsia" w:ascii="宋体" w:hAnsi="宋体"/>
          <w:szCs w:val="21"/>
        </w:rPr>
        <w:t>H＝E×0.</w:t>
      </w:r>
      <w:r>
        <w:rPr>
          <w:rFonts w:ascii="宋体" w:hAnsi="宋体"/>
          <w:szCs w:val="21"/>
        </w:rPr>
        <w:t>10</w:t>
      </w:r>
      <w:r>
        <w:rPr>
          <w:rFonts w:hint="eastAsia" w:ascii="宋体" w:hAnsi="宋体"/>
          <w:szCs w:val="21"/>
        </w:rPr>
        <w:t>%÷当年天数</w:t>
      </w:r>
    </w:p>
    <w:p w14:paraId="15F5EA95">
      <w:pPr>
        <w:spacing w:before="100" w:beforeAutospacing="1" w:after="100" w:afterAutospacing="1" w:line="400" w:lineRule="exact"/>
        <w:ind w:firstLine="420"/>
        <w:rPr>
          <w:rFonts w:ascii="宋体" w:hAnsi="宋体"/>
          <w:szCs w:val="21"/>
        </w:rPr>
      </w:pPr>
      <w:r>
        <w:rPr>
          <w:rFonts w:hint="eastAsia" w:ascii="宋体" w:hAnsi="宋体"/>
          <w:szCs w:val="21"/>
        </w:rPr>
        <w:t>H为每日应计提的基金托管费</w:t>
      </w:r>
    </w:p>
    <w:p w14:paraId="163518D1">
      <w:pPr>
        <w:spacing w:before="100" w:beforeAutospacing="1" w:after="100" w:afterAutospacing="1" w:line="400" w:lineRule="exact"/>
        <w:ind w:firstLine="420"/>
        <w:rPr>
          <w:rFonts w:ascii="宋体" w:hAnsi="宋体"/>
          <w:szCs w:val="21"/>
        </w:rPr>
      </w:pPr>
      <w:r>
        <w:rPr>
          <w:rFonts w:hint="eastAsia" w:ascii="宋体" w:hAnsi="宋体"/>
          <w:szCs w:val="21"/>
        </w:rPr>
        <w:t>E为前一日的基金资产净值</w:t>
      </w:r>
      <w:r>
        <w:rPr>
          <w:rFonts w:hint="eastAsia"/>
          <w:bCs/>
          <w:szCs w:val="20"/>
        </w:rPr>
        <w:t>扣除</w:t>
      </w:r>
      <w:r>
        <w:rPr>
          <w:rFonts w:hint="eastAsia" w:ascii="宋体" w:hAnsi="宋体"/>
          <w:szCs w:val="21"/>
        </w:rPr>
        <w:t>前一日所持有目标ETF基金份额部分的基金资产净值，若为负数，则E取0</w:t>
      </w:r>
    </w:p>
    <w:p w14:paraId="0E05D6BB">
      <w:pPr>
        <w:spacing w:before="100" w:beforeAutospacing="1" w:after="100" w:afterAutospacing="1" w:line="400" w:lineRule="exact"/>
        <w:ind w:firstLine="420"/>
        <w:rPr>
          <w:rFonts w:ascii="宋体" w:hAnsi="宋体"/>
          <w:szCs w:val="21"/>
        </w:rPr>
      </w:pPr>
      <w:bookmarkStart w:id="20" w:name="_Hlk191850314"/>
      <w:r>
        <w:rPr>
          <w:rFonts w:hint="eastAsia" w:ascii="宋体" w:hAnsi="宋体"/>
          <w:szCs w:val="21"/>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bookmarkEnd w:id="20"/>
    </w:p>
    <w:p w14:paraId="110B7E61">
      <w:pPr>
        <w:spacing w:line="360" w:lineRule="auto"/>
        <w:ind w:firstLine="420"/>
        <w:rPr>
          <w:rFonts w:ascii="宋体"/>
          <w:szCs w:val="21"/>
        </w:rPr>
      </w:pPr>
      <w:r>
        <w:rPr>
          <w:rFonts w:hint="eastAsia" w:ascii="宋体"/>
          <w:szCs w:val="21"/>
        </w:rPr>
        <w:t>（三）C类基金份额的销售服务费</w:t>
      </w:r>
    </w:p>
    <w:p w14:paraId="00FC1CCB">
      <w:pPr>
        <w:spacing w:line="360" w:lineRule="auto"/>
        <w:ind w:firstLine="420"/>
        <w:rPr>
          <w:rFonts w:ascii="宋体"/>
          <w:szCs w:val="21"/>
        </w:rPr>
      </w:pPr>
      <w:r>
        <w:rPr>
          <w:rFonts w:hint="eastAsia" w:ascii="宋体"/>
          <w:szCs w:val="21"/>
        </w:rPr>
        <w:t>本基金基金份额分为不同的类别，适用不同的销售服务费率。其中，A类基金份额不收取销售服务费。本基金C类基金份额销售服务费按前一日C类基金份额的基金资产净值的0.</w:t>
      </w:r>
      <w:r>
        <w:rPr>
          <w:rFonts w:ascii="宋体"/>
          <w:szCs w:val="21"/>
        </w:rPr>
        <w:t>2</w:t>
      </w:r>
      <w:r>
        <w:rPr>
          <w:rFonts w:hint="eastAsia" w:ascii="宋体"/>
          <w:szCs w:val="21"/>
        </w:rPr>
        <w:t>0%的年费率计提。计算方法如下：</w:t>
      </w:r>
    </w:p>
    <w:p w14:paraId="62E94B25">
      <w:pPr>
        <w:spacing w:line="360" w:lineRule="auto"/>
        <w:ind w:firstLine="420"/>
        <w:rPr>
          <w:rFonts w:ascii="宋体"/>
          <w:szCs w:val="21"/>
        </w:rPr>
      </w:pPr>
      <w:r>
        <w:rPr>
          <w:rFonts w:hint="eastAsia" w:ascii="宋体"/>
          <w:szCs w:val="21"/>
        </w:rPr>
        <w:t>H＝E×0.</w:t>
      </w:r>
      <w:r>
        <w:rPr>
          <w:rFonts w:ascii="宋体"/>
          <w:szCs w:val="21"/>
        </w:rPr>
        <w:t>2</w:t>
      </w:r>
      <w:r>
        <w:rPr>
          <w:rFonts w:hint="eastAsia" w:ascii="宋体"/>
          <w:szCs w:val="21"/>
        </w:rPr>
        <w:t>0%÷当年天数</w:t>
      </w:r>
    </w:p>
    <w:p w14:paraId="2AF4BB83">
      <w:pPr>
        <w:spacing w:line="360" w:lineRule="auto"/>
        <w:ind w:firstLine="420"/>
        <w:rPr>
          <w:rFonts w:ascii="宋体"/>
          <w:szCs w:val="21"/>
        </w:rPr>
      </w:pPr>
      <w:r>
        <w:rPr>
          <w:rFonts w:hint="eastAsia" w:ascii="宋体"/>
          <w:szCs w:val="21"/>
        </w:rPr>
        <w:t>H为C类基金份额每日应计提的销售服务费</w:t>
      </w:r>
    </w:p>
    <w:p w14:paraId="09CA5334">
      <w:pPr>
        <w:spacing w:line="360" w:lineRule="auto"/>
        <w:ind w:firstLine="420"/>
        <w:rPr>
          <w:rFonts w:ascii="宋体"/>
          <w:szCs w:val="21"/>
        </w:rPr>
      </w:pPr>
      <w:r>
        <w:rPr>
          <w:rFonts w:hint="eastAsia" w:ascii="宋体"/>
          <w:szCs w:val="21"/>
        </w:rPr>
        <w:t xml:space="preserve">E为C类基金份额前一日的基金资产净值 </w:t>
      </w:r>
    </w:p>
    <w:p w14:paraId="31E6B7BA">
      <w:pPr>
        <w:spacing w:line="360" w:lineRule="auto"/>
        <w:ind w:firstLine="420"/>
        <w:rPr>
          <w:rFonts w:ascii="宋体"/>
          <w:szCs w:val="21"/>
        </w:rPr>
      </w:pPr>
      <w:bookmarkStart w:id="21" w:name="_Hlk191850399"/>
      <w:r>
        <w:rPr>
          <w:rFonts w:hint="eastAsia"/>
          <w:bCs/>
          <w:szCs w:val="20"/>
        </w:rPr>
        <w:t>C类基金份额的</w:t>
      </w:r>
      <w:r>
        <w:rPr>
          <w:rFonts w:hint="eastAsia" w:ascii="宋体"/>
          <w:szCs w:val="21"/>
        </w:rPr>
        <w:t>销售服务费每日计提，按月支付。由基金托管人根据与基金管理人核对一致的财务数据，自动在月初5个工作日内、按照指定的账户路径一次性支付给基金管理人并由基金管理人代付给各基金销售机构，基金管理人无需再出具资金划拨指令。若遇法定节假日、休息日等，支付日期顺延。</w:t>
      </w:r>
      <w:bookmarkEnd w:id="18"/>
      <w:bookmarkEnd w:id="21"/>
    </w:p>
    <w:p w14:paraId="7B231922">
      <w:pPr>
        <w:spacing w:line="360" w:lineRule="auto"/>
        <w:ind w:firstLine="420"/>
        <w:rPr>
          <w:rFonts w:ascii="宋体"/>
          <w:szCs w:val="21"/>
        </w:rPr>
      </w:pPr>
      <w:r>
        <w:rPr>
          <w:rFonts w:hint="eastAsia" w:ascii="宋体"/>
          <w:szCs w:val="21"/>
        </w:rPr>
        <w:t>（</w:t>
      </w:r>
      <w:r>
        <w:rPr>
          <w:rFonts w:ascii="宋体"/>
          <w:szCs w:val="21"/>
        </w:rPr>
        <w:t>四</w:t>
      </w:r>
      <w:r>
        <w:rPr>
          <w:rFonts w:hint="eastAsia" w:ascii="宋体"/>
          <w:szCs w:val="21"/>
        </w:rPr>
        <w:t>）从基金财产中列支基金管理人的管理费、基金托管人的托管费、C类基金份额的销售服务费之外的其他基金费用，应当依据有关法律法规、《基金合同》的规定执行。</w:t>
      </w:r>
    </w:p>
    <w:p w14:paraId="0C8820E5">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五</w:t>
      </w:r>
      <w:r>
        <w:rPr>
          <w:rFonts w:hint="eastAsia" w:ascii="宋体" w:eastAsia="宋体"/>
          <w:color w:val="auto"/>
          <w:sz w:val="21"/>
          <w:szCs w:val="21"/>
        </w:rPr>
        <w:t>）对于</w:t>
      </w:r>
      <w:r>
        <w:rPr>
          <w:rFonts w:hint="eastAsia" w:ascii="宋体" w:eastAsia="宋体" w:cs="方正仿宋简体"/>
          <w:sz w:val="21"/>
          <w:szCs w:val="21"/>
        </w:rPr>
        <w:t>违反法律法规、</w:t>
      </w:r>
      <w:r>
        <w:rPr>
          <w:rFonts w:hint="eastAsia" w:ascii="宋体" w:eastAsia="宋体"/>
          <w:color w:val="auto"/>
          <w:sz w:val="21"/>
          <w:szCs w:val="21"/>
        </w:rPr>
        <w:t>《基金合同》</w:t>
      </w:r>
      <w:r>
        <w:rPr>
          <w:rFonts w:hint="eastAsia" w:ascii="宋体" w:eastAsia="宋体" w:cs="方正仿宋简体"/>
          <w:sz w:val="21"/>
          <w:szCs w:val="21"/>
        </w:rPr>
        <w:t>、本协议及其他有关规定</w:t>
      </w:r>
      <w:r>
        <w:rPr>
          <w:rFonts w:hint="eastAsia" w:ascii="宋体" w:eastAsia="宋体"/>
          <w:color w:val="auto"/>
          <w:sz w:val="21"/>
          <w:szCs w:val="21"/>
        </w:rPr>
        <w:t>（包括基金费用的计提方法、计提标准、支付方式等）的基金费用，不得从任何基金财产中列支。</w:t>
      </w:r>
    </w:p>
    <w:p w14:paraId="5D62A84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六</w:t>
      </w:r>
      <w:r>
        <w:rPr>
          <w:rFonts w:hint="eastAsia" w:ascii="宋体" w:eastAsia="宋体"/>
          <w:color w:val="auto"/>
          <w:sz w:val="21"/>
          <w:szCs w:val="21"/>
        </w:rPr>
        <w:t>）本基金支付给基金管理人、基金托管人的各项费用均为含税价格，具体税率适用中国税务机关的相关规定。</w:t>
      </w:r>
      <w:bookmarkEnd w:id="16"/>
      <w:r>
        <w:rPr>
          <w:rFonts w:hint="eastAsia" w:ascii="宋体" w:eastAsia="宋体"/>
          <w:color w:val="auto"/>
          <w:sz w:val="21"/>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17"/>
    <w:p w14:paraId="2CDDFF96">
      <w:pPr>
        <w:pStyle w:val="15"/>
        <w:spacing w:before="100" w:beforeAutospacing="1" w:after="100" w:afterAutospacing="1"/>
        <w:ind w:firstLine="403"/>
        <w:rPr>
          <w:rFonts w:ascii="宋体" w:eastAsia="宋体"/>
          <w:color w:val="auto"/>
          <w:sz w:val="21"/>
          <w:szCs w:val="21"/>
        </w:rPr>
      </w:pPr>
    </w:p>
    <w:p w14:paraId="5BA2F0E3">
      <w:pPr>
        <w:pStyle w:val="2"/>
        <w:spacing w:before="100" w:beforeAutospacing="1" w:after="100" w:afterAutospacing="1" w:line="400" w:lineRule="exact"/>
        <w:ind w:firstLine="422"/>
        <w:rPr>
          <w:rFonts w:ascii="宋体" w:hAnsi="宋体"/>
          <w:sz w:val="21"/>
          <w:szCs w:val="21"/>
          <w:highlight w:val="lightGray"/>
        </w:rPr>
      </w:pPr>
      <w:bookmarkStart w:id="22" w:name="_Toc116900107"/>
      <w:r>
        <w:rPr>
          <w:rFonts w:hint="eastAsia" w:ascii="宋体" w:hAnsi="宋体"/>
          <w:sz w:val="21"/>
          <w:szCs w:val="21"/>
        </w:rPr>
        <w:t>十二、基金份额持有人名册的保管</w:t>
      </w:r>
    </w:p>
    <w:p w14:paraId="150014AD">
      <w:pPr>
        <w:spacing w:before="100" w:beforeAutospacing="1" w:after="100" w:afterAutospacing="1" w:line="400" w:lineRule="exact"/>
        <w:ind w:firstLine="420"/>
        <w:rPr>
          <w:rFonts w:ascii="宋体"/>
          <w:szCs w:val="21"/>
        </w:rPr>
      </w:pPr>
      <w:r>
        <w:rPr>
          <w:rFonts w:hint="eastAsia" w:ascii="宋体"/>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自基金账户销户之日起不少于20年，法律法规另有规定或有权机关另有要求的除外。如不能妥善保管，则按相关法规承担责任。</w:t>
      </w:r>
    </w:p>
    <w:p w14:paraId="3F25ED04">
      <w:pPr>
        <w:spacing w:before="100" w:beforeAutospacing="1" w:after="100" w:afterAutospacing="1" w:line="400" w:lineRule="exact"/>
        <w:ind w:firstLine="420"/>
        <w:rPr>
          <w:rFonts w:ascii="宋体"/>
          <w:szCs w:val="21"/>
        </w:rPr>
      </w:pPr>
      <w:r>
        <w:rPr>
          <w:rFonts w:hint="eastAsia" w:ascii="宋体"/>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2D0286D3">
      <w:pPr>
        <w:spacing w:before="100" w:beforeAutospacing="1" w:after="100" w:afterAutospacing="1" w:line="400" w:lineRule="exact"/>
        <w:ind w:firstLine="420"/>
        <w:rPr>
          <w:rFonts w:ascii="宋体" w:hAnsi="宋体"/>
          <w:color w:val="FF0000"/>
          <w:szCs w:val="21"/>
          <w:highlight w:val="lightGray"/>
        </w:rPr>
      </w:pPr>
    </w:p>
    <w:p w14:paraId="54FB145C">
      <w:pPr>
        <w:pStyle w:val="2"/>
        <w:spacing w:before="100" w:beforeAutospacing="1" w:after="100" w:afterAutospacing="1" w:line="400" w:lineRule="exact"/>
        <w:ind w:firstLine="422"/>
        <w:rPr>
          <w:rFonts w:ascii="宋体" w:hAnsi="宋体"/>
          <w:sz w:val="21"/>
          <w:szCs w:val="21"/>
        </w:rPr>
      </w:pPr>
      <w:r>
        <w:rPr>
          <w:rFonts w:hint="eastAsia" w:ascii="宋体" w:hAnsi="宋体"/>
          <w:sz w:val="21"/>
          <w:szCs w:val="21"/>
        </w:rPr>
        <w:t>十三、基金有关文件档案的保存</w:t>
      </w:r>
    </w:p>
    <w:p w14:paraId="3F48E0BE">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（一）</w:t>
      </w:r>
      <w:r>
        <w:rPr>
          <w:rFonts w:hint="eastAsia" w:ascii="宋体" w:eastAsia="宋体" w:cs="方正仿宋简体"/>
          <w:sz w:val="21"/>
          <w:szCs w:val="21"/>
        </w:rPr>
        <w:t>基金管理人应保存基金财产管理业务活动的记录、账册、报表和其他相关资料，基金托管人应保存基金托管业务活动的记录、账册、报表和其他相关资料，保存期限不少于法律法规的规定。</w:t>
      </w:r>
    </w:p>
    <w:p w14:paraId="69E2B24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（二）基金管理人和基金托管人应按本协议第十条的约定对各自保存的文件和档案履行保密义务，法律法规、监管机构另有规定的除外。</w:t>
      </w:r>
    </w:p>
    <w:p w14:paraId="38DD9AFE">
      <w:pPr>
        <w:spacing w:before="100" w:beforeAutospacing="1" w:after="100" w:afterAutospacing="1" w:line="400" w:lineRule="exact"/>
        <w:rPr>
          <w:rFonts w:ascii="宋体" w:hAnsi="宋体"/>
          <w:szCs w:val="21"/>
        </w:rPr>
      </w:pPr>
    </w:p>
    <w:p w14:paraId="288FD645">
      <w:pPr>
        <w:pStyle w:val="2"/>
        <w:spacing w:before="100" w:beforeAutospacing="1" w:after="100" w:afterAutospacing="1" w:line="400" w:lineRule="exact"/>
        <w:ind w:firstLine="422"/>
        <w:rPr>
          <w:rFonts w:ascii="宋体" w:hAnsi="宋体"/>
          <w:sz w:val="21"/>
          <w:szCs w:val="21"/>
        </w:rPr>
      </w:pPr>
      <w:r>
        <w:rPr>
          <w:rFonts w:hint="eastAsia" w:ascii="宋体" w:hAnsi="宋体"/>
          <w:sz w:val="21"/>
          <w:szCs w:val="21"/>
        </w:rPr>
        <w:t>十四、</w:t>
      </w:r>
      <w:bookmarkEnd w:id="22"/>
      <w:bookmarkStart w:id="23" w:name="_Toc116900108"/>
      <w:r>
        <w:rPr>
          <w:rFonts w:hint="eastAsia" w:ascii="宋体" w:hAnsi="宋体"/>
          <w:sz w:val="21"/>
          <w:szCs w:val="21"/>
        </w:rPr>
        <w:t>基金托管人和基金管理人的更换</w:t>
      </w:r>
      <w:bookmarkEnd w:id="23"/>
      <w:r>
        <w:rPr>
          <w:rFonts w:hint="eastAsia" w:ascii="宋体" w:hAnsi="宋体"/>
          <w:sz w:val="21"/>
          <w:szCs w:val="21"/>
        </w:rPr>
        <w:t xml:space="preserve"> </w:t>
      </w:r>
    </w:p>
    <w:p w14:paraId="311BE04C">
      <w:pPr>
        <w:spacing w:before="100" w:beforeAutospacing="1" w:after="100" w:afterAutospacing="1" w:line="400" w:lineRule="exact"/>
        <w:ind w:firstLine="420"/>
        <w:rPr>
          <w:rFonts w:ascii="宋体" w:hAnsi="宋体"/>
          <w:szCs w:val="21"/>
        </w:rPr>
      </w:pPr>
      <w:r>
        <w:rPr>
          <w:rFonts w:hint="eastAsia" w:ascii="宋体" w:hAnsi="宋体"/>
          <w:szCs w:val="21"/>
        </w:rPr>
        <w:t>（一）</w:t>
      </w:r>
      <w:r>
        <w:rPr>
          <w:rFonts w:ascii="宋体" w:hAnsi="宋体"/>
          <w:szCs w:val="21"/>
        </w:rPr>
        <w:t>基金管理人职责终止</w:t>
      </w:r>
      <w:r>
        <w:rPr>
          <w:rFonts w:hint="eastAsia" w:ascii="宋体" w:hAnsi="宋体"/>
          <w:szCs w:val="21"/>
        </w:rPr>
        <w:t>后</w:t>
      </w:r>
      <w:r>
        <w:rPr>
          <w:rFonts w:ascii="宋体" w:hAnsi="宋体"/>
          <w:szCs w:val="21"/>
        </w:rPr>
        <w:t>，</w:t>
      </w:r>
      <w:r>
        <w:rPr>
          <w:rFonts w:hint="eastAsia" w:ascii="宋体" w:hAnsi="宋体"/>
          <w:szCs w:val="21"/>
        </w:rPr>
        <w:t>仍</w:t>
      </w:r>
      <w:r>
        <w:rPr>
          <w:rFonts w:ascii="宋体" w:hAnsi="宋体"/>
          <w:szCs w:val="21"/>
        </w:rPr>
        <w:t>应妥善保管基金管理业务资料，</w:t>
      </w:r>
      <w:r>
        <w:rPr>
          <w:rFonts w:hint="eastAsia" w:ascii="宋体" w:hAnsi="宋体"/>
          <w:szCs w:val="21"/>
        </w:rPr>
        <w:t>并与新任基金管理人或临时基金管理人</w:t>
      </w:r>
      <w:r>
        <w:rPr>
          <w:rFonts w:ascii="宋体" w:hAnsi="宋体"/>
          <w:szCs w:val="21"/>
        </w:rPr>
        <w:t>及时办理基金管理业务的移交手续。</w:t>
      </w:r>
      <w:r>
        <w:rPr>
          <w:rFonts w:hint="eastAsia" w:ascii="宋体" w:hAnsi="宋体"/>
          <w:szCs w:val="21"/>
        </w:rPr>
        <w:t>基金托管人应给予积极配合，并与新任基金管理人或临时基金管理人核对基金资产总值和净值。</w:t>
      </w:r>
    </w:p>
    <w:p w14:paraId="1578852D">
      <w:pPr>
        <w:spacing w:before="100" w:beforeAutospacing="1" w:after="100" w:afterAutospacing="1" w:line="400" w:lineRule="exact"/>
        <w:ind w:firstLine="420"/>
        <w:rPr>
          <w:rFonts w:ascii="宋体" w:hAnsi="宋体"/>
          <w:szCs w:val="21"/>
        </w:rPr>
      </w:pPr>
      <w:r>
        <w:rPr>
          <w:rFonts w:hint="eastAsia" w:ascii="宋体" w:hAnsi="宋体"/>
          <w:szCs w:val="21"/>
        </w:rPr>
        <w:t>（二）</w:t>
      </w:r>
      <w:r>
        <w:rPr>
          <w:rFonts w:ascii="宋体" w:hAnsi="宋体"/>
          <w:szCs w:val="21"/>
        </w:rPr>
        <w:t>基金托管人职责终止</w:t>
      </w:r>
      <w:r>
        <w:rPr>
          <w:rFonts w:hint="eastAsia" w:ascii="宋体" w:hAnsi="宋体"/>
          <w:szCs w:val="21"/>
        </w:rPr>
        <w:t>后</w:t>
      </w:r>
      <w:r>
        <w:rPr>
          <w:rFonts w:ascii="宋体" w:hAnsi="宋体"/>
          <w:szCs w:val="21"/>
        </w:rPr>
        <w:t>，</w:t>
      </w:r>
      <w:r>
        <w:rPr>
          <w:rFonts w:hint="eastAsia" w:ascii="宋体" w:hAnsi="宋体"/>
          <w:szCs w:val="21"/>
        </w:rPr>
        <w:t>仍</w:t>
      </w:r>
      <w:r>
        <w:rPr>
          <w:rFonts w:ascii="宋体" w:hAnsi="宋体"/>
          <w:szCs w:val="21"/>
        </w:rPr>
        <w:t>应妥善保管基金财产和基金托管业务资料，</w:t>
      </w:r>
      <w:r>
        <w:rPr>
          <w:rFonts w:hint="eastAsia" w:ascii="宋体" w:hAnsi="宋体"/>
          <w:szCs w:val="21"/>
        </w:rPr>
        <w:t>并与新任基金托管人或临时基金托管人</w:t>
      </w:r>
      <w:r>
        <w:rPr>
          <w:rFonts w:ascii="宋体" w:hAnsi="宋体"/>
          <w:szCs w:val="21"/>
        </w:rPr>
        <w:t>及时办理基金财产和基金托管业务的移交手续。</w:t>
      </w:r>
      <w:r>
        <w:rPr>
          <w:rFonts w:hint="eastAsia" w:ascii="宋体" w:hAnsi="宋体"/>
          <w:szCs w:val="21"/>
        </w:rPr>
        <w:t>基金管理人应给予积极配合，并与新任基金托管人或临时基金托管人核对基金资产总值和净值。</w:t>
      </w:r>
    </w:p>
    <w:p w14:paraId="4B99C05A">
      <w:pPr>
        <w:spacing w:before="100" w:beforeAutospacing="1" w:after="100" w:afterAutospacing="1" w:line="400" w:lineRule="exact"/>
        <w:ind w:firstLine="420"/>
        <w:rPr>
          <w:rFonts w:ascii="宋体" w:hAnsi="宋体"/>
          <w:szCs w:val="21"/>
        </w:rPr>
      </w:pPr>
      <w:r>
        <w:rPr>
          <w:rFonts w:hint="eastAsia" w:ascii="宋体" w:hAnsi="宋体"/>
          <w:szCs w:val="21"/>
        </w:rPr>
        <w:t>（三）其他事宜见《基金合同》的相关约定。</w:t>
      </w:r>
    </w:p>
    <w:p w14:paraId="64750E97">
      <w:pPr>
        <w:spacing w:before="100" w:beforeAutospacing="1" w:after="100" w:afterAutospacing="1" w:line="400" w:lineRule="exact"/>
        <w:ind w:firstLine="540"/>
        <w:rPr>
          <w:rFonts w:ascii="宋体" w:hAnsi="宋体"/>
          <w:szCs w:val="21"/>
        </w:rPr>
      </w:pPr>
    </w:p>
    <w:p w14:paraId="79BDA526">
      <w:pPr>
        <w:pStyle w:val="2"/>
        <w:spacing w:before="100" w:beforeAutospacing="1" w:after="100" w:afterAutospacing="1" w:line="400" w:lineRule="exact"/>
        <w:ind w:firstLine="422"/>
        <w:rPr>
          <w:rFonts w:ascii="宋体" w:hAnsi="宋体"/>
          <w:sz w:val="21"/>
          <w:szCs w:val="21"/>
        </w:rPr>
      </w:pPr>
      <w:bookmarkStart w:id="24" w:name="_Toc116900110"/>
      <w:r>
        <w:rPr>
          <w:rFonts w:hint="eastAsia" w:ascii="宋体" w:hAnsi="宋体"/>
          <w:sz w:val="21"/>
          <w:szCs w:val="21"/>
        </w:rPr>
        <w:t>十五、禁止行为</w:t>
      </w:r>
      <w:bookmarkEnd w:id="24"/>
    </w:p>
    <w:p w14:paraId="7B758B07">
      <w:pPr>
        <w:snapToGrid w:val="0"/>
        <w:spacing w:before="100" w:beforeAutospacing="1" w:after="100" w:afterAutospacing="1" w:line="400" w:lineRule="exact"/>
        <w:ind w:firstLine="420"/>
        <w:rPr>
          <w:rFonts w:ascii="宋体" w:hAnsi="宋体"/>
          <w:szCs w:val="21"/>
        </w:rPr>
      </w:pPr>
      <w:r>
        <w:rPr>
          <w:rFonts w:hint="eastAsia" w:ascii="宋体" w:hAnsi="宋体"/>
          <w:szCs w:val="21"/>
        </w:rPr>
        <w:t>（一）</w:t>
      </w:r>
      <w:r>
        <w:rPr>
          <w:rFonts w:hint="eastAsia" w:ascii="宋体" w:hAnsi="宋体" w:cs="方正仿宋简体"/>
          <w:szCs w:val="21"/>
        </w:rPr>
        <w:t>《基金法》禁止的行为。</w:t>
      </w:r>
    </w:p>
    <w:p w14:paraId="67637EDB">
      <w:pPr>
        <w:snapToGrid w:val="0"/>
        <w:spacing w:before="100" w:beforeAutospacing="1" w:after="100" w:afterAutospacing="1" w:line="400" w:lineRule="exact"/>
        <w:ind w:firstLine="420"/>
        <w:rPr>
          <w:rFonts w:ascii="宋体" w:hAnsi="宋体"/>
          <w:szCs w:val="21"/>
        </w:rPr>
      </w:pPr>
      <w:r>
        <w:rPr>
          <w:rFonts w:hint="eastAsia" w:ascii="宋体" w:hAnsi="宋体" w:cs="方正仿宋简体"/>
          <w:szCs w:val="21"/>
        </w:rPr>
        <w:t>（二）《基金法》禁止的投资或活动。</w:t>
      </w:r>
    </w:p>
    <w:p w14:paraId="6F068660">
      <w:pPr>
        <w:snapToGrid w:val="0"/>
        <w:spacing w:before="100" w:beforeAutospacing="1" w:after="100" w:afterAutospacing="1" w:line="400" w:lineRule="exact"/>
        <w:ind w:firstLine="420"/>
        <w:rPr>
          <w:rFonts w:ascii="宋体" w:hAnsi="宋体"/>
          <w:szCs w:val="21"/>
        </w:rPr>
      </w:pPr>
      <w:r>
        <w:rPr>
          <w:rFonts w:hint="eastAsia" w:ascii="宋体" w:hAnsi="宋体" w:cs="方正仿宋简体"/>
          <w:szCs w:val="21"/>
        </w:rPr>
        <w:t>（三）除根据基金管理人的指令或《基金合同》、本协议另有规定外，基金托管人不得动用或处分基金财产。</w:t>
      </w:r>
    </w:p>
    <w:p w14:paraId="685E0383">
      <w:pPr>
        <w:snapToGrid w:val="0"/>
        <w:spacing w:before="100" w:beforeAutospacing="1" w:after="100" w:afterAutospacing="1" w:line="400" w:lineRule="exact"/>
        <w:ind w:firstLine="420"/>
        <w:rPr>
          <w:rFonts w:ascii="宋体" w:hAnsi="宋体"/>
          <w:szCs w:val="21"/>
        </w:rPr>
      </w:pPr>
      <w:r>
        <w:rPr>
          <w:rFonts w:hint="eastAsia" w:ascii="宋体" w:hAnsi="宋体" w:cs="方正仿宋简体"/>
          <w:szCs w:val="21"/>
        </w:rPr>
        <w:t>（四）基金管理人、基金托管人的高级管理人员和其他从业人员不得相互兼职。</w:t>
      </w:r>
    </w:p>
    <w:p w14:paraId="79B9B57E">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（五）法律法规、中国证监会、《基金合同》和本协议禁止的其他行为。</w:t>
      </w:r>
    </w:p>
    <w:p w14:paraId="64749B1B">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如法律法规或监管部门取消或调整上述禁止性规定，基金管理人在履行适当程序后，本基金可不受上述规定的限制或按调整后的规定执行。</w:t>
      </w:r>
    </w:p>
    <w:p w14:paraId="686F5038">
      <w:pPr>
        <w:pStyle w:val="2"/>
        <w:spacing w:before="100" w:beforeAutospacing="1" w:after="100" w:afterAutospacing="1" w:line="400" w:lineRule="exact"/>
        <w:ind w:firstLine="422"/>
        <w:rPr>
          <w:rFonts w:ascii="宋体" w:hAnsi="宋体"/>
          <w:sz w:val="21"/>
          <w:szCs w:val="21"/>
        </w:rPr>
      </w:pPr>
      <w:bookmarkStart w:id="25" w:name="_Toc116900111"/>
      <w:r>
        <w:rPr>
          <w:rFonts w:hint="eastAsia" w:ascii="宋体" w:hAnsi="宋体"/>
          <w:sz w:val="21"/>
          <w:szCs w:val="21"/>
        </w:rPr>
        <w:t>十六、托管协议的变更、终止与基金财产的清算</w:t>
      </w:r>
    </w:p>
    <w:p w14:paraId="1165666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（一）托管协议的变更</w:t>
      </w:r>
    </w:p>
    <w:p w14:paraId="7A15A8F8">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本协议双方当事人经协商一致，可以对协议进行变更。变更后的新协议，其内容不得与《基金合同》的规定有任何冲突。</w:t>
      </w:r>
    </w:p>
    <w:p w14:paraId="2C003D76">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（二）托管协议的终止</w:t>
      </w:r>
    </w:p>
    <w:p w14:paraId="2042AC04">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发生以下情况，本托管协议应当终止：</w:t>
      </w:r>
    </w:p>
    <w:p w14:paraId="38CDC841">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1、《基金合同》终止；</w:t>
      </w:r>
    </w:p>
    <w:p w14:paraId="4988454C">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2、本基金更换基金托管人；</w:t>
      </w:r>
    </w:p>
    <w:p w14:paraId="0BD74CBB">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3、本基金更换基金管理人；</w:t>
      </w:r>
    </w:p>
    <w:p w14:paraId="5DA7466C">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4、发生《基金法》、《运作办法》或其他法律法规规定的终止事项。</w:t>
      </w:r>
    </w:p>
    <w:p w14:paraId="754588AE">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（三）基金财产的清算</w:t>
      </w:r>
    </w:p>
    <w:p w14:paraId="07996730">
      <w:pPr>
        <w:spacing w:before="100" w:beforeAutospacing="1" w:after="100" w:afterAutospacing="1" w:line="400" w:lineRule="exact"/>
        <w:ind w:firstLine="420"/>
        <w:rPr>
          <w:rFonts w:ascii="宋体" w:hAnsi="宋体"/>
          <w:color w:val="000000"/>
          <w:szCs w:val="21"/>
        </w:rPr>
      </w:pPr>
      <w:r>
        <w:rPr>
          <w:rFonts w:hint="eastAsia" w:ascii="宋体" w:hAnsi="宋体"/>
          <w:color w:val="000000"/>
          <w:szCs w:val="21"/>
        </w:rPr>
        <w:t>基金管理人和基金托管人应按照《基金合同》及有关法律法规的规定对本基金的财产进行清算。</w:t>
      </w:r>
    </w:p>
    <w:p w14:paraId="2318462D">
      <w:pPr>
        <w:spacing w:before="100" w:beforeAutospacing="1" w:after="100" w:afterAutospacing="1" w:line="400" w:lineRule="exact"/>
        <w:ind w:firstLine="449"/>
        <w:rPr>
          <w:rFonts w:ascii="宋体" w:hAnsi="宋体"/>
          <w:szCs w:val="21"/>
        </w:rPr>
      </w:pPr>
    </w:p>
    <w:p w14:paraId="7548E67D">
      <w:pPr>
        <w:pStyle w:val="2"/>
        <w:spacing w:before="100" w:beforeAutospacing="1" w:after="100" w:afterAutospacing="1" w:line="400" w:lineRule="exact"/>
        <w:ind w:firstLine="422"/>
        <w:rPr>
          <w:rFonts w:ascii="宋体" w:hAnsi="宋体"/>
          <w:sz w:val="21"/>
          <w:szCs w:val="21"/>
        </w:rPr>
      </w:pPr>
      <w:r>
        <w:rPr>
          <w:rFonts w:hint="eastAsia" w:ascii="宋体" w:hAnsi="宋体"/>
          <w:sz w:val="21"/>
          <w:szCs w:val="21"/>
        </w:rPr>
        <w:t>十七、违约责任和责任划分</w:t>
      </w:r>
      <w:bookmarkEnd w:id="25"/>
    </w:p>
    <w:p w14:paraId="08BF47D1">
      <w:pPr>
        <w:snapToGrid w:val="0"/>
        <w:spacing w:before="100" w:beforeAutospacing="1" w:after="100" w:afterAutospacing="1" w:line="400" w:lineRule="exact"/>
        <w:ind w:firstLine="420"/>
        <w:rPr>
          <w:rFonts w:ascii="宋体" w:hAnsi="宋体"/>
          <w:szCs w:val="21"/>
        </w:rPr>
      </w:pPr>
      <w:r>
        <w:rPr>
          <w:rFonts w:hint="eastAsia" w:ascii="宋体" w:hAnsi="宋体"/>
          <w:szCs w:val="21"/>
        </w:rPr>
        <w:t>（一）</w:t>
      </w:r>
      <w:r>
        <w:rPr>
          <w:rFonts w:hint="eastAsia" w:ascii="宋体" w:hAnsi="宋体" w:cs="方正仿宋简体"/>
          <w:szCs w:val="21"/>
        </w:rPr>
        <w:t>本协议当事人不履行本协议或履行本协议不符合约定的，应当承担违约责任。</w:t>
      </w:r>
    </w:p>
    <w:p w14:paraId="2D32E0E3">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（二）因本协议当事人违约给基金财产或者基金份额持有人造成损害的，应当分别对各自的行为依法承担赔偿责任，因共同行为给基金财产或者基金份额持有人造成损害的，应当承担连带赔偿责任。</w:t>
      </w:r>
      <w:r>
        <w:rPr>
          <w:rFonts w:ascii="宋体" w:hAnsi="宋体" w:cs="方正仿宋简体"/>
          <w:szCs w:val="21"/>
        </w:rPr>
        <w:t>对损失的赔偿，仅限于直接损失。</w:t>
      </w:r>
      <w:r>
        <w:rPr>
          <w:rFonts w:hint="eastAsia" w:ascii="宋体" w:hAnsi="宋体" w:cs="方正仿宋简体"/>
          <w:szCs w:val="21"/>
        </w:rPr>
        <w:t>但是发生下列情况，当事人免责：</w:t>
      </w:r>
    </w:p>
    <w:p w14:paraId="13EA34A4">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1、基金管理人和/或基金托管人按照当时有效的法律法规或中国证监会的规定作为或不作为而造成的损失等；</w:t>
      </w:r>
    </w:p>
    <w:p w14:paraId="1AF238B2">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2、基金管理人由于按照《基金合同》规定的投资原则而行使或不行使其投资权而造成的损失等；</w:t>
      </w:r>
    </w:p>
    <w:p w14:paraId="5975B238">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3、不可抗力；</w:t>
      </w:r>
    </w:p>
    <w:p w14:paraId="1342F8F8">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4、基金托管人对存放或存管在基金托管人以外机构的基金资产，或交由证券公司等其他机构负责清算交收的基金资产及其收益不承担责任；</w:t>
      </w:r>
    </w:p>
    <w:p w14:paraId="0B5607C8">
      <w:pPr>
        <w:snapToGrid w:val="0"/>
        <w:spacing w:before="100" w:beforeAutospacing="1" w:after="100" w:afterAutospacing="1" w:line="400" w:lineRule="exact"/>
        <w:ind w:firstLine="420"/>
        <w:rPr>
          <w:rFonts w:ascii="宋体" w:hAnsi="宋体" w:cs="方正仿宋简体"/>
          <w:szCs w:val="21"/>
        </w:rPr>
      </w:pPr>
      <w:r>
        <w:rPr>
          <w:rFonts w:hint="eastAsia" w:ascii="宋体" w:hAnsi="宋体" w:cs="方正仿宋简体"/>
          <w:szCs w:val="21"/>
        </w:rPr>
        <w:t>5、计算机系统故障、网络故障、通讯故障、电力故障、计算机病毒攻击及其它非基金管理人、基金托管人过错造成的意外事故。</w:t>
      </w:r>
    </w:p>
    <w:p w14:paraId="6D3BF7A2">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（三）一方当事人违反本协议，给另一方当事人造成损失的，应承担赔偿责任。</w:t>
      </w:r>
    </w:p>
    <w:p w14:paraId="3097E74E">
      <w:pPr>
        <w:snapToGrid w:val="0"/>
        <w:spacing w:before="100" w:beforeAutospacing="1" w:after="100" w:afterAutospacing="1" w:line="400" w:lineRule="exact"/>
        <w:ind w:firstLine="420"/>
        <w:rPr>
          <w:rFonts w:ascii="宋体" w:hAnsi="宋体"/>
          <w:szCs w:val="21"/>
        </w:rPr>
      </w:pPr>
      <w:r>
        <w:rPr>
          <w:rFonts w:hint="eastAsia" w:ascii="宋体" w:hAnsi="宋体"/>
          <w:szCs w:val="21"/>
        </w:rPr>
        <w:t>（四）因不可抗力不能履行本协议的，根据不可抗力的影响，违约方部分或全部免除责任，但法律另有规定的除外。当事人迟延履行后发生不可抗力的，不能免除责任。</w:t>
      </w:r>
    </w:p>
    <w:p w14:paraId="4E917314">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五）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14:paraId="3CF894A4">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（六）违约行为虽已发生，但本协议能够继续履行的，在最大限度地保护基金份额持有人利益的前提下，基金管理人和基金托管人应当继续履行本协议。</w:t>
      </w:r>
    </w:p>
    <w:p w14:paraId="276B3145">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（七）为明确责任，在不影响本协议本条其他规定的普遍适用性的前提下，基金管理人和基金托管人对由于如下行为造成的损失的责任承担问题，明确如下：</w:t>
      </w:r>
    </w:p>
    <w:p w14:paraId="564DE7CD">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1、由于下达违法、违规的指令所导致的责任，由基金管理人承担；</w:t>
      </w:r>
    </w:p>
    <w:p w14:paraId="05C2851C">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 xml:space="preserve">2、指令下达人员在授权通知载明的权限范围内下达的指令所导致的责任，由基金管理人承担，即使该人员下达指令并没有获得基金管理人的实际授权（例如基金管理人在撤销或变更授权权限后未能及时通知基金托管人）； </w:t>
      </w:r>
    </w:p>
    <w:p w14:paraId="12792A4A">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3、基金托管人未对指令上签名和印鉴与预留签字样本和预留印鉴进行表面真实性审核，导致基金托管人执行了应当无效的指令，基金管理人与基金托管人应根据各自过错程度承担责任；</w:t>
      </w:r>
    </w:p>
    <w:p w14:paraId="4D580551">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4、属于基金托管人实际有效控制下的基金财产（包括实物证券）在基金托管人保管期间的损坏、灭失，由此产生的责任应由该基金托管人承担；</w:t>
      </w:r>
    </w:p>
    <w:p w14:paraId="44D0C340">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5、基金管理人应承担对其应收取的管理费数额计算错误的责任。如果基金托管人复核后同意基金管理人的计算结果，则基金托管人也应承担未正确履行复核义务的相应责任；</w:t>
      </w:r>
    </w:p>
    <w:p w14:paraId="17DF4B6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6、基金管理人应承担对基金托管人应收取的托管费数额计算错误的责任。如果基金托管人复核后同意基金管理人的计算结果，则基金托管人也应承担未正确履行复核义务的相应责任；</w:t>
      </w:r>
    </w:p>
    <w:p w14:paraId="6C5BE656">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7、由于基金管理人或基金托管人原因导致本基金不能依据中国证券登记结算有限责任公司的业务规则及时清算的，由责任方承担由此给基金财产、基金份额持有人及受损害方造成的直接损失，若由于双方原因导致本基金不能依据中国证券登记结算有限责任公司的业务规则及时清算的，双方应按照各自的过错程度对造成的直接损失合理分担责任；</w:t>
      </w:r>
    </w:p>
    <w:p w14:paraId="1CA05520">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8、</w:t>
      </w:r>
      <w:r>
        <w:rPr>
          <w:rFonts w:ascii="宋体" w:eastAsia="宋体"/>
          <w:color w:val="auto"/>
          <w:sz w:val="21"/>
          <w:szCs w:val="21"/>
        </w:rPr>
        <w:t>在资金交收日，基金资金账户资金首先用于除新股申购以外的其他资金交收义务，交收完成后资金余额方可用于新股申购。如果因此资金不足造成新股申购失败或者新股申购不足，基金托管人不承担责任。如基金份额持有人因此提出赔偿要求，相关法律责任和损失由基金管理人承担。</w:t>
      </w:r>
    </w:p>
    <w:p w14:paraId="4DEE650C">
      <w:pPr>
        <w:pStyle w:val="15"/>
        <w:spacing w:before="100" w:beforeAutospacing="1" w:after="100" w:afterAutospacing="1"/>
        <w:ind w:firstLine="403"/>
        <w:rPr>
          <w:rFonts w:ascii="宋体" w:eastAsia="宋体"/>
          <w:color w:val="auto"/>
          <w:sz w:val="21"/>
          <w:szCs w:val="21"/>
        </w:rPr>
      </w:pPr>
    </w:p>
    <w:p w14:paraId="4DA74E95">
      <w:pPr>
        <w:pStyle w:val="2"/>
        <w:spacing w:before="100" w:beforeAutospacing="1" w:after="100" w:afterAutospacing="1" w:line="400" w:lineRule="exact"/>
        <w:ind w:firstLine="422"/>
        <w:rPr>
          <w:rFonts w:ascii="宋体" w:hAnsi="宋体"/>
          <w:sz w:val="21"/>
          <w:szCs w:val="21"/>
        </w:rPr>
      </w:pPr>
      <w:bookmarkStart w:id="26" w:name="_Toc116900112"/>
      <w:r>
        <w:rPr>
          <w:rFonts w:hint="eastAsia" w:ascii="宋体" w:hAnsi="宋体"/>
          <w:sz w:val="21"/>
          <w:szCs w:val="21"/>
        </w:rPr>
        <w:t>十八、适用法律与争议解决</w:t>
      </w:r>
      <w:bookmarkEnd w:id="26"/>
      <w:r>
        <w:rPr>
          <w:rFonts w:hint="eastAsia" w:ascii="宋体" w:hAnsi="宋体"/>
          <w:sz w:val="21"/>
          <w:szCs w:val="21"/>
        </w:rPr>
        <w:t>方式</w:t>
      </w:r>
    </w:p>
    <w:p w14:paraId="267E8013">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（一）本协议适用中华人民共和国法律（为本协议之目的，不包括香港特别行政区、澳门特别行政区和台湾地区法律）并从其解释。</w:t>
      </w:r>
    </w:p>
    <w:p w14:paraId="5E04197D">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二）基金管理人与基金托管人之间因本协议产生的或与本协议有关的争议可通过友好协商解决。但若争议未能以协商方式解决的，则任何一方有权将争议提交位于北京的中国国际经济贸易仲裁委员会，并按其届时有效的仲裁规则进行仲裁，仲裁地点为北京市。仲裁裁决是终局的，对仲裁各方当事人均具有约束力，除非仲裁裁决另有裁定，仲裁费用和律师费用由败诉方承担。</w:t>
      </w:r>
    </w:p>
    <w:p w14:paraId="5E52C047">
      <w:pPr>
        <w:pStyle w:val="15"/>
        <w:spacing w:before="100" w:beforeAutospacing="1" w:after="100" w:afterAutospacing="1"/>
        <w:ind w:firstLine="403"/>
        <w:rPr>
          <w:rFonts w:ascii="宋体" w:eastAsia="宋体"/>
          <w:color w:val="auto"/>
          <w:sz w:val="21"/>
          <w:szCs w:val="21"/>
        </w:rPr>
      </w:pPr>
      <w:r>
        <w:rPr>
          <w:rFonts w:hint="eastAsia" w:ascii="宋体" w:eastAsia="宋体"/>
          <w:color w:val="auto"/>
          <w:sz w:val="21"/>
          <w:szCs w:val="21"/>
        </w:rPr>
        <w:t>（三）除争议所涉的内容之外，本协议的当事人仍应履行本协议的其他规定。争议处理期间，基金管理人与基金托管人应恪守各自的职责，继续忠实、勤勉、尽责地履行基金合同规定的义务，维护基金份额持有人的合法权益。</w:t>
      </w:r>
    </w:p>
    <w:p w14:paraId="27A744E7">
      <w:pPr>
        <w:pStyle w:val="15"/>
        <w:spacing w:before="100" w:beforeAutospacing="1" w:after="100" w:afterAutospacing="1"/>
        <w:ind w:firstLine="403"/>
        <w:rPr>
          <w:rFonts w:ascii="宋体" w:eastAsia="宋体"/>
          <w:color w:val="auto"/>
          <w:sz w:val="21"/>
          <w:szCs w:val="21"/>
        </w:rPr>
      </w:pPr>
    </w:p>
    <w:p w14:paraId="570B14FA">
      <w:pPr>
        <w:pStyle w:val="2"/>
        <w:spacing w:before="100" w:beforeAutospacing="1" w:after="100" w:afterAutospacing="1" w:line="400" w:lineRule="exact"/>
        <w:ind w:firstLine="422"/>
        <w:rPr>
          <w:rFonts w:ascii="宋体" w:hAnsi="宋体"/>
          <w:sz w:val="21"/>
          <w:szCs w:val="21"/>
        </w:rPr>
      </w:pPr>
      <w:bookmarkStart w:id="27" w:name="_Toc116900113"/>
      <w:r>
        <w:rPr>
          <w:rFonts w:hint="eastAsia" w:ascii="宋体" w:hAnsi="宋体"/>
          <w:sz w:val="21"/>
          <w:szCs w:val="21"/>
        </w:rPr>
        <w:t>十九、托管协议的效力</w:t>
      </w:r>
      <w:bookmarkEnd w:id="27"/>
    </w:p>
    <w:p w14:paraId="5F30AA76">
      <w:pPr>
        <w:snapToGrid w:val="0"/>
        <w:spacing w:before="100" w:beforeAutospacing="1" w:after="100" w:afterAutospacing="1" w:line="400" w:lineRule="exact"/>
        <w:ind w:firstLine="420"/>
        <w:rPr>
          <w:rFonts w:ascii="宋体" w:hAnsi="宋体"/>
          <w:szCs w:val="21"/>
        </w:rPr>
      </w:pPr>
      <w:r>
        <w:rPr>
          <w:rFonts w:hint="eastAsia" w:ascii="宋体" w:hAnsi="宋体" w:cs="方正仿宋简体"/>
          <w:szCs w:val="21"/>
        </w:rPr>
        <w:t>（一）基金管理人在向中国证监会申请发售基金份额时提交的基金托管协议草案，应经托管协议双方当事人的法定代表人或授权签字人签</w:t>
      </w:r>
      <w:r>
        <w:rPr>
          <w:rFonts w:ascii="宋体" w:hAnsi="宋体" w:cs="方正仿宋简体"/>
          <w:szCs w:val="21"/>
        </w:rPr>
        <w:t>章</w:t>
      </w:r>
      <w:r>
        <w:rPr>
          <w:rFonts w:hint="eastAsia" w:ascii="宋体" w:hAnsi="宋体" w:cs="方正仿宋简体"/>
          <w:szCs w:val="21"/>
        </w:rPr>
        <w:t>并加盖公章，协议当事人双方根据中国证监会的意见修改托管协议草案。托管协议以中国证监会注册的文本为正式文本。</w:t>
      </w:r>
    </w:p>
    <w:p w14:paraId="6908636E">
      <w:pPr>
        <w:snapToGrid w:val="0"/>
        <w:spacing w:before="100" w:beforeAutospacing="1" w:after="100" w:afterAutospacing="1" w:line="400" w:lineRule="exact"/>
        <w:ind w:firstLine="420"/>
        <w:rPr>
          <w:rFonts w:ascii="宋体" w:hAnsi="宋体"/>
          <w:szCs w:val="21"/>
        </w:rPr>
      </w:pPr>
      <w:r>
        <w:rPr>
          <w:rFonts w:hint="eastAsia" w:ascii="宋体" w:hAnsi="宋体" w:cs="方正仿宋简体"/>
          <w:szCs w:val="21"/>
        </w:rPr>
        <w:t>（二）本协议自</w:t>
      </w:r>
      <w:r>
        <w:rPr>
          <w:rFonts w:hint="eastAsia" w:ascii="宋体" w:hAnsi="宋体"/>
          <w:szCs w:val="21"/>
        </w:rPr>
        <w:t>双方签署</w:t>
      </w:r>
      <w:r>
        <w:rPr>
          <w:rFonts w:hint="eastAsia" w:ascii="宋体" w:hAnsi="宋体" w:cs="方正仿宋简体"/>
          <w:szCs w:val="21"/>
        </w:rPr>
        <w:t>之日起成立，自《基金合同》生效之日起生效。本协议的有效期自其生效之日起至基金财产清算结果报中国证监会备案并公告之日止。</w:t>
      </w:r>
    </w:p>
    <w:p w14:paraId="01DB68C1">
      <w:pPr>
        <w:snapToGrid w:val="0"/>
        <w:spacing w:before="100" w:beforeAutospacing="1" w:after="100" w:afterAutospacing="1" w:line="400" w:lineRule="exact"/>
        <w:ind w:firstLine="420"/>
        <w:rPr>
          <w:rFonts w:ascii="宋体" w:hAnsi="宋体"/>
          <w:szCs w:val="21"/>
        </w:rPr>
      </w:pPr>
      <w:r>
        <w:rPr>
          <w:rFonts w:hint="eastAsia" w:ascii="宋体" w:hAnsi="宋体" w:cs="方正仿宋简体"/>
          <w:szCs w:val="21"/>
        </w:rPr>
        <w:t>（三）本协议自生效之日起对双方当事人具有同等的法律约束力。</w:t>
      </w:r>
    </w:p>
    <w:p w14:paraId="594E55E8">
      <w:pPr>
        <w:pStyle w:val="15"/>
        <w:spacing w:before="100" w:beforeAutospacing="1" w:after="100" w:afterAutospacing="1"/>
        <w:ind w:firstLine="403"/>
        <w:rPr>
          <w:rFonts w:ascii="宋体" w:eastAsia="宋体"/>
          <w:color w:val="auto"/>
          <w:sz w:val="21"/>
          <w:szCs w:val="21"/>
        </w:rPr>
      </w:pPr>
      <w:r>
        <w:rPr>
          <w:rFonts w:hint="eastAsia" w:ascii="宋体" w:eastAsia="宋体" w:cs="方正仿宋简体"/>
          <w:sz w:val="21"/>
          <w:szCs w:val="21"/>
        </w:rPr>
        <w:t>（四）</w:t>
      </w:r>
      <w:r>
        <w:rPr>
          <w:rFonts w:hint="eastAsia" w:ascii="宋体" w:eastAsia="宋体"/>
          <w:color w:val="auto"/>
          <w:sz w:val="21"/>
          <w:szCs w:val="21"/>
        </w:rPr>
        <w:t>本协议正本一式三份，协议双方各执一份，上报中国证监会一份，每份具有同等法律效力。</w:t>
      </w:r>
      <w:bookmarkStart w:id="28" w:name="_Toc116900116"/>
    </w:p>
    <w:p w14:paraId="2D427C0D">
      <w:pPr>
        <w:pStyle w:val="2"/>
        <w:spacing w:before="100" w:beforeAutospacing="1" w:after="100" w:afterAutospacing="1" w:line="400" w:lineRule="exact"/>
        <w:ind w:firstLine="422"/>
        <w:rPr>
          <w:rFonts w:ascii="宋体" w:hAnsi="宋体"/>
          <w:sz w:val="21"/>
          <w:szCs w:val="21"/>
        </w:rPr>
      </w:pPr>
      <w:r>
        <w:rPr>
          <w:rFonts w:ascii="宋体" w:hAnsi="宋体"/>
          <w:sz w:val="21"/>
          <w:szCs w:val="21"/>
        </w:rPr>
        <w:t>二十、托管协议</w:t>
      </w:r>
      <w:bookmarkEnd w:id="28"/>
      <w:r>
        <w:rPr>
          <w:rFonts w:hint="eastAsia" w:ascii="宋体" w:hAnsi="宋体"/>
          <w:sz w:val="21"/>
          <w:szCs w:val="21"/>
        </w:rPr>
        <w:t>的签订</w:t>
      </w:r>
    </w:p>
    <w:p w14:paraId="6A9DD63D">
      <w:pPr>
        <w:pStyle w:val="15"/>
        <w:spacing w:before="100" w:beforeAutospacing="1" w:after="100" w:afterAutospacing="1"/>
        <w:ind w:firstLine="403"/>
        <w:rPr>
          <w:rFonts w:ascii="宋体" w:eastAsia="宋体"/>
          <w:sz w:val="21"/>
          <w:szCs w:val="21"/>
        </w:rPr>
      </w:pPr>
      <w:r>
        <w:rPr>
          <w:rFonts w:hint="eastAsia" w:ascii="宋体" w:eastAsia="宋体"/>
          <w:color w:val="auto"/>
          <w:sz w:val="21"/>
          <w:szCs w:val="21"/>
        </w:rPr>
        <w:t>见签署页。</w:t>
      </w:r>
    </w:p>
    <w:p w14:paraId="4430C1FE">
      <w:pPr>
        <w:pStyle w:val="15"/>
        <w:spacing w:before="100" w:beforeAutospacing="1" w:after="100" w:afterAutospacing="1"/>
        <w:ind w:firstLine="403"/>
        <w:rPr>
          <w:rFonts w:ascii="宋体" w:eastAsia="宋体"/>
          <w:sz w:val="21"/>
          <w:szCs w:val="21"/>
        </w:rPr>
      </w:pPr>
      <w:r>
        <w:rPr>
          <w:rFonts w:hint="eastAsia" w:ascii="宋体" w:eastAsia="宋体"/>
          <w:sz w:val="21"/>
          <w:szCs w:val="21"/>
        </w:rPr>
        <w:t>（以下无正文）</w:t>
      </w:r>
    </w:p>
    <w:p w14:paraId="30442444">
      <w:pPr>
        <w:pStyle w:val="15"/>
        <w:spacing w:before="100" w:beforeAutospacing="1" w:after="100" w:afterAutospacing="1"/>
        <w:ind w:firstLine="0"/>
        <w:rPr>
          <w:rFonts w:ascii="宋体" w:eastAsia="宋体"/>
          <w:sz w:val="21"/>
          <w:szCs w:val="21"/>
        </w:rPr>
        <w:sectPr>
          <w:footerReference r:id="rId3" w:type="default"/>
          <w:footerReference r:id="rId4" w:type="even"/>
          <w:type w:val="continuous"/>
          <w:pgSz w:w="11906" w:h="16838"/>
          <w:pgMar w:top="1440" w:right="1800" w:bottom="1440" w:left="1800" w:header="851" w:footer="992" w:gutter="0"/>
          <w:pgNumType w:start="1"/>
          <w:cols w:space="720" w:num="1"/>
          <w:titlePg/>
          <w:docGrid w:type="lines" w:linePitch="312" w:charSpace="0"/>
        </w:sectPr>
      </w:pPr>
    </w:p>
    <w:p w14:paraId="424F0DBA">
      <w:pPr>
        <w:pStyle w:val="15"/>
        <w:spacing w:before="100" w:beforeAutospacing="1" w:after="100" w:afterAutospacing="1"/>
        <w:ind w:firstLine="420"/>
        <w:rPr>
          <w:rFonts w:ascii="宋体" w:eastAsia="宋体"/>
          <w:sz w:val="21"/>
          <w:szCs w:val="21"/>
        </w:rPr>
      </w:pPr>
      <w:r>
        <w:rPr>
          <w:rFonts w:hint="eastAsia" w:ascii="宋体" w:eastAsia="宋体"/>
          <w:sz w:val="21"/>
          <w:szCs w:val="21"/>
        </w:rPr>
        <w:t>（本页为《富国中证800自由现金流交易型开放式指数证券投资基金联接基金托管协议》签署页，无正文）</w:t>
      </w:r>
    </w:p>
    <w:p w14:paraId="6DCE6AD7">
      <w:pPr>
        <w:pStyle w:val="207"/>
        <w:spacing w:line="400" w:lineRule="exact"/>
        <w:ind w:firstLine="420"/>
        <w:rPr>
          <w:color w:val="000000"/>
          <w:sz w:val="21"/>
          <w:szCs w:val="21"/>
        </w:rPr>
      </w:pPr>
      <w:r>
        <w:rPr>
          <w:color w:val="000000"/>
          <w:sz w:val="21"/>
          <w:szCs w:val="21"/>
        </w:rPr>
        <w:t>　　</w:t>
      </w:r>
    </w:p>
    <w:p w14:paraId="22E5A4E1">
      <w:pPr>
        <w:pStyle w:val="207"/>
        <w:spacing w:line="400" w:lineRule="exact"/>
        <w:ind w:firstLine="403"/>
        <w:rPr>
          <w:b/>
        </w:rPr>
      </w:pPr>
      <w:r>
        <w:rPr>
          <w:b/>
        </w:rPr>
        <w:t>基金托管人</w:t>
      </w:r>
      <w:r>
        <w:rPr>
          <w:rFonts w:hint="eastAsia"/>
          <w:b/>
        </w:rPr>
        <w:t>:中国银行股份有限公司</w:t>
      </w:r>
    </w:p>
    <w:p w14:paraId="5EF31F6E">
      <w:pPr>
        <w:pStyle w:val="207"/>
        <w:spacing w:line="400" w:lineRule="exact"/>
        <w:ind w:firstLine="403"/>
        <w:rPr>
          <w:b/>
        </w:rPr>
      </w:pPr>
    </w:p>
    <w:p w14:paraId="3009BB0B">
      <w:pPr>
        <w:pStyle w:val="207"/>
        <w:spacing w:line="400" w:lineRule="exact"/>
        <w:ind w:firstLine="403"/>
        <w:rPr>
          <w:b/>
        </w:rPr>
      </w:pPr>
      <w:r>
        <w:rPr>
          <w:b/>
        </w:rPr>
        <w:t>法定代表人</w:t>
      </w:r>
      <w:r>
        <w:rPr>
          <w:rFonts w:hint="eastAsia"/>
          <w:b/>
        </w:rPr>
        <w:t>或授权签字人：</w:t>
      </w:r>
    </w:p>
    <w:p w14:paraId="0059670C">
      <w:pPr>
        <w:pStyle w:val="207"/>
        <w:spacing w:line="400" w:lineRule="exact"/>
        <w:ind w:firstLine="420"/>
        <w:rPr>
          <w:b/>
        </w:rPr>
      </w:pPr>
    </w:p>
    <w:p w14:paraId="00D2E6DE">
      <w:pPr>
        <w:pStyle w:val="207"/>
        <w:spacing w:line="400" w:lineRule="exact"/>
        <w:ind w:firstLine="420"/>
        <w:rPr>
          <w:b/>
        </w:rPr>
      </w:pPr>
    </w:p>
    <w:p w14:paraId="35EF8C45">
      <w:pPr>
        <w:pStyle w:val="207"/>
        <w:spacing w:line="400" w:lineRule="exact"/>
        <w:ind w:firstLine="403"/>
        <w:rPr>
          <w:b/>
        </w:rPr>
      </w:pPr>
      <w:r>
        <w:rPr>
          <w:b/>
        </w:rPr>
        <w:t>签订日：</w:t>
      </w:r>
      <w:r>
        <w:rPr>
          <w:rFonts w:hint="eastAsia"/>
          <w:b/>
        </w:rPr>
        <w:tab/>
      </w:r>
    </w:p>
    <w:p w14:paraId="41E50F11">
      <w:pPr>
        <w:pStyle w:val="207"/>
        <w:spacing w:line="400" w:lineRule="exact"/>
        <w:ind w:firstLine="420"/>
        <w:rPr>
          <w:b/>
        </w:rPr>
      </w:pPr>
      <w:r>
        <w:rPr>
          <w:b/>
        </w:rPr>
        <w:t>签订地：　</w:t>
      </w:r>
    </w:p>
    <w:p w14:paraId="0B7FCFBA">
      <w:pPr>
        <w:pStyle w:val="207"/>
        <w:spacing w:line="400" w:lineRule="exact"/>
        <w:ind w:firstLine="540"/>
        <w:rPr>
          <w:b/>
        </w:rPr>
      </w:pPr>
    </w:p>
    <w:p w14:paraId="4150D029">
      <w:pPr>
        <w:pStyle w:val="207"/>
        <w:spacing w:line="400" w:lineRule="exact"/>
        <w:ind w:firstLine="540"/>
        <w:rPr>
          <w:b/>
        </w:rPr>
      </w:pPr>
    </w:p>
    <w:p w14:paraId="544E9A92">
      <w:pPr>
        <w:pStyle w:val="207"/>
        <w:spacing w:line="400" w:lineRule="exact"/>
        <w:ind w:firstLine="403"/>
        <w:rPr>
          <w:b/>
        </w:rPr>
      </w:pPr>
    </w:p>
    <w:p w14:paraId="668CBF88">
      <w:pPr>
        <w:spacing w:before="100" w:beforeAutospacing="1" w:after="100" w:afterAutospacing="1" w:line="400" w:lineRule="exact"/>
        <w:ind w:firstLine="403"/>
        <w:rPr>
          <w:rFonts w:ascii="宋体" w:hAnsi="宋体"/>
          <w:b/>
          <w:sz w:val="24"/>
        </w:rPr>
      </w:pPr>
      <w:r>
        <w:rPr>
          <w:rFonts w:ascii="宋体" w:hAnsi="宋体"/>
          <w:b/>
          <w:sz w:val="24"/>
        </w:rPr>
        <w:t>基金管理人：</w:t>
      </w:r>
      <w:r>
        <w:rPr>
          <w:rFonts w:hint="eastAsia" w:ascii="宋体" w:hAnsi="宋体"/>
          <w:b/>
          <w:sz w:val="24"/>
        </w:rPr>
        <w:t>富国基金管理有限公司</w:t>
      </w:r>
    </w:p>
    <w:p w14:paraId="409CC535">
      <w:pPr>
        <w:pStyle w:val="207"/>
        <w:spacing w:line="400" w:lineRule="exact"/>
        <w:rPr>
          <w:b/>
        </w:rPr>
      </w:pPr>
    </w:p>
    <w:p w14:paraId="5946654F">
      <w:pPr>
        <w:pStyle w:val="207"/>
        <w:spacing w:line="400" w:lineRule="exact"/>
        <w:ind w:firstLine="403"/>
        <w:rPr>
          <w:b/>
        </w:rPr>
      </w:pPr>
      <w:r>
        <w:rPr>
          <w:b/>
        </w:rPr>
        <w:t>法定代表人</w:t>
      </w:r>
      <w:r>
        <w:rPr>
          <w:rFonts w:hint="eastAsia"/>
          <w:b/>
        </w:rPr>
        <w:t xml:space="preserve">或授权签字人： </w:t>
      </w:r>
    </w:p>
    <w:p w14:paraId="7CA9667B">
      <w:pPr>
        <w:pStyle w:val="207"/>
        <w:spacing w:line="400" w:lineRule="exact"/>
        <w:ind w:firstLine="420"/>
        <w:rPr>
          <w:b/>
        </w:rPr>
      </w:pPr>
    </w:p>
    <w:p w14:paraId="09CD7446">
      <w:pPr>
        <w:pStyle w:val="207"/>
        <w:spacing w:line="400" w:lineRule="exact"/>
        <w:ind w:firstLine="420"/>
        <w:rPr>
          <w:b/>
        </w:rPr>
      </w:pPr>
    </w:p>
    <w:p w14:paraId="29F25103">
      <w:pPr>
        <w:pStyle w:val="207"/>
        <w:spacing w:line="400" w:lineRule="exact"/>
        <w:ind w:firstLine="420"/>
        <w:rPr>
          <w:b/>
        </w:rPr>
      </w:pPr>
      <w:r>
        <w:rPr>
          <w:b/>
        </w:rPr>
        <w:t>签订日：</w:t>
      </w:r>
    </w:p>
    <w:p w14:paraId="501AA0AD">
      <w:pPr>
        <w:pStyle w:val="207"/>
        <w:spacing w:line="400" w:lineRule="exact"/>
        <w:ind w:firstLine="403"/>
        <w:rPr>
          <w:b/>
        </w:rPr>
      </w:pPr>
      <w:r>
        <w:rPr>
          <w:b/>
        </w:rPr>
        <w:t>签订地：　</w:t>
      </w:r>
      <w:r>
        <w:rPr>
          <w:rFonts w:hint="eastAsia"/>
          <w:b/>
        </w:rPr>
        <w:tab/>
      </w:r>
    </w:p>
    <w:p w14:paraId="2892FCB8">
      <w:pPr>
        <w:pStyle w:val="15"/>
        <w:spacing w:before="100" w:beforeAutospacing="1" w:after="100" w:afterAutospacing="1"/>
        <w:ind w:firstLine="463"/>
        <w:rPr>
          <w:rFonts w:ascii="宋体" w:eastAsia="宋体"/>
          <w:b/>
          <w:color w:val="auto"/>
          <w:sz w:val="24"/>
        </w:rPr>
      </w:pPr>
    </w:p>
    <w:sectPr>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长城仿宋">
    <w:altName w:val="仿宋"/>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2"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714882"/>
    </w:sdtPr>
    <w:sdtContent>
      <w:p w14:paraId="1BD1407D">
        <w:pPr>
          <w:pStyle w:val="22"/>
          <w:snapToGrid/>
          <w:jc w:val="right"/>
        </w:pPr>
        <w:r>
          <w:fldChar w:fldCharType="begin"/>
        </w:r>
        <w:r>
          <w:instrText xml:space="preserve">PAGE   \* MERGEFORMAT</w:instrText>
        </w:r>
        <w:r>
          <w:fldChar w:fldCharType="separate"/>
        </w:r>
        <w:r>
          <w:rPr>
            <w:lang w:val="zh-CN"/>
          </w:rPr>
          <w:t>13</w:t>
        </w:r>
        <w:r>
          <w:fldChar w:fldCharType="end"/>
        </w:r>
      </w:p>
    </w:sdtContent>
  </w:sdt>
  <w:p w14:paraId="45A3BDA6">
    <w:pPr>
      <w:pStyle w:val="22"/>
      <w:snapToGri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F091">
    <w:pPr>
      <w:pStyle w:val="22"/>
      <w:snapToGrid/>
      <w:rPr>
        <w:rStyle w:val="38"/>
      </w:rPr>
    </w:pPr>
    <w:r>
      <w:fldChar w:fldCharType="begin"/>
    </w:r>
    <w:r>
      <w:rPr>
        <w:rStyle w:val="38"/>
      </w:rPr>
      <w:instrText xml:space="preserve">PAGE  </w:instrText>
    </w:r>
    <w:r>
      <w:fldChar w:fldCharType="separate"/>
    </w:r>
    <w:r>
      <w:rPr>
        <w:rStyle w:val="38"/>
      </w:rPr>
      <w:t>28</w:t>
    </w:r>
    <w:r>
      <w:fldChar w:fldCharType="end"/>
    </w:r>
  </w:p>
  <w:p w14:paraId="65D3B5FA">
    <w:pPr>
      <w:pStyle w:val="22"/>
      <w:snapToGrid/>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2E"/>
    <w:rsid w:val="002C5205"/>
    <w:rsid w:val="002F5AB7"/>
    <w:rsid w:val="00372011"/>
    <w:rsid w:val="004B7D45"/>
    <w:rsid w:val="0051082E"/>
    <w:rsid w:val="00576A5A"/>
    <w:rsid w:val="005E4B6D"/>
    <w:rsid w:val="006B7AAA"/>
    <w:rsid w:val="00891053"/>
    <w:rsid w:val="00A8182F"/>
    <w:rsid w:val="00D079C3"/>
    <w:rsid w:val="00DB2102"/>
    <w:rsid w:val="00F1090E"/>
    <w:rsid w:val="00F557A8"/>
    <w:rsid w:val="00F767A4"/>
    <w:rsid w:val="04F20CF4"/>
    <w:rsid w:val="101F01C1"/>
    <w:rsid w:val="163A7FA4"/>
    <w:rsid w:val="51671CEA"/>
    <w:rsid w:val="6A7D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sz w:val="21"/>
      <w:szCs w:val="24"/>
      <w:lang w:val="en-US" w:eastAsia="zh-CN" w:bidi="ar-SA"/>
    </w:rPr>
  </w:style>
  <w:style w:type="paragraph" w:styleId="2">
    <w:name w:val="heading 1"/>
    <w:basedOn w:val="1"/>
    <w:next w:val="1"/>
    <w:link w:val="77"/>
    <w:qFormat/>
    <w:uiPriority w:val="0"/>
    <w:pPr>
      <w:keepNext/>
      <w:keepLines/>
      <w:spacing w:before="340" w:after="330" w:line="578" w:lineRule="auto"/>
      <w:outlineLvl w:val="0"/>
    </w:pPr>
    <w:rPr>
      <w:b/>
      <w:sz w:val="44"/>
      <w:szCs w:val="20"/>
    </w:rPr>
  </w:style>
  <w:style w:type="paragraph" w:styleId="3">
    <w:name w:val="heading 2"/>
    <w:basedOn w:val="1"/>
    <w:next w:val="1"/>
    <w:link w:val="78"/>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79"/>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80"/>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81"/>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82"/>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83"/>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84"/>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85"/>
    <w:unhideWhenUsed/>
    <w:qFormat/>
    <w:uiPriority w:val="9"/>
    <w:pPr>
      <w:keepNext/>
      <w:keepLines/>
      <w:spacing w:before="320" w:after="200"/>
      <w:outlineLvl w:val="8"/>
    </w:pPr>
    <w:rPr>
      <w:rFonts w:ascii="Arial" w:hAnsi="Arial" w:eastAsia="Arial" w:cs="Arial"/>
      <w:i/>
      <w:iCs/>
      <w:szCs w:val="21"/>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pPr>
  </w:style>
  <w:style w:type="paragraph" w:styleId="12">
    <w:name w:val="Normal Indent"/>
    <w:basedOn w:val="1"/>
    <w:qFormat/>
    <w:uiPriority w:val="0"/>
    <w:pPr>
      <w:ind w:firstLine="420"/>
    </w:pPr>
    <w:rPr>
      <w:szCs w:val="20"/>
    </w:rPr>
  </w:style>
  <w:style w:type="paragraph" w:styleId="13">
    <w:name w:val="Document Map"/>
    <w:basedOn w:val="1"/>
    <w:semiHidden/>
    <w:qFormat/>
    <w:uiPriority w:val="0"/>
    <w:pPr>
      <w:shd w:val="clear" w:color="auto" w:fill="000080"/>
    </w:pPr>
  </w:style>
  <w:style w:type="paragraph" w:styleId="14">
    <w:name w:val="annotation text"/>
    <w:basedOn w:val="1"/>
    <w:link w:val="204"/>
    <w:qFormat/>
    <w:uiPriority w:val="0"/>
    <w:pPr>
      <w:jc w:val="left"/>
    </w:pPr>
  </w:style>
  <w:style w:type="paragraph" w:styleId="15">
    <w:name w:val="Body Text Indent"/>
    <w:basedOn w:val="1"/>
    <w:qFormat/>
    <w:uiPriority w:val="0"/>
    <w:pPr>
      <w:spacing w:line="400" w:lineRule="exact"/>
      <w:ind w:firstLine="538"/>
    </w:pPr>
    <w:rPr>
      <w:rFonts w:ascii="仿宋_GB2312" w:hAnsi="宋体" w:eastAsia="仿宋_GB2312"/>
      <w:color w:val="000000"/>
      <w:sz w:val="28"/>
    </w:rPr>
  </w:style>
  <w:style w:type="paragraph" w:styleId="16">
    <w:name w:val="toc 5"/>
    <w:basedOn w:val="1"/>
    <w:next w:val="1"/>
    <w:semiHidden/>
    <w:qFormat/>
    <w:uiPriority w:val="0"/>
    <w:pPr>
      <w:ind w:left="1680"/>
    </w:pPr>
  </w:style>
  <w:style w:type="paragraph" w:styleId="17">
    <w:name w:val="toc 3"/>
    <w:basedOn w:val="1"/>
    <w:next w:val="1"/>
    <w:semiHidden/>
    <w:qFormat/>
    <w:uiPriority w:val="0"/>
    <w:pPr>
      <w:ind w:left="840"/>
    </w:pPr>
  </w:style>
  <w:style w:type="paragraph" w:styleId="18">
    <w:name w:val="Plain Text"/>
    <w:basedOn w:val="1"/>
    <w:qFormat/>
    <w:uiPriority w:val="0"/>
    <w:rPr>
      <w:rFonts w:ascii="宋体" w:hAnsi="Courier New"/>
      <w:szCs w:val="21"/>
    </w:rPr>
  </w:style>
  <w:style w:type="paragraph" w:styleId="19">
    <w:name w:val="toc 8"/>
    <w:basedOn w:val="1"/>
    <w:next w:val="1"/>
    <w:semiHidden/>
    <w:qFormat/>
    <w:uiPriority w:val="0"/>
    <w:pPr>
      <w:ind w:left="2940"/>
    </w:pPr>
  </w:style>
  <w:style w:type="paragraph" w:styleId="20">
    <w:name w:val="Body Text Indent 2"/>
    <w:basedOn w:val="1"/>
    <w:qFormat/>
    <w:uiPriority w:val="0"/>
    <w:pPr>
      <w:tabs>
        <w:tab w:val="left" w:pos="540"/>
      </w:tabs>
      <w:ind w:left="540" w:firstLine="540"/>
    </w:pPr>
    <w:rPr>
      <w:rFonts w:eastAsia="长城仿宋"/>
      <w:sz w:val="24"/>
      <w:szCs w:val="20"/>
    </w:rPr>
  </w:style>
  <w:style w:type="paragraph" w:styleId="21">
    <w:name w:val="Balloon Text"/>
    <w:basedOn w:val="1"/>
    <w:semiHidden/>
    <w:qFormat/>
    <w:uiPriority w:val="0"/>
    <w:rPr>
      <w:sz w:val="18"/>
      <w:szCs w:val="18"/>
    </w:rPr>
  </w:style>
  <w:style w:type="paragraph" w:styleId="22">
    <w:name w:val="footer"/>
    <w:basedOn w:val="1"/>
    <w:link w:val="213"/>
    <w:qFormat/>
    <w:uiPriority w:val="99"/>
    <w:pPr>
      <w:tabs>
        <w:tab w:val="center" w:pos="4153"/>
        <w:tab w:val="right" w:pos="8306"/>
      </w:tabs>
      <w:snapToGrid w:val="0"/>
      <w:jc w:val="left"/>
    </w:pPr>
    <w:rPr>
      <w:sz w:val="18"/>
      <w:szCs w:val="18"/>
    </w:rPr>
  </w:style>
  <w:style w:type="paragraph" w:styleId="23">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style>
  <w:style w:type="paragraph" w:styleId="25">
    <w:name w:val="toc 4"/>
    <w:basedOn w:val="1"/>
    <w:next w:val="1"/>
    <w:qFormat/>
    <w:uiPriority w:val="0"/>
    <w:pPr>
      <w:ind w:left="1260"/>
    </w:pPr>
  </w:style>
  <w:style w:type="paragraph" w:styleId="26">
    <w:name w:val="Subtitle"/>
    <w:basedOn w:val="1"/>
    <w:next w:val="1"/>
    <w:link w:val="89"/>
    <w:qFormat/>
    <w:uiPriority w:val="11"/>
    <w:pPr>
      <w:spacing w:before="200" w:after="200"/>
    </w:pPr>
    <w:rPr>
      <w:sz w:val="24"/>
    </w:rPr>
  </w:style>
  <w:style w:type="paragraph" w:styleId="27">
    <w:name w:val="footnote text"/>
    <w:basedOn w:val="1"/>
    <w:link w:val="202"/>
    <w:semiHidden/>
    <w:unhideWhenUsed/>
    <w:qFormat/>
    <w:uiPriority w:val="99"/>
    <w:pPr>
      <w:spacing w:after="40"/>
    </w:pPr>
    <w:rPr>
      <w:sz w:val="18"/>
    </w:rPr>
  </w:style>
  <w:style w:type="paragraph" w:styleId="28">
    <w:name w:val="toc 6"/>
    <w:basedOn w:val="1"/>
    <w:next w:val="1"/>
    <w:semiHidden/>
    <w:qFormat/>
    <w:uiPriority w:val="0"/>
    <w:pPr>
      <w:ind w:left="2100"/>
    </w:pPr>
  </w:style>
  <w:style w:type="paragraph" w:styleId="29">
    <w:name w:val="Body Text Indent 3"/>
    <w:basedOn w:val="1"/>
    <w:link w:val="212"/>
    <w:qFormat/>
    <w:uiPriority w:val="0"/>
    <w:pPr>
      <w:ind w:left="360" w:firstLine="540"/>
    </w:pPr>
    <w:rPr>
      <w:rFonts w:eastAsia="长城仿宋"/>
      <w:sz w:val="24"/>
      <w:szCs w:val="20"/>
    </w:rPr>
  </w:style>
  <w:style w:type="paragraph" w:styleId="30">
    <w:name w:val="toc 2"/>
    <w:basedOn w:val="1"/>
    <w:next w:val="1"/>
    <w:semiHidden/>
    <w:qFormat/>
    <w:uiPriority w:val="0"/>
    <w:pPr>
      <w:ind w:left="420"/>
    </w:pPr>
  </w:style>
  <w:style w:type="paragraph" w:styleId="31">
    <w:name w:val="toc 9"/>
    <w:basedOn w:val="1"/>
    <w:next w:val="1"/>
    <w:semiHidden/>
    <w:qFormat/>
    <w:uiPriority w:val="0"/>
    <w:pPr>
      <w:ind w:left="3360"/>
    </w:pPr>
  </w:style>
  <w:style w:type="paragraph" w:styleId="32">
    <w:name w:val="Body Text 2"/>
    <w:basedOn w:val="1"/>
    <w:qFormat/>
    <w:uiPriority w:val="0"/>
    <w:pPr>
      <w:spacing w:after="120" w:line="480" w:lineRule="auto"/>
    </w:pPr>
  </w:style>
  <w:style w:type="paragraph" w:styleId="33">
    <w:name w:val="Title"/>
    <w:basedOn w:val="1"/>
    <w:next w:val="1"/>
    <w:link w:val="88"/>
    <w:qFormat/>
    <w:uiPriority w:val="10"/>
    <w:pPr>
      <w:spacing w:before="300" w:after="200"/>
      <w:contextualSpacing/>
    </w:pPr>
    <w:rPr>
      <w:sz w:val="48"/>
      <w:szCs w:val="48"/>
    </w:rPr>
  </w:style>
  <w:style w:type="paragraph" w:styleId="34">
    <w:name w:val="annotation subject"/>
    <w:basedOn w:val="14"/>
    <w:next w:val="14"/>
    <w:link w:val="206"/>
    <w:qFormat/>
    <w:uiPriority w:val="0"/>
    <w:rPr>
      <w:b/>
      <w:bCs/>
    </w:rPr>
  </w:style>
  <w:style w:type="table" w:styleId="36">
    <w:name w:val="Table Grid"/>
    <w:basedOn w:val="3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38">
    <w:name w:val="page number"/>
    <w:basedOn w:val="37"/>
    <w:qFormat/>
    <w:uiPriority w:val="0"/>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styleId="41">
    <w:name w:val="footnote reference"/>
    <w:basedOn w:val="37"/>
    <w:unhideWhenUsed/>
    <w:qFormat/>
    <w:uiPriority w:val="99"/>
    <w:rPr>
      <w:vertAlign w:val="superscript"/>
    </w:rPr>
  </w:style>
  <w:style w:type="table" w:customStyle="1" w:styleId="42">
    <w:name w:val="无格式表格 11"/>
    <w:basedOn w:val="35"/>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cPr>
        <w:shd w:val="clear" w:color="auto" w:fill="F1F1F1" w:themeFill="text1" w:themeFillTint="0D"/>
      </w:tcPr>
    </w:tblStylePr>
    <w:tblStylePr w:type="band2Vert">
      <w:pPr>
        <w:snapToGrid/>
      </w:pPr>
    </w:tblStylePr>
    <w:tblStylePr w:type="band1Horz">
      <w:pPr>
        <w:snapToGrid/>
      </w:p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3">
    <w:name w:val="无格式表格 21"/>
    <w:basedOn w:val="35"/>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000000" w:themeColor="text1" w:sz="4" w:space="0"/>
          <w:bottom w:val="single" w:color="000000" w:themeColor="text1" w:sz="4" w:space="0"/>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cPr>
        <w:tcBorders>
          <w:left w:val="single" w:color="000000" w:themeColor="text1" w:sz="4" w:space="0"/>
          <w:right w:val="single" w:color="000000" w:themeColor="text1" w:sz="4" w:space="0"/>
        </w:tcBorders>
      </w:tcPr>
    </w:tblStylePr>
    <w:tblStylePr w:type="band2Vert">
      <w:pPr>
        <w:snapToGrid/>
      </w:pPr>
      <w:tcPr>
        <w:tcBorders>
          <w:left w:val="single" w:color="000000" w:themeColor="text1" w:sz="4" w:space="0"/>
          <w:right w:val="single" w:color="000000" w:themeColor="text1" w:sz="4" w:space="0"/>
        </w:tcBorders>
      </w:tcPr>
    </w:tblStylePr>
    <w:tblStylePr w:type="band1Horz">
      <w:pPr>
        <w:snapToGrid/>
      </w:pPr>
      <w:tcPr>
        <w:tcBorders>
          <w:top w:val="single" w:color="000000" w:themeColor="text1" w:sz="4" w:space="0"/>
          <w:bottom w:val="single" w:color="000000" w:themeColor="tex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4">
    <w:name w:val="无格式表格 31"/>
    <w:basedOn w:val="35"/>
    <w:qFormat/>
    <w:uiPriority w:val="99"/>
    <w:tblPr>
      <w:tblCellMar>
        <w:top w:w="0" w:type="dxa"/>
        <w:left w:w="108" w:type="dxa"/>
        <w:bottom w:w="0" w:type="dxa"/>
        <w:right w:w="108" w:type="dxa"/>
      </w:tblCellMar>
    </w:tblPr>
    <w:tblStylePr w:type="firstRow">
      <w:pPr>
        <w:snapToGrid/>
      </w:pPr>
      <w:rPr>
        <w:b/>
        <w:caps/>
        <w:color w:val="404040"/>
      </w:rPr>
      <w:tcPr>
        <w:tcBorders>
          <w:top w:val="nil"/>
          <w:left w:val="nil"/>
          <w:bottom w:val="single" w:color="404040" w:sz="4" w:space="0"/>
          <w:right w:val="nil"/>
        </w:tcBorders>
      </w:tcPr>
    </w:tblStylePr>
    <w:tblStylePr w:type="lastRow">
      <w:pPr>
        <w:snapToGrid/>
      </w:pPr>
      <w:rPr>
        <w:b/>
        <w:caps/>
        <w:color w:val="404040"/>
      </w:rPr>
    </w:tblStylePr>
    <w:tblStylePr w:type="firstCol">
      <w:pPr>
        <w:snapToGrid/>
      </w:pPr>
      <w:rPr>
        <w:b/>
        <w:caps/>
        <w:color w:val="404040"/>
      </w:rPr>
      <w:tcPr>
        <w:tcBorders>
          <w:top w:val="nil"/>
          <w:left w:val="nil"/>
          <w:bottom w:val="nil"/>
          <w:right w:val="single" w:color="404040" w:sz="4" w:space="0"/>
        </w:tcBorders>
      </w:tcPr>
    </w:tblStylePr>
    <w:tblStylePr w:type="lastCol">
      <w:pPr>
        <w:snapToGrid/>
      </w:pPr>
      <w:rPr>
        <w:b/>
        <w:caps/>
        <w:color w:val="404040"/>
      </w:rPr>
    </w:tblStylePr>
    <w:tblStylePr w:type="band1Vert">
      <w:pPr>
        <w:snapToGrid/>
      </w:pPr>
      <w:rPr>
        <w:rFonts w:ascii="Arial" w:hAnsi="Arial"/>
        <w:color w:val="404040"/>
        <w:sz w:val="22"/>
      </w:rPr>
      <w:tcPr>
        <w:shd w:val="clear" w:color="auto" w:fill="F1F1F1" w:themeFill="text1" w:themeFillTint="0D"/>
      </w:tcPr>
    </w:tblStylePr>
    <w:tblStylePr w:type="band2Vert">
      <w:pPr>
        <w:snapToGrid/>
      </w:pPr>
    </w:tblStylePr>
    <w:tblStylePr w:type="band1Horz">
      <w:pPr>
        <w:snapToGrid/>
      </w:pPr>
      <w:rPr>
        <w:rFonts w:ascii="Arial" w:hAnsi="Arial"/>
        <w:color w:val="404040"/>
        <w:sz w:val="22"/>
      </w:r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5">
    <w:name w:val="无格式表格 41"/>
    <w:basedOn w:val="35"/>
    <w:qFormat/>
    <w:uiPriority w:val="99"/>
    <w:tblPr>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1F1F1" w:themeFill="text1" w:themeFillTint="0D"/>
      </w:tcPr>
    </w:tblStylePr>
    <w:tblStylePr w:type="band2Vert">
      <w:pPr>
        <w:snapToGrid/>
      </w:pPr>
    </w:tblStylePr>
    <w:tblStylePr w:type="band1Horz">
      <w:pPr>
        <w:snapToGrid/>
      </w:pPr>
      <w:rPr>
        <w:rFonts w:ascii="Arial" w:hAnsi="Arial"/>
        <w:color w:val="404040"/>
        <w:sz w:val="22"/>
      </w:r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6">
    <w:name w:val="无格式表格 51"/>
    <w:basedOn w:val="35"/>
    <w:qFormat/>
    <w:uiPriority w:val="99"/>
    <w:tblPr>
      <w:tblCellMar>
        <w:top w:w="0" w:type="dxa"/>
        <w:left w:w="108" w:type="dxa"/>
        <w:bottom w:w="0" w:type="dxa"/>
        <w:right w:w="108" w:type="dxa"/>
      </w:tblCellMar>
    </w:tblPr>
    <w:tblStylePr w:type="firstRow">
      <w:pPr>
        <w:snapToGrid/>
      </w:pPr>
      <w:rPr>
        <w:i/>
        <w:color w:val="404040"/>
      </w:rPr>
      <w:tcPr>
        <w:tcBorders>
          <w:left w:val="nil"/>
          <w:bottom w:val="single" w:color="404040" w:sz="4" w:space="0"/>
          <w:right w:val="nil"/>
        </w:tcBorders>
        <w:shd w:val="clear" w:color="auto" w:fill="FFFFFF"/>
      </w:tcPr>
    </w:tblStylePr>
    <w:tblStylePr w:type="lastRow">
      <w:pPr>
        <w:snapToGrid/>
      </w:pPr>
      <w:rPr>
        <w:i/>
        <w:color w:val="404040"/>
      </w:rPr>
      <w:tcPr>
        <w:tcBorders>
          <w:top w:val="single" w:color="404040" w:sz="4" w:space="0"/>
          <w:left w:val="nil"/>
          <w:right w:val="nil"/>
        </w:tcBorders>
        <w:shd w:val="clear" w:color="auto" w:fill="FFFFFF"/>
      </w:tcPr>
    </w:tblStylePr>
    <w:tblStylePr w:type="firstCol">
      <w:pPr>
        <w:snapToGrid/>
        <w:jc w:val="right"/>
      </w:pPr>
      <w:rPr>
        <w:i/>
        <w:color w:val="404040"/>
      </w:rPr>
      <w:tcPr>
        <w:tcBorders>
          <w:right w:val="single" w:color="404040" w:sz="4" w:space="0"/>
        </w:tcBorders>
        <w:shd w:val="clear" w:color="auto" w:fill="FFFFFF"/>
      </w:tcPr>
    </w:tblStylePr>
    <w:tblStylePr w:type="lastCol">
      <w:pPr>
        <w:snapToGrid/>
      </w:pPr>
      <w:rPr>
        <w:i/>
        <w:color w:val="404040"/>
      </w:rPr>
      <w:tcPr>
        <w:tcBorders>
          <w:left w:val="single" w:color="404040" w:sz="4" w:space="0"/>
        </w:tcBorders>
        <w:shd w:val="clear" w:color="auto" w:fill="FFFFFF"/>
      </w:tcPr>
    </w:tblStylePr>
    <w:tblStylePr w:type="band1Vert">
      <w:pPr>
        <w:snapToGrid/>
      </w:pPr>
      <w:rPr>
        <w:rFonts w:ascii="Arial" w:hAnsi="Arial"/>
        <w:color w:val="404040"/>
        <w:sz w:val="22"/>
      </w:rPr>
      <w:tcPr>
        <w:shd w:val="clear" w:color="auto" w:fill="F1F1F1" w:themeFill="text1" w:themeFillTint="0D"/>
      </w:tcPr>
    </w:tblStylePr>
    <w:tblStylePr w:type="band2Vert">
      <w:pPr>
        <w:snapToGrid/>
      </w:pPr>
    </w:tblStylePr>
    <w:tblStylePr w:type="band1Horz">
      <w:pPr>
        <w:snapToGrid/>
      </w:pPr>
      <w:rPr>
        <w:rFonts w:ascii="Arial" w:hAnsi="Arial"/>
        <w:color w:val="404040"/>
        <w:sz w:val="22"/>
      </w:r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7">
    <w:name w:val="网格表 1 浅色1"/>
    <w:basedOn w:val="35"/>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pPr>
        <w:snapToGrid/>
      </w:pPr>
      <w:rPr>
        <w:b/>
        <w:color w:val="404040"/>
      </w:rPr>
      <w:tcPr>
        <w:tcBorders>
          <w:bottom w:val="single" w:color="696969" w:themeColor="text1"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8">
    <w:name w:val="网格表 21"/>
    <w:basedOn w:val="35"/>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696969" w:themeColor="text1" w:themeTint="95" w:sz="12" w:space="0"/>
          <w:right w:val="nil"/>
        </w:tcBorders>
        <w:shd w:val="clear" w:color="auto" w:fill="FFFFFF"/>
      </w:tcPr>
    </w:tblStylePr>
    <w:tblStylePr w:type="lastRow">
      <w:pPr>
        <w:snapToGrid/>
      </w:pPr>
      <w:rPr>
        <w:b/>
        <w:color w:val="404040"/>
      </w:rPr>
      <w:tcPr>
        <w:tcBorders>
          <w:top w:val="single" w:color="696969" w:themeColor="text1" w:themeTint="95"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CACACA" w:themeFill="text1" w:themeFillTint="34"/>
      </w:tcPr>
    </w:tblStylePr>
    <w:tblStylePr w:type="band2Vert">
      <w:pPr>
        <w:snapToGrid/>
      </w:pPr>
    </w:tblStylePr>
    <w:tblStylePr w:type="band1Horz">
      <w:pPr>
        <w:snapToGrid/>
      </w:pPr>
      <w:rPr>
        <w:rFonts w:ascii="Arial" w:hAnsi="Arial"/>
        <w:color w:val="404040"/>
        <w:sz w:val="22"/>
      </w:rPr>
      <w:tcPr>
        <w:shd w:val="clear" w:color="auto"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9">
    <w:name w:val="网格表 31"/>
    <w:basedOn w:val="35"/>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CACACA" w:themeFill="text1" w:themeFillTint="34"/>
      </w:tcPr>
    </w:tblStylePr>
    <w:tblStylePr w:type="band2Vert">
      <w:pPr>
        <w:snapToGrid/>
      </w:pPr>
    </w:tblStylePr>
    <w:tblStylePr w:type="band1Horz">
      <w:pPr>
        <w:snapToGrid/>
      </w:pPr>
      <w:rPr>
        <w:rFonts w:ascii="Arial" w:hAnsi="Arial"/>
        <w:color w:val="404040"/>
        <w:sz w:val="22"/>
      </w:rPr>
      <w:tcPr>
        <w:shd w:val="clear" w:color="auto"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0">
    <w:name w:val="网格表 41"/>
    <w:basedOn w:val="35"/>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pPr>
        <w:snapToGrid/>
      </w:pPr>
      <w:rPr>
        <w:b/>
        <w:color w:val="404040"/>
      </w:rPr>
      <w:tcPr>
        <w:tcBorders>
          <w:top w:val="single" w:color="000000" w:themeColor="text1"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CACACA" w:themeFill="text1" w:themeFillTint="34"/>
      </w:tcPr>
    </w:tblStylePr>
    <w:tblStylePr w:type="band2Vert">
      <w:pPr>
        <w:snapToGrid/>
      </w:pPr>
    </w:tblStylePr>
    <w:tblStylePr w:type="band1Horz">
      <w:pPr>
        <w:snapToGrid/>
      </w:pPr>
      <w:rPr>
        <w:rFonts w:ascii="Arial" w:hAnsi="Arial"/>
        <w:color w:val="404040"/>
        <w:sz w:val="22"/>
      </w:rPr>
      <w:tcPr>
        <w:shd w:val="clear" w:color="auto"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网格表 5 深色1"/>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000000" w:themeFill="text1"/>
      </w:tcPr>
    </w:tblStylePr>
    <w:tblStylePr w:type="lastRow">
      <w:pPr>
        <w:snapToGrid/>
      </w:pPr>
      <w:rPr>
        <w:rFonts w:ascii="Arial" w:hAnsi="Arial"/>
        <w:b/>
        <w:color w:val="FFFFFF"/>
        <w:sz w:val="22"/>
      </w:rPr>
      <w:tcPr>
        <w:tcBorders>
          <w:top w:val="single" w:color="FFFFFF" w:themeColor="light1" w:sz="4" w:space="0"/>
        </w:tcBorders>
        <w:shd w:val="clear" w:color="auto" w:fill="000000" w:themeFill="text1"/>
      </w:tcPr>
    </w:tblStylePr>
    <w:tblStylePr w:type="firstCol">
      <w:pPr>
        <w:snapToGrid/>
      </w:pPr>
      <w:rPr>
        <w:rFonts w:ascii="Arial" w:hAnsi="Arial"/>
        <w:b/>
        <w:color w:val="FFFFFF"/>
        <w:sz w:val="22"/>
      </w:rPr>
      <w:tcPr>
        <w:shd w:val="clear" w:color="auto" w:fill="000000" w:themeFill="text1"/>
      </w:tcPr>
    </w:tblStylePr>
    <w:tblStylePr w:type="lastCol">
      <w:pPr>
        <w:snapToGrid/>
      </w:pPr>
      <w:rPr>
        <w:rFonts w:ascii="Arial" w:hAnsi="Arial"/>
        <w:b/>
        <w:color w:val="FFFFFF"/>
        <w:sz w:val="22"/>
      </w:rPr>
      <w:tcPr>
        <w:shd w:val="clear" w:color="auto" w:fill="000000" w:themeFill="text1"/>
      </w:tcPr>
    </w:tblStylePr>
    <w:tblStylePr w:type="band1Vert">
      <w:pPr>
        <w:snapToGrid/>
      </w:pPr>
      <w:tcPr>
        <w:shd w:val="clear" w:color="auto" w:fill="898989" w:themeFill="text1" w:themeFillTint="75"/>
      </w:tcPr>
    </w:tblStylePr>
    <w:tblStylePr w:type="band2Vert">
      <w:pPr>
        <w:snapToGrid/>
      </w:pPr>
    </w:tblStylePr>
    <w:tblStylePr w:type="band1Horz">
      <w:pPr>
        <w:snapToGrid/>
      </w:pPr>
      <w:tcPr>
        <w:shd w:val="clear" w:color="auto" w:fill="898989"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2">
    <w:name w:val="网格表 6 彩色1"/>
    <w:basedOn w:val="35"/>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pPr>
        <w:snapToGrid/>
      </w:pPr>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pPr>
        <w:snapToGrid/>
      </w:pPr>
      <w:rPr>
        <w:b/>
        <w:color w:val="808080" w:themeColor="text1" w:themeTint="80"/>
        <w14:textFill>
          <w14:solidFill>
            <w14:schemeClr w14:val="tx1">
              <w14:lumMod w14:val="50000"/>
              <w14:lumOff w14:val="50000"/>
            </w14:schemeClr>
          </w14:solidFill>
        </w14:textFill>
      </w:rPr>
    </w:tblStylePr>
    <w:tblStylePr w:type="firstCol">
      <w:pPr>
        <w:snapToGrid/>
      </w:pPr>
      <w:rPr>
        <w:b/>
        <w:color w:val="808080" w:themeColor="text1" w:themeTint="80"/>
        <w14:textFill>
          <w14:solidFill>
            <w14:schemeClr w14:val="tx1">
              <w14:lumMod w14:val="50000"/>
              <w14:lumOff w14:val="50000"/>
            </w14:schemeClr>
          </w14:solidFill>
        </w14:textFill>
      </w:rPr>
    </w:tblStylePr>
    <w:tblStylePr w:type="lastCol">
      <w:pPr>
        <w:snapToGrid/>
      </w:pPr>
      <w:rPr>
        <w:b/>
        <w:color w:val="808080" w:themeColor="text1" w:themeTint="80"/>
        <w14:textFill>
          <w14:solidFill>
            <w14:schemeClr w14:val="tx1">
              <w14:lumMod w14:val="50000"/>
              <w14:lumOff w14:val="50000"/>
            </w14:schemeClr>
          </w14:solidFill>
        </w14:textFill>
      </w:rPr>
    </w:tblStylePr>
    <w:tblStylePr w:type="band1Vert">
      <w:pPr>
        <w:snapToGrid/>
      </w:pPr>
      <w:tcPr>
        <w:shd w:val="clear" w:color="auto" w:fill="CACACA" w:themeFill="text1" w:themeFillTint="34"/>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3">
    <w:name w:val="网格表 7 彩色1"/>
    <w:basedOn w:val="35"/>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pPr>
        <w:snapToGrid/>
      </w:pPr>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pPr>
        <w:snapToGrid/>
      </w:pPr>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snapToGrid/>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pPr>
        <w:snapToGrid/>
      </w:pPr>
      <w:tcPr>
        <w:shd w:val="clear" w:color="auto" w:fill="F1F1F1" w:themeFill="text1" w:themeFillTint="0D"/>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4">
    <w:name w:val="清单表 1 浅色1"/>
    <w:basedOn w:val="35"/>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000000" w:themeColor="text1" w:sz="4" w:space="0"/>
          <w:right w:val="nil"/>
        </w:tcBorders>
      </w:tcPr>
    </w:tblStylePr>
    <w:tblStylePr w:type="lastRow">
      <w:pPr>
        <w:snapToGrid/>
      </w:pPr>
      <w:rPr>
        <w:b/>
        <w:color w:val="404040"/>
      </w:rPr>
      <w:tcPr>
        <w:tcBorders>
          <w:top w:val="single" w:color="000000" w:themeColor="text1"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BEBEBE" w:themeFill="text1" w:themeFillTint="40"/>
      </w:tcPr>
    </w:tblStylePr>
    <w:tblStylePr w:type="band2Vert">
      <w:pPr>
        <w:snapToGrid/>
      </w:pPr>
    </w:tblStylePr>
    <w:tblStylePr w:type="band1Horz">
      <w:pPr>
        <w:snapToGrid/>
      </w:pPr>
      <w:tcPr>
        <w:shd w:val="clear" w:color="auto"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5">
    <w:name w:val="清单表 21"/>
    <w:basedOn w:val="35"/>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pPr>
        <w:snapToGrid/>
      </w:pPr>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BEBEBE" w:themeFill="text1" w:themeFillTint="40"/>
      </w:tcPr>
    </w:tblStylePr>
    <w:tblStylePr w:type="band2Vert">
      <w:pPr>
        <w:snapToGrid/>
      </w:pPr>
    </w:tblStylePr>
    <w:tblStylePr w:type="band1Horz">
      <w:pPr>
        <w:snapToGrid/>
      </w:pPr>
      <w:rPr>
        <w:rFonts w:ascii="Arial" w:hAnsi="Arial"/>
        <w:color w:val="404040"/>
        <w:sz w:val="22"/>
      </w:rPr>
      <w:tcPr>
        <w:shd w:val="clear" w:color="auto"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6">
    <w:name w:val="清单表 31"/>
    <w:basedOn w:val="35"/>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000000" w:themeColor="text1" w:sz="4" w:space="0"/>
          <w:right w:val="single" w:color="000000" w:themeColor="text1" w:sz="4" w:space="0"/>
        </w:tcBorders>
      </w:tcPr>
    </w:tblStylePr>
    <w:tblStylePr w:type="band2Vert">
      <w:pPr>
        <w:snapToGrid/>
      </w:pPr>
    </w:tblStylePr>
    <w:tblStylePr w:type="band1Horz">
      <w:pPr>
        <w:snapToGrid/>
      </w:pPr>
      <w:rPr>
        <w:rFonts w:ascii="Arial" w:hAnsi="Arial"/>
        <w:color w:val="404040"/>
        <w:sz w:val="22"/>
      </w:rPr>
      <w:tcPr>
        <w:tcBorders>
          <w:top w:val="single" w:color="000000" w:themeColor="text1" w:sz="4" w:space="0"/>
          <w:bottom w:val="single" w:color="000000" w:themeColor="tex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7">
    <w:name w:val="清单表 41"/>
    <w:basedOn w:val="35"/>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BEBEBE" w:themeFill="text1" w:themeFillTint="40"/>
      </w:tcPr>
    </w:tblStylePr>
    <w:tblStylePr w:type="band2Vert">
      <w:pPr>
        <w:snapToGrid/>
      </w:pPr>
    </w:tblStylePr>
    <w:tblStylePr w:type="band1Horz">
      <w:pPr>
        <w:snapToGrid/>
      </w:pPr>
      <w:rPr>
        <w:rFonts w:ascii="Arial" w:hAnsi="Arial"/>
        <w:color w:val="404040"/>
        <w:sz w:val="22"/>
      </w:rPr>
      <w:tcPr>
        <w:shd w:val="clear" w:color="auto"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8">
    <w:name w:val="清单表 5 深色1"/>
    <w:basedOn w:val="35"/>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pPr>
        <w:snapToGrid/>
      </w:pPr>
      <w:tcPr>
        <w:tcBorders>
          <w:left w:val="single" w:color="FFFFFF" w:themeColor="light1" w:sz="4" w:space="0"/>
          <w:right w:val="single" w:color="7E7E7E" w:themeColor="text1" w:themeTint="80" w:sz="32" w:space="0"/>
        </w:tcBorders>
      </w:tcPr>
    </w:tblStylePr>
    <w:tblStylePr w:type="band1Vert">
      <w:pPr>
        <w:snapToGrid/>
      </w:pPr>
      <w:tcPr>
        <w:tcBorders>
          <w:left w:val="single" w:color="FFFFFF" w:themeColor="light1" w:sz="4" w:space="0"/>
          <w:right w:val="single" w:color="FFFFFF" w:themeColor="light1" w:sz="4" w:space="0"/>
        </w:tcBorders>
        <w:shd w:val="clear" w:color="auto" w:fill="7E7E7E" w:themeFill="text1" w:themeFillTint="80"/>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7E7E7E" w:themeFill="text1" w:themeFillTint="80"/>
      </w:tcPr>
    </w:tblStylePr>
    <w:tblStylePr w:type="band2Horz">
      <w:pPr>
        <w:snapToGrid/>
      </w:pPr>
      <w:tcPr>
        <w:tcBorders>
          <w:top w:val="single" w:color="FFFFFF" w:themeColor="light1" w:sz="4" w:space="0"/>
          <w:bottom w:val="single" w:color="FFFFFF" w:themeColor="light1" w:sz="4" w:space="0"/>
        </w:tcBorders>
        <w:shd w:val="clear" w:color="auto" w:fill="7E7E7E"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9">
    <w:name w:val="清单表 6 彩色1"/>
    <w:basedOn w:val="35"/>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pPr>
        <w:snapToGrid/>
      </w:pPr>
      <w:rPr>
        <w:b/>
        <w:color w:val="000000" w:themeColor="text1"/>
        <w14:textFill>
          <w14:solidFill>
            <w14:schemeClr w14:val="tx1"/>
          </w14:solidFill>
        </w14:textFill>
      </w:rPr>
      <w:tcPr>
        <w:tcBorders>
          <w:bottom w:val="single" w:color="7E7E7E" w:themeColor="text1" w:themeTint="80" w:sz="4" w:space="0"/>
        </w:tcBorders>
      </w:tcPr>
    </w:tblStylePr>
    <w:tblStylePr w:type="lastRow">
      <w:pPr>
        <w:snapToGrid/>
      </w:pPr>
      <w:rPr>
        <w:b/>
        <w:color w:val="000000" w:themeColor="text1"/>
        <w14:textFill>
          <w14:solidFill>
            <w14:schemeClr w14:val="tx1"/>
          </w14:solidFill>
        </w14:textFill>
      </w:rPr>
      <w:tcPr>
        <w:tcBorders>
          <w:top w:val="single" w:color="7E7E7E" w:themeColor="text1" w:themeTint="80" w:sz="4" w:space="0"/>
        </w:tcBorders>
      </w:tcPr>
    </w:tblStylePr>
    <w:tblStylePr w:type="firstCol">
      <w:pPr>
        <w:snapToGrid/>
      </w:pPr>
      <w:rPr>
        <w:b/>
        <w:color w:val="000000" w:themeColor="text1"/>
        <w14:textFill>
          <w14:solidFill>
            <w14:schemeClr w14:val="tx1"/>
          </w14:solidFill>
        </w14:textFill>
      </w:rPr>
    </w:tblStylePr>
    <w:tblStylePr w:type="lastCol">
      <w:pPr>
        <w:snapToGrid/>
      </w:pPr>
      <w:rPr>
        <w:b/>
        <w:color w:val="000000" w:themeColor="text1"/>
        <w14:textFill>
          <w14:solidFill>
            <w14:schemeClr w14:val="tx1"/>
          </w14:solidFill>
        </w14:textFill>
      </w:rPr>
    </w:tblStylePr>
    <w:tblStylePr w:type="band1Vert">
      <w:pPr>
        <w:snapToGrid/>
      </w:pPr>
      <w:tcPr>
        <w:shd w:val="clear" w:color="auto" w:fill="BEBEBE" w:themeFill="text1" w:themeFillTint="40"/>
      </w:tcPr>
    </w:tblStylePr>
    <w:tblStylePr w:type="band2Vert">
      <w:pPr>
        <w:snapToGrid/>
      </w:pPr>
    </w:tblStylePr>
    <w:tblStylePr w:type="band1Horz">
      <w:pPr>
        <w:snapToGrid/>
      </w:pPr>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pPr>
        <w:snapToGrid/>
      </w:pPr>
      <w:rPr>
        <w:rFonts w:ascii="Arial" w:hAnsi="Arial"/>
        <w:color w:val="000000" w:themeColor="text1"/>
        <w:sz w:val="22"/>
        <w14:textFill>
          <w14:solidFill>
            <w14:schemeClr w14:val="tx1"/>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0">
    <w:name w:val="清单表 7 彩色1"/>
    <w:basedOn w:val="35"/>
    <w:qFormat/>
    <w:uiPriority w:val="99"/>
    <w:tblPr>
      <w:tblBorders>
        <w:right w:val="single" w:color="7E7E7E" w:themeColor="text1" w:themeTint="80" w:sz="4" w:space="0"/>
      </w:tblBorders>
      <w:tblCellMar>
        <w:top w:w="0" w:type="dxa"/>
        <w:left w:w="108" w:type="dxa"/>
        <w:bottom w:w="0" w:type="dxa"/>
        <w:right w:w="108" w:type="dxa"/>
      </w:tblCellMar>
    </w:tblPr>
    <w:tblStylePr w:type="firstRow">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snapToGrid/>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pPr>
        <w:snapToGrid/>
      </w:pPr>
      <w:tcPr>
        <w:shd w:val="clear" w:color="auto" w:fill="BEBEBE" w:themeFill="text1" w:themeFillTint="40"/>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61">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en-US" w:bidi="en-US"/>
    </w:rPr>
  </w:style>
  <w:style w:type="character" w:customStyle="1" w:styleId="62">
    <w:name w:val="Heading 1 Char"/>
    <w:basedOn w:val="37"/>
    <w:qFormat/>
    <w:uiPriority w:val="9"/>
    <w:rPr>
      <w:rFonts w:ascii="Arial" w:hAnsi="Arial" w:eastAsia="Arial" w:cs="Arial"/>
      <w:sz w:val="40"/>
      <w:szCs w:val="40"/>
    </w:rPr>
  </w:style>
  <w:style w:type="character" w:customStyle="1" w:styleId="63">
    <w:name w:val="Heading 2 Char"/>
    <w:basedOn w:val="37"/>
    <w:qFormat/>
    <w:uiPriority w:val="9"/>
    <w:rPr>
      <w:rFonts w:ascii="Arial" w:hAnsi="Arial" w:eastAsia="Arial" w:cs="Arial"/>
      <w:sz w:val="34"/>
    </w:rPr>
  </w:style>
  <w:style w:type="character" w:customStyle="1" w:styleId="64">
    <w:name w:val="Heading 3 Char"/>
    <w:basedOn w:val="37"/>
    <w:qFormat/>
    <w:uiPriority w:val="9"/>
    <w:rPr>
      <w:rFonts w:ascii="Arial" w:hAnsi="Arial" w:eastAsia="Arial" w:cs="Arial"/>
      <w:sz w:val="30"/>
      <w:szCs w:val="30"/>
    </w:rPr>
  </w:style>
  <w:style w:type="character" w:customStyle="1" w:styleId="65">
    <w:name w:val="Heading 4 Char"/>
    <w:basedOn w:val="37"/>
    <w:qFormat/>
    <w:uiPriority w:val="9"/>
    <w:rPr>
      <w:rFonts w:ascii="Arial" w:hAnsi="Arial" w:eastAsia="Arial" w:cs="Arial"/>
      <w:b/>
      <w:bCs/>
      <w:sz w:val="26"/>
      <w:szCs w:val="26"/>
    </w:rPr>
  </w:style>
  <w:style w:type="character" w:customStyle="1" w:styleId="66">
    <w:name w:val="Heading 5 Char"/>
    <w:basedOn w:val="37"/>
    <w:qFormat/>
    <w:uiPriority w:val="9"/>
    <w:rPr>
      <w:rFonts w:ascii="Arial" w:hAnsi="Arial" w:eastAsia="Arial" w:cs="Arial"/>
      <w:b/>
      <w:bCs/>
      <w:sz w:val="24"/>
      <w:szCs w:val="24"/>
    </w:rPr>
  </w:style>
  <w:style w:type="character" w:customStyle="1" w:styleId="67">
    <w:name w:val="Heading 6 Char"/>
    <w:basedOn w:val="37"/>
    <w:qFormat/>
    <w:uiPriority w:val="9"/>
    <w:rPr>
      <w:rFonts w:ascii="Arial" w:hAnsi="Arial" w:eastAsia="Arial" w:cs="Arial"/>
      <w:b/>
      <w:bCs/>
      <w:sz w:val="22"/>
      <w:szCs w:val="22"/>
    </w:rPr>
  </w:style>
  <w:style w:type="character" w:customStyle="1" w:styleId="68">
    <w:name w:val="Heading 7 Char"/>
    <w:basedOn w:val="37"/>
    <w:qFormat/>
    <w:uiPriority w:val="9"/>
    <w:rPr>
      <w:rFonts w:ascii="Arial" w:hAnsi="Arial" w:eastAsia="Arial" w:cs="Arial"/>
      <w:b/>
      <w:bCs/>
      <w:i/>
      <w:iCs/>
      <w:sz w:val="22"/>
      <w:szCs w:val="22"/>
    </w:rPr>
  </w:style>
  <w:style w:type="character" w:customStyle="1" w:styleId="69">
    <w:name w:val="Heading 8 Char"/>
    <w:basedOn w:val="37"/>
    <w:qFormat/>
    <w:uiPriority w:val="9"/>
    <w:rPr>
      <w:rFonts w:ascii="Arial" w:hAnsi="Arial" w:eastAsia="Arial" w:cs="Arial"/>
      <w:i/>
      <w:iCs/>
      <w:sz w:val="22"/>
      <w:szCs w:val="22"/>
    </w:rPr>
  </w:style>
  <w:style w:type="character" w:customStyle="1" w:styleId="70">
    <w:name w:val="Heading 9 Char"/>
    <w:basedOn w:val="37"/>
    <w:qFormat/>
    <w:uiPriority w:val="9"/>
    <w:rPr>
      <w:rFonts w:ascii="Arial" w:hAnsi="Arial" w:eastAsia="Arial" w:cs="Arial"/>
      <w:i/>
      <w:iCs/>
      <w:sz w:val="21"/>
      <w:szCs w:val="21"/>
    </w:rPr>
  </w:style>
  <w:style w:type="character" w:customStyle="1" w:styleId="71">
    <w:name w:val="Title Char"/>
    <w:basedOn w:val="37"/>
    <w:qFormat/>
    <w:uiPriority w:val="10"/>
    <w:rPr>
      <w:sz w:val="48"/>
      <w:szCs w:val="48"/>
    </w:rPr>
  </w:style>
  <w:style w:type="character" w:customStyle="1" w:styleId="72">
    <w:name w:val="Subtitle Char"/>
    <w:basedOn w:val="37"/>
    <w:qFormat/>
    <w:uiPriority w:val="11"/>
    <w:rPr>
      <w:sz w:val="24"/>
      <w:szCs w:val="24"/>
    </w:rPr>
  </w:style>
  <w:style w:type="character" w:customStyle="1" w:styleId="73">
    <w:name w:val="Quote Char"/>
    <w:qFormat/>
    <w:uiPriority w:val="29"/>
    <w:rPr>
      <w:i/>
    </w:rPr>
  </w:style>
  <w:style w:type="character" w:customStyle="1" w:styleId="74">
    <w:name w:val="Intense Quote Char"/>
    <w:qFormat/>
    <w:uiPriority w:val="30"/>
    <w:rPr>
      <w:i/>
    </w:rPr>
  </w:style>
  <w:style w:type="character" w:customStyle="1" w:styleId="75">
    <w:name w:val="Header Char"/>
    <w:basedOn w:val="37"/>
    <w:qFormat/>
    <w:uiPriority w:val="99"/>
  </w:style>
  <w:style w:type="character" w:customStyle="1" w:styleId="76">
    <w:name w:val="Footnote Text Char"/>
    <w:qFormat/>
    <w:uiPriority w:val="99"/>
    <w:rPr>
      <w:sz w:val="18"/>
    </w:rPr>
  </w:style>
  <w:style w:type="character" w:customStyle="1" w:styleId="77">
    <w:name w:val="标题 1 Char"/>
    <w:basedOn w:val="37"/>
    <w:link w:val="2"/>
    <w:qFormat/>
    <w:uiPriority w:val="9"/>
    <w:rPr>
      <w:rFonts w:ascii="Arial" w:hAnsi="Arial" w:eastAsia="Arial" w:cs="Arial"/>
      <w:sz w:val="40"/>
      <w:szCs w:val="40"/>
    </w:rPr>
  </w:style>
  <w:style w:type="character" w:customStyle="1" w:styleId="78">
    <w:name w:val="标题 2 Char"/>
    <w:basedOn w:val="37"/>
    <w:link w:val="3"/>
    <w:qFormat/>
    <w:uiPriority w:val="9"/>
    <w:rPr>
      <w:rFonts w:ascii="Arial" w:hAnsi="Arial" w:eastAsia="Arial" w:cs="Arial"/>
      <w:sz w:val="34"/>
    </w:rPr>
  </w:style>
  <w:style w:type="character" w:customStyle="1" w:styleId="79">
    <w:name w:val="标题 3 Char"/>
    <w:basedOn w:val="37"/>
    <w:link w:val="4"/>
    <w:qFormat/>
    <w:uiPriority w:val="9"/>
    <w:rPr>
      <w:rFonts w:ascii="Arial" w:hAnsi="Arial" w:eastAsia="Arial" w:cs="Arial"/>
      <w:sz w:val="30"/>
      <w:szCs w:val="30"/>
    </w:rPr>
  </w:style>
  <w:style w:type="character" w:customStyle="1" w:styleId="80">
    <w:name w:val="标题 4 Char"/>
    <w:basedOn w:val="37"/>
    <w:link w:val="5"/>
    <w:qFormat/>
    <w:uiPriority w:val="9"/>
    <w:rPr>
      <w:rFonts w:ascii="Arial" w:hAnsi="Arial" w:eastAsia="Arial" w:cs="Arial"/>
      <w:b/>
      <w:bCs/>
      <w:sz w:val="26"/>
      <w:szCs w:val="26"/>
    </w:rPr>
  </w:style>
  <w:style w:type="character" w:customStyle="1" w:styleId="81">
    <w:name w:val="标题 5 Char"/>
    <w:basedOn w:val="37"/>
    <w:link w:val="6"/>
    <w:qFormat/>
    <w:uiPriority w:val="9"/>
    <w:rPr>
      <w:rFonts w:ascii="Arial" w:hAnsi="Arial" w:eastAsia="Arial" w:cs="Arial"/>
      <w:b/>
      <w:bCs/>
      <w:sz w:val="24"/>
      <w:szCs w:val="24"/>
    </w:rPr>
  </w:style>
  <w:style w:type="character" w:customStyle="1" w:styleId="82">
    <w:name w:val="标题 6 Char"/>
    <w:basedOn w:val="37"/>
    <w:link w:val="7"/>
    <w:qFormat/>
    <w:uiPriority w:val="9"/>
    <w:rPr>
      <w:rFonts w:ascii="Arial" w:hAnsi="Arial" w:eastAsia="Arial" w:cs="Arial"/>
      <w:b/>
      <w:bCs/>
      <w:sz w:val="22"/>
      <w:szCs w:val="22"/>
    </w:rPr>
  </w:style>
  <w:style w:type="character" w:customStyle="1" w:styleId="83">
    <w:name w:val="标题 7 Char"/>
    <w:basedOn w:val="37"/>
    <w:link w:val="8"/>
    <w:qFormat/>
    <w:uiPriority w:val="9"/>
    <w:rPr>
      <w:rFonts w:ascii="Arial" w:hAnsi="Arial" w:eastAsia="Arial" w:cs="Arial"/>
      <w:b/>
      <w:bCs/>
      <w:i/>
      <w:iCs/>
      <w:sz w:val="22"/>
      <w:szCs w:val="22"/>
    </w:rPr>
  </w:style>
  <w:style w:type="character" w:customStyle="1" w:styleId="84">
    <w:name w:val="标题 8 Char"/>
    <w:basedOn w:val="37"/>
    <w:link w:val="9"/>
    <w:qFormat/>
    <w:uiPriority w:val="9"/>
    <w:rPr>
      <w:rFonts w:ascii="Arial" w:hAnsi="Arial" w:eastAsia="Arial" w:cs="Arial"/>
      <w:i/>
      <w:iCs/>
      <w:sz w:val="22"/>
      <w:szCs w:val="22"/>
    </w:rPr>
  </w:style>
  <w:style w:type="character" w:customStyle="1" w:styleId="85">
    <w:name w:val="标题 9 Char"/>
    <w:basedOn w:val="37"/>
    <w:link w:val="10"/>
    <w:qFormat/>
    <w:uiPriority w:val="9"/>
    <w:rPr>
      <w:rFonts w:ascii="Arial" w:hAnsi="Arial" w:eastAsia="Arial" w:cs="Arial"/>
      <w:i/>
      <w:iCs/>
      <w:sz w:val="21"/>
      <w:szCs w:val="21"/>
    </w:rPr>
  </w:style>
  <w:style w:type="paragraph" w:styleId="86">
    <w:name w:val="List Paragraph"/>
    <w:basedOn w:val="1"/>
    <w:qFormat/>
    <w:uiPriority w:val="34"/>
    <w:pPr>
      <w:ind w:left="720"/>
      <w:contextualSpacing/>
    </w:pPr>
  </w:style>
  <w:style w:type="paragraph" w:styleId="87">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zh-CN" w:bidi="ar-SA"/>
    </w:rPr>
  </w:style>
  <w:style w:type="character" w:customStyle="1" w:styleId="88">
    <w:name w:val="标题 Char"/>
    <w:basedOn w:val="37"/>
    <w:link w:val="33"/>
    <w:qFormat/>
    <w:uiPriority w:val="10"/>
    <w:rPr>
      <w:sz w:val="48"/>
      <w:szCs w:val="48"/>
    </w:rPr>
  </w:style>
  <w:style w:type="character" w:customStyle="1" w:styleId="89">
    <w:name w:val="副标题 Char"/>
    <w:basedOn w:val="37"/>
    <w:link w:val="26"/>
    <w:qFormat/>
    <w:uiPriority w:val="11"/>
    <w:rPr>
      <w:sz w:val="24"/>
      <w:szCs w:val="24"/>
    </w:rPr>
  </w:style>
  <w:style w:type="paragraph" w:styleId="90">
    <w:name w:val="Quote"/>
    <w:basedOn w:val="1"/>
    <w:next w:val="1"/>
    <w:link w:val="91"/>
    <w:qFormat/>
    <w:uiPriority w:val="29"/>
    <w:pPr>
      <w:ind w:left="720" w:right="720"/>
    </w:pPr>
    <w:rPr>
      <w:i/>
    </w:rPr>
  </w:style>
  <w:style w:type="character" w:customStyle="1" w:styleId="91">
    <w:name w:val="引用 Char"/>
    <w:link w:val="90"/>
    <w:qFormat/>
    <w:uiPriority w:val="29"/>
    <w:rPr>
      <w:i/>
    </w:rPr>
  </w:style>
  <w:style w:type="paragraph" w:styleId="92">
    <w:name w:val="Intense Quote"/>
    <w:basedOn w:val="1"/>
    <w:next w:val="1"/>
    <w:link w:val="9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3">
    <w:name w:val="明显引用 Char"/>
    <w:link w:val="92"/>
    <w:qFormat/>
    <w:uiPriority w:val="30"/>
    <w:rPr>
      <w:i/>
    </w:rPr>
  </w:style>
  <w:style w:type="character" w:customStyle="1" w:styleId="94">
    <w:name w:val="页眉 Char"/>
    <w:basedOn w:val="37"/>
    <w:link w:val="23"/>
    <w:qFormat/>
    <w:uiPriority w:val="99"/>
  </w:style>
  <w:style w:type="character" w:customStyle="1" w:styleId="95">
    <w:name w:val="Footer Char"/>
    <w:basedOn w:val="37"/>
    <w:qFormat/>
    <w:uiPriority w:val="99"/>
  </w:style>
  <w:style w:type="table" w:customStyle="1" w:styleId="96">
    <w:name w:val="Table Grid Light"/>
    <w:basedOn w:val="35"/>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7">
    <w:name w:val="Grid Table 1 Light - Accent 1"/>
    <w:basedOn w:val="35"/>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pPr>
        <w:snapToGrid/>
      </w:pPr>
      <w:rPr>
        <w:b/>
        <w:color w:val="404040"/>
      </w:rPr>
      <w:tcPr>
        <w:tcBorders>
          <w:bottom w:val="single" w:color="9FC4E6" w:themeColor="accent1"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8">
    <w:name w:val="Grid Table 1 Light - Accent 2"/>
    <w:basedOn w:val="35"/>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pPr>
        <w:snapToGrid/>
      </w:pPr>
      <w:rPr>
        <w:b/>
        <w:color w:val="404040"/>
      </w:rPr>
      <w:tcPr>
        <w:tcBorders>
          <w:bottom w:val="single" w:color="F4B386" w:themeColor="accent2"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9">
    <w:name w:val="Grid Table 1 Light - Accent 3"/>
    <w:basedOn w:val="35"/>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pPr>
        <w:snapToGrid/>
      </w:pPr>
      <w:rPr>
        <w:b/>
        <w:color w:val="404040"/>
      </w:rPr>
      <w:tcPr>
        <w:tcBorders>
          <w:bottom w:val="single" w:color="CACACA" w:themeColor="accent3"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0">
    <w:name w:val="Grid Table 1 Light - Accent 4"/>
    <w:basedOn w:val="35"/>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pPr>
        <w:snapToGrid/>
      </w:pPr>
      <w:rPr>
        <w:b/>
        <w:color w:val="404040"/>
      </w:rPr>
      <w:tcPr>
        <w:tcBorders>
          <w:bottom w:val="single" w:color="FFDA69" w:themeColor="accent4"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1">
    <w:name w:val="Grid Table 1 Light - Accent 5"/>
    <w:basedOn w:val="35"/>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pPr>
        <w:snapToGrid/>
      </w:pPr>
      <w:rPr>
        <w:b/>
        <w:color w:val="404040"/>
      </w:rPr>
      <w:tcPr>
        <w:tcBorders>
          <w:bottom w:val="single" w:color="91ACDC" w:themeColor="accent5"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2">
    <w:name w:val="Grid Table 1 Light - Accent 6"/>
    <w:basedOn w:val="35"/>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pPr>
        <w:snapToGrid/>
      </w:pPr>
      <w:rPr>
        <w:b/>
        <w:color w:val="404040"/>
      </w:rPr>
      <w:tcPr>
        <w:tcBorders>
          <w:bottom w:val="single" w:color="AAD190" w:themeColor="accent6"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3">
    <w:name w:val="Grid Table 2 - Accent 1"/>
    <w:basedOn w:val="35"/>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68A3D8" w:themeColor="accent1" w:themeTint="EA" w:sz="12" w:space="0"/>
          <w:right w:val="nil"/>
        </w:tcBorders>
        <w:shd w:val="clear" w:color="auto" w:fill="FFFFFF"/>
      </w:tcPr>
    </w:tblStylePr>
    <w:tblStylePr w:type="lastRow">
      <w:pPr>
        <w:snapToGrid/>
      </w:pPr>
      <w:rPr>
        <w:b/>
        <w:color w:val="404040"/>
      </w:rPr>
      <w:tcPr>
        <w:tcBorders>
          <w:top w:val="single" w:color="68A3D8" w:themeColor="accent1" w:themeTint="EA"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4">
    <w:name w:val="Grid Table 2 - Accent 2"/>
    <w:basedOn w:val="35"/>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F4B285" w:themeColor="accent2" w:themeTint="97" w:sz="12" w:space="0"/>
          <w:right w:val="nil"/>
        </w:tcBorders>
        <w:shd w:val="clear" w:color="auto" w:fill="FFFFFF"/>
      </w:tcPr>
    </w:tblStylePr>
    <w:tblStylePr w:type="lastRow">
      <w:pPr>
        <w:snapToGrid/>
      </w:pPr>
      <w:rPr>
        <w:b/>
        <w:color w:val="404040"/>
      </w:rPr>
      <w:tcPr>
        <w:tcBorders>
          <w:top w:val="single" w:color="F4B285" w:themeColor="accent2" w:themeTint="97"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5">
    <w:name w:val="Grid Table 2 - Accent 3"/>
    <w:basedOn w:val="35"/>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A5A5A5" w:themeColor="accent3" w:themeTint="FE" w:sz="12" w:space="0"/>
          <w:right w:val="nil"/>
        </w:tcBorders>
        <w:shd w:val="clear" w:color="auto" w:fill="FFFFFF"/>
      </w:tcPr>
    </w:tblStylePr>
    <w:tblStylePr w:type="lastRow">
      <w:pPr>
        <w:snapToGrid/>
      </w:pPr>
      <w:rPr>
        <w:b/>
        <w:color w:val="404040"/>
      </w:rPr>
      <w:tcPr>
        <w:tcBorders>
          <w:top w:val="single" w:color="A5A5A5" w:themeColor="accent3" w:themeTint="FE"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6">
    <w:name w:val="Grid Table 2 - Accent 4"/>
    <w:basedOn w:val="35"/>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FFD864" w:themeColor="accent4" w:themeTint="9A" w:sz="12" w:space="0"/>
          <w:right w:val="nil"/>
        </w:tcBorders>
        <w:shd w:val="clear" w:color="auto" w:fill="FFFFFF"/>
      </w:tcPr>
    </w:tblStylePr>
    <w:tblStylePr w:type="lastRow">
      <w:pPr>
        <w:snapToGrid/>
      </w:pPr>
      <w:rPr>
        <w:b/>
        <w:color w:val="404040"/>
      </w:rPr>
      <w:tcPr>
        <w:tcBorders>
          <w:top w:val="single" w:color="FFD864" w:themeColor="accent4" w:themeTint="9A"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EF2CA" w:themeFill="accent4" w:themeFillTint="34"/>
      </w:tcPr>
    </w:tblStylePr>
    <w:tblStylePr w:type="band2Vert">
      <w:pPr>
        <w:snapToGrid/>
      </w:pPr>
    </w:tblStylePr>
    <w:tblStylePr w:type="band1Horz">
      <w:pPr>
        <w:snapToGrid/>
      </w:pPr>
      <w:rPr>
        <w:rFonts w:ascii="Arial" w:hAnsi="Arial"/>
        <w:color w:val="404040"/>
        <w:sz w:val="22"/>
      </w:rPr>
      <w:tcPr>
        <w:shd w:val="clear" w:color="auto" w:fill="FEF2CA"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7">
    <w:name w:val="Grid Table 2 - Accent 5"/>
    <w:basedOn w:val="35"/>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4472C4" w:themeColor="accent5" w:sz="12" w:space="0"/>
          <w:right w:val="nil"/>
        </w:tcBorders>
        <w:shd w:val="clear" w:color="auto" w:fill="FFFFFF"/>
      </w:tcPr>
    </w:tblStylePr>
    <w:tblStylePr w:type="lastRow">
      <w:pPr>
        <w:snapToGrid/>
      </w:pPr>
      <w:rPr>
        <w:b/>
        <w:color w:val="404040"/>
      </w:rPr>
      <w:tcPr>
        <w:tcBorders>
          <w:top w:val="single" w:color="4472C4" w:themeColor="accent5"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8E2F2" w:themeFill="accent5" w:themeFillTint="34"/>
      </w:tcPr>
    </w:tblStylePr>
    <w:tblStylePr w:type="band2Vert">
      <w:pPr>
        <w:snapToGrid/>
      </w:pPr>
    </w:tblStylePr>
    <w:tblStylePr w:type="band1Horz">
      <w:pPr>
        <w:snapToGrid/>
      </w:pPr>
      <w:rPr>
        <w:rFonts w:ascii="Arial" w:hAnsi="Arial"/>
        <w:color w:val="404040"/>
        <w:sz w:val="22"/>
      </w:rPr>
      <w:tcPr>
        <w:shd w:val="clear" w:color="auto" w:fill="D8E2F2"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8">
    <w:name w:val="Grid Table 2 - Accent 6"/>
    <w:basedOn w:val="35"/>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pPr>
        <w:snapToGrid/>
      </w:pPr>
      <w:rPr>
        <w:b/>
        <w:color w:val="404040"/>
      </w:rPr>
      <w:tcPr>
        <w:tcBorders>
          <w:top w:val="nil"/>
          <w:left w:val="nil"/>
          <w:bottom w:val="single" w:color="70AD47" w:themeColor="accent6" w:sz="12" w:space="0"/>
          <w:right w:val="nil"/>
        </w:tcBorders>
        <w:shd w:val="clear" w:color="auto" w:fill="FFFFFF"/>
      </w:tcPr>
    </w:tblStylePr>
    <w:tblStylePr w:type="lastRow">
      <w:pPr>
        <w:snapToGrid/>
      </w:pPr>
      <w:rPr>
        <w:b/>
        <w:color w:val="404040"/>
      </w:rPr>
      <w:tcPr>
        <w:tcBorders>
          <w:top w:val="single" w:color="70AD47" w:themeColor="accent6"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9">
    <w:name w:val="Grid Table 3 - Accent 1"/>
    <w:basedOn w:val="35"/>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Grid Table 3 - Accent 2"/>
    <w:basedOn w:val="35"/>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Grid Table 3 - Accent 3"/>
    <w:basedOn w:val="35"/>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Grid Table 3 - Accent 4"/>
    <w:basedOn w:val="35"/>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FEF2CA" w:themeFill="accent4" w:themeFillTint="34"/>
      </w:tcPr>
    </w:tblStylePr>
    <w:tblStylePr w:type="band2Vert">
      <w:pPr>
        <w:snapToGrid/>
      </w:pPr>
    </w:tblStylePr>
    <w:tblStylePr w:type="band1Horz">
      <w:pPr>
        <w:snapToGrid/>
      </w:pPr>
      <w:rPr>
        <w:rFonts w:ascii="Arial" w:hAnsi="Arial"/>
        <w:color w:val="404040"/>
        <w:sz w:val="22"/>
      </w:rPr>
      <w:tcPr>
        <w:shd w:val="clear" w:color="auto" w:fill="FEF2CA"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3">
    <w:name w:val="Grid Table 3 - Accent 5"/>
    <w:basedOn w:val="35"/>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D8E2F2" w:themeFill="accent5" w:themeFillTint="34"/>
      </w:tcPr>
    </w:tblStylePr>
    <w:tblStylePr w:type="band2Vert">
      <w:pPr>
        <w:snapToGrid/>
      </w:pPr>
    </w:tblStylePr>
    <w:tblStylePr w:type="band1Horz">
      <w:pPr>
        <w:snapToGrid/>
      </w:pPr>
      <w:rPr>
        <w:rFonts w:ascii="Arial" w:hAnsi="Arial"/>
        <w:color w:val="404040"/>
        <w:sz w:val="22"/>
      </w:rPr>
      <w:tcPr>
        <w:shd w:val="clear" w:color="auto" w:fill="D8E2F2"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4">
    <w:name w:val="Grid Table 3 - Accent 6"/>
    <w:basedOn w:val="35"/>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5">
    <w:name w:val="Grid Table 4 - Accent 1"/>
    <w:basedOn w:val="35"/>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pPr>
        <w:snapToGrid/>
      </w:pPr>
      <w:rPr>
        <w:b/>
        <w:color w:val="404040"/>
      </w:rPr>
      <w:tcPr>
        <w:tcBorders>
          <w:top w:val="single" w:color="68A3D8" w:themeColor="accent1" w:themeTint="EA"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6">
    <w:name w:val="Grid Table 4 - Accent 2"/>
    <w:basedOn w:val="35"/>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pPr>
        <w:snapToGrid/>
      </w:pPr>
      <w:rPr>
        <w:b/>
        <w:color w:val="404040"/>
      </w:rPr>
      <w:tcPr>
        <w:tcBorders>
          <w:top w:val="single" w:color="F4B285" w:themeColor="accent2" w:themeTint="97"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7">
    <w:name w:val="Grid Table 4 - Accent 3"/>
    <w:basedOn w:val="35"/>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pPr>
        <w:snapToGrid/>
      </w:pPr>
      <w:rPr>
        <w:b/>
        <w:color w:val="404040"/>
      </w:rPr>
      <w:tcPr>
        <w:tcBorders>
          <w:top w:val="single" w:color="A5A5A5" w:themeColor="accent3" w:themeTint="FE"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8">
    <w:name w:val="Grid Table 4 - Accent 4"/>
    <w:basedOn w:val="35"/>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pPr>
        <w:snapToGrid/>
      </w:pPr>
      <w:rPr>
        <w:b/>
        <w:color w:val="404040"/>
      </w:rPr>
      <w:tcPr>
        <w:tcBorders>
          <w:top w:val="single" w:color="FFD864" w:themeColor="accent4" w:themeTint="9A"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EF2CA" w:themeFill="accent4" w:themeFillTint="34"/>
      </w:tcPr>
    </w:tblStylePr>
    <w:tblStylePr w:type="band2Vert">
      <w:pPr>
        <w:snapToGrid/>
      </w:pPr>
    </w:tblStylePr>
    <w:tblStylePr w:type="band1Horz">
      <w:pPr>
        <w:snapToGrid/>
      </w:pPr>
      <w:rPr>
        <w:rFonts w:ascii="Arial" w:hAnsi="Arial"/>
        <w:color w:val="404040"/>
        <w:sz w:val="22"/>
      </w:rPr>
      <w:tcPr>
        <w:shd w:val="clear" w:color="auto" w:fill="FEF2CA"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9">
    <w:name w:val="Grid Table 4 - Accent 5"/>
    <w:basedOn w:val="35"/>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pPr>
        <w:snapToGrid/>
      </w:pPr>
      <w:rPr>
        <w:b/>
        <w:color w:val="404040"/>
      </w:rPr>
      <w:tcPr>
        <w:tcBorders>
          <w:top w:val="single" w:color="4472C4" w:themeColor="accent5"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8E2F2" w:themeFill="accent5" w:themeFillTint="34"/>
      </w:tcPr>
    </w:tblStylePr>
    <w:tblStylePr w:type="band2Vert">
      <w:pPr>
        <w:snapToGrid/>
      </w:pPr>
    </w:tblStylePr>
    <w:tblStylePr w:type="band1Horz">
      <w:pPr>
        <w:snapToGrid/>
      </w:pPr>
      <w:rPr>
        <w:rFonts w:ascii="Arial" w:hAnsi="Arial"/>
        <w:color w:val="404040"/>
        <w:sz w:val="22"/>
      </w:rPr>
      <w:tcPr>
        <w:shd w:val="clear" w:color="auto" w:fill="D8E2F2"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0">
    <w:name w:val="Grid Table 4 - Accent 6"/>
    <w:basedOn w:val="35"/>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pPr>
        <w:snapToGrid/>
      </w:pPr>
      <w:rPr>
        <w:b/>
        <w:color w:val="404040"/>
      </w:rPr>
      <w:tcPr>
        <w:tcBorders>
          <w:top w:val="single" w:color="70AD47" w:themeColor="accent6"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1">
    <w:name w:val="Grid Table 5 Dark- Accent 1"/>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5B9BD5" w:themeFill="accent1"/>
      </w:tcPr>
    </w:tblStylePr>
    <w:tblStylePr w:type="lastRow">
      <w:pPr>
        <w:snapToGrid/>
      </w:pPr>
      <w:rPr>
        <w:rFonts w:ascii="Arial" w:hAnsi="Arial"/>
        <w:b/>
        <w:color w:val="FFFFFF"/>
        <w:sz w:val="22"/>
      </w:rPr>
      <w:tcPr>
        <w:tcBorders>
          <w:top w:val="single" w:color="FFFFFF" w:themeColor="light1" w:sz="4" w:space="0"/>
        </w:tcBorders>
        <w:shd w:val="clear" w:color="auto" w:fill="5B9BD5" w:themeFill="accent1"/>
      </w:tcPr>
    </w:tblStylePr>
    <w:tblStylePr w:type="firstCol">
      <w:pPr>
        <w:snapToGrid/>
      </w:pPr>
      <w:rPr>
        <w:rFonts w:ascii="Arial" w:hAnsi="Arial"/>
        <w:b/>
        <w:color w:val="FFFFFF"/>
        <w:sz w:val="22"/>
      </w:rPr>
      <w:tcPr>
        <w:shd w:val="clear" w:color="auto" w:fill="5B9BD5" w:themeFill="accent1"/>
      </w:tcPr>
    </w:tblStylePr>
    <w:tblStylePr w:type="lastCol">
      <w:pPr>
        <w:snapToGrid/>
      </w:pPr>
      <w:rPr>
        <w:rFonts w:ascii="Arial" w:hAnsi="Arial"/>
        <w:b/>
        <w:color w:val="FFFFFF"/>
        <w:sz w:val="22"/>
      </w:rPr>
      <w:tcPr>
        <w:shd w:val="clear" w:color="auto" w:fill="5B9BD5" w:themeFill="accent1"/>
      </w:tcPr>
    </w:tblStylePr>
    <w:tblStylePr w:type="band1Vert">
      <w:pPr>
        <w:snapToGrid/>
      </w:pPr>
      <w:tcPr>
        <w:shd w:val="clear" w:color="auto" w:fill="B3D1EB" w:themeFill="accent1" w:themeFillTint="75"/>
      </w:tcPr>
    </w:tblStylePr>
    <w:tblStylePr w:type="band2Vert">
      <w:pPr>
        <w:snapToGrid/>
      </w:pPr>
    </w:tblStylePr>
    <w:tblStylePr w:type="band1Horz">
      <w:pPr>
        <w:snapToGrid/>
      </w:pPr>
      <w:tcPr>
        <w:shd w:val="clear" w:color="auto" w:fill="B3D1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2">
    <w:name w:val="Grid Table 5 Dark - Accent 2"/>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ED7D31" w:themeFill="accent2"/>
      </w:tcPr>
    </w:tblStylePr>
    <w:tblStylePr w:type="lastRow">
      <w:pPr>
        <w:snapToGrid/>
      </w:pPr>
      <w:rPr>
        <w:rFonts w:ascii="Arial" w:hAnsi="Arial"/>
        <w:b/>
        <w:color w:val="FFFFFF"/>
        <w:sz w:val="22"/>
      </w:rPr>
      <w:tcPr>
        <w:tcBorders>
          <w:top w:val="single" w:color="FFFFFF" w:themeColor="light1" w:sz="4" w:space="0"/>
        </w:tcBorders>
        <w:shd w:val="clear" w:color="auto" w:fill="ED7D31" w:themeFill="accent2"/>
      </w:tcPr>
    </w:tblStylePr>
    <w:tblStylePr w:type="firstCol">
      <w:pPr>
        <w:snapToGrid/>
      </w:pPr>
      <w:rPr>
        <w:rFonts w:ascii="Arial" w:hAnsi="Arial"/>
        <w:b/>
        <w:color w:val="FFFFFF"/>
        <w:sz w:val="22"/>
      </w:rPr>
      <w:tcPr>
        <w:shd w:val="clear" w:color="auto" w:fill="ED7D31" w:themeFill="accent2"/>
      </w:tcPr>
    </w:tblStylePr>
    <w:tblStylePr w:type="lastCol">
      <w:pPr>
        <w:snapToGrid/>
      </w:pPr>
      <w:rPr>
        <w:rFonts w:ascii="Arial" w:hAnsi="Arial"/>
        <w:b/>
        <w:color w:val="FFFFFF"/>
        <w:sz w:val="22"/>
      </w:rPr>
      <w:tcPr>
        <w:shd w:val="clear" w:color="auto" w:fill="ED7D31" w:themeFill="accent2"/>
      </w:tcPr>
    </w:tblStylePr>
    <w:tblStylePr w:type="band1Vert">
      <w:pPr>
        <w:snapToGrid/>
      </w:pPr>
      <w:tcPr>
        <w:shd w:val="clear" w:color="auto" w:fill="F6C3A0" w:themeFill="accent2" w:themeFillTint="75"/>
      </w:tcPr>
    </w:tblStylePr>
    <w:tblStylePr w:type="band2Vert">
      <w:pPr>
        <w:snapToGrid/>
      </w:pPr>
    </w:tblStylePr>
    <w:tblStylePr w:type="band1Horz">
      <w:pPr>
        <w:snapToGrid/>
      </w:p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3">
    <w:name w:val="Grid Table 5 Dark - Accent 3"/>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A5A5A5" w:themeFill="accent3"/>
      </w:tcPr>
    </w:tblStylePr>
    <w:tblStylePr w:type="lastRow">
      <w:pPr>
        <w:snapToGrid/>
      </w:pPr>
      <w:rPr>
        <w:rFonts w:ascii="Arial" w:hAnsi="Arial"/>
        <w:b/>
        <w:color w:val="FFFFFF"/>
        <w:sz w:val="22"/>
      </w:rPr>
      <w:tcPr>
        <w:tcBorders>
          <w:top w:val="single" w:color="FFFFFF" w:themeColor="light1" w:sz="4" w:space="0"/>
        </w:tcBorders>
        <w:shd w:val="clear" w:color="auto" w:fill="A5A5A5" w:themeFill="accent3"/>
      </w:tcPr>
    </w:tblStylePr>
    <w:tblStylePr w:type="firstCol">
      <w:pPr>
        <w:snapToGrid/>
      </w:pPr>
      <w:rPr>
        <w:rFonts w:ascii="Arial" w:hAnsi="Arial"/>
        <w:b/>
        <w:color w:val="FFFFFF"/>
        <w:sz w:val="22"/>
      </w:rPr>
      <w:tcPr>
        <w:shd w:val="clear" w:color="auto" w:fill="A5A5A5" w:themeFill="accent3"/>
      </w:tcPr>
    </w:tblStylePr>
    <w:tblStylePr w:type="lastCol">
      <w:pPr>
        <w:snapToGrid/>
      </w:pPr>
      <w:rPr>
        <w:rFonts w:ascii="Arial" w:hAnsi="Arial"/>
        <w:b/>
        <w:color w:val="FFFFFF"/>
        <w:sz w:val="22"/>
      </w:rPr>
      <w:tcPr>
        <w:shd w:val="clear" w:color="auto" w:fill="A5A5A5" w:themeFill="accent3"/>
      </w:tcPr>
    </w:tblStylePr>
    <w:tblStylePr w:type="band1Vert">
      <w:pPr>
        <w:snapToGrid/>
      </w:pPr>
      <w:tcPr>
        <w:shd w:val="clear" w:color="auto" w:fill="D5D5D5" w:themeFill="accent3" w:themeFillTint="75"/>
      </w:tcPr>
    </w:tblStylePr>
    <w:tblStylePr w:type="band2Vert">
      <w:pPr>
        <w:snapToGrid/>
      </w:pPr>
    </w:tblStylePr>
    <w:tblStylePr w:type="band1Horz">
      <w:pPr>
        <w:snapToGrid/>
      </w:p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4">
    <w:name w:val="Grid Table 5 Dark- Accent 4"/>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FFC000" w:themeFill="accent4"/>
      </w:tcPr>
    </w:tblStylePr>
    <w:tblStylePr w:type="lastRow">
      <w:pPr>
        <w:snapToGrid/>
      </w:pPr>
      <w:rPr>
        <w:rFonts w:ascii="Arial" w:hAnsi="Arial"/>
        <w:b/>
        <w:color w:val="FFFFFF"/>
        <w:sz w:val="22"/>
      </w:rPr>
      <w:tcPr>
        <w:tcBorders>
          <w:top w:val="single" w:color="FFFFFF" w:themeColor="light1" w:sz="4" w:space="0"/>
        </w:tcBorders>
        <w:shd w:val="clear" w:color="auto" w:fill="FFC000" w:themeFill="accent4"/>
      </w:tcPr>
    </w:tblStylePr>
    <w:tblStylePr w:type="firstCol">
      <w:pPr>
        <w:snapToGrid/>
      </w:pPr>
      <w:rPr>
        <w:rFonts w:ascii="Arial" w:hAnsi="Arial"/>
        <w:b/>
        <w:color w:val="FFFFFF"/>
        <w:sz w:val="22"/>
      </w:rPr>
      <w:tcPr>
        <w:shd w:val="clear" w:color="auto" w:fill="FFC000" w:themeFill="accent4"/>
      </w:tcPr>
    </w:tblStylePr>
    <w:tblStylePr w:type="lastCol">
      <w:pPr>
        <w:snapToGrid/>
      </w:pPr>
      <w:rPr>
        <w:rFonts w:ascii="Arial" w:hAnsi="Arial"/>
        <w:b/>
        <w:color w:val="FFFFFF"/>
        <w:sz w:val="22"/>
      </w:rPr>
      <w:tcPr>
        <w:shd w:val="clear" w:color="auto" w:fill="FFC000" w:themeFill="accent4"/>
      </w:tcPr>
    </w:tblStylePr>
    <w:tblStylePr w:type="band1Vert">
      <w:pPr>
        <w:snapToGrid/>
      </w:pPr>
      <w:tcPr>
        <w:shd w:val="clear" w:color="auto" w:fill="FEE289" w:themeFill="accent4" w:themeFillTint="75"/>
      </w:tcPr>
    </w:tblStylePr>
    <w:tblStylePr w:type="band2Vert">
      <w:pPr>
        <w:snapToGrid/>
      </w:pPr>
    </w:tblStylePr>
    <w:tblStylePr w:type="band1Horz">
      <w:pPr>
        <w:snapToGrid/>
      </w:pPr>
      <w:tcPr>
        <w:shd w:val="clear" w:color="auto" w:fill="FEE289"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5">
    <w:name w:val="Grid Table 5 Dark - Accent 5"/>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4472C4" w:themeFill="accent5"/>
      </w:tcPr>
    </w:tblStylePr>
    <w:tblStylePr w:type="lastRow">
      <w:pPr>
        <w:snapToGrid/>
      </w:pPr>
      <w:rPr>
        <w:rFonts w:ascii="Arial" w:hAnsi="Arial"/>
        <w:b/>
        <w:color w:val="FFFFFF"/>
        <w:sz w:val="22"/>
      </w:rPr>
      <w:tcPr>
        <w:tcBorders>
          <w:top w:val="single" w:color="FFFFFF" w:themeColor="light1" w:sz="4" w:space="0"/>
        </w:tcBorders>
        <w:shd w:val="clear" w:color="auto" w:fill="4472C4" w:themeFill="accent5"/>
      </w:tcPr>
    </w:tblStylePr>
    <w:tblStylePr w:type="firstCol">
      <w:pPr>
        <w:snapToGrid/>
      </w:pPr>
      <w:rPr>
        <w:rFonts w:ascii="Arial" w:hAnsi="Arial"/>
        <w:b/>
        <w:color w:val="FFFFFF"/>
        <w:sz w:val="22"/>
      </w:rPr>
      <w:tcPr>
        <w:shd w:val="clear" w:color="auto" w:fill="4472C4" w:themeFill="accent5"/>
      </w:tcPr>
    </w:tblStylePr>
    <w:tblStylePr w:type="lastCol">
      <w:pPr>
        <w:snapToGrid/>
      </w:pPr>
      <w:rPr>
        <w:rFonts w:ascii="Arial" w:hAnsi="Arial"/>
        <w:b/>
        <w:color w:val="FFFFFF"/>
        <w:sz w:val="22"/>
      </w:rPr>
      <w:tcPr>
        <w:shd w:val="clear" w:color="auto" w:fill="4472C4" w:themeFill="accent5"/>
      </w:tcPr>
    </w:tblStylePr>
    <w:tblStylePr w:type="band1Vert">
      <w:pPr>
        <w:snapToGrid/>
      </w:pPr>
      <w:tcPr>
        <w:shd w:val="clear" w:color="auto" w:fill="A9BEE3" w:themeFill="accent5" w:themeFillTint="75"/>
      </w:tcPr>
    </w:tblStylePr>
    <w:tblStylePr w:type="band2Vert">
      <w:pPr>
        <w:snapToGrid/>
      </w:pPr>
    </w:tblStylePr>
    <w:tblStylePr w:type="band1Horz">
      <w:pPr>
        <w:snapToGrid/>
      </w:pPr>
      <w:tcPr>
        <w:shd w:val="clear" w:color="auto" w:fill="A9BEE3"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6">
    <w:name w:val="Grid Table 5 Dark - Accent 6"/>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70AD47" w:themeFill="accent6"/>
      </w:tcPr>
    </w:tblStylePr>
    <w:tblStylePr w:type="lastRow">
      <w:pPr>
        <w:snapToGrid/>
      </w:pPr>
      <w:rPr>
        <w:rFonts w:ascii="Arial" w:hAnsi="Arial"/>
        <w:b/>
        <w:color w:val="FFFFFF"/>
        <w:sz w:val="22"/>
      </w:rPr>
      <w:tcPr>
        <w:tcBorders>
          <w:top w:val="single" w:color="FFFFFF" w:themeColor="light1" w:sz="4" w:space="0"/>
        </w:tcBorders>
        <w:shd w:val="clear" w:color="auto" w:fill="70AD47" w:themeFill="accent6"/>
      </w:tcPr>
    </w:tblStylePr>
    <w:tblStylePr w:type="firstCol">
      <w:pPr>
        <w:snapToGrid/>
      </w:pPr>
      <w:rPr>
        <w:rFonts w:ascii="Arial" w:hAnsi="Arial"/>
        <w:b/>
        <w:color w:val="FFFFFF"/>
        <w:sz w:val="22"/>
      </w:rPr>
      <w:tcPr>
        <w:shd w:val="clear" w:color="auto" w:fill="70AD47" w:themeFill="accent6"/>
      </w:tcPr>
    </w:tblStylePr>
    <w:tblStylePr w:type="lastCol">
      <w:pPr>
        <w:snapToGrid/>
      </w:pPr>
      <w:rPr>
        <w:rFonts w:ascii="Arial" w:hAnsi="Arial"/>
        <w:b/>
        <w:color w:val="FFFFFF"/>
        <w:sz w:val="22"/>
      </w:rPr>
      <w:tcPr>
        <w:shd w:val="clear" w:color="auto" w:fill="70AD47" w:themeFill="accent6"/>
      </w:tcPr>
    </w:tblStylePr>
    <w:tblStylePr w:type="band1Vert">
      <w:pPr>
        <w:snapToGrid/>
      </w:pPr>
      <w:tcPr>
        <w:shd w:val="clear" w:color="auto" w:fill="BCDBA8" w:themeFill="accent6" w:themeFillTint="75"/>
      </w:tcPr>
    </w:tblStylePr>
    <w:tblStylePr w:type="band2Vert">
      <w:pPr>
        <w:snapToGrid/>
      </w:pPr>
    </w:tblStylePr>
    <w:tblStylePr w:type="band1Horz">
      <w:pPr>
        <w:snapToGrid/>
      </w:p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7">
    <w:name w:val="Grid Table 6 Colorful - Accent 1"/>
    <w:basedOn w:val="35"/>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pPr>
        <w:snapToGrid/>
      </w:pPr>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pPr>
        <w:snapToGrid/>
      </w:pPr>
      <w:rPr>
        <w:b/>
        <w:color w:val="ADCDEA" w:themeColor="accent1" w:themeTint="80"/>
        <w14:textFill>
          <w14:solidFill>
            <w14:schemeClr w14:val="accent1">
              <w14:lumMod w14:val="50000"/>
              <w14:lumOff w14:val="50000"/>
            </w14:schemeClr>
          </w14:solidFill>
        </w14:textFill>
      </w:rPr>
    </w:tblStylePr>
    <w:tblStylePr w:type="firstCol">
      <w:pPr>
        <w:snapToGrid/>
      </w:pPr>
      <w:rPr>
        <w:b/>
        <w:color w:val="ADCDEA" w:themeColor="accent1" w:themeTint="80"/>
        <w14:textFill>
          <w14:solidFill>
            <w14:schemeClr w14:val="accent1">
              <w14:lumMod w14:val="50000"/>
              <w14:lumOff w14:val="50000"/>
            </w14:schemeClr>
          </w14:solidFill>
        </w14:textFill>
      </w:rPr>
    </w:tblStylePr>
    <w:tblStylePr w:type="lastCol">
      <w:pPr>
        <w:snapToGrid/>
      </w:pPr>
      <w:rPr>
        <w:b/>
        <w:color w:val="ADCDEA" w:themeColor="accent1" w:themeTint="80"/>
        <w14:textFill>
          <w14:solidFill>
            <w14:schemeClr w14:val="accent1">
              <w14:lumMod w14:val="50000"/>
              <w14:lumOff w14:val="50000"/>
            </w14:schemeClr>
          </w14:solidFill>
        </w14:textFill>
      </w:rPr>
    </w:tblStylePr>
    <w:tblStylePr w:type="band1Vert">
      <w:pPr>
        <w:snapToGrid/>
      </w:pPr>
      <w:tcPr>
        <w:shd w:val="clear" w:color="auto" w:fill="DDEAF6" w:themeFill="accent1" w:themeFillTint="34"/>
      </w:tcPr>
    </w:tblStylePr>
    <w:tblStylePr w:type="band2Vert">
      <w:pPr>
        <w:snapToGrid/>
      </w:pPr>
    </w:tblStylePr>
    <w:tblStylePr w:type="band1Horz">
      <w:pPr>
        <w:snapToGrid/>
      </w:pPr>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pPr>
        <w:snapToGrid/>
      </w:pPr>
      <w:rPr>
        <w:rFonts w:ascii="Arial" w:hAnsi="Arial"/>
        <w:color w:val="ADCDEA" w:themeColor="accent1" w:themeTint="80"/>
        <w:sz w:val="22"/>
        <w14:textFill>
          <w14:solidFill>
            <w14:schemeClr w14:val="accent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8">
    <w:name w:val="Grid Table 6 Colorful - Accent 2"/>
    <w:basedOn w:val="35"/>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pPr>
        <w:snapToGrid/>
      </w:pPr>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pPr>
        <w:snapToGrid/>
      </w:pPr>
      <w:rPr>
        <w:b/>
        <w:color w:val="F4B285" w:themeColor="accent2" w:themeTint="96"/>
        <w14:textFill>
          <w14:solidFill>
            <w14:schemeClr w14:val="accent2">
              <w14:lumMod w14:val="59000"/>
              <w14:lumOff w14:val="41000"/>
            </w14:schemeClr>
          </w14:solidFill>
        </w14:textFill>
      </w:rPr>
    </w:tblStylePr>
    <w:tblStylePr w:type="firstCol">
      <w:pPr>
        <w:snapToGrid/>
      </w:pPr>
      <w:rPr>
        <w:b/>
        <w:color w:val="F4B285" w:themeColor="accent2" w:themeTint="96"/>
        <w14:textFill>
          <w14:solidFill>
            <w14:schemeClr w14:val="accent2">
              <w14:lumMod w14:val="59000"/>
              <w14:lumOff w14:val="41000"/>
            </w14:schemeClr>
          </w14:solidFill>
        </w14:textFill>
      </w:rPr>
    </w:tblStylePr>
    <w:tblStylePr w:type="lastCol">
      <w:pPr>
        <w:snapToGrid/>
      </w:pPr>
      <w:rPr>
        <w:b/>
        <w:color w:val="F4B285" w:themeColor="accent2" w:themeTint="96"/>
        <w14:textFill>
          <w14:solidFill>
            <w14:schemeClr w14:val="accent2">
              <w14:lumMod w14:val="59000"/>
              <w14:lumOff w14:val="41000"/>
            </w14:schemeClr>
          </w14:solidFill>
        </w14:textFill>
      </w:rPr>
    </w:tblStylePr>
    <w:tblStylePr w:type="band1Vert">
      <w:pPr>
        <w:snapToGrid/>
      </w:p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pPr>
        <w:snapToGrid/>
      </w:pPr>
      <w:rPr>
        <w:rFonts w:ascii="Arial" w:hAnsi="Arial"/>
        <w:color w:val="F4B285"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9">
    <w:name w:val="Grid Table 6 Colorful - Accent 3"/>
    <w:basedOn w:val="35"/>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pPr>
        <w:snapToGrid/>
      </w:pPr>
      <w:rPr>
        <w:b/>
        <w:color w:val="A5A5A5" w:themeColor="accent3"/>
        <w14:textFill>
          <w14:solidFill>
            <w14:schemeClr w14:val="accent3"/>
          </w14:solidFill>
        </w14:textFill>
      </w:rPr>
      <w:tcPr>
        <w:tcBorders>
          <w:bottom w:val="single" w:color="A5A5A5" w:themeColor="accent3" w:themeTint="FE" w:sz="12" w:space="0"/>
        </w:tcBorders>
      </w:tcPr>
    </w:tblStylePr>
    <w:tblStylePr w:type="lastRow">
      <w:pPr>
        <w:snapToGrid/>
      </w:pPr>
      <w:rPr>
        <w:b/>
        <w:color w:val="A5A5A5" w:themeColor="accent3"/>
        <w14:textFill>
          <w14:solidFill>
            <w14:schemeClr w14:val="accent3"/>
          </w14:solidFill>
        </w14:textFill>
      </w:rPr>
    </w:tblStylePr>
    <w:tblStylePr w:type="firstCol">
      <w:pPr>
        <w:snapToGrid/>
      </w:pPr>
      <w:rPr>
        <w:b/>
        <w:color w:val="A5A5A5" w:themeColor="accent3"/>
        <w14:textFill>
          <w14:solidFill>
            <w14:schemeClr w14:val="accent3"/>
          </w14:solidFill>
        </w14:textFill>
      </w:rPr>
    </w:tblStylePr>
    <w:tblStylePr w:type="lastCol">
      <w:pPr>
        <w:snapToGrid/>
      </w:pPr>
      <w:rPr>
        <w:b/>
        <w:color w:val="A5A5A5" w:themeColor="accent3"/>
        <w14:textFill>
          <w14:solidFill>
            <w14:schemeClr w14:val="accent3"/>
          </w14:solidFill>
        </w14:textFill>
      </w:rPr>
    </w:tblStylePr>
    <w:tblStylePr w:type="band1Vert">
      <w:pPr>
        <w:snapToGrid/>
      </w:p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pPr>
        <w:snapToGrid/>
      </w:pPr>
      <w:rPr>
        <w:rFonts w:ascii="Arial" w:hAnsi="Arial"/>
        <w:color w:val="A5A5A5" w:themeColor="accent3"/>
        <w:sz w:val="22"/>
        <w14:textFill>
          <w14:solidFill>
            <w14:schemeClr w14:val="accent3"/>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0">
    <w:name w:val="Grid Table 6 Colorful - Accent 4"/>
    <w:basedOn w:val="35"/>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pPr>
        <w:snapToGrid/>
      </w:pPr>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pPr>
        <w:snapToGrid/>
      </w:pPr>
      <w:rPr>
        <w:b/>
        <w:color w:val="FFD966" w:themeColor="accent4" w:themeTint="99"/>
        <w14:textFill>
          <w14:solidFill>
            <w14:schemeClr w14:val="accent4">
              <w14:lumMod w14:val="60000"/>
              <w14:lumOff w14:val="40000"/>
            </w14:schemeClr>
          </w14:solidFill>
        </w14:textFill>
      </w:rPr>
    </w:tblStylePr>
    <w:tblStylePr w:type="firstCol">
      <w:pPr>
        <w:snapToGrid/>
      </w:pPr>
      <w:rPr>
        <w:b/>
        <w:color w:val="FFD966" w:themeColor="accent4" w:themeTint="99"/>
        <w14:textFill>
          <w14:solidFill>
            <w14:schemeClr w14:val="accent4">
              <w14:lumMod w14:val="60000"/>
              <w14:lumOff w14:val="40000"/>
            </w14:schemeClr>
          </w14:solidFill>
        </w14:textFill>
      </w:rPr>
    </w:tblStylePr>
    <w:tblStylePr w:type="lastCol">
      <w:pPr>
        <w:snapToGrid/>
      </w:pPr>
      <w:rPr>
        <w:b/>
        <w:color w:val="FFD966" w:themeColor="accent4" w:themeTint="99"/>
        <w14:textFill>
          <w14:solidFill>
            <w14:schemeClr w14:val="accent4">
              <w14:lumMod w14:val="60000"/>
              <w14:lumOff w14:val="40000"/>
            </w14:schemeClr>
          </w14:solidFill>
        </w14:textFill>
      </w:rPr>
    </w:tblStylePr>
    <w:tblStylePr w:type="band1Vert">
      <w:pPr>
        <w:snapToGrid/>
      </w:pPr>
      <w:tcPr>
        <w:shd w:val="clear" w:color="auto" w:fill="FEF2CA" w:themeFill="accent4" w:themeFillTint="34"/>
      </w:tcPr>
    </w:tblStylePr>
    <w:tblStylePr w:type="band2Vert">
      <w:pPr>
        <w:snapToGrid/>
      </w:pPr>
    </w:tblStylePr>
    <w:tblStylePr w:type="band1Horz">
      <w:pPr>
        <w:snapToGrid/>
      </w:pPr>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pPr>
        <w:snapToGrid/>
      </w:pPr>
      <w:rPr>
        <w:rFonts w:ascii="Arial" w:hAnsi="Arial"/>
        <w:color w:val="FFD966"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1">
    <w:name w:val="Grid Table 6 Colorful - Accent 5"/>
    <w:basedOn w:val="35"/>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pPr>
        <w:snapToGrid/>
      </w:pPr>
      <w:rPr>
        <w:b/>
        <w:color w:val="254174" w:themeColor="accent5" w:themeShade="94"/>
      </w:rPr>
      <w:tcPr>
        <w:tcBorders>
          <w:bottom w:val="single" w:color="4472C4" w:themeColor="accent5" w:sz="12" w:space="0"/>
        </w:tcBorders>
      </w:tcPr>
    </w:tblStylePr>
    <w:tblStylePr w:type="lastRow">
      <w:pPr>
        <w:snapToGrid/>
      </w:pPr>
      <w:rPr>
        <w:b/>
        <w:color w:val="254174" w:themeColor="accent5" w:themeShade="94"/>
      </w:rPr>
    </w:tblStylePr>
    <w:tblStylePr w:type="firstCol">
      <w:pPr>
        <w:snapToGrid/>
      </w:pPr>
      <w:rPr>
        <w:b/>
        <w:color w:val="254174" w:themeColor="accent5" w:themeShade="94"/>
      </w:rPr>
    </w:tblStylePr>
    <w:tblStylePr w:type="lastCol">
      <w:pPr>
        <w:snapToGrid/>
      </w:pPr>
      <w:rPr>
        <w:b/>
        <w:color w:val="254174" w:themeColor="accent5" w:themeShade="94"/>
      </w:rPr>
    </w:tblStylePr>
    <w:tblStylePr w:type="band1Vert">
      <w:pPr>
        <w:snapToGrid/>
      </w:pPr>
      <w:tcPr>
        <w:shd w:val="clear" w:color="auto" w:fill="D8E2F2" w:themeFill="accent5" w:themeFillTint="34"/>
      </w:tcPr>
    </w:tblStylePr>
    <w:tblStylePr w:type="band2Vert">
      <w:pPr>
        <w:snapToGrid/>
      </w:pPr>
    </w:tblStylePr>
    <w:tblStylePr w:type="band1Horz">
      <w:pPr>
        <w:snapToGrid/>
      </w:pPr>
      <w:rPr>
        <w:rFonts w:ascii="Arial" w:hAnsi="Arial"/>
        <w:color w:val="254174" w:themeColor="accent5" w:themeShade="94"/>
        <w:sz w:val="22"/>
      </w:rPr>
      <w:tcPr>
        <w:shd w:val="clear" w:color="auto" w:fill="D8E2F2" w:themeFill="accent5" w:themeFillTint="34"/>
      </w:tcPr>
    </w:tblStylePr>
    <w:tblStylePr w:type="band2Horz">
      <w:pPr>
        <w:snapToGrid/>
      </w:pPr>
      <w:rPr>
        <w:rFonts w:ascii="Arial" w:hAnsi="Arial"/>
        <w:color w:val="25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2">
    <w:name w:val="Grid Table 6 Colorful - Accent 6"/>
    <w:basedOn w:val="35"/>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pPr>
        <w:snapToGrid/>
      </w:pPr>
      <w:rPr>
        <w:b/>
        <w:color w:val="254174" w:themeColor="accent5" w:themeShade="94"/>
      </w:rPr>
      <w:tcPr>
        <w:tcBorders>
          <w:bottom w:val="single" w:color="70AD47" w:themeColor="accent6" w:sz="12" w:space="0"/>
        </w:tcBorders>
      </w:tcPr>
    </w:tblStylePr>
    <w:tblStylePr w:type="lastRow">
      <w:pPr>
        <w:snapToGrid/>
      </w:pPr>
      <w:rPr>
        <w:b/>
        <w:color w:val="254174" w:themeColor="accent5" w:themeShade="94"/>
      </w:rPr>
    </w:tblStylePr>
    <w:tblStylePr w:type="firstCol">
      <w:pPr>
        <w:snapToGrid/>
      </w:pPr>
      <w:rPr>
        <w:b/>
        <w:color w:val="254174" w:themeColor="accent5" w:themeShade="94"/>
      </w:rPr>
    </w:tblStylePr>
    <w:tblStylePr w:type="lastCol">
      <w:pPr>
        <w:snapToGrid/>
      </w:pPr>
      <w:rPr>
        <w:b/>
        <w:color w:val="254174" w:themeColor="accent5" w:themeShade="94"/>
      </w:rPr>
    </w:tblStylePr>
    <w:tblStylePr w:type="band1Vert">
      <w:pPr>
        <w:snapToGrid/>
      </w:pPr>
      <w:tcPr>
        <w:shd w:val="clear" w:color="auto" w:fill="E1EFD8" w:themeFill="accent6" w:themeFillTint="34"/>
      </w:tcPr>
    </w:tblStylePr>
    <w:tblStylePr w:type="band2Vert">
      <w:pPr>
        <w:snapToGrid/>
      </w:pPr>
    </w:tblStylePr>
    <w:tblStylePr w:type="band1Horz">
      <w:pPr>
        <w:snapToGrid/>
      </w:pPr>
      <w:rPr>
        <w:rFonts w:ascii="Arial" w:hAnsi="Arial"/>
        <w:color w:val="254174" w:themeColor="accent5" w:themeShade="94"/>
        <w:sz w:val="22"/>
      </w:rPr>
      <w:tcPr>
        <w:shd w:val="clear" w:color="auto" w:fill="E1EFD8" w:themeFill="accent6" w:themeFillTint="34"/>
      </w:tcPr>
    </w:tblStylePr>
    <w:tblStylePr w:type="band2Horz">
      <w:pPr>
        <w:snapToGrid/>
      </w:pPr>
      <w:rPr>
        <w:rFonts w:ascii="Arial" w:hAnsi="Arial"/>
        <w:color w:val="25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3">
    <w:name w:val="Grid Table 7 Colorful - Accent 1"/>
    <w:basedOn w:val="35"/>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pPr>
        <w:snapToGrid/>
      </w:pPr>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pPr>
        <w:snapToGrid/>
      </w:pPr>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snapToGrid/>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auto" w:fill="FFFFFF"/>
      </w:tcPr>
    </w:tblStylePr>
    <w:tblStylePr w:type="lastCol">
      <w:pPr>
        <w:snapToGrid/>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auto" w:fill="FFFFFF"/>
      </w:tcPr>
    </w:tblStylePr>
    <w:tblStylePr w:type="band1Vert">
      <w:pPr>
        <w:snapToGrid/>
      </w:pPr>
      <w:tcPr>
        <w:shd w:val="clear" w:color="auto" w:fill="DDEAF6" w:themeFill="accent1" w:themeFillTint="34"/>
      </w:tcPr>
    </w:tblStylePr>
    <w:tblStylePr w:type="band2Vert">
      <w:pPr>
        <w:snapToGrid/>
      </w:pPr>
    </w:tblStylePr>
    <w:tblStylePr w:type="band1Horz">
      <w:pPr>
        <w:snapToGrid/>
      </w:pPr>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pPr>
        <w:snapToGrid/>
      </w:pPr>
      <w:rPr>
        <w:rFonts w:ascii="Arial" w:hAnsi="Arial"/>
        <w:color w:val="ADCDEA" w:themeColor="accent1" w:themeTint="80"/>
        <w:sz w:val="22"/>
        <w14:textFill>
          <w14:solidFill>
            <w14:schemeClr w14:val="accent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4">
    <w:name w:val="Grid Table 7 Colorful - Accent 2"/>
    <w:basedOn w:val="35"/>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pPr>
        <w:snapToGrid/>
      </w:pPr>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pPr>
        <w:snapToGrid/>
      </w:pPr>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pPr>
        <w:snapToGrid/>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pPr>
        <w:snapToGrid/>
      </w:p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pPr>
        <w:snapToGrid/>
      </w:pPr>
      <w:rPr>
        <w:rFonts w:ascii="Arial" w:hAnsi="Arial"/>
        <w:color w:val="F4B285"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5">
    <w:name w:val="Grid Table 7 Colorful - Accent 3"/>
    <w:basedOn w:val="35"/>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pPr>
        <w:snapToGrid/>
      </w:pPr>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auto" w:fill="FFFFFF" w:themeFill="light1"/>
      </w:tcPr>
    </w:tblStylePr>
    <w:tblStylePr w:type="lastRow">
      <w:pPr>
        <w:snapToGrid/>
      </w:pPr>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snapToGrid/>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auto" w:fill="FFFFFF"/>
      </w:tcPr>
    </w:tblStylePr>
    <w:tblStylePr w:type="lastCol">
      <w:pPr>
        <w:snapToGrid/>
      </w:pPr>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auto" w:fill="FFFFFF"/>
      </w:tcPr>
    </w:tblStylePr>
    <w:tblStylePr w:type="band1Vert">
      <w:pPr>
        <w:snapToGrid/>
      </w:p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pPr>
        <w:snapToGrid/>
      </w:pPr>
      <w:rPr>
        <w:rFonts w:ascii="Arial" w:hAnsi="Arial"/>
        <w:color w:val="A5A5A5" w:themeColor="accent3"/>
        <w:sz w:val="22"/>
        <w14:textFill>
          <w14:solidFill>
            <w14:schemeClr w14:val="accent3"/>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6">
    <w:name w:val="Grid Table 7 Colorful - Accent 4"/>
    <w:basedOn w:val="35"/>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pPr>
        <w:snapToGrid/>
      </w:pPr>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pPr>
        <w:snapToGrid/>
      </w:pPr>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pPr>
        <w:snapToGrid/>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pPr>
        <w:snapToGrid/>
      </w:pPr>
      <w:tcPr>
        <w:shd w:val="clear" w:color="auto" w:fill="FEF2CA" w:themeFill="accent4" w:themeFillTint="34"/>
      </w:tcPr>
    </w:tblStylePr>
    <w:tblStylePr w:type="band2Vert">
      <w:pPr>
        <w:snapToGrid/>
      </w:pPr>
    </w:tblStylePr>
    <w:tblStylePr w:type="band1Horz">
      <w:pPr>
        <w:snapToGrid/>
      </w:pPr>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pPr>
        <w:snapToGrid/>
      </w:pPr>
      <w:rPr>
        <w:rFonts w:ascii="Arial" w:hAnsi="Arial"/>
        <w:color w:val="FFD966"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7">
    <w:name w:val="Grid Table 7 Colorful - Accent 5"/>
    <w:basedOn w:val="35"/>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pPr>
        <w:snapToGrid/>
      </w:pPr>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pPr>
        <w:snapToGrid/>
      </w:pPr>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snapToGrid/>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auto" w:fill="FFFFFF"/>
      </w:tcPr>
    </w:tblStylePr>
    <w:tblStylePr w:type="lastCol">
      <w:pPr>
        <w:snapToGrid/>
      </w:pPr>
      <w:rPr>
        <w:rFonts w:ascii="Arial" w:hAnsi="Arial"/>
        <w:i/>
        <w:color w:val="254174" w:themeColor="accent5" w:themeShade="94"/>
        <w:sz w:val="22"/>
      </w:rPr>
      <w:tcPr>
        <w:tcBorders>
          <w:top w:val="nil"/>
          <w:left w:val="single" w:color="95AFDD" w:themeColor="accent5" w:themeTint="90" w:sz="4" w:space="0"/>
          <w:bottom w:val="nil"/>
          <w:right w:val="nil"/>
        </w:tcBorders>
        <w:shd w:val="clear" w:color="auto" w:fill="FFFFFF"/>
      </w:tcPr>
    </w:tblStylePr>
    <w:tblStylePr w:type="band1Vert">
      <w:pPr>
        <w:snapToGrid/>
      </w:pPr>
      <w:tcPr>
        <w:shd w:val="clear" w:color="auto" w:fill="D8E2F2" w:themeFill="accent5" w:themeFillTint="34"/>
      </w:tcPr>
    </w:tblStylePr>
    <w:tblStylePr w:type="band2Vert">
      <w:pPr>
        <w:snapToGrid/>
      </w:pPr>
    </w:tblStylePr>
    <w:tblStylePr w:type="band1Horz">
      <w:pPr>
        <w:snapToGrid/>
      </w:pPr>
      <w:rPr>
        <w:rFonts w:ascii="Arial" w:hAnsi="Arial"/>
        <w:color w:val="254174" w:themeColor="accent5" w:themeShade="94"/>
        <w:sz w:val="22"/>
      </w:rPr>
      <w:tcPr>
        <w:shd w:val="clear" w:color="auto" w:fill="D8E2F2" w:themeFill="accent5" w:themeFillTint="34"/>
      </w:tcPr>
    </w:tblStylePr>
    <w:tblStylePr w:type="band2Horz">
      <w:pPr>
        <w:snapToGrid/>
      </w:pPr>
      <w:rPr>
        <w:rFonts w:ascii="Arial" w:hAnsi="Arial"/>
        <w:color w:val="25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8">
    <w:name w:val="Grid Table 7 Colorful - Accent 6"/>
    <w:basedOn w:val="35"/>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pPr>
        <w:snapToGrid/>
      </w:pPr>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pPr>
        <w:snapToGrid/>
      </w:pPr>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snapToGrid/>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FFFFFF"/>
      </w:tcPr>
    </w:tblStylePr>
    <w:tblStylePr w:type="lastCol">
      <w:pPr>
        <w:snapToGrid/>
      </w:pPr>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FFFFFF"/>
      </w:tcPr>
    </w:tblStylePr>
    <w:tblStylePr w:type="band1Vert">
      <w:pPr>
        <w:snapToGrid/>
      </w:p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4"/>
        <w:sz w:val="22"/>
      </w:rPr>
      <w:tcPr>
        <w:shd w:val="clear" w:color="auto" w:fill="E1EFD8" w:themeFill="accent6" w:themeFillTint="34"/>
      </w:tcPr>
    </w:tblStylePr>
    <w:tblStylePr w:type="band2Horz">
      <w:pPr>
        <w:snapToGrid/>
      </w:pPr>
      <w:rPr>
        <w:rFonts w:ascii="Arial" w:hAnsi="Arial"/>
        <w:color w:val="41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9">
    <w:name w:val="List Table 1 Light - Accent 1"/>
    <w:basedOn w:val="35"/>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5B9BD5" w:themeColor="accent1" w:sz="4" w:space="0"/>
          <w:right w:val="nil"/>
        </w:tcBorders>
      </w:tcPr>
    </w:tblStylePr>
    <w:tblStylePr w:type="lastRow">
      <w:pPr>
        <w:snapToGrid/>
      </w:pPr>
      <w:rPr>
        <w:b/>
        <w:color w:val="404040"/>
      </w:rPr>
      <w:tcPr>
        <w:tcBorders>
          <w:top w:val="single" w:color="5B9BD5" w:themeColor="accent1"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D5E5F4" w:themeFill="accent1" w:themeFillTint="40"/>
      </w:tcPr>
    </w:tblStylePr>
    <w:tblStylePr w:type="band2Vert">
      <w:pPr>
        <w:snapToGrid/>
      </w:pPr>
    </w:tblStylePr>
    <w:tblStylePr w:type="band1Horz">
      <w:pPr>
        <w:snapToGrid/>
      </w:p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0">
    <w:name w:val="List Table 1 Light - Accent 2"/>
    <w:basedOn w:val="35"/>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ED7D31" w:themeColor="accent2" w:sz="4" w:space="0"/>
          <w:right w:val="nil"/>
        </w:tcBorders>
      </w:tcPr>
    </w:tblStylePr>
    <w:tblStylePr w:type="lastRow">
      <w:pPr>
        <w:snapToGrid/>
      </w:pPr>
      <w:rPr>
        <w:b/>
        <w:color w:val="404040"/>
      </w:rPr>
      <w:tcPr>
        <w:tcBorders>
          <w:top w:val="single" w:color="ED7D31" w:themeColor="accent2"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FADECB" w:themeFill="accent2" w:themeFillTint="40"/>
      </w:tcPr>
    </w:tblStylePr>
    <w:tblStylePr w:type="band2Vert">
      <w:pPr>
        <w:snapToGrid/>
      </w:pPr>
    </w:tblStylePr>
    <w:tblStylePr w:type="band1Horz">
      <w:pPr>
        <w:snapToGrid/>
      </w:p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1">
    <w:name w:val="List Table 1 Light - Accent 3"/>
    <w:basedOn w:val="35"/>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A5A5A5" w:themeColor="accent3" w:sz="4" w:space="0"/>
          <w:right w:val="nil"/>
        </w:tcBorders>
      </w:tcPr>
    </w:tblStylePr>
    <w:tblStylePr w:type="lastRow">
      <w:pPr>
        <w:snapToGrid/>
      </w:pPr>
      <w:rPr>
        <w:b/>
        <w:color w:val="404040"/>
      </w:rPr>
      <w:tcPr>
        <w:tcBorders>
          <w:top w:val="single" w:color="A5A5A5" w:themeColor="accent3"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E8E8E8" w:themeFill="accent3" w:themeFillTint="40"/>
      </w:tcPr>
    </w:tblStylePr>
    <w:tblStylePr w:type="band2Vert">
      <w:pPr>
        <w:snapToGrid/>
      </w:pPr>
    </w:tblStylePr>
    <w:tblStylePr w:type="band1Horz">
      <w:pPr>
        <w:snapToGrid/>
      </w:p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2">
    <w:name w:val="List Table 1 Light - Accent 4"/>
    <w:basedOn w:val="35"/>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FFC000" w:themeColor="accent4" w:sz="4" w:space="0"/>
          <w:right w:val="nil"/>
        </w:tcBorders>
      </w:tcPr>
    </w:tblStylePr>
    <w:tblStylePr w:type="lastRow">
      <w:pPr>
        <w:snapToGrid/>
      </w:pPr>
      <w:rPr>
        <w:b/>
        <w:color w:val="404040"/>
      </w:rPr>
      <w:tcPr>
        <w:tcBorders>
          <w:top w:val="single" w:color="FFC000" w:themeColor="accent4"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FFEFBE" w:themeFill="accent4" w:themeFillTint="40"/>
      </w:tcPr>
    </w:tblStylePr>
    <w:tblStylePr w:type="band2Vert">
      <w:pPr>
        <w:snapToGrid/>
      </w:pPr>
    </w:tblStylePr>
    <w:tblStylePr w:type="band1Horz">
      <w:pPr>
        <w:snapToGrid/>
      </w:pPr>
      <w:tcPr>
        <w:shd w:val="clear" w:color="auto" w:fill="FFEFBE"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3">
    <w:name w:val="List Table 1 Light - Accent 5"/>
    <w:basedOn w:val="35"/>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4472C4" w:themeColor="accent5" w:sz="4" w:space="0"/>
          <w:right w:val="nil"/>
        </w:tcBorders>
      </w:tcPr>
    </w:tblStylePr>
    <w:tblStylePr w:type="lastRow">
      <w:pPr>
        <w:snapToGrid/>
      </w:pPr>
      <w:rPr>
        <w:b/>
        <w:color w:val="404040"/>
      </w:rPr>
      <w:tcPr>
        <w:tcBorders>
          <w:top w:val="single" w:color="4472C4" w:themeColor="accent5"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D0DBF0" w:themeFill="accent5" w:themeFillTint="40"/>
      </w:tcPr>
    </w:tblStylePr>
    <w:tblStylePr w:type="band2Vert">
      <w:pPr>
        <w:snapToGrid/>
      </w:pPr>
    </w:tblStylePr>
    <w:tblStylePr w:type="band1Horz">
      <w:pPr>
        <w:snapToGrid/>
      </w:pPr>
      <w:tcPr>
        <w:shd w:val="clear" w:color="auto" w:fill="D0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4">
    <w:name w:val="List Table 1 Light - Accent 6"/>
    <w:basedOn w:val="35"/>
    <w:qFormat/>
    <w:uiPriority w:val="99"/>
    <w:tblPr>
      <w:tblCellMar>
        <w:top w:w="0" w:type="dxa"/>
        <w:left w:w="108" w:type="dxa"/>
        <w:bottom w:w="0" w:type="dxa"/>
        <w:right w:w="108" w:type="dxa"/>
      </w:tblCellMar>
    </w:tblPr>
    <w:tblStylePr w:type="firstRow">
      <w:pPr>
        <w:snapToGrid/>
      </w:pPr>
      <w:rPr>
        <w:b/>
        <w:color w:val="404040"/>
      </w:rPr>
      <w:tcPr>
        <w:tcBorders>
          <w:top w:val="nil"/>
          <w:left w:val="nil"/>
          <w:bottom w:val="single" w:color="70AD47" w:themeColor="accent6" w:sz="4" w:space="0"/>
          <w:right w:val="nil"/>
        </w:tcBorders>
      </w:tcPr>
    </w:tblStylePr>
    <w:tblStylePr w:type="lastRow">
      <w:pPr>
        <w:snapToGrid/>
      </w:pPr>
      <w:rPr>
        <w:b/>
        <w:color w:val="404040"/>
      </w:rPr>
      <w:tcPr>
        <w:tcBorders>
          <w:top w:val="single" w:color="70AD47" w:themeColor="accent6"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DAEBCF" w:themeFill="accent6" w:themeFillTint="40"/>
      </w:tcPr>
    </w:tblStylePr>
    <w:tblStylePr w:type="band2Vert">
      <w:pPr>
        <w:snapToGrid/>
      </w:pPr>
    </w:tblStylePr>
    <w:tblStylePr w:type="band1Horz">
      <w:pPr>
        <w:snapToGrid/>
      </w:p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5">
    <w:name w:val="List Table 2 - Accent 1"/>
    <w:basedOn w:val="35"/>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pPr>
        <w:snapToGrid/>
      </w:pPr>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6">
    <w:name w:val="List Table 2 - Accent 2"/>
    <w:basedOn w:val="35"/>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pPr>
        <w:snapToGrid/>
      </w:pPr>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7">
    <w:name w:val="List Table 2 - Accent 3"/>
    <w:basedOn w:val="35"/>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pPr>
        <w:snapToGrid/>
      </w:pPr>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8">
    <w:name w:val="List Table 2 - Accent 4"/>
    <w:basedOn w:val="35"/>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pPr>
        <w:snapToGrid/>
      </w:pPr>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FFEFBE" w:themeFill="accent4" w:themeFillTint="40"/>
      </w:tcPr>
    </w:tblStylePr>
    <w:tblStylePr w:type="band2Vert">
      <w:pPr>
        <w:snapToGrid/>
      </w:pPr>
    </w:tblStylePr>
    <w:tblStylePr w:type="band1Horz">
      <w:pPr>
        <w:snapToGrid/>
      </w:pPr>
      <w:rPr>
        <w:rFonts w:ascii="Arial" w:hAnsi="Arial"/>
        <w:color w:val="404040"/>
        <w:sz w:val="22"/>
      </w:rPr>
      <w:tcPr>
        <w:shd w:val="clear" w:color="auto" w:fill="FFEFBE"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9">
    <w:name w:val="List Table 2 - Accent 5"/>
    <w:basedOn w:val="35"/>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pPr>
        <w:snapToGrid/>
      </w:pPr>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D0DBF0" w:themeFill="accent5" w:themeFillTint="40"/>
      </w:tcPr>
    </w:tblStylePr>
    <w:tblStylePr w:type="band2Vert">
      <w:pPr>
        <w:snapToGrid/>
      </w:pPr>
    </w:tblStylePr>
    <w:tblStylePr w:type="band1Horz">
      <w:pPr>
        <w:snapToGrid/>
      </w:pPr>
      <w:rPr>
        <w:rFonts w:ascii="Arial" w:hAnsi="Arial"/>
        <w:color w:val="404040"/>
        <w:sz w:val="22"/>
      </w:rPr>
      <w:tcPr>
        <w:shd w:val="clear" w:color="auto" w:fill="D0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0">
    <w:name w:val="List Table 2 - Accent 6"/>
    <w:basedOn w:val="35"/>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pPr>
        <w:snapToGrid/>
      </w:pPr>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pPr>
        <w:snapToGrid/>
      </w:pPr>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1">
    <w:name w:val="List Table 3 - Accent 1"/>
    <w:basedOn w:val="35"/>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5B9BD5" w:themeColor="accent1" w:sz="4" w:space="0"/>
          <w:right w:val="single" w:color="5B9BD5" w:themeColor="accent1" w:sz="4" w:space="0"/>
        </w:tcBorders>
      </w:tcPr>
    </w:tblStylePr>
    <w:tblStylePr w:type="band2Vert">
      <w:pPr>
        <w:snapToGrid/>
      </w:pPr>
    </w:tblStylePr>
    <w:tblStylePr w:type="band1Horz">
      <w:pPr>
        <w:snapToGrid/>
      </w:pPr>
      <w:rPr>
        <w:rFonts w:ascii="Arial" w:hAnsi="Arial"/>
        <w:color w:val="404040"/>
        <w:sz w:val="22"/>
      </w:rPr>
      <w:tcPr>
        <w:tcBorders>
          <w:top w:val="single" w:color="5B9BD5" w:themeColor="accent1" w:sz="4" w:space="0"/>
          <w:bottom w:val="single" w:color="5B9BD5" w:themeColor="accen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2">
    <w:name w:val="List Table 3 - Accent 2"/>
    <w:basedOn w:val="35"/>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F4B28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pPr>
        <w:snapToGrid/>
      </w:pPr>
    </w:tblStylePr>
    <w:tblStylePr w:type="band1Horz">
      <w:pPr>
        <w:snapToGrid/>
      </w:pPr>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3">
    <w:name w:val="List Table 3 - Accent 3"/>
    <w:basedOn w:val="35"/>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pPr>
        <w:snapToGrid/>
      </w:pPr>
    </w:tblStylePr>
    <w:tblStylePr w:type="band1Horz">
      <w:pPr>
        <w:snapToGrid/>
      </w:pPr>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4">
    <w:name w:val="List Table 3 - Accent 4"/>
    <w:basedOn w:val="35"/>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FFD864"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pPr>
        <w:snapToGrid/>
      </w:pPr>
    </w:tblStylePr>
    <w:tblStylePr w:type="band1Horz">
      <w:pPr>
        <w:snapToGrid/>
      </w:pPr>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5">
    <w:name w:val="List Table 3 - Accent 5"/>
    <w:basedOn w:val="35"/>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8E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pPr>
        <w:snapToGrid/>
      </w:pPr>
    </w:tblStylePr>
    <w:tblStylePr w:type="band1Horz">
      <w:pPr>
        <w:snapToGrid/>
      </w:pPr>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6">
    <w:name w:val="List Table 3 - Accent 6"/>
    <w:basedOn w:val="35"/>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pPr>
        <w:snapToGrid/>
      </w:pPr>
    </w:tblStylePr>
    <w:tblStylePr w:type="band1Horz">
      <w:pPr>
        <w:snapToGrid/>
      </w:pPr>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7">
    <w:name w:val="List Table 4 - Accent 1"/>
    <w:basedOn w:val="35"/>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8">
    <w:name w:val="List Table 4 - Accent 2"/>
    <w:basedOn w:val="35"/>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9">
    <w:name w:val="List Table 4 - Accent 3"/>
    <w:basedOn w:val="35"/>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0">
    <w:name w:val="List Table 4 - Accent 4"/>
    <w:basedOn w:val="35"/>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FEFBE" w:themeFill="accent4" w:themeFillTint="40"/>
      </w:tcPr>
    </w:tblStylePr>
    <w:tblStylePr w:type="band2Vert">
      <w:pPr>
        <w:snapToGrid/>
      </w:pPr>
    </w:tblStylePr>
    <w:tblStylePr w:type="band1Horz">
      <w:pPr>
        <w:snapToGrid/>
      </w:pPr>
      <w:rPr>
        <w:rFonts w:ascii="Arial" w:hAnsi="Arial"/>
        <w:color w:val="404040"/>
        <w:sz w:val="22"/>
      </w:rPr>
      <w:tcPr>
        <w:shd w:val="clear" w:color="auto" w:fill="FFEFBE"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1">
    <w:name w:val="List Table 4 - Accent 5"/>
    <w:basedOn w:val="35"/>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0DBF0" w:themeFill="accent5" w:themeFillTint="40"/>
      </w:tcPr>
    </w:tblStylePr>
    <w:tblStylePr w:type="band2Vert">
      <w:pPr>
        <w:snapToGrid/>
      </w:pPr>
    </w:tblStylePr>
    <w:tblStylePr w:type="band1Horz">
      <w:pPr>
        <w:snapToGrid/>
      </w:pPr>
      <w:rPr>
        <w:rFonts w:ascii="Arial" w:hAnsi="Arial"/>
        <w:color w:val="404040"/>
        <w:sz w:val="22"/>
      </w:rPr>
      <w:tcPr>
        <w:shd w:val="clear" w:color="auto" w:fill="D0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2">
    <w:name w:val="List Table 4 - Accent 6"/>
    <w:basedOn w:val="35"/>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pPr>
        <w:snapToGrid/>
      </w:pPr>
      <w:rPr>
        <w:rFonts w:ascii="Arial" w:hAnsi="Arial"/>
        <w:b/>
        <w:color w:val="FFFFFF"/>
        <w:sz w:val="22"/>
      </w:r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3">
    <w:name w:val="List Table 5 Dark - Accent 1"/>
    <w:basedOn w:val="35"/>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pPr>
        <w:snapToGrid/>
      </w:pPr>
      <w:tcPr>
        <w:tcBorders>
          <w:left w:val="single" w:color="FFFFFF" w:themeColor="light1" w:sz="4" w:space="0"/>
          <w:right w:val="single" w:color="5B9BD5" w:themeColor="accent1" w:sz="32" w:space="0"/>
        </w:tcBorders>
      </w:tcPr>
    </w:tblStylePr>
    <w:tblStylePr w:type="band1Vert">
      <w:pPr>
        <w:snapToGrid/>
      </w:pPr>
      <w:tcPr>
        <w:tcBorders>
          <w:left w:val="single" w:color="FFFFFF" w:themeColor="light1" w:sz="4" w:space="0"/>
          <w:right w:val="single" w:color="FFFFFF" w:themeColor="light1" w:sz="4" w:space="0"/>
        </w:tcBorders>
        <w:shd w:val="clear" w:color="auto" w:fill="5B9BD5" w:themeFill="accent1"/>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5B9BD5" w:themeFill="accent1"/>
      </w:tcPr>
    </w:tblStylePr>
    <w:tblStylePr w:type="band2Horz">
      <w:pPr>
        <w:snapToGrid/>
      </w:pPr>
      <w:tcPr>
        <w:tcBorders>
          <w:top w:val="single" w:color="FFFFFF" w:themeColor="light1" w:sz="4" w:space="0"/>
          <w:bottom w:val="single" w:color="FFFFFF" w:themeColor="light1" w:sz="4" w:space="0"/>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4">
    <w:name w:val="List Table 5 Dark - Accent 2"/>
    <w:basedOn w:val="35"/>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pPr>
        <w:snapToGrid/>
      </w:pPr>
      <w:tcPr>
        <w:tcBorders>
          <w:left w:val="single" w:color="FFFFFF" w:themeColor="light1" w:sz="4" w:space="0"/>
          <w:right w:val="single" w:color="F4B285" w:themeColor="accent2" w:themeTint="97" w:sz="32" w:space="0"/>
        </w:tcBorders>
      </w:tcPr>
    </w:tblStylePr>
    <w:tblStylePr w:type="band1Vert">
      <w:pPr>
        <w:snapToGrid/>
      </w:pPr>
      <w:tcPr>
        <w:tcBorders>
          <w:left w:val="single" w:color="FFFFFF" w:themeColor="light1" w:sz="4" w:space="0"/>
          <w:right w:val="single" w:color="FFFFFF" w:themeColor="light1" w:sz="4" w:space="0"/>
        </w:tcBorders>
        <w:shd w:val="clear" w:color="auto" w:fill="F4B285" w:themeFill="accent2" w:themeFillTint="97"/>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F4B285" w:themeFill="accent2" w:themeFillTint="97"/>
      </w:tcPr>
    </w:tblStylePr>
    <w:tblStylePr w:type="band2Horz">
      <w:pPr>
        <w:snapToGrid/>
      </w:pPr>
      <w:tcPr>
        <w:tcBorders>
          <w:top w:val="single" w:color="FFFFFF" w:themeColor="light1" w:sz="4" w:space="0"/>
          <w:bottom w:val="single" w:color="FFFFFF" w:themeColor="light1" w:sz="4" w:space="0"/>
        </w:tcBorders>
        <w:shd w:val="clear" w:color="auto" w:fill="F4B28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5">
    <w:name w:val="List Table 5 Dark - Accent 3"/>
    <w:basedOn w:val="35"/>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pPr>
        <w:snapToGrid/>
      </w:pPr>
      <w:tcPr>
        <w:tcBorders>
          <w:left w:val="single" w:color="FFFFFF" w:themeColor="light1" w:sz="4" w:space="0"/>
          <w:right w:val="single" w:color="C9C9C9" w:themeColor="accent3" w:themeTint="98" w:sz="32" w:space="0"/>
        </w:tcBorders>
      </w:tcPr>
    </w:tblStylePr>
    <w:tblStylePr w:type="band1Vert">
      <w:pPr>
        <w:snapToGrid/>
      </w:pPr>
      <w:tcPr>
        <w:tcBorders>
          <w:left w:val="single" w:color="FFFFFF" w:themeColor="light1" w:sz="4" w:space="0"/>
          <w:right w:val="single" w:color="FFFFFF" w:themeColor="light1" w:sz="4" w:space="0"/>
        </w:tcBorders>
        <w:shd w:val="clear" w:color="auto" w:fill="C9C9C9" w:themeFill="accent3" w:themeFillTint="98"/>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C9C9C9" w:themeFill="accent3" w:themeFillTint="98"/>
      </w:tcPr>
    </w:tblStylePr>
    <w:tblStylePr w:type="band2Horz">
      <w:pPr>
        <w:snapToGrid/>
      </w:pPr>
      <w:tcPr>
        <w:tcBorders>
          <w:top w:val="single" w:color="FFFFFF" w:themeColor="light1" w:sz="4" w:space="0"/>
          <w:bottom w:val="single" w:color="FFFFFF" w:themeColor="light1" w:sz="4" w:space="0"/>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6">
    <w:name w:val="List Table 5 Dark - Accent 4"/>
    <w:basedOn w:val="35"/>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pPr>
        <w:snapToGrid/>
      </w:pPr>
      <w:tcPr>
        <w:tcBorders>
          <w:left w:val="single" w:color="FFFFFF" w:themeColor="light1" w:sz="4" w:space="0"/>
          <w:right w:val="single" w:color="FFD864" w:themeColor="accent4" w:themeTint="9A" w:sz="32" w:space="0"/>
        </w:tcBorders>
      </w:tcPr>
    </w:tblStylePr>
    <w:tblStylePr w:type="band1Vert">
      <w:pPr>
        <w:snapToGrid/>
      </w:pPr>
      <w:tcPr>
        <w:tcBorders>
          <w:left w:val="single" w:color="FFFFFF" w:themeColor="light1" w:sz="4" w:space="0"/>
          <w:right w:val="single" w:color="FFFFFF" w:themeColor="light1" w:sz="4" w:space="0"/>
        </w:tcBorders>
        <w:shd w:val="clear" w:color="auto" w:fill="FFD864" w:themeFill="accent4" w:themeFillTint="9A"/>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FFD864" w:themeFill="accent4" w:themeFillTint="9A"/>
      </w:tcPr>
    </w:tblStylePr>
    <w:tblStylePr w:type="band2Horz">
      <w:pPr>
        <w:snapToGrid/>
      </w:pPr>
      <w:tcPr>
        <w:tcBorders>
          <w:top w:val="single" w:color="FFFFFF" w:themeColor="light1" w:sz="4" w:space="0"/>
          <w:bottom w:val="single" w:color="FFFFFF" w:themeColor="light1" w:sz="4" w:space="0"/>
        </w:tcBorders>
        <w:shd w:val="clear" w:color="auto" w:fill="FFD864"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7">
    <w:name w:val="List Table 5 Dark - Accent 5"/>
    <w:basedOn w:val="35"/>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pPr>
        <w:snapToGrid/>
      </w:pPr>
      <w:tcPr>
        <w:tcBorders>
          <w:left w:val="single" w:color="FFFFFF" w:themeColor="light1" w:sz="4" w:space="0"/>
          <w:right w:val="single" w:color="8EA9DB" w:themeColor="accent5" w:themeTint="9A" w:sz="32" w:space="0"/>
        </w:tcBorders>
      </w:tcPr>
    </w:tblStylePr>
    <w:tblStylePr w:type="band1Vert">
      <w:pPr>
        <w:snapToGrid/>
      </w:pPr>
      <w:tcPr>
        <w:tcBorders>
          <w:left w:val="single" w:color="FFFFFF" w:themeColor="light1" w:sz="4" w:space="0"/>
          <w:right w:val="single" w:color="FFFFFF" w:themeColor="light1" w:sz="4" w:space="0"/>
        </w:tcBorders>
        <w:shd w:val="clear" w:color="auto" w:fill="8EA9DB" w:themeFill="accent5" w:themeFillTint="9A"/>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8EA9DB" w:themeFill="accent5" w:themeFillTint="9A"/>
      </w:tcPr>
    </w:tblStylePr>
    <w:tblStylePr w:type="band2Horz">
      <w:pPr>
        <w:snapToGrid/>
      </w:pPr>
      <w:tcPr>
        <w:tcBorders>
          <w:top w:val="single" w:color="FFFFFF" w:themeColor="light1" w:sz="4" w:space="0"/>
          <w:bottom w:val="single" w:color="FFFFFF" w:themeColor="light1" w:sz="4" w:space="0"/>
        </w:tcBorders>
        <w:shd w:val="clear" w:color="auto" w:fill="8E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8">
    <w:name w:val="List Table 5 Dark - Accent 6"/>
    <w:basedOn w:val="35"/>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pPr>
        <w:snapToGrid/>
      </w:pPr>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pPr>
        <w:snapToGrid/>
      </w:pPr>
      <w:tcPr>
        <w:tcBorders>
          <w:left w:val="single" w:color="FFFFFF" w:themeColor="light1" w:sz="4" w:space="0"/>
          <w:right w:val="single" w:color="A9D08E" w:themeColor="accent6" w:themeTint="98" w:sz="32" w:space="0"/>
        </w:tcBorders>
      </w:tcPr>
    </w:tblStylePr>
    <w:tblStylePr w:type="band1Vert">
      <w:pPr>
        <w:snapToGrid/>
      </w:pPr>
      <w:tcPr>
        <w:tcBorders>
          <w:left w:val="single" w:color="FFFFFF" w:themeColor="light1" w:sz="4" w:space="0"/>
          <w:right w:val="single" w:color="FFFFFF" w:themeColor="light1" w:sz="4" w:space="0"/>
        </w:tcBorders>
        <w:shd w:val="clear" w:color="auto" w:fill="A9D08E" w:themeFill="accent6" w:themeFillTint="98"/>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A9D08E" w:themeFill="accent6" w:themeFillTint="98"/>
      </w:tcPr>
    </w:tblStylePr>
    <w:tblStylePr w:type="band2Horz">
      <w:pPr>
        <w:snapToGrid/>
      </w:pPr>
      <w:tcPr>
        <w:tcBorders>
          <w:top w:val="single" w:color="FFFFFF" w:themeColor="light1" w:sz="4" w:space="0"/>
          <w:bottom w:val="single" w:color="FFFFFF" w:themeColor="light1" w:sz="4" w:space="0"/>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9">
    <w:name w:val="List Table 6 Colorful - Accent 1"/>
    <w:basedOn w:val="35"/>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pPr>
        <w:snapToGrid/>
      </w:pPr>
      <w:rPr>
        <w:b/>
        <w:color w:val="245B8C" w:themeColor="accent1" w:themeShade="94"/>
      </w:rPr>
      <w:tcPr>
        <w:tcBorders>
          <w:bottom w:val="single" w:color="5B9BD5" w:themeColor="accent1" w:sz="4" w:space="0"/>
        </w:tcBorders>
      </w:tcPr>
    </w:tblStylePr>
    <w:tblStylePr w:type="lastRow">
      <w:pPr>
        <w:snapToGrid/>
      </w:pPr>
      <w:rPr>
        <w:b/>
        <w:color w:val="245B8C" w:themeColor="accent1" w:themeShade="94"/>
      </w:rPr>
      <w:tcPr>
        <w:tcBorders>
          <w:top w:val="single" w:color="5B9BD5" w:themeColor="accent1" w:sz="4" w:space="0"/>
        </w:tcBorders>
      </w:tcPr>
    </w:tblStylePr>
    <w:tblStylePr w:type="firstCol">
      <w:pPr>
        <w:snapToGrid/>
      </w:pPr>
      <w:rPr>
        <w:b/>
        <w:color w:val="245B8C" w:themeColor="accent1" w:themeShade="94"/>
      </w:rPr>
    </w:tblStylePr>
    <w:tblStylePr w:type="lastCol">
      <w:pPr>
        <w:snapToGrid/>
      </w:pPr>
      <w:rPr>
        <w:b/>
        <w:color w:val="245B8C" w:themeColor="accent1" w:themeShade="94"/>
      </w:rPr>
    </w:tblStylePr>
    <w:tblStylePr w:type="band1Vert">
      <w:pPr>
        <w:snapToGrid/>
      </w:pPr>
      <w:tcPr>
        <w:shd w:val="clear" w:color="auto" w:fill="D5E5F4" w:themeFill="accent1" w:themeFillTint="40"/>
      </w:tcPr>
    </w:tblStylePr>
    <w:tblStylePr w:type="band2Vert">
      <w:pPr>
        <w:snapToGrid/>
      </w:pPr>
    </w:tblStylePr>
    <w:tblStylePr w:type="band1Horz">
      <w:pPr>
        <w:snapToGrid/>
      </w:pPr>
      <w:rPr>
        <w:rFonts w:ascii="Arial" w:hAnsi="Arial"/>
        <w:color w:val="245B8C" w:themeColor="accent1" w:themeShade="94"/>
        <w:sz w:val="22"/>
      </w:rPr>
      <w:tcPr>
        <w:shd w:val="clear" w:color="auto" w:fill="D5E5F4" w:themeFill="accent1" w:themeFillTint="40"/>
      </w:tcPr>
    </w:tblStylePr>
    <w:tblStylePr w:type="band2Horz">
      <w:pPr>
        <w:snapToGrid/>
      </w:pPr>
      <w:rPr>
        <w:rFonts w:ascii="Arial" w:hAnsi="Arial"/>
        <w:color w:val="245B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0">
    <w:name w:val="List Table 6 Colorful - Accent 2"/>
    <w:basedOn w:val="35"/>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pPr>
        <w:snapToGrid/>
      </w:pPr>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pPr>
        <w:snapToGrid/>
      </w:pPr>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pPr>
        <w:snapToGrid/>
      </w:pPr>
      <w:rPr>
        <w:b/>
        <w:color w:val="F4B285" w:themeColor="accent2" w:themeTint="96"/>
        <w14:textFill>
          <w14:solidFill>
            <w14:schemeClr w14:val="accent2">
              <w14:lumMod w14:val="59000"/>
              <w14:lumOff w14:val="41000"/>
            </w14:schemeClr>
          </w14:solidFill>
        </w14:textFill>
      </w:rPr>
    </w:tblStylePr>
    <w:tblStylePr w:type="lastCol">
      <w:pPr>
        <w:snapToGrid/>
      </w:pPr>
      <w:rPr>
        <w:b/>
        <w:color w:val="F4B285" w:themeColor="accent2" w:themeTint="96"/>
        <w14:textFill>
          <w14:solidFill>
            <w14:schemeClr w14:val="accent2">
              <w14:lumMod w14:val="59000"/>
              <w14:lumOff w14:val="41000"/>
            </w14:schemeClr>
          </w14:solidFill>
        </w14:textFill>
      </w:rPr>
    </w:tblStylePr>
    <w:tblStylePr w:type="band1Vert">
      <w:pPr>
        <w:snapToGrid/>
      </w:p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pPr>
        <w:snapToGrid/>
      </w:pPr>
      <w:rPr>
        <w:rFonts w:ascii="Arial" w:hAnsi="Arial"/>
        <w:color w:val="F4B285"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1">
    <w:name w:val="List Table 6 Colorful - Accent 3"/>
    <w:basedOn w:val="35"/>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pPr>
        <w:snapToGrid/>
      </w:pPr>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pPr>
        <w:snapToGrid/>
      </w:pPr>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pPr>
        <w:snapToGrid/>
      </w:pPr>
      <w:rPr>
        <w:b/>
        <w:color w:val="C9C9C9" w:themeColor="accent3" w:themeTint="99"/>
        <w14:textFill>
          <w14:solidFill>
            <w14:schemeClr w14:val="accent3">
              <w14:lumMod w14:val="60000"/>
              <w14:lumOff w14:val="40000"/>
            </w14:schemeClr>
          </w14:solidFill>
        </w14:textFill>
      </w:rPr>
    </w:tblStylePr>
    <w:tblStylePr w:type="lastCol">
      <w:pPr>
        <w:snapToGrid/>
      </w:pPr>
      <w:rPr>
        <w:b/>
        <w:color w:val="C9C9C9" w:themeColor="accent3" w:themeTint="99"/>
        <w14:textFill>
          <w14:solidFill>
            <w14:schemeClr w14:val="accent3">
              <w14:lumMod w14:val="60000"/>
              <w14:lumOff w14:val="40000"/>
            </w14:schemeClr>
          </w14:solidFill>
        </w14:textFill>
      </w:rPr>
    </w:tblStylePr>
    <w:tblStylePr w:type="band1Vert">
      <w:pPr>
        <w:snapToGrid/>
      </w:p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pPr>
        <w:snapToGrid/>
      </w:pPr>
      <w:rPr>
        <w:rFonts w:ascii="Arial" w:hAnsi="Arial"/>
        <w:color w:val="C9C9C9" w:themeColor="accent3" w:themeTint="99"/>
        <w:sz w:val="22"/>
        <w14:textFill>
          <w14:solidFill>
            <w14:schemeClr w14:val="accent3">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2">
    <w:name w:val="List Table 6 Colorful - Accent 4"/>
    <w:basedOn w:val="35"/>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pPr>
        <w:snapToGrid/>
      </w:pPr>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pPr>
        <w:snapToGrid/>
      </w:pPr>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pPr>
        <w:snapToGrid/>
      </w:pPr>
      <w:rPr>
        <w:b/>
        <w:color w:val="FFD966" w:themeColor="accent4" w:themeTint="99"/>
        <w14:textFill>
          <w14:solidFill>
            <w14:schemeClr w14:val="accent4">
              <w14:lumMod w14:val="60000"/>
              <w14:lumOff w14:val="40000"/>
            </w14:schemeClr>
          </w14:solidFill>
        </w14:textFill>
      </w:rPr>
    </w:tblStylePr>
    <w:tblStylePr w:type="lastCol">
      <w:pPr>
        <w:snapToGrid/>
      </w:pPr>
      <w:rPr>
        <w:b/>
        <w:color w:val="FFD966" w:themeColor="accent4" w:themeTint="99"/>
        <w14:textFill>
          <w14:solidFill>
            <w14:schemeClr w14:val="accent4">
              <w14:lumMod w14:val="60000"/>
              <w14:lumOff w14:val="40000"/>
            </w14:schemeClr>
          </w14:solidFill>
        </w14:textFill>
      </w:rPr>
    </w:tblStylePr>
    <w:tblStylePr w:type="band1Vert">
      <w:pPr>
        <w:snapToGrid/>
      </w:pPr>
      <w:tcPr>
        <w:shd w:val="clear" w:color="auto" w:fill="FFEFBE" w:themeFill="accent4" w:themeFillTint="40"/>
      </w:tcPr>
    </w:tblStylePr>
    <w:tblStylePr w:type="band2Vert">
      <w:pPr>
        <w:snapToGrid/>
      </w:pPr>
    </w:tblStylePr>
    <w:tblStylePr w:type="band1Horz">
      <w:pPr>
        <w:snapToGrid/>
      </w:pPr>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pPr>
        <w:snapToGrid/>
      </w:pPr>
      <w:rPr>
        <w:rFonts w:ascii="Arial" w:hAnsi="Arial"/>
        <w:color w:val="FFD966"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3">
    <w:name w:val="List Table 6 Colorful - Accent 5"/>
    <w:basedOn w:val="35"/>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pPr>
        <w:snapToGrid/>
      </w:pPr>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pPr>
        <w:snapToGrid/>
      </w:pPr>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pPr>
        <w:snapToGrid/>
      </w:pPr>
      <w:rPr>
        <w:b/>
        <w:color w:val="8FAADC" w:themeColor="accent5" w:themeTint="99"/>
        <w14:textFill>
          <w14:solidFill>
            <w14:schemeClr w14:val="accent5">
              <w14:lumMod w14:val="60000"/>
              <w14:lumOff w14:val="40000"/>
            </w14:schemeClr>
          </w14:solidFill>
        </w14:textFill>
      </w:rPr>
    </w:tblStylePr>
    <w:tblStylePr w:type="lastCol">
      <w:pPr>
        <w:snapToGrid/>
      </w:pPr>
      <w:rPr>
        <w:b/>
        <w:color w:val="8FAADC" w:themeColor="accent5" w:themeTint="99"/>
        <w14:textFill>
          <w14:solidFill>
            <w14:schemeClr w14:val="accent5">
              <w14:lumMod w14:val="60000"/>
              <w14:lumOff w14:val="40000"/>
            </w14:schemeClr>
          </w14:solidFill>
        </w14:textFill>
      </w:rPr>
    </w:tblStylePr>
    <w:tblStylePr w:type="band1Vert">
      <w:pPr>
        <w:snapToGrid/>
      </w:pPr>
      <w:tcPr>
        <w:shd w:val="clear" w:color="auto" w:fill="D0DBF0" w:themeFill="accent5" w:themeFillTint="40"/>
      </w:tcPr>
    </w:tblStylePr>
    <w:tblStylePr w:type="band2Vert">
      <w:pPr>
        <w:snapToGrid/>
      </w:pPr>
    </w:tblStylePr>
    <w:tblStylePr w:type="band1Horz">
      <w:pPr>
        <w:snapToGrid/>
      </w:pPr>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pPr>
        <w:snapToGrid/>
      </w:pPr>
      <w:rPr>
        <w:rFonts w:ascii="Arial" w:hAnsi="Arial"/>
        <w:color w:val="8FAADC" w:themeColor="accent5" w:themeTint="99"/>
        <w:sz w:val="22"/>
        <w14:textFill>
          <w14:solidFill>
            <w14:schemeClr w14:val="accent5">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4">
    <w:name w:val="List Table 6 Colorful - Accent 6"/>
    <w:basedOn w:val="35"/>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pPr>
        <w:snapToGrid/>
      </w:pPr>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pPr>
        <w:snapToGrid/>
      </w:pPr>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pPr>
        <w:snapToGrid/>
      </w:pPr>
      <w:rPr>
        <w:b/>
        <w:color w:val="A9D18E" w:themeColor="accent6" w:themeTint="99"/>
        <w14:textFill>
          <w14:solidFill>
            <w14:schemeClr w14:val="accent6">
              <w14:lumMod w14:val="60000"/>
              <w14:lumOff w14:val="40000"/>
            </w14:schemeClr>
          </w14:solidFill>
        </w14:textFill>
      </w:rPr>
    </w:tblStylePr>
    <w:tblStylePr w:type="lastCol">
      <w:pPr>
        <w:snapToGrid/>
      </w:pPr>
      <w:rPr>
        <w:b/>
        <w:color w:val="A9D18E" w:themeColor="accent6" w:themeTint="99"/>
        <w14:textFill>
          <w14:solidFill>
            <w14:schemeClr w14:val="accent6">
              <w14:lumMod w14:val="60000"/>
              <w14:lumOff w14:val="40000"/>
            </w14:schemeClr>
          </w14:solidFill>
        </w14:textFill>
      </w:rPr>
    </w:tblStylePr>
    <w:tblStylePr w:type="band1Vert">
      <w:pPr>
        <w:snapToGrid/>
      </w:pPr>
      <w:tcPr>
        <w:shd w:val="clear" w:color="auto" w:fill="DAEBCF" w:themeFill="accent6" w:themeFillTint="40"/>
      </w:tcPr>
    </w:tblStylePr>
    <w:tblStylePr w:type="band2Vert">
      <w:pPr>
        <w:snapToGrid/>
      </w:pPr>
    </w:tblStylePr>
    <w:tblStylePr w:type="band1Horz">
      <w:pPr>
        <w:snapToGrid/>
      </w:pPr>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pPr>
        <w:snapToGrid/>
      </w:pPr>
      <w:rPr>
        <w:rFonts w:ascii="Arial" w:hAnsi="Arial"/>
        <w:color w:val="A9D18E" w:themeColor="accent6" w:themeTint="99"/>
        <w:sz w:val="22"/>
        <w14:textFill>
          <w14:solidFill>
            <w14:schemeClr w14:val="accent6">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5">
    <w:name w:val="List Table 7 Colorful - Accent 1"/>
    <w:basedOn w:val="35"/>
    <w:qFormat/>
    <w:uiPriority w:val="99"/>
    <w:tblPr>
      <w:tblBorders>
        <w:right w:val="single" w:color="5B9BD5" w:themeColor="accent1" w:sz="4" w:space="0"/>
      </w:tblBorders>
      <w:tblCellMar>
        <w:top w:w="0" w:type="dxa"/>
        <w:left w:w="108" w:type="dxa"/>
        <w:bottom w:w="0" w:type="dxa"/>
        <w:right w:w="108" w:type="dxa"/>
      </w:tblCellMar>
    </w:tblPr>
    <w:tblStylePr w:type="firstRow">
      <w:pPr>
        <w:snapToGrid/>
      </w:pPr>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pPr>
        <w:snapToGrid/>
      </w:pPr>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snapToGrid/>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auto" w:fill="FFFFFF"/>
      </w:tcPr>
    </w:tblStylePr>
    <w:tblStylePr w:type="lastCol">
      <w:pPr>
        <w:snapToGrid/>
      </w:pPr>
      <w:rPr>
        <w:rFonts w:ascii="Arial" w:hAnsi="Arial"/>
        <w:i/>
        <w:color w:val="245B8C" w:themeColor="accent1" w:themeShade="94"/>
        <w:sz w:val="22"/>
      </w:rPr>
      <w:tcPr>
        <w:tcBorders>
          <w:top w:val="nil"/>
          <w:left w:val="single" w:color="5B9BD5" w:themeColor="accent1" w:sz="4" w:space="0"/>
          <w:bottom w:val="nil"/>
          <w:right w:val="nil"/>
        </w:tcBorders>
        <w:shd w:val="clear" w:color="auto" w:fill="FFFFFF"/>
      </w:tcPr>
    </w:tblStylePr>
    <w:tblStylePr w:type="band1Vert">
      <w:pPr>
        <w:snapToGrid/>
      </w:pPr>
      <w:tcPr>
        <w:shd w:val="clear" w:color="auto" w:fill="D5E5F4" w:themeFill="accent1" w:themeFillTint="40"/>
      </w:tcPr>
    </w:tblStylePr>
    <w:tblStylePr w:type="band2Vert">
      <w:pPr>
        <w:snapToGrid/>
      </w:pPr>
    </w:tblStylePr>
    <w:tblStylePr w:type="band1Horz">
      <w:pPr>
        <w:snapToGrid/>
      </w:pPr>
      <w:rPr>
        <w:rFonts w:ascii="Arial" w:hAnsi="Arial"/>
        <w:color w:val="245B8C" w:themeColor="accent1" w:themeShade="94"/>
        <w:sz w:val="22"/>
      </w:rPr>
      <w:tcPr>
        <w:shd w:val="clear" w:color="auto" w:fill="D5E5F4" w:themeFill="accent1" w:themeFillTint="40"/>
      </w:tcPr>
    </w:tblStylePr>
    <w:tblStylePr w:type="band2Horz">
      <w:pPr>
        <w:snapToGrid/>
      </w:pPr>
      <w:rPr>
        <w:rFonts w:ascii="Arial" w:hAnsi="Arial"/>
        <w:color w:val="245B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6">
    <w:name w:val="List Table 7 Colorful - Accent 2"/>
    <w:basedOn w:val="35"/>
    <w:qFormat/>
    <w:uiPriority w:val="99"/>
    <w:tblPr>
      <w:tblBorders>
        <w:right w:val="single" w:color="F4B285" w:themeColor="accent2" w:themeTint="97" w:sz="4" w:space="0"/>
      </w:tblBorders>
      <w:tblCellMar>
        <w:top w:w="0" w:type="dxa"/>
        <w:left w:w="108" w:type="dxa"/>
        <w:bottom w:w="0" w:type="dxa"/>
        <w:right w:w="108" w:type="dxa"/>
      </w:tblCellMar>
    </w:tblPr>
    <w:tblStylePr w:type="firstRow">
      <w:pPr>
        <w:snapToGrid/>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pPr>
        <w:snapToGrid/>
      </w:pPr>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pPr>
        <w:snapToGrid/>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pPr>
        <w:snapToGrid/>
      </w:p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pPr>
        <w:snapToGrid/>
      </w:pPr>
      <w:rPr>
        <w:rFonts w:ascii="Arial" w:hAnsi="Arial"/>
        <w:color w:val="F4B285"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7">
    <w:name w:val="List Table 7 Colorful - Accent 3"/>
    <w:basedOn w:val="35"/>
    <w:qFormat/>
    <w:uiPriority w:val="99"/>
    <w:tblPr>
      <w:tblBorders>
        <w:right w:val="single" w:color="C9C9C9" w:themeColor="accent3" w:themeTint="98" w:sz="4" w:space="0"/>
      </w:tblBorders>
      <w:tblCellMar>
        <w:top w:w="0" w:type="dxa"/>
        <w:left w:w="108" w:type="dxa"/>
        <w:bottom w:w="0" w:type="dxa"/>
        <w:right w:w="108" w:type="dxa"/>
      </w:tblCellMar>
    </w:tblPr>
    <w:tblStylePr w:type="firstRow">
      <w:pPr>
        <w:snapToGrid/>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pPr>
        <w:snapToGrid/>
      </w:pPr>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snapToGrid/>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FFFFFF"/>
      </w:tcPr>
    </w:tblStylePr>
    <w:tblStylePr w:type="lastCol">
      <w:pPr>
        <w:snapToGrid/>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FFFFFF"/>
      </w:tcPr>
    </w:tblStylePr>
    <w:tblStylePr w:type="band1Vert">
      <w:pPr>
        <w:snapToGrid/>
      </w:p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pPr>
        <w:snapToGrid/>
      </w:pPr>
      <w:rPr>
        <w:rFonts w:ascii="Arial" w:hAnsi="Arial"/>
        <w:color w:val="C9C9C9" w:themeColor="accent3" w:themeTint="99"/>
        <w:sz w:val="22"/>
        <w14:textFill>
          <w14:solidFill>
            <w14:schemeClr w14:val="accent3">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8">
    <w:name w:val="List Table 7 Colorful - Accent 4"/>
    <w:basedOn w:val="35"/>
    <w:qFormat/>
    <w:uiPriority w:val="99"/>
    <w:tblPr>
      <w:tblBorders>
        <w:right w:val="single" w:color="FFD864" w:themeColor="accent4" w:themeTint="9A" w:sz="4" w:space="0"/>
      </w:tblBorders>
      <w:tblCellMar>
        <w:top w:w="0" w:type="dxa"/>
        <w:left w:w="108" w:type="dxa"/>
        <w:bottom w:w="0" w:type="dxa"/>
        <w:right w:w="108" w:type="dxa"/>
      </w:tblCellMar>
    </w:tblPr>
    <w:tblStylePr w:type="firstRow">
      <w:pPr>
        <w:snapToGrid/>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pPr>
        <w:snapToGrid/>
      </w:pPr>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pPr>
        <w:snapToGrid/>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pPr>
        <w:snapToGrid/>
      </w:pPr>
      <w:tcPr>
        <w:shd w:val="clear" w:color="auto" w:fill="FFEFBE" w:themeFill="accent4" w:themeFillTint="40"/>
      </w:tcPr>
    </w:tblStylePr>
    <w:tblStylePr w:type="band2Vert">
      <w:pPr>
        <w:snapToGrid/>
      </w:pPr>
    </w:tblStylePr>
    <w:tblStylePr w:type="band1Horz">
      <w:pPr>
        <w:snapToGrid/>
      </w:pPr>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pPr>
        <w:snapToGrid/>
      </w:pPr>
      <w:rPr>
        <w:rFonts w:ascii="Arial" w:hAnsi="Arial"/>
        <w:color w:val="FFD966"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9">
    <w:name w:val="List Table 7 Colorful - Accent 5"/>
    <w:basedOn w:val="35"/>
    <w:qFormat/>
    <w:uiPriority w:val="99"/>
    <w:tblPr>
      <w:tblBorders>
        <w:right w:val="single" w:color="8EA9DB" w:themeColor="accent5" w:themeTint="9A" w:sz="4" w:space="0"/>
      </w:tblBorders>
      <w:tblCellMar>
        <w:top w:w="0" w:type="dxa"/>
        <w:left w:w="108" w:type="dxa"/>
        <w:bottom w:w="0" w:type="dxa"/>
        <w:right w:w="108" w:type="dxa"/>
      </w:tblCellMar>
    </w:tblPr>
    <w:tblStylePr w:type="firstRow">
      <w:pPr>
        <w:snapToGrid/>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pPr>
        <w:snapToGrid/>
      </w:pPr>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snapToGrid/>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auto" w:fill="FFFFFF"/>
      </w:tcPr>
    </w:tblStylePr>
    <w:tblStylePr w:type="lastCol">
      <w:pPr>
        <w:snapToGrid/>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auto" w:fill="FFFFFF"/>
      </w:tcPr>
    </w:tblStylePr>
    <w:tblStylePr w:type="band1Vert">
      <w:pPr>
        <w:snapToGrid/>
      </w:pPr>
      <w:tcPr>
        <w:shd w:val="clear" w:color="auto" w:fill="D0DBF0" w:themeFill="accent5" w:themeFillTint="40"/>
      </w:tcPr>
    </w:tblStylePr>
    <w:tblStylePr w:type="band2Vert">
      <w:pPr>
        <w:snapToGrid/>
      </w:pPr>
    </w:tblStylePr>
    <w:tblStylePr w:type="band1Horz">
      <w:pPr>
        <w:snapToGrid/>
      </w:pPr>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pPr>
        <w:snapToGrid/>
      </w:pPr>
      <w:rPr>
        <w:rFonts w:ascii="Arial" w:hAnsi="Arial"/>
        <w:color w:val="8FAADC" w:themeColor="accent5" w:themeTint="99"/>
        <w:sz w:val="22"/>
        <w14:textFill>
          <w14:solidFill>
            <w14:schemeClr w14:val="accent5">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0">
    <w:name w:val="List Table 7 Colorful - Accent 6"/>
    <w:basedOn w:val="35"/>
    <w:qFormat/>
    <w:uiPriority w:val="99"/>
    <w:tblPr>
      <w:tblBorders>
        <w:right w:val="single" w:color="A9D08E" w:themeColor="accent6" w:themeTint="98" w:sz="4" w:space="0"/>
      </w:tblBorders>
      <w:tblCellMar>
        <w:top w:w="0" w:type="dxa"/>
        <w:left w:w="108" w:type="dxa"/>
        <w:bottom w:w="0" w:type="dxa"/>
        <w:right w:w="108" w:type="dxa"/>
      </w:tblCellMar>
    </w:tblPr>
    <w:tblStylePr w:type="firstRow">
      <w:pPr>
        <w:snapToGrid/>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pPr>
        <w:snapToGrid/>
      </w:pPr>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snapToGrid/>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FFFFFF"/>
      </w:tcPr>
    </w:tblStylePr>
    <w:tblStylePr w:type="lastCol">
      <w:pPr>
        <w:snapToGrid/>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FFFFFF"/>
      </w:tcPr>
    </w:tblStylePr>
    <w:tblStylePr w:type="band1Vert">
      <w:pPr>
        <w:snapToGrid/>
      </w:pPr>
      <w:tcPr>
        <w:shd w:val="clear" w:color="auto" w:fill="DAEBCF" w:themeFill="accent6" w:themeFillTint="40"/>
      </w:tcPr>
    </w:tblStylePr>
    <w:tblStylePr w:type="band2Vert">
      <w:pPr>
        <w:snapToGrid/>
      </w:pPr>
    </w:tblStylePr>
    <w:tblStylePr w:type="band1Horz">
      <w:pPr>
        <w:snapToGrid/>
      </w:pPr>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pPr>
        <w:snapToGrid/>
      </w:pPr>
      <w:rPr>
        <w:rFonts w:ascii="Arial" w:hAnsi="Arial"/>
        <w:color w:val="A9D18E" w:themeColor="accent6" w:themeTint="99"/>
        <w:sz w:val="22"/>
        <w14:textFill>
          <w14:solidFill>
            <w14:schemeClr w14:val="accent6">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1">
    <w:name w:val="Lined - Accent"/>
    <w:basedOn w:val="35"/>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7E7E7E" w:themeFill="text1" w:themeFillTint="80"/>
      </w:tcPr>
    </w:tblStylePr>
    <w:tblStylePr w:type="lastRow">
      <w:pPr>
        <w:snapToGrid/>
      </w:pPr>
      <w:rPr>
        <w:rFonts w:ascii="Arial" w:hAnsi="Arial"/>
        <w:color w:val="F2F2F2"/>
        <w:sz w:val="22"/>
      </w:rPr>
      <w:tcPr>
        <w:shd w:val="clear" w:color="auto" w:fill="7E7E7E" w:themeFill="text1" w:themeFillTint="80"/>
      </w:tcPr>
    </w:tblStylePr>
    <w:tblStylePr w:type="firstCol">
      <w:pPr>
        <w:snapToGrid/>
      </w:pPr>
      <w:rPr>
        <w:rFonts w:ascii="Arial" w:hAnsi="Arial"/>
        <w:color w:val="F2F2F2"/>
        <w:sz w:val="22"/>
      </w:rPr>
      <w:tcPr>
        <w:shd w:val="clear" w:color="auto" w:fill="7E7E7E" w:themeFill="text1" w:themeFillTint="80"/>
      </w:tcPr>
    </w:tblStylePr>
    <w:tblStylePr w:type="lastCol">
      <w:pPr>
        <w:snapToGrid/>
      </w:pPr>
      <w:rPr>
        <w:rFonts w:ascii="Arial" w:hAnsi="Arial"/>
        <w:color w:val="F2F2F2"/>
        <w:sz w:val="22"/>
      </w:rPr>
      <w:tcPr>
        <w:shd w:val="clear" w:color="auto" w:fill="7E7E7E"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1F1F1"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1F1F1"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2">
    <w:name w:val="Lined - Accent 1"/>
    <w:basedOn w:val="35"/>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68A3D8" w:themeFill="accent1" w:themeFillTint="EA"/>
      </w:tcPr>
    </w:tblStylePr>
    <w:tblStylePr w:type="lastRow">
      <w:pPr>
        <w:snapToGrid/>
      </w:pPr>
      <w:rPr>
        <w:rFonts w:ascii="Arial" w:hAnsi="Arial"/>
        <w:color w:val="F2F2F2"/>
        <w:sz w:val="22"/>
      </w:rPr>
      <w:tcPr>
        <w:shd w:val="clear" w:color="auto" w:fill="68A3D8" w:themeFill="accent1" w:themeFillTint="EA"/>
      </w:tcPr>
    </w:tblStylePr>
    <w:tblStylePr w:type="firstCol">
      <w:pPr>
        <w:snapToGrid/>
      </w:pPr>
      <w:rPr>
        <w:rFonts w:ascii="Arial" w:hAnsi="Arial"/>
        <w:color w:val="F2F2F2"/>
        <w:sz w:val="22"/>
      </w:rPr>
      <w:tcPr>
        <w:shd w:val="clear" w:color="auto" w:fill="68A3D8" w:themeFill="accent1" w:themeFillTint="EA"/>
      </w:tcPr>
    </w:tblStylePr>
    <w:tblStylePr w:type="lastCol">
      <w:pPr>
        <w:snapToGrid/>
      </w:pPr>
      <w:rPr>
        <w:rFonts w:ascii="Arial" w:hAnsi="Arial"/>
        <w:color w:val="F2F2F2"/>
        <w:sz w:val="22"/>
      </w:rPr>
      <w:tcPr>
        <w:shd w:val="clear" w:color="auto" w:fill="68A3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3">
    <w:name w:val="Lined - Accent 2"/>
    <w:basedOn w:val="35"/>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F4B285" w:themeFill="accent2" w:themeFillTint="97"/>
      </w:tcPr>
    </w:tblStylePr>
    <w:tblStylePr w:type="lastRow">
      <w:pPr>
        <w:snapToGrid/>
      </w:pPr>
      <w:rPr>
        <w:rFonts w:ascii="Arial" w:hAnsi="Arial"/>
        <w:color w:val="F2F2F2"/>
        <w:sz w:val="22"/>
      </w:rPr>
      <w:tcPr>
        <w:shd w:val="clear" w:color="auto" w:fill="F4B285" w:themeFill="accent2" w:themeFillTint="97"/>
      </w:tcPr>
    </w:tblStylePr>
    <w:tblStylePr w:type="firstCol">
      <w:pPr>
        <w:snapToGrid/>
      </w:pPr>
      <w:rPr>
        <w:rFonts w:ascii="Arial" w:hAnsi="Arial"/>
        <w:color w:val="F2F2F2"/>
        <w:sz w:val="22"/>
      </w:rPr>
      <w:tcPr>
        <w:shd w:val="clear" w:color="auto" w:fill="F4B285" w:themeFill="accent2" w:themeFillTint="97"/>
      </w:tcPr>
    </w:tblStylePr>
    <w:tblStylePr w:type="lastCol">
      <w:pPr>
        <w:snapToGrid/>
      </w:pPr>
      <w:rPr>
        <w:rFonts w:ascii="Arial" w:hAnsi="Arial"/>
        <w:color w:val="F2F2F2"/>
        <w:sz w:val="22"/>
      </w:rPr>
      <w:tcPr>
        <w:shd w:val="clear" w:color="auto" w:fill="F4B28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4">
    <w:name w:val="Lined - Accent 3"/>
    <w:basedOn w:val="35"/>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A5A5A5" w:themeFill="accent3" w:themeFillTint="FE"/>
      </w:tcPr>
    </w:tblStylePr>
    <w:tblStylePr w:type="lastRow">
      <w:pPr>
        <w:snapToGrid/>
      </w:pPr>
      <w:rPr>
        <w:rFonts w:ascii="Arial" w:hAnsi="Arial"/>
        <w:color w:val="F2F2F2"/>
        <w:sz w:val="22"/>
      </w:rPr>
      <w:tcPr>
        <w:shd w:val="clear" w:color="auto" w:fill="A5A5A5" w:themeFill="accent3" w:themeFillTint="FE"/>
      </w:tcPr>
    </w:tblStylePr>
    <w:tblStylePr w:type="firstCol">
      <w:pPr>
        <w:snapToGrid/>
      </w:pPr>
      <w:rPr>
        <w:rFonts w:ascii="Arial" w:hAnsi="Arial"/>
        <w:color w:val="F2F2F2"/>
        <w:sz w:val="22"/>
      </w:rPr>
      <w:tcPr>
        <w:shd w:val="clear" w:color="auto" w:fill="A5A5A5" w:themeFill="accent3" w:themeFillTint="FE"/>
      </w:tcPr>
    </w:tblStylePr>
    <w:tblStylePr w:type="lastCol">
      <w:pPr>
        <w:snapToGrid/>
      </w:pPr>
      <w:rPr>
        <w:rFonts w:ascii="Arial" w:hAnsi="Arial"/>
        <w:color w:val="F2F2F2"/>
        <w:sz w:val="22"/>
      </w:r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5">
    <w:name w:val="Lined - Accent 4"/>
    <w:basedOn w:val="35"/>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FFD864" w:themeFill="accent4" w:themeFillTint="9A"/>
      </w:tcPr>
    </w:tblStylePr>
    <w:tblStylePr w:type="lastRow">
      <w:pPr>
        <w:snapToGrid/>
      </w:pPr>
      <w:rPr>
        <w:rFonts w:ascii="Arial" w:hAnsi="Arial"/>
        <w:color w:val="F2F2F2"/>
        <w:sz w:val="22"/>
      </w:rPr>
      <w:tcPr>
        <w:shd w:val="clear" w:color="auto" w:fill="FFD864" w:themeFill="accent4" w:themeFillTint="9A"/>
      </w:tcPr>
    </w:tblStylePr>
    <w:tblStylePr w:type="firstCol">
      <w:pPr>
        <w:snapToGrid/>
      </w:pPr>
      <w:rPr>
        <w:rFonts w:ascii="Arial" w:hAnsi="Arial"/>
        <w:color w:val="F2F2F2"/>
        <w:sz w:val="22"/>
      </w:rPr>
      <w:tcPr>
        <w:shd w:val="clear" w:color="auto" w:fill="FFD864" w:themeFill="accent4" w:themeFillTint="9A"/>
      </w:tcPr>
    </w:tblStylePr>
    <w:tblStylePr w:type="lastCol">
      <w:pPr>
        <w:snapToGrid/>
      </w:pPr>
      <w:rPr>
        <w:rFonts w:ascii="Arial" w:hAnsi="Arial"/>
        <w:color w:val="F2F2F2"/>
        <w:sz w:val="22"/>
      </w:rPr>
      <w:tcPr>
        <w:shd w:val="clear" w:color="auto" w:fill="FFD864"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EF2CA"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EF2CA"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6">
    <w:name w:val="Lined - Accent 5"/>
    <w:basedOn w:val="35"/>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4472C4" w:themeFill="accent5"/>
      </w:tcPr>
    </w:tblStylePr>
    <w:tblStylePr w:type="lastRow">
      <w:pPr>
        <w:snapToGrid/>
      </w:pPr>
      <w:rPr>
        <w:rFonts w:ascii="Arial" w:hAnsi="Arial"/>
        <w:color w:val="F2F2F2"/>
        <w:sz w:val="22"/>
      </w:rPr>
      <w:tcPr>
        <w:shd w:val="clear" w:color="auto" w:fill="4472C4" w:themeFill="accent5"/>
      </w:tcPr>
    </w:tblStylePr>
    <w:tblStylePr w:type="firstCol">
      <w:pPr>
        <w:snapToGrid/>
      </w:pPr>
      <w:rPr>
        <w:rFonts w:ascii="Arial" w:hAnsi="Arial"/>
        <w:color w:val="F2F2F2"/>
        <w:sz w:val="22"/>
      </w:rPr>
      <w:tcPr>
        <w:shd w:val="clear" w:color="auto" w:fill="4472C4" w:themeFill="accent5"/>
      </w:tcPr>
    </w:tblStylePr>
    <w:tblStylePr w:type="lastCol">
      <w:pPr>
        <w:snapToGrid/>
      </w:pPr>
      <w:rPr>
        <w:rFonts w:ascii="Arial" w:hAnsi="Arial"/>
        <w:color w:val="F2F2F2"/>
        <w:sz w:val="22"/>
      </w:r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D8E2F2"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D8E2F2"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7">
    <w:name w:val="Lined - Accent 6"/>
    <w:basedOn w:val="35"/>
    <w:qFormat/>
    <w:uiPriority w:val="99"/>
    <w:rPr>
      <w:color w:val="404040"/>
    </w:rPr>
    <w:tblPr>
      <w:tblCellMar>
        <w:top w:w="0" w:type="dxa"/>
        <w:left w:w="108" w:type="dxa"/>
        <w:bottom w:w="0" w:type="dxa"/>
        <w:right w:w="108" w:type="dxa"/>
      </w:tblCellMar>
    </w:tblPr>
    <w:tblStylePr w:type="firstRow">
      <w:pPr>
        <w:snapToGrid/>
      </w:pPr>
      <w:rPr>
        <w:rFonts w:ascii="Arial" w:hAnsi="Arial"/>
        <w:color w:val="F2F2F2"/>
        <w:sz w:val="22"/>
      </w:rPr>
      <w:tcPr>
        <w:shd w:val="clear" w:color="auto" w:fill="70AD47" w:themeFill="accent6"/>
      </w:tcPr>
    </w:tblStylePr>
    <w:tblStylePr w:type="lastRow">
      <w:pPr>
        <w:snapToGrid/>
      </w:pPr>
      <w:rPr>
        <w:rFonts w:ascii="Arial" w:hAnsi="Arial"/>
        <w:color w:val="F2F2F2"/>
        <w:sz w:val="22"/>
      </w:rPr>
      <w:tcPr>
        <w:shd w:val="clear" w:color="auto" w:fill="70AD47" w:themeFill="accent6"/>
      </w:tcPr>
    </w:tblStylePr>
    <w:tblStylePr w:type="firstCol">
      <w:pPr>
        <w:snapToGrid/>
      </w:pPr>
      <w:rPr>
        <w:rFonts w:ascii="Arial" w:hAnsi="Arial"/>
        <w:color w:val="F2F2F2"/>
        <w:sz w:val="22"/>
      </w:rPr>
      <w:tcPr>
        <w:shd w:val="clear" w:color="auto" w:fill="70AD47" w:themeFill="accent6"/>
      </w:tcPr>
    </w:tblStylePr>
    <w:tblStylePr w:type="lastCol">
      <w:pPr>
        <w:snapToGrid/>
      </w:pPr>
      <w:rPr>
        <w:rFonts w:ascii="Arial" w:hAnsi="Arial"/>
        <w:color w:val="F2F2F2"/>
        <w:sz w:val="22"/>
      </w:r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8">
    <w:name w:val="Bordered &amp; Lined - Accent"/>
    <w:basedOn w:val="35"/>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7E7E7E" w:themeFill="text1" w:themeFillTint="80"/>
      </w:tcPr>
    </w:tblStylePr>
    <w:tblStylePr w:type="lastRow">
      <w:pPr>
        <w:snapToGrid/>
      </w:pPr>
      <w:rPr>
        <w:rFonts w:ascii="Arial" w:hAnsi="Arial"/>
        <w:color w:val="F2F2F2"/>
        <w:sz w:val="22"/>
      </w:rPr>
      <w:tcPr>
        <w:shd w:val="clear" w:color="auto" w:fill="7E7E7E" w:themeFill="text1" w:themeFillTint="80"/>
      </w:tcPr>
    </w:tblStylePr>
    <w:tblStylePr w:type="firstCol">
      <w:pPr>
        <w:snapToGrid/>
      </w:pPr>
      <w:rPr>
        <w:rFonts w:ascii="Arial" w:hAnsi="Arial"/>
        <w:color w:val="F2F2F2"/>
        <w:sz w:val="22"/>
      </w:rPr>
      <w:tcPr>
        <w:shd w:val="clear" w:color="auto" w:fill="7E7E7E" w:themeFill="text1" w:themeFillTint="80"/>
      </w:tcPr>
    </w:tblStylePr>
    <w:tblStylePr w:type="lastCol">
      <w:pPr>
        <w:snapToGrid/>
      </w:pPr>
      <w:rPr>
        <w:rFonts w:ascii="Arial" w:hAnsi="Arial"/>
        <w:color w:val="F2F2F2"/>
        <w:sz w:val="22"/>
      </w:rPr>
      <w:tcPr>
        <w:shd w:val="clear" w:color="auto" w:fill="7E7E7E"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1F1F1"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1F1F1"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9">
    <w:name w:val="Bordered &amp; Lined - Accent 1"/>
    <w:basedOn w:val="35"/>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68A3D8" w:themeFill="accent1" w:themeFillTint="EA"/>
      </w:tcPr>
    </w:tblStylePr>
    <w:tblStylePr w:type="lastRow">
      <w:pPr>
        <w:snapToGrid/>
      </w:pPr>
      <w:rPr>
        <w:rFonts w:ascii="Arial" w:hAnsi="Arial"/>
        <w:color w:val="F2F2F2"/>
        <w:sz w:val="22"/>
      </w:rPr>
      <w:tcPr>
        <w:shd w:val="clear" w:color="auto" w:fill="68A3D8" w:themeFill="accent1" w:themeFillTint="EA"/>
      </w:tcPr>
    </w:tblStylePr>
    <w:tblStylePr w:type="firstCol">
      <w:pPr>
        <w:snapToGrid/>
      </w:pPr>
      <w:rPr>
        <w:rFonts w:ascii="Arial" w:hAnsi="Arial"/>
        <w:color w:val="F2F2F2"/>
        <w:sz w:val="22"/>
      </w:rPr>
      <w:tcPr>
        <w:shd w:val="clear" w:color="auto" w:fill="68A3D8" w:themeFill="accent1" w:themeFillTint="EA"/>
      </w:tcPr>
    </w:tblStylePr>
    <w:tblStylePr w:type="lastCol">
      <w:pPr>
        <w:snapToGrid/>
      </w:pPr>
      <w:rPr>
        <w:rFonts w:ascii="Arial" w:hAnsi="Arial"/>
        <w:color w:val="F2F2F2"/>
        <w:sz w:val="22"/>
      </w:rPr>
      <w:tcPr>
        <w:shd w:val="clear" w:color="auto" w:fill="68A3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0">
    <w:name w:val="Bordered &amp; Lined - Accent 2"/>
    <w:basedOn w:val="35"/>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F4B285" w:themeFill="accent2" w:themeFillTint="97"/>
      </w:tcPr>
    </w:tblStylePr>
    <w:tblStylePr w:type="lastRow">
      <w:pPr>
        <w:snapToGrid/>
      </w:pPr>
      <w:rPr>
        <w:rFonts w:ascii="Arial" w:hAnsi="Arial"/>
        <w:color w:val="F2F2F2"/>
        <w:sz w:val="22"/>
      </w:rPr>
      <w:tcPr>
        <w:shd w:val="clear" w:color="auto" w:fill="F4B285" w:themeFill="accent2" w:themeFillTint="97"/>
      </w:tcPr>
    </w:tblStylePr>
    <w:tblStylePr w:type="firstCol">
      <w:pPr>
        <w:snapToGrid/>
      </w:pPr>
      <w:rPr>
        <w:rFonts w:ascii="Arial" w:hAnsi="Arial"/>
        <w:color w:val="F2F2F2"/>
        <w:sz w:val="22"/>
      </w:rPr>
      <w:tcPr>
        <w:shd w:val="clear" w:color="auto" w:fill="F4B285" w:themeFill="accent2" w:themeFillTint="97"/>
      </w:tcPr>
    </w:tblStylePr>
    <w:tblStylePr w:type="lastCol">
      <w:pPr>
        <w:snapToGrid/>
      </w:pPr>
      <w:rPr>
        <w:rFonts w:ascii="Arial" w:hAnsi="Arial"/>
        <w:color w:val="F2F2F2"/>
        <w:sz w:val="22"/>
      </w:rPr>
      <w:tcPr>
        <w:shd w:val="clear" w:color="auto" w:fill="F4B28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1">
    <w:name w:val="Bordered &amp; Lined - Accent 3"/>
    <w:basedOn w:val="35"/>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A5A5A5" w:themeFill="accent3" w:themeFillTint="FE"/>
      </w:tcPr>
    </w:tblStylePr>
    <w:tblStylePr w:type="lastRow">
      <w:pPr>
        <w:snapToGrid/>
      </w:pPr>
      <w:rPr>
        <w:rFonts w:ascii="Arial" w:hAnsi="Arial"/>
        <w:color w:val="F2F2F2"/>
        <w:sz w:val="22"/>
      </w:rPr>
      <w:tcPr>
        <w:shd w:val="clear" w:color="auto" w:fill="A5A5A5" w:themeFill="accent3" w:themeFillTint="FE"/>
      </w:tcPr>
    </w:tblStylePr>
    <w:tblStylePr w:type="firstCol">
      <w:pPr>
        <w:snapToGrid/>
      </w:pPr>
      <w:rPr>
        <w:rFonts w:ascii="Arial" w:hAnsi="Arial"/>
        <w:color w:val="F2F2F2"/>
        <w:sz w:val="22"/>
      </w:rPr>
      <w:tcPr>
        <w:shd w:val="clear" w:color="auto" w:fill="A5A5A5" w:themeFill="accent3" w:themeFillTint="FE"/>
      </w:tcPr>
    </w:tblStylePr>
    <w:tblStylePr w:type="lastCol">
      <w:pPr>
        <w:snapToGrid/>
      </w:pPr>
      <w:rPr>
        <w:rFonts w:ascii="Arial" w:hAnsi="Arial"/>
        <w:color w:val="F2F2F2"/>
        <w:sz w:val="22"/>
      </w:r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2">
    <w:name w:val="Bordered &amp; Lined - Accent 4"/>
    <w:basedOn w:val="35"/>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FFD864" w:themeFill="accent4" w:themeFillTint="9A"/>
      </w:tcPr>
    </w:tblStylePr>
    <w:tblStylePr w:type="lastRow">
      <w:pPr>
        <w:snapToGrid/>
      </w:pPr>
      <w:rPr>
        <w:rFonts w:ascii="Arial" w:hAnsi="Arial"/>
        <w:color w:val="F2F2F2"/>
        <w:sz w:val="22"/>
      </w:rPr>
      <w:tcPr>
        <w:shd w:val="clear" w:color="auto" w:fill="FFD864" w:themeFill="accent4" w:themeFillTint="9A"/>
      </w:tcPr>
    </w:tblStylePr>
    <w:tblStylePr w:type="firstCol">
      <w:pPr>
        <w:snapToGrid/>
      </w:pPr>
      <w:rPr>
        <w:rFonts w:ascii="Arial" w:hAnsi="Arial"/>
        <w:color w:val="F2F2F2"/>
        <w:sz w:val="22"/>
      </w:rPr>
      <w:tcPr>
        <w:shd w:val="clear" w:color="auto" w:fill="FFD864" w:themeFill="accent4" w:themeFillTint="9A"/>
      </w:tcPr>
    </w:tblStylePr>
    <w:tblStylePr w:type="lastCol">
      <w:pPr>
        <w:snapToGrid/>
      </w:pPr>
      <w:rPr>
        <w:rFonts w:ascii="Arial" w:hAnsi="Arial"/>
        <w:color w:val="F2F2F2"/>
        <w:sz w:val="22"/>
      </w:rPr>
      <w:tcPr>
        <w:shd w:val="clear" w:color="auto" w:fill="FFD864"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EF2CA"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EF2CA"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3">
    <w:name w:val="Bordered &amp; Lined - Accent 5"/>
    <w:basedOn w:val="35"/>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4472C4" w:themeFill="accent5"/>
      </w:tcPr>
    </w:tblStylePr>
    <w:tblStylePr w:type="lastRow">
      <w:pPr>
        <w:snapToGrid/>
      </w:pPr>
      <w:rPr>
        <w:rFonts w:ascii="Arial" w:hAnsi="Arial"/>
        <w:color w:val="F2F2F2"/>
        <w:sz w:val="22"/>
      </w:rPr>
      <w:tcPr>
        <w:shd w:val="clear" w:color="auto" w:fill="4472C4" w:themeFill="accent5"/>
      </w:tcPr>
    </w:tblStylePr>
    <w:tblStylePr w:type="firstCol">
      <w:pPr>
        <w:snapToGrid/>
      </w:pPr>
      <w:rPr>
        <w:rFonts w:ascii="Arial" w:hAnsi="Arial"/>
        <w:color w:val="F2F2F2"/>
        <w:sz w:val="22"/>
      </w:rPr>
      <w:tcPr>
        <w:shd w:val="clear" w:color="auto" w:fill="4472C4" w:themeFill="accent5"/>
      </w:tcPr>
    </w:tblStylePr>
    <w:tblStylePr w:type="lastCol">
      <w:pPr>
        <w:snapToGrid/>
      </w:pPr>
      <w:rPr>
        <w:rFonts w:ascii="Arial" w:hAnsi="Arial"/>
        <w:color w:val="F2F2F2"/>
        <w:sz w:val="22"/>
      </w:r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D8E2F2"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D8E2F2"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4">
    <w:name w:val="Bordered &amp; Lined - Accent 6"/>
    <w:basedOn w:val="35"/>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pPr>
        <w:snapToGrid/>
      </w:pPr>
      <w:rPr>
        <w:rFonts w:ascii="Arial" w:hAnsi="Arial"/>
        <w:color w:val="F2F2F2"/>
        <w:sz w:val="22"/>
      </w:rPr>
      <w:tcPr>
        <w:shd w:val="clear" w:color="auto" w:fill="70AD47" w:themeFill="accent6"/>
      </w:tcPr>
    </w:tblStylePr>
    <w:tblStylePr w:type="lastRow">
      <w:pPr>
        <w:snapToGrid/>
      </w:pPr>
      <w:rPr>
        <w:rFonts w:ascii="Arial" w:hAnsi="Arial"/>
        <w:color w:val="F2F2F2"/>
        <w:sz w:val="22"/>
      </w:rPr>
      <w:tcPr>
        <w:shd w:val="clear" w:color="auto" w:fill="70AD47" w:themeFill="accent6"/>
      </w:tcPr>
    </w:tblStylePr>
    <w:tblStylePr w:type="firstCol">
      <w:pPr>
        <w:snapToGrid/>
      </w:pPr>
      <w:rPr>
        <w:rFonts w:ascii="Arial" w:hAnsi="Arial"/>
        <w:color w:val="F2F2F2"/>
        <w:sz w:val="22"/>
      </w:rPr>
      <w:tcPr>
        <w:shd w:val="clear" w:color="auto" w:fill="70AD47" w:themeFill="accent6"/>
      </w:tcPr>
    </w:tblStylePr>
    <w:tblStylePr w:type="lastCol">
      <w:pPr>
        <w:snapToGrid/>
      </w:pPr>
      <w:rPr>
        <w:rFonts w:ascii="Arial" w:hAnsi="Arial"/>
        <w:color w:val="F2F2F2"/>
        <w:sz w:val="22"/>
      </w:r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5">
    <w:name w:val="Bordered"/>
    <w:basedOn w:val="35"/>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7E7E7E" w:themeColor="text1" w:themeTint="80" w:sz="12" w:space="0"/>
        </w:tcBorders>
      </w:tcPr>
    </w:tblStylePr>
    <w:tblStylePr w:type="lastRow">
      <w:pPr>
        <w:snapToGrid/>
      </w:pPr>
      <w:rPr>
        <w:rFonts w:ascii="Arial" w:hAnsi="Arial"/>
        <w:color w:val="404040"/>
        <w:sz w:val="22"/>
      </w:rPr>
      <w:tcPr>
        <w:tcBorders>
          <w:top w:val="single" w:color="7E7E7E" w:themeColor="text1" w:themeTint="80"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7E7E7E" w:themeColor="text1" w:themeTint="80"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6">
    <w:name w:val="Bordered - Accent 1"/>
    <w:basedOn w:val="35"/>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5B9BD5" w:themeColor="accent1" w:sz="12" w:space="0"/>
        </w:tcBorders>
      </w:tcPr>
    </w:tblStylePr>
    <w:tblStylePr w:type="lastRow">
      <w:pPr>
        <w:snapToGrid/>
      </w:pPr>
      <w:rPr>
        <w:rFonts w:ascii="Arial" w:hAnsi="Arial"/>
        <w:color w:val="404040"/>
        <w:sz w:val="22"/>
      </w:rPr>
      <w:tcPr>
        <w:tcBorders>
          <w:top w:val="single" w:color="5B9BD5" w:themeColor="accent1"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5B9BD5" w:themeColor="accent1"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7">
    <w:name w:val="Bordered - Accent 2"/>
    <w:basedOn w:val="35"/>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F4B285" w:themeColor="accent2" w:themeTint="97" w:sz="12" w:space="0"/>
        </w:tcBorders>
      </w:tcPr>
    </w:tblStylePr>
    <w:tblStylePr w:type="lastRow">
      <w:pPr>
        <w:snapToGrid/>
      </w:pPr>
      <w:rPr>
        <w:rFonts w:ascii="Arial" w:hAnsi="Arial"/>
        <w:color w:val="404040"/>
        <w:sz w:val="22"/>
      </w:rPr>
      <w:tcPr>
        <w:tcBorders>
          <w:top w:val="single" w:color="F4B285" w:themeColor="accent2" w:themeTint="97"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F4B285" w:themeColor="accent2" w:themeTint="97"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8">
    <w:name w:val="Bordered - Accent 3"/>
    <w:basedOn w:val="35"/>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C9C9C9" w:themeColor="accent3" w:themeTint="98" w:sz="12" w:space="0"/>
        </w:tcBorders>
      </w:tcPr>
    </w:tblStylePr>
    <w:tblStylePr w:type="lastRow">
      <w:pPr>
        <w:snapToGrid/>
      </w:pPr>
      <w:rPr>
        <w:rFonts w:ascii="Arial" w:hAnsi="Arial"/>
        <w:color w:val="404040"/>
        <w:sz w:val="22"/>
      </w:rPr>
      <w:tcPr>
        <w:tcBorders>
          <w:top w:val="single" w:color="C9C9C9" w:themeColor="accent3" w:themeTint="98"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C9C9C9" w:themeColor="accent3" w:themeTint="98"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9">
    <w:name w:val="Bordered - Accent 4"/>
    <w:basedOn w:val="35"/>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FFD864" w:themeColor="accent4" w:themeTint="9A" w:sz="12" w:space="0"/>
        </w:tcBorders>
      </w:tcPr>
    </w:tblStylePr>
    <w:tblStylePr w:type="lastRow">
      <w:pPr>
        <w:snapToGrid/>
      </w:pPr>
      <w:rPr>
        <w:rFonts w:ascii="Arial" w:hAnsi="Arial"/>
        <w:color w:val="404040"/>
        <w:sz w:val="22"/>
      </w:rPr>
      <w:tcPr>
        <w:tcBorders>
          <w:top w:val="single" w:color="FFD864" w:themeColor="accent4" w:themeTint="9A"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FFD864" w:themeColor="accent4" w:themeTint="9A"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0">
    <w:name w:val="Bordered - Accent 5"/>
    <w:basedOn w:val="35"/>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8EA9DB" w:themeColor="accent5" w:themeTint="9A" w:sz="12" w:space="0"/>
        </w:tcBorders>
      </w:tcPr>
    </w:tblStylePr>
    <w:tblStylePr w:type="lastRow">
      <w:pPr>
        <w:snapToGrid/>
      </w:pPr>
      <w:rPr>
        <w:rFonts w:ascii="Arial" w:hAnsi="Arial"/>
        <w:color w:val="404040"/>
        <w:sz w:val="22"/>
      </w:rPr>
      <w:tcPr>
        <w:tcBorders>
          <w:top w:val="single" w:color="8EA9DB" w:themeColor="accent5" w:themeTint="9A"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8EA9DB" w:themeColor="accent5" w:themeTint="9A"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1">
    <w:name w:val="Bordered - Accent 6"/>
    <w:basedOn w:val="35"/>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pPr>
        <w:snapToGrid/>
      </w:pPr>
      <w:rPr>
        <w:rFonts w:ascii="Arial" w:hAnsi="Arial"/>
        <w:color w:val="404040"/>
        <w:sz w:val="22"/>
      </w:rPr>
      <w:tcPr>
        <w:tcBorders>
          <w:bottom w:val="single" w:color="A9D08E" w:themeColor="accent6" w:themeTint="98" w:sz="12" w:space="0"/>
        </w:tcBorders>
      </w:tcPr>
    </w:tblStylePr>
    <w:tblStylePr w:type="lastRow">
      <w:pPr>
        <w:snapToGrid/>
      </w:pPr>
      <w:rPr>
        <w:rFonts w:ascii="Arial" w:hAnsi="Arial"/>
        <w:color w:val="404040"/>
        <w:sz w:val="22"/>
      </w:rPr>
      <w:tcPr>
        <w:tcBorders>
          <w:top w:val="single" w:color="A9D08E" w:themeColor="accent6" w:themeTint="98"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A9D08E" w:themeColor="accent6" w:themeTint="98"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202">
    <w:name w:val="脚注文本 Char"/>
    <w:link w:val="27"/>
    <w:qFormat/>
    <w:uiPriority w:val="99"/>
    <w:rPr>
      <w:sz w:val="18"/>
    </w:rPr>
  </w:style>
  <w:style w:type="paragraph" w:customStyle="1" w:styleId="203">
    <w:name w:val="TOC 标题11"/>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zh-CN" w:bidi="ar-SA"/>
    </w:rPr>
  </w:style>
  <w:style w:type="character" w:customStyle="1" w:styleId="204">
    <w:name w:val="批注文字 Char"/>
    <w:link w:val="14"/>
    <w:qFormat/>
    <w:uiPriority w:val="0"/>
    <w:rPr>
      <w:sz w:val="21"/>
      <w:szCs w:val="24"/>
    </w:rPr>
  </w:style>
  <w:style w:type="character" w:customStyle="1" w:styleId="205">
    <w:name w:val="unnamed11"/>
    <w:qFormat/>
    <w:uiPriority w:val="0"/>
    <w:rPr>
      <w:rFonts w:hint="eastAsia" w:ascii="宋体" w:hAnsi="宋体" w:eastAsia="宋体"/>
      <w:sz w:val="18"/>
    </w:rPr>
  </w:style>
  <w:style w:type="character" w:customStyle="1" w:styleId="206">
    <w:name w:val="批注主题 Char"/>
    <w:link w:val="34"/>
    <w:qFormat/>
    <w:uiPriority w:val="0"/>
    <w:rPr>
      <w:b/>
      <w:bCs/>
      <w:sz w:val="21"/>
      <w:szCs w:val="24"/>
    </w:rPr>
  </w:style>
  <w:style w:type="paragraph" w:customStyle="1" w:styleId="207">
    <w:name w:val="普通 (Web)"/>
    <w:basedOn w:val="1"/>
    <w:qFormat/>
    <w:uiPriority w:val="0"/>
    <w:pPr>
      <w:widowControl/>
      <w:spacing w:before="100" w:beforeAutospacing="1" w:after="100" w:afterAutospacing="1"/>
      <w:jc w:val="left"/>
    </w:pPr>
    <w:rPr>
      <w:rFonts w:ascii="宋体" w:hAnsi="宋体"/>
      <w:sz w:val="24"/>
    </w:rPr>
  </w:style>
  <w:style w:type="paragraph" w:customStyle="1" w:styleId="208">
    <w:name w:val="Char"/>
    <w:basedOn w:val="1"/>
    <w:qFormat/>
    <w:uiPriority w:val="0"/>
  </w:style>
  <w:style w:type="paragraph" w:customStyle="1" w:styleId="209">
    <w:name w:val="修订1"/>
    <w:semiHidden/>
    <w:qFormat/>
    <w:uiPriority w:val="9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 w:val="21"/>
      <w:szCs w:val="24"/>
      <w:lang w:val="en-US" w:eastAsia="zh-CN" w:bidi="ar-SA"/>
    </w:rPr>
  </w:style>
  <w:style w:type="paragraph" w:customStyle="1" w:styleId="210">
    <w:name w:val="Char Char"/>
    <w:basedOn w:val="1"/>
    <w:qFormat/>
    <w:uiPriority w:val="0"/>
    <w:rPr>
      <w:szCs w:val="20"/>
    </w:rPr>
  </w:style>
  <w:style w:type="paragraph" w:customStyle="1" w:styleId="211">
    <w:name w:val="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pPr>
    <w:rPr>
      <w:rFonts w:ascii="宋体" w:hAnsi="Times New Roman" w:eastAsia="宋体" w:cs="宋体"/>
      <w:color w:val="000000"/>
      <w:sz w:val="24"/>
      <w:szCs w:val="24"/>
      <w:lang w:val="en-US" w:eastAsia="zh-CN" w:bidi="ar-SA"/>
    </w:rPr>
  </w:style>
  <w:style w:type="character" w:customStyle="1" w:styleId="212">
    <w:name w:val="正文文本缩进 3 Char"/>
    <w:link w:val="29"/>
    <w:qFormat/>
    <w:uiPriority w:val="0"/>
    <w:rPr>
      <w:rFonts w:eastAsia="长城仿宋"/>
      <w:sz w:val="24"/>
    </w:rPr>
  </w:style>
  <w:style w:type="character" w:customStyle="1" w:styleId="213">
    <w:name w:val="页脚 Char"/>
    <w:basedOn w:val="37"/>
    <w:link w:val="22"/>
    <w:qFormat/>
    <w:uiPriority w:val="99"/>
    <w:rPr>
      <w:sz w:val="18"/>
      <w:szCs w:val="18"/>
    </w:rPr>
  </w:style>
  <w:style w:type="paragraph" w:customStyle="1" w:styleId="214">
    <w:name w:val="Revision"/>
    <w:hidden/>
    <w:semiHidden/>
    <w:qFormat/>
    <w:uiPriority w:val="99"/>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EastHome</Company>
  <Pages>29</Pages>
  <Words>3187</Words>
  <Characters>18166</Characters>
  <Lines>151</Lines>
  <Paragraphs>42</Paragraphs>
  <TotalTime>1</TotalTime>
  <ScaleCrop>false</ScaleCrop>
  <LinksUpToDate>false</LinksUpToDate>
  <CharactersWithSpaces>21311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2025-04-03T06:51:00Z</dcterms:created>
  <dc:creator>周安格</dc:creator>
  <cp:lastModifiedBy>lixuefei0623</cp:lastModifiedBy>
  <dcterms:modified xsi:type="dcterms:W3CDTF">2025-06-24T06:12:38Z</dcterms:modified>
  <dc:title>富国国企带路ETF联接-托管协议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17A40ED177114F80ADB128B9CFA2441F_13</vt:lpwstr>
  </property>
</Properties>
</file>