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富国中证800自由现金流交易型开放式指数证券投资基金联接基金（A类份额）基金产品资料概要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2025年07月01日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2025年06月30日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富国中证800自由现金流ETF联接</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024761</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富国中证800自由现金流ETF联接A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024761</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中国银行股份有限公司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基金中基金</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金泽宇</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2018年07月02日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本基金可根据法律法规的规定参与融资及转融通证券出借业务。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中证800自由现金流指数收益率×95%+银行活期存款利率（税后）×5%。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0.06%</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0.50%</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0.10%</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注：以上费用将从基金资产中扣除；基金财产中投资于目标ETF的部分不收取管理费、托管费。本基金交易证券、基金等产生的费用和税负，按实际发生额从基金资产扣除。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本基金的特有风险包括：1、投资于目标ETF基金带来的风险</w:t>
      </w:r>
    </w:p>
    <w:p>
      <w:pPr>
        <w:adjustRightInd w:val="0"/>
        <w:snapToGrid w:val="0"/>
        <w:spacing w:line="288" w:lineRule="auto"/>
        <w:ind w:firstLineChars="200" w:firstLine="420"/>
        <w:rPr>
          <w:rFonts w:cs="方正仿宋简体"/>
          <w:iCs/>
          <w:szCs w:val="21"/>
        </w:rPr>
      </w:pPr>
      <w:r>
        <w:rPr>
          <w:rFonts w:cs="方正仿宋简体"/>
          <w:iCs/>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cs="方正仿宋简体"/>
          <w:iCs/>
          <w:szCs w:val="21"/>
        </w:rPr>
      </w:pPr>
      <w:r>
        <w:rPr>
          <w:rFonts w:cs="方正仿宋简体"/>
          <w:iCs/>
          <w:szCs w:val="21"/>
        </w:rPr>
        <w:t>2、指数化投资的风险</w:t>
      </w:r>
    </w:p>
    <w:p>
      <w:pPr>
        <w:adjustRightInd w:val="0"/>
        <w:snapToGrid w:val="0"/>
        <w:spacing w:line="288" w:lineRule="auto"/>
        <w:ind w:firstLineChars="200" w:firstLine="420"/>
        <w:rPr>
          <w:rFonts w:cs="方正仿宋简体"/>
          <w:iCs/>
          <w:szCs w:val="21"/>
        </w:rPr>
      </w:pPr>
      <w:r>
        <w:rPr>
          <w:rFonts w:cs="方正仿宋简体"/>
          <w:iCs/>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cs="方正仿宋简体"/>
          <w:iCs/>
          <w:szCs w:val="21"/>
        </w:rPr>
      </w:pPr>
      <w:r>
        <w:rPr>
          <w:rFonts w:cs="方正仿宋简体"/>
          <w:iCs/>
          <w:szCs w:val="21"/>
        </w:rPr>
        <w:t>3、股指期货、国债期货的投资风险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cs="方正仿宋简体"/>
          <w:iCs/>
          <w:szCs w:val="21"/>
        </w:rPr>
      </w:pPr>
      <w:r>
        <w:rPr>
          <w:rFonts w:cs="方正仿宋简体"/>
          <w:iCs/>
          <w:szCs w:val="21"/>
        </w:rPr>
        <w:t>4、股票期权的投资风险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cs="方正仿宋简体"/>
          <w:iCs/>
          <w:szCs w:val="21"/>
        </w:rPr>
      </w:pPr>
      <w:r>
        <w:rPr>
          <w:rFonts w:cs="方正仿宋简体"/>
          <w:iCs/>
          <w:szCs w:val="21"/>
        </w:rPr>
        <w:t>5、资产支持证券的投资风险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cs="方正仿宋简体"/>
          <w:iCs/>
          <w:szCs w:val="21"/>
        </w:rPr>
      </w:pPr>
      <w:r>
        <w:rPr>
          <w:rFonts w:cs="方正仿宋简体"/>
          <w:iCs/>
          <w:szCs w:val="21"/>
        </w:rPr>
        <w:t>6、参与融资业务的特殊风险</w:t>
      </w:r>
    </w:p>
    <w:p>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cs="方正仿宋简体"/>
          <w:iCs/>
          <w:szCs w:val="21"/>
        </w:rPr>
      </w:pPr>
      <w:r>
        <w:rPr>
          <w:rFonts w:cs="方正仿宋简体"/>
          <w:iCs/>
          <w:szCs w:val="21"/>
        </w:rPr>
        <w:t>7、基金参与转融通证券出借业务的风险</w:t>
      </w:r>
    </w:p>
    <w:p>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cs="方正仿宋简体"/>
          <w:iCs/>
          <w:szCs w:val="21"/>
        </w:rPr>
      </w:pPr>
      <w:r>
        <w:rPr>
          <w:rFonts w:cs="方正仿宋简体"/>
          <w:iCs/>
          <w:szCs w:val="21"/>
        </w:rPr>
        <w:t>8、终止清盘风险</w:t>
      </w:r>
    </w:p>
    <w:p>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pPr>
        <w:adjustRightInd w:val="0"/>
        <w:snapToGrid w:val="0"/>
        <w:spacing w:line="288" w:lineRule="auto"/>
        <w:ind w:firstLineChars="200" w:firstLine="420"/>
        <w:rPr>
          <w:rFonts w:cs="方正仿宋简体"/>
          <w:iCs/>
          <w:szCs w:val="21"/>
        </w:rPr>
      </w:pPr>
      <w:r>
        <w:rPr>
          <w:rFonts w:cs="方正仿宋简体"/>
          <w:iCs/>
          <w:szCs w:val="21"/>
        </w:rPr>
        <w:t>9、存托凭证投资风险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cs="方正仿宋简体"/>
          <w:iCs/>
          <w:szCs w:val="21"/>
        </w:rPr>
      </w:pPr>
      <w:r>
        <w:rPr>
          <w:rFonts w:cs="方正仿宋简体"/>
          <w:iCs/>
          <w:szCs w:val="21"/>
        </w:rPr>
        <w:t>10、投资科创板股票的风险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本基金可投资于科创板，若本基金投资于科创板股票，会面临科创板机制下因投资标的、市场制度以及交易规则等差异带来的特有风险。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11、北京证券交易所股票投资风险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本基金投资于北京证券交易所股票的，可能面临的风险包括经营风险、股价波动风险、退市风险、流动性风险、由于存在表决权差异安排可能引发的风险。</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与本基金或基金合同相关的一切争议将提交位于北京的中国国际经济贸易仲裁委员会仲裁，仲裁裁决是终局的，对仲裁各方当事人均具有约束力。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83f5e6a41ed9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83f5e6a41ed949b2"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