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富国上证科创板人工智能指数型发起式证券投资基金（A类份额）基金产品资料概要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2025年07月08日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2025年07月07日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富国上证科创板人工智能指数发起式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024763</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富国上证科创板人工智能指数发起式A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024763</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广发证券股份有限公司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股票型</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殷钦怡</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2017年04月17日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本基金采用指数化投资策略，紧密跟踪上证科创板人工智能指数。</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标的指数成份股、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换债券、短期融资券（含超短期融资券）、中期票据等）、资产支持证券、债券回购、银行存款、同业存单、衍生工具（含股指期货、国债期货、股票期权等）、货币市场工具以及中国证监会允许基金投资的其他金融工具（但须符合中国证监会相关规定）。</w:t>
            </w:r>
          </w:p>
          <w:p>
            <w:pPr>
              <w:pStyle w:val="ae"/>
            </w:pPr>
            <w:r>
              <w:rPr>
                <w:rFonts w:hint="eastAsia"/>
              </w:rPr>
              <w:t>本基金可根据法律法规的规定参与融资及转融通证券出借业务。</w:t>
            </w:r>
          </w:p>
          <w:p>
            <w:pPr>
              <w:pStyle w:val="ae"/>
            </w:pPr>
            <w:r>
              <w:rPr>
                <w:rFonts w:hint="eastAsia"/>
              </w:rPr>
              <w:t>如法律法规或监管机构以后允许基金投资其他品种，基金管理人在履行适当程序后，可以将其纳入投资范围。</w:t>
            </w:r>
          </w:p>
          <w:p>
            <w:pPr>
              <w:pStyle w:val="ae"/>
            </w:pPr>
            <w:r>
              <w:rPr>
                <w:rFonts w:hint="eastAsia"/>
              </w:rPr>
              <w:t>基金的投资组合比例为：本基金投资于标的指数成份股及备选成份股（均含存托凭证）的资产不低于基金资产净值的90%且不低于非现金基金资产的80%。每个交易日日终，在扣除股指期货合约、国债期货合约和股票期权合约需缴纳的交易保证金后，现金或到期日在一年以内的政府债券不低于基金资产净值的5%，其中现金不包括结算备付金、存出保证金、应收申购款等。</w:t>
            </w:r>
          </w:p>
          <w:p>
            <w:pPr>
              <w:pStyle w:val="ae"/>
            </w:pPr>
            <w:r>
              <w:rPr>
                <w:rFonts w:hint="eastAsia"/>
              </w:rPr>
              <w:t>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采用完全复制法，即按照标的指数的成份股组成及其权重构建基金股票投资组合，并根据标的指数成份股及其权重的变化进行相应调整。当预期指数成份股发生调整和成份股发生配股、增发、分红等行为时，或因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 在正常市场情况下，本基金力争将基金的净值增长率与业绩比较基准之间的日均跟踪偏离度绝对值控制在0.35%以内，年跟踪误差控制在4%以内。如因标的指数编制规则调整或其他因素导致跟踪偏离度和跟踪误差超过上述范围的，基金管理人将采取合理措施避免跟踪偏离度和跟踪误差进一步扩大。本基金的资产配置策略、存托凭证投资策略、债券投资策略、可转换债券（含分离交易可转换债券）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上证科创板人工智能指数收益率×95%+银行活期存款利率（税后）×5%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本基金为股票型基金，预期风险与预期收益高于混合型基金、债券型基金与货币市场基金。本基金为指数基金，具有与标的指数以及标的指数所代表的股票市场相似的风险收益特征。</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0.06%</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0.30%</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0.10%</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注：以上费用将从基金资产中扣除；本基金交易证券、基金等产生的费用和税负，按实际发生额从基金资产扣除。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基金投资对象与投资策略引致的特有风险等等。</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本基金的特有风险包括：1、指数化投资的风险</w:t>
      </w:r>
    </w:p>
    <w:p>
      <w:pPr>
        <w:adjustRightInd w:val="0"/>
        <w:snapToGrid w:val="0"/>
        <w:spacing w:line="288" w:lineRule="auto"/>
        <w:ind w:firstLineChars="200" w:firstLine="420"/>
        <w:rPr>
          <w:rFonts w:cs="方正仿宋简体"/>
          <w:iCs/>
          <w:szCs w:val="21"/>
        </w:rPr>
      </w:pPr>
      <w:r>
        <w:rPr>
          <w:rFonts w:cs="方正仿宋简体"/>
          <w:iCs/>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cs="方正仿宋简体"/>
          <w:iCs/>
          <w:szCs w:val="21"/>
        </w:rPr>
      </w:pPr>
      <w:r>
        <w:rPr>
          <w:rFonts w:cs="方正仿宋简体"/>
          <w:iCs/>
          <w:szCs w:val="21"/>
        </w:rPr>
        <w:t>2、投资科创板股票的风险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基金资产投资科创板股票，会面临科创板机制下因投资标的、市场制度以及交易规则等差异带来的特有风险。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3、股指期货、国债期货的投资风险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cs="方正仿宋简体"/>
          <w:iCs/>
          <w:szCs w:val="21"/>
        </w:rPr>
      </w:pPr>
      <w:r>
        <w:rPr>
          <w:rFonts w:cs="方正仿宋简体"/>
          <w:iCs/>
          <w:szCs w:val="21"/>
        </w:rPr>
        <w:t>4、股票期权的投资风险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cs="方正仿宋简体"/>
          <w:iCs/>
          <w:szCs w:val="21"/>
        </w:rPr>
      </w:pPr>
      <w:r>
        <w:rPr>
          <w:rFonts w:cs="方正仿宋简体"/>
          <w:iCs/>
          <w:szCs w:val="21"/>
        </w:rPr>
        <w:t>5、资产支持证券的投资风险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cs="方正仿宋简体"/>
          <w:iCs/>
          <w:szCs w:val="21"/>
        </w:rPr>
      </w:pPr>
      <w:r>
        <w:rPr>
          <w:rFonts w:cs="方正仿宋简体"/>
          <w:iCs/>
          <w:szCs w:val="21"/>
        </w:rPr>
        <w:t>6、参与融资业务的特殊风险</w:t>
      </w:r>
    </w:p>
    <w:p>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cs="方正仿宋简体"/>
          <w:iCs/>
          <w:szCs w:val="21"/>
        </w:rPr>
      </w:pPr>
      <w:r>
        <w:rPr>
          <w:rFonts w:cs="方正仿宋简体"/>
          <w:iCs/>
          <w:szCs w:val="21"/>
        </w:rPr>
        <w:t>7、基金参与转融通证券出借业务的风险</w:t>
      </w:r>
    </w:p>
    <w:p>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cs="方正仿宋简体"/>
          <w:iCs/>
          <w:szCs w:val="21"/>
        </w:rPr>
      </w:pPr>
      <w:r>
        <w:rPr>
          <w:rFonts w:cs="方正仿宋简体"/>
          <w:iCs/>
          <w:szCs w:val="21"/>
        </w:rPr>
        <w:t>8、存托凭证投资风险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cs="方正仿宋简体"/>
          <w:iCs/>
          <w:szCs w:val="21"/>
        </w:rPr>
      </w:pPr>
      <w:r>
        <w:rPr>
          <w:rFonts w:cs="方正仿宋简体"/>
          <w:iCs/>
          <w:szCs w:val="21"/>
        </w:rPr>
        <w:t>9、终止清盘风险</w:t>
      </w:r>
    </w:p>
    <w:p>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与本基金或基金合同相关的一切争议将提交位于上海的上海国际经济贸易仲裁委员会仲裁，仲裁裁决是终局的，对仲裁各方当事人均具有约束力。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6ee896e7ce9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6ee896e7ce90430d"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