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62" w:beforeLines="20" w:line="300" w:lineRule="exact"/>
        <w:ind w:right="19" w:rightChars="9"/>
        <w:jc w:val="center"/>
        <w:rPr>
          <w:rFonts w:hAnsi="宋体"/>
          <w:b/>
          <w:bCs/>
          <w:sz w:val="32"/>
          <w:szCs w:val="32"/>
        </w:rPr>
      </w:pPr>
      <w:r>
        <w:rPr>
          <w:rFonts w:hint="eastAsia" w:hAnsi="宋体"/>
          <w:b/>
          <w:bCs/>
          <w:sz w:val="32"/>
          <w:szCs w:val="32"/>
        </w:rPr>
        <w:drawing>
          <wp:anchor distT="0" distB="0" distL="114300" distR="114300" simplePos="0" relativeHeight="251659264" behindDoc="0" locked="0" layoutInCell="1" allowOverlap="1">
            <wp:simplePos x="0" y="0"/>
            <wp:positionH relativeFrom="column">
              <wp:posOffset>-7620</wp:posOffset>
            </wp:positionH>
            <wp:positionV relativeFrom="paragraph">
              <wp:posOffset>-490855</wp:posOffset>
            </wp:positionV>
            <wp:extent cx="986155" cy="371475"/>
            <wp:effectExtent l="0" t="0" r="4445" b="9525"/>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86155" cy="371475"/>
                    </a:xfrm>
                    <a:prstGeom prst="rect">
                      <a:avLst/>
                    </a:prstGeom>
                    <a:noFill/>
                    <a:ln>
                      <a:noFill/>
                    </a:ln>
                  </pic:spPr>
                </pic:pic>
              </a:graphicData>
            </a:graphic>
          </wp:anchor>
        </w:drawing>
      </w:r>
      <w:r>
        <w:rPr>
          <w:rFonts w:hint="eastAsia" w:hAnsi="宋体"/>
          <w:b/>
          <w:bCs/>
          <w:sz w:val="32"/>
          <w:szCs w:val="32"/>
        </w:rPr>
        <w:t>金石榴惠盈公司周周利2号定期开放净值型人民币</w:t>
      </w:r>
    </w:p>
    <w:p>
      <w:pPr>
        <w:autoSpaceDE w:val="0"/>
        <w:autoSpaceDN w:val="0"/>
        <w:adjustRightInd w:val="0"/>
        <w:spacing w:line="440" w:lineRule="exact"/>
        <w:jc w:val="center"/>
        <w:rPr>
          <w:rFonts w:hAnsi="宋体"/>
          <w:b/>
          <w:bCs/>
          <w:sz w:val="32"/>
          <w:szCs w:val="32"/>
        </w:rPr>
      </w:pPr>
      <w:r>
        <w:rPr>
          <w:rFonts w:hint="eastAsia" w:hAnsi="宋体"/>
          <w:b/>
          <w:bCs/>
          <w:sz w:val="32"/>
          <w:szCs w:val="32"/>
        </w:rPr>
        <w:t>理财产品风险揭示书</w:t>
      </w:r>
    </w:p>
    <w:p>
      <w:pPr>
        <w:autoSpaceDE w:val="0"/>
        <w:autoSpaceDN w:val="0"/>
        <w:adjustRightInd w:val="0"/>
        <w:spacing w:before="62" w:beforeLines="20" w:line="300" w:lineRule="exact"/>
        <w:ind w:right="19" w:rightChars="9"/>
        <w:jc w:val="left"/>
        <w:rPr>
          <w:rFonts w:ascii="宋体" w:cs="宋体"/>
          <w:b/>
          <w:bCs/>
        </w:rPr>
      </w:pPr>
      <w:r>
        <w:rPr>
          <w:rFonts w:hint="eastAsia" w:ascii="宋体" w:hAnsi="宋体" w:cs="宋体"/>
          <w:b/>
          <w:bCs/>
        </w:rPr>
        <w:t>尊敬的投资者：</w:t>
      </w:r>
    </w:p>
    <w:p>
      <w:pPr>
        <w:spacing w:before="62" w:beforeLines="20" w:line="300" w:lineRule="exact"/>
        <w:rPr>
          <w:rFonts w:ascii="宋体" w:cs="宋体"/>
          <w:b/>
          <w:bCs/>
          <w:sz w:val="30"/>
          <w:szCs w:val="30"/>
        </w:rPr>
      </w:pPr>
      <w:r>
        <w:rPr>
          <w:rFonts w:hint="eastAsia" w:ascii="宋体" w:hAnsi="宋体" w:cs="宋体"/>
          <w:b/>
          <w:bCs/>
          <w:sz w:val="30"/>
          <w:szCs w:val="30"/>
        </w:rPr>
        <w:t>理财非存款、产品有风险、投资须谨慎。</w:t>
      </w:r>
    </w:p>
    <w:p>
      <w:pPr>
        <w:spacing w:before="62" w:beforeLines="20" w:line="300" w:lineRule="exact"/>
        <w:ind w:firstLine="420" w:firstLineChars="200"/>
        <w:rPr>
          <w:rFonts w:ascii="宋体" w:cs="宋体"/>
          <w:bCs/>
        </w:rPr>
      </w:pPr>
      <w:r>
        <w:rPr>
          <w:rFonts w:hint="eastAsia" w:ascii="宋体" w:hAnsi="宋体" w:cs="宋体"/>
          <w:bCs/>
        </w:rPr>
        <w:t>如影响您风险承受能力的因素发生变化，请及时完成风险承受能力评估</w:t>
      </w:r>
    </w:p>
    <w:p>
      <w:pPr>
        <w:spacing w:before="62" w:beforeLines="20" w:line="300" w:lineRule="exact"/>
        <w:ind w:firstLine="420" w:firstLineChars="200"/>
        <w:rPr>
          <w:rFonts w:ascii="宋体" w:cs="宋体"/>
          <w:bCs/>
        </w:rPr>
      </w:pPr>
      <w:r>
        <w:rPr>
          <w:rFonts w:hint="eastAsia" w:ascii="宋体" w:hAnsi="宋体" w:cs="宋体"/>
          <w:bCs/>
        </w:rPr>
        <w:t>投资者在购买本产品前应注意投资风险，仔细阅读本产品说明书，了解本产品具体情况。</w:t>
      </w:r>
    </w:p>
    <w:p>
      <w:pPr>
        <w:spacing w:before="62" w:beforeLines="20" w:line="300" w:lineRule="exact"/>
        <w:ind w:firstLine="422" w:firstLineChars="200"/>
        <w:rPr>
          <w:rFonts w:ascii="宋体" w:cs="宋体"/>
          <w:b/>
          <w:bCs/>
        </w:rPr>
      </w:pPr>
      <w:r>
        <w:rPr>
          <w:rFonts w:hint="eastAsia" w:ascii="宋体" w:hAnsi="宋体" w:cs="宋体"/>
          <w:b/>
          <w:bCs/>
          <w:kern w:val="0"/>
          <w:lang w:val="zh-CN"/>
        </w:rPr>
        <w:t>本理财产品为</w:t>
      </w:r>
      <w:r>
        <w:rPr>
          <w:rFonts w:hint="eastAsia" w:ascii="宋体" w:hAnsi="宋体" w:cs="宋体"/>
          <w:b/>
          <w:bCs/>
        </w:rPr>
        <w:t>非保本开放式</w:t>
      </w:r>
      <w:r>
        <w:rPr>
          <w:rFonts w:hint="eastAsia" w:ascii="宋体" w:hAnsi="宋体" w:cs="宋体"/>
          <w:b/>
          <w:bCs/>
          <w:kern w:val="0"/>
          <w:lang w:val="zh-CN"/>
        </w:rPr>
        <w:t>净值型</w:t>
      </w:r>
      <w:bookmarkStart w:id="0" w:name="_GoBack"/>
      <w:r>
        <w:rPr>
          <w:rFonts w:hint="eastAsia" w:ascii="宋体" w:hAnsi="宋体" w:cs="宋体"/>
          <w:b/>
          <w:bCs/>
          <w:kern w:val="0"/>
          <w:lang w:val="zh-CN"/>
        </w:rPr>
        <w:t>理财产品，</w:t>
      </w:r>
      <w:r>
        <w:rPr>
          <w:rFonts w:hint="eastAsia" w:ascii="宋体" w:hAnsi="宋体" w:cs="宋体"/>
          <w:b/>
          <w:bCs/>
        </w:rPr>
        <w:t>投资期限见产品说明书，</w:t>
      </w:r>
      <w:r>
        <w:rPr>
          <w:rFonts w:hint="eastAsia" w:ascii="宋体" w:hAnsi="宋体" w:cs="宋体"/>
          <w:b/>
          <w:bCs/>
          <w:kern w:val="0"/>
          <w:lang w:val="zh-CN"/>
        </w:rPr>
        <w:t>风险评级为</w:t>
      </w:r>
      <w:r>
        <w:rPr>
          <w:rFonts w:hint="eastAsia" w:ascii="宋体" w:hAnsi="宋体" w:cs="宋体"/>
          <w:b/>
          <w:bCs/>
        </w:rPr>
        <w:t>★★，风险中</w:t>
      </w:r>
      <w:r>
        <w:rPr>
          <w:rFonts w:hint="eastAsia" w:ascii="宋体" w:hAnsi="宋体" w:cs="宋体"/>
          <w:b/>
          <w:bCs/>
          <w:lang w:val="en-US" w:eastAsia="zh-CN"/>
        </w:rPr>
        <w:t>低</w:t>
      </w:r>
      <w:r>
        <w:rPr>
          <w:rFonts w:hint="eastAsia" w:ascii="宋体" w:hAnsi="宋体" w:cs="宋体"/>
          <w:b/>
          <w:bCs/>
        </w:rPr>
        <w:t>。经苏州银行股份有限公司风险评估，适合投资者类别为谨慎型、稳健型、进取型、激进型的投资者。</w:t>
      </w:r>
    </w:p>
    <w:p>
      <w:pPr>
        <w:spacing w:before="62" w:beforeLines="20" w:line="300" w:lineRule="exact"/>
        <w:ind w:firstLine="422" w:firstLineChars="200"/>
        <w:rPr>
          <w:rFonts w:ascii="宋体" w:hAnsi="宋体" w:cs="宋体"/>
          <w:b/>
          <w:bCs/>
        </w:rPr>
      </w:pPr>
      <w:r>
        <w:rPr>
          <w:rFonts w:hint="eastAsia" w:ascii="宋体" w:hAnsi="宋体" w:cs="宋体"/>
          <w:b/>
          <w:bCs/>
        </w:rPr>
        <w:t>苏州银行不对</w:t>
      </w:r>
      <w:r>
        <w:rPr>
          <w:rFonts w:hint="eastAsia" w:ascii="宋体" w:hAnsi="宋体" w:cs="宋体"/>
          <w:b/>
          <w:bCs/>
          <w:kern w:val="0"/>
          <w:lang w:val="zh-CN"/>
        </w:rPr>
        <w:t>本理财产品的本金和收益提供保证承诺，在发生最不利情况下（可能但并不一定发生），投资者可能无法取得本金及收益，</w:t>
      </w:r>
      <w:r>
        <w:rPr>
          <w:rFonts w:hint="eastAsia" w:ascii="宋体" w:hAnsi="宋体" w:cs="宋体"/>
          <w:b/>
          <w:bCs/>
        </w:rPr>
        <w:t>您应当充分认识投资风险，谨慎投资。</w:t>
      </w:r>
    </w:p>
    <w:p>
      <w:pPr>
        <w:spacing w:before="62" w:beforeLines="20" w:line="300" w:lineRule="exact"/>
        <w:ind w:firstLine="420" w:firstLineChars="200"/>
        <w:rPr>
          <w:rFonts w:ascii="宋体" w:hAnsi="宋体" w:cs="宋体"/>
          <w:bCs/>
        </w:rPr>
      </w:pPr>
      <w:r>
        <w:rPr>
          <w:rFonts w:hint="eastAsia" w:ascii="宋体" w:hAnsi="宋体" w:cs="宋体"/>
          <w:bCs/>
        </w:rPr>
        <w:t>示例：若投资者购买本理财产品，理财本金为5万元，在资产组合项下资产全部亏损的最不利情况下，理财本金5万元将全部损失。</w:t>
      </w:r>
    </w:p>
    <w:p>
      <w:pPr>
        <w:spacing w:before="62" w:beforeLines="20" w:line="300" w:lineRule="exact"/>
        <w:ind w:firstLine="422" w:firstLineChars="200"/>
        <w:rPr>
          <w:rFonts w:ascii="宋体" w:cs="宋体"/>
          <w:b/>
          <w:bCs/>
        </w:rPr>
      </w:pPr>
      <w:r>
        <w:rPr>
          <w:rFonts w:hint="eastAsia" w:ascii="宋体" w:hAnsi="宋体" w:cs="宋体"/>
          <w:b/>
          <w:bCs/>
        </w:rPr>
        <w:t>请投资者根据自身理财目标、投资经验、财务状况、风险承受能力以及其他相关情况慎重考虑购买本理财产品。本风险揭示书旨在揭示本理财产品可能面临的各种风险，包括但不限于：</w:t>
      </w:r>
    </w:p>
    <w:p>
      <w:pPr>
        <w:autoSpaceDE w:val="0"/>
        <w:autoSpaceDN w:val="0"/>
        <w:adjustRightInd w:val="0"/>
        <w:spacing w:before="62" w:beforeLines="20" w:line="300" w:lineRule="exact"/>
        <w:ind w:right="19" w:rightChars="9" w:firstLine="413" w:firstLineChars="196"/>
        <w:jc w:val="left"/>
        <w:rPr>
          <w:rFonts w:ascii="宋体" w:cs="宋体"/>
          <w:bCs/>
        </w:rPr>
      </w:pPr>
      <w:r>
        <w:rPr>
          <w:rFonts w:ascii="宋体" w:hAnsi="宋体" w:cs="宋体"/>
          <w:b/>
          <w:bCs/>
        </w:rPr>
        <w:t>1</w:t>
      </w:r>
      <w:r>
        <w:rPr>
          <w:rFonts w:hint="eastAsia" w:ascii="宋体" w:hAnsi="宋体" w:cs="宋体"/>
          <w:b/>
          <w:bCs/>
        </w:rPr>
        <w:t>．政策风险：</w:t>
      </w:r>
      <w:r>
        <w:rPr>
          <w:rFonts w:hint="eastAsia" w:ascii="宋体" w:hAnsi="宋体" w:cs="宋体"/>
          <w:bCs/>
        </w:rPr>
        <w:t>本理财产品是针对当前的相关法规和政策设计的。如国家宏观政策以及市场相关法规政策发生变化，可能影响理财产品的受理、投资</w:t>
      </w:r>
      <w:bookmarkEnd w:id="0"/>
      <w:r>
        <w:rPr>
          <w:rFonts w:hint="eastAsia" w:ascii="宋体" w:hAnsi="宋体" w:cs="宋体"/>
          <w:bCs/>
        </w:rPr>
        <w:t>、偿还等的正常进行，导致本理财产品净值下降。</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ascii="宋体" w:hAnsi="宋体" w:cs="宋体"/>
          <w:b/>
          <w:bCs/>
        </w:rPr>
        <w:t>2</w:t>
      </w:r>
      <w:r>
        <w:rPr>
          <w:rFonts w:hint="eastAsia" w:ascii="宋体" w:hAnsi="宋体" w:cs="宋体"/>
          <w:b/>
          <w:bCs/>
        </w:rPr>
        <w:t>．信用风险：</w:t>
      </w:r>
      <w:r>
        <w:rPr>
          <w:rFonts w:hint="eastAsia" w:ascii="宋体" w:hAnsi="宋体" w:cs="宋体"/>
          <w:bCs/>
        </w:rPr>
        <w:t>本期产品主要投资于货币市场工具，银行存款及银行间资金融通工具，国债、政策性金融债、央行票据、短期融资券、中期票据、企业债、公司债等银行间、交易所市场债券及债务融资工具，其它固定收益类短期投资工具，定向（专项）资产管理计划，证券投资基金，或符合监管机构规定且风险程度不高于上述投资品种的其它金融资产及其组合。其中存款、债券等债权类资产的比例不低于80%。如出现所投资产融资人不能足额兑付本息、回购及同业存款交易对手违约等极端情况，投资者将面临投资资金遭受损失的风险。</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ascii="宋体" w:hAnsi="宋体" w:cs="宋体"/>
          <w:b/>
          <w:bCs/>
        </w:rPr>
        <w:t>3</w:t>
      </w:r>
      <w:r>
        <w:rPr>
          <w:rFonts w:hint="eastAsia" w:ascii="宋体" w:hAnsi="宋体" w:cs="宋体"/>
          <w:b/>
          <w:bCs/>
        </w:rPr>
        <w:t>．流动性风险：</w:t>
      </w:r>
      <w:r>
        <w:rPr>
          <w:rFonts w:hint="eastAsia" w:ascii="宋体" w:hAnsi="宋体" w:cs="宋体"/>
          <w:bCs/>
        </w:rPr>
        <w:t>本产品无法进行赎回交易，且理财投资者无提前终止权，在产品存续期如果投资者产生流动性需求，可能面临理财产品不能随时变现、持有期与资金需求日不匹配的流动性风险。</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ascii="宋体" w:hAnsi="宋体" w:cs="宋体"/>
          <w:b/>
          <w:bCs/>
        </w:rPr>
        <w:t>4</w:t>
      </w:r>
      <w:r>
        <w:rPr>
          <w:rFonts w:hint="eastAsia" w:ascii="宋体" w:hAnsi="宋体" w:cs="宋体"/>
          <w:b/>
          <w:bCs/>
        </w:rPr>
        <w:t>．市场风险：</w:t>
      </w:r>
      <w:r>
        <w:rPr>
          <w:rFonts w:hint="eastAsia" w:ascii="宋体" w:hAnsi="宋体" w:cs="宋体"/>
          <w:bCs/>
        </w:rPr>
        <w:t>由于金融市场内在波动性，投资者投资本产品将面临一定的市场风险。产品存续期间若银行存款和其他投资市场资产投资收益发生波动，则投资者面临承担理财资金配置存款和其他投资市场资产配置的机会成本风险。</w:t>
      </w:r>
    </w:p>
    <w:p>
      <w:pPr>
        <w:autoSpaceDE w:val="0"/>
        <w:autoSpaceDN w:val="0"/>
        <w:adjustRightInd w:val="0"/>
        <w:spacing w:before="62" w:beforeLines="20" w:line="300" w:lineRule="exact"/>
        <w:ind w:right="19" w:rightChars="9" w:firstLine="413" w:firstLineChars="196"/>
        <w:jc w:val="left"/>
        <w:rPr>
          <w:rFonts w:ascii="宋体" w:hAnsi="宋体" w:cs="宋体"/>
          <w:b/>
          <w:bCs/>
        </w:rPr>
      </w:pPr>
      <w:r>
        <w:rPr>
          <w:rFonts w:hint="eastAsia" w:ascii="宋体" w:hAnsi="宋体" w:cs="宋体"/>
          <w:b/>
          <w:bCs/>
        </w:rPr>
        <w:t>5.管理风险：</w:t>
      </w:r>
      <w:r>
        <w:rPr>
          <w:rFonts w:hint="eastAsia" w:ascii="宋体" w:hAnsi="宋体" w:cs="宋体"/>
          <w:bCs/>
        </w:rPr>
        <w:t>货币市场工具类、债券等固定收益类以及银监会认可的其他金融投资工具。在资产管理运作过程中，由于管理人的知识、经验、判断、决策、技能等主观因素的限制而影响其对信息的占有以及对经济走势、证券价格走势的判断，可能对产品的运作及管理造成一定影响，并因此影响投资者收益，甚至造成本产品净值下跌。</w:t>
      </w:r>
    </w:p>
    <w:p>
      <w:pPr>
        <w:autoSpaceDE w:val="0"/>
        <w:autoSpaceDN w:val="0"/>
        <w:adjustRightInd w:val="0"/>
        <w:spacing w:before="62" w:beforeLines="20" w:line="300" w:lineRule="exact"/>
        <w:ind w:right="19" w:rightChars="9" w:firstLine="413" w:firstLineChars="196"/>
        <w:jc w:val="left"/>
        <w:rPr>
          <w:rFonts w:ascii="宋体" w:hAnsi="宋体" w:cs="宋体"/>
          <w:b/>
          <w:bCs/>
        </w:rPr>
      </w:pPr>
      <w:r>
        <w:rPr>
          <w:rFonts w:hint="eastAsia" w:ascii="宋体" w:hAnsi="宋体" w:cs="宋体"/>
          <w:b/>
          <w:bCs/>
        </w:rPr>
        <w:t>6</w:t>
      </w:r>
      <w:r>
        <w:rPr>
          <w:rFonts w:ascii="宋体" w:hAnsi="宋体" w:cs="宋体"/>
          <w:b/>
          <w:bCs/>
        </w:rPr>
        <w:t>.</w:t>
      </w:r>
      <w:r>
        <w:rPr>
          <w:rFonts w:hint="eastAsia" w:ascii="宋体" w:hAnsi="宋体" w:cs="宋体"/>
          <w:b/>
          <w:bCs/>
        </w:rPr>
        <w:t>交易对手管理风险：</w:t>
      </w:r>
      <w:r>
        <w:rPr>
          <w:rFonts w:hint="eastAsia" w:ascii="宋体" w:hAnsi="宋体" w:cs="宋体"/>
          <w:bCs/>
        </w:rPr>
        <w:t>如合作的交易对手违背合作文件、处理事务不当，可能会影响本期理财产品的管理，导致本期理财产品项下资金遭受损失。</w:t>
      </w:r>
    </w:p>
    <w:p>
      <w:pPr>
        <w:autoSpaceDE w:val="0"/>
        <w:autoSpaceDN w:val="0"/>
        <w:adjustRightInd w:val="0"/>
        <w:spacing w:before="62" w:beforeLines="20" w:line="300" w:lineRule="exact"/>
        <w:ind w:right="19" w:rightChars="9" w:firstLine="413" w:firstLineChars="196"/>
        <w:jc w:val="left"/>
        <w:rPr>
          <w:rFonts w:ascii="宋体" w:hAnsi="宋体" w:cs="宋体"/>
          <w:b/>
          <w:bCs/>
        </w:rPr>
      </w:pPr>
      <w:r>
        <w:rPr>
          <w:rFonts w:hint="eastAsia" w:ascii="宋体" w:hAnsi="宋体" w:cs="宋体"/>
          <w:b/>
          <w:bCs/>
        </w:rPr>
        <w:t>7</w:t>
      </w:r>
      <w:r>
        <w:rPr>
          <w:rFonts w:ascii="宋体" w:hAnsi="宋体" w:cs="宋体"/>
          <w:b/>
          <w:bCs/>
        </w:rPr>
        <w:t>.</w:t>
      </w:r>
      <w:r>
        <w:rPr>
          <w:rFonts w:hint="eastAsia" w:ascii="宋体" w:hAnsi="宋体" w:cs="宋体"/>
          <w:b/>
          <w:bCs/>
        </w:rPr>
        <w:t>理财产品不成立风险：</w:t>
      </w:r>
      <w:r>
        <w:rPr>
          <w:rFonts w:hint="eastAsia" w:ascii="宋体" w:hAnsi="宋体" w:cs="宋体"/>
          <w:bCs/>
        </w:rPr>
        <w:t>如自本理财产品开始认购至认购结束的期间，理财产品认购总金额未达到规模下限或市场发生剧烈波动，经苏州银行合理判断难以按照本产品说明书规定向投资者提供本理财产品，苏州银行有权宣布本理财产品不成立。</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hint="eastAsia" w:ascii="宋体" w:hAnsi="宋体" w:cs="宋体"/>
          <w:b/>
          <w:bCs/>
        </w:rPr>
        <w:t>8</w:t>
      </w:r>
      <w:r>
        <w:rPr>
          <w:rFonts w:ascii="宋体" w:hAnsi="宋体" w:cs="宋体"/>
          <w:b/>
          <w:bCs/>
        </w:rPr>
        <w:t>.</w:t>
      </w:r>
      <w:r>
        <w:rPr>
          <w:rFonts w:hint="eastAsia" w:ascii="宋体" w:hAnsi="宋体" w:cs="宋体"/>
          <w:b/>
          <w:bCs/>
        </w:rPr>
        <w:t>提前终止的风险：</w:t>
      </w:r>
      <w:r>
        <w:rPr>
          <w:rFonts w:hint="eastAsia" w:ascii="宋体" w:hAnsi="宋体" w:cs="宋体"/>
          <w:bCs/>
        </w:rPr>
        <w:t>在投资期内，如本理财产品发生产品说明书“提前终止”部分规定的情形，苏州银行有权提前终止本产品。投资者可能面临不能按预期投资计划取得投资收益及再投资的风险。</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hint="eastAsia" w:ascii="宋体" w:hAnsi="宋体" w:cs="宋体"/>
          <w:b/>
          <w:bCs/>
        </w:rPr>
        <w:t>9</w:t>
      </w:r>
      <w:r>
        <w:rPr>
          <w:rFonts w:ascii="宋体" w:hAnsi="宋体" w:cs="宋体"/>
          <w:b/>
          <w:bCs/>
        </w:rPr>
        <w:t>.</w:t>
      </w:r>
      <w:r>
        <w:rPr>
          <w:rFonts w:hint="eastAsia" w:ascii="宋体" w:hAnsi="宋体" w:cs="宋体"/>
          <w:b/>
          <w:bCs/>
        </w:rPr>
        <w:t>延期风险：</w:t>
      </w:r>
      <w:r>
        <w:rPr>
          <w:rFonts w:hint="eastAsia" w:ascii="宋体" w:hAnsi="宋体" w:cs="宋体"/>
          <w:bCs/>
        </w:rPr>
        <w:t>如因本产品项下对应的资产或资产组合延期或无法变现等原因造成本产品不能按时分红或兑付投资者资金，或因技术因素而产生的风险，如电脑系统故障等可能会造成资金兑付延迟，投资者将面对延期兑付的风险。</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hint="eastAsia" w:ascii="宋体" w:hAnsi="宋体" w:cs="宋体"/>
          <w:b/>
          <w:bCs/>
        </w:rPr>
        <w:t>10</w:t>
      </w:r>
      <w:r>
        <w:rPr>
          <w:rFonts w:ascii="宋体" w:hAnsi="宋体" w:cs="宋体"/>
          <w:b/>
          <w:bCs/>
        </w:rPr>
        <w:t>.</w:t>
      </w:r>
      <w:r>
        <w:rPr>
          <w:rFonts w:hint="eastAsia" w:ascii="宋体" w:hAnsi="宋体" w:cs="宋体"/>
          <w:b/>
          <w:bCs/>
        </w:rPr>
        <w:t>不可抗力风险：</w:t>
      </w:r>
      <w:r>
        <w:rPr>
          <w:rFonts w:hint="eastAsia" w:ascii="宋体" w:hAnsi="宋体" w:cs="宋体"/>
          <w:bCs/>
        </w:rPr>
        <w:t>指由于自然灾害、战争等不可抗力因素的出现，将严重影响金融市场的正常运行，可能影响理财产品的受理、投资、偿还等的正常进行，甚至导致本理财产品净值下降甚至本金损失。对于由不可抗力风险所导致的任何损失，由投资者自行承担，苏州银行对此不承担任何责任。</w:t>
      </w:r>
    </w:p>
    <w:p>
      <w:pPr>
        <w:autoSpaceDE w:val="0"/>
        <w:autoSpaceDN w:val="0"/>
        <w:adjustRightInd w:val="0"/>
        <w:spacing w:before="62" w:beforeLines="20" w:line="300" w:lineRule="exact"/>
        <w:ind w:right="19" w:rightChars="9" w:firstLine="413" w:firstLineChars="196"/>
        <w:jc w:val="left"/>
        <w:rPr>
          <w:rFonts w:ascii="宋体" w:hAnsi="宋体" w:cs="宋体"/>
          <w:bCs/>
        </w:rPr>
      </w:pPr>
      <w:r>
        <w:rPr>
          <w:rFonts w:hint="eastAsia" w:ascii="宋体" w:hAnsi="宋体" w:cs="宋体"/>
          <w:b/>
          <w:bCs/>
        </w:rPr>
        <w:t>11.信息传递风险：</w:t>
      </w:r>
      <w:r>
        <w:rPr>
          <w:rFonts w:hint="eastAsia" w:ascii="宋体" w:hAnsi="宋体" w:cs="宋体"/>
          <w:bCs/>
        </w:rPr>
        <w:t>苏州银行将按照本说明书的约定进行产品信息披露，投资者应充分关注并及时主动查询苏州银行披露的本产品相关信息。投资者预留的有效联系方式发生变更的，亦应及时通知苏州银行。如投资者未及时采用相关方式在相关渠道查询相关信息，或预留联系方式变更未及时通知苏州银行，导致苏州银行在其认为需要时无法及时联系到投资者的，或者是由于通讯故障、系统故障等因素导致投资者未及时了解信息，可能会影响投资者的投资决策，因此而产生的责任和风险由投资者自行承担。</w:t>
      </w:r>
    </w:p>
    <w:p/>
    <w:p>
      <w:pPr>
        <w:jc w:val="center"/>
        <w:rPr>
          <w:b/>
          <w:sz w:val="28"/>
        </w:rPr>
      </w:pPr>
      <w:r>
        <w:rPr>
          <w:rFonts w:hint="eastAsia"/>
          <w:b/>
          <w:sz w:val="28"/>
        </w:rPr>
        <w:t>投资者确认栏</w:t>
      </w:r>
    </w:p>
    <w:p>
      <w:pPr>
        <w:ind w:firstLine="420"/>
      </w:pPr>
      <w:r>
        <w:rPr>
          <w:rFonts w:hint="eastAsia"/>
        </w:rPr>
        <w:t>1. 本投资者经销售机构评估的风险承受能力等级为：____________（</w:t>
      </w:r>
      <w:r>
        <w:rPr>
          <w:rFonts w:hint="eastAsia"/>
          <w:b/>
        </w:rPr>
        <w:t>保守型、谨慎型、稳健型、进取型、激进型）</w:t>
      </w:r>
      <w:r>
        <w:rPr>
          <w:rFonts w:hint="eastAsia"/>
        </w:rPr>
        <w:t>。如果影响本投资者风险承受能力的因素发生变化，将及时完成风险承受能力评估，否则由此产生的责任和风险由本投资者自行承担。</w:t>
      </w:r>
      <w:r>
        <w:rPr>
          <w:rFonts w:hint="eastAsia"/>
          <w:b/>
        </w:rPr>
        <w:t>（仅由个人投资者亲自填写）</w:t>
      </w:r>
    </w:p>
    <w:p>
      <w:pPr>
        <w:ind w:firstLine="420"/>
      </w:pPr>
      <w:r>
        <w:rPr>
          <w:rFonts w:hint="eastAsia"/>
        </w:rPr>
        <w:t>2. 本投资者已阅读并充分理解本风险揭示书及《苏州银行股份有限公司理财产品投资协议书》、《理财产品说明书》、《投资者权益须知》等理财产品销售文件的全部条款和内容，充分了解履行上述文件的责任，具有识别及承担相关风险的能力，充分了解本理财产品的风险并愿意承担相关风险。</w:t>
      </w:r>
    </w:p>
    <w:p>
      <w:pPr>
        <w:ind w:firstLine="420"/>
      </w:pPr>
      <w:r>
        <w:rPr>
          <w:rFonts w:hint="eastAsia"/>
        </w:rPr>
        <w:t>3. 如通过电子渠道购买，认购/申购确认即视为您同意自身风险承受能力评级并确认风险揭示内容，愿意承担投资风险，该等确认与书面签署具有同等效力，无需另行签署纸质文件。</w:t>
      </w:r>
    </w:p>
    <w:p>
      <w:pPr>
        <w:ind w:firstLine="420"/>
      </w:pPr>
      <w:r>
        <w:rPr>
          <w:rFonts w:hint="eastAsia"/>
        </w:rPr>
        <w:t>4. 以下划线部分，请投资者</w:t>
      </w:r>
      <w:r>
        <w:rPr>
          <w:rFonts w:hint="eastAsia"/>
          <w:b/>
        </w:rPr>
        <w:t>亲自抄录确认</w:t>
      </w:r>
      <w:r>
        <w:rPr>
          <w:rFonts w:hint="eastAsia"/>
        </w:rPr>
        <w:t>：</w:t>
      </w:r>
      <w:r>
        <w:rPr>
          <w:rFonts w:hint="eastAsia"/>
          <w:b/>
        </w:rPr>
        <w:t>“</w:t>
      </w:r>
      <w:r>
        <w:rPr>
          <w:rFonts w:hint="eastAsia"/>
          <w:b/>
          <w:u w:val="single"/>
        </w:rPr>
        <w:t>本人已经阅读风险揭示，愿意承担投资风险</w:t>
      </w:r>
      <w:r>
        <w:rPr>
          <w:rFonts w:hint="eastAsia"/>
          <w:b/>
        </w:rPr>
        <w:t>”</w:t>
      </w:r>
    </w:p>
    <w:p>
      <w:r>
        <w:rPr>
          <w:rFonts w:hint="eastAsia"/>
        </w:rPr>
        <w:t>个人投资者抄录：______________________________________________________________</w:t>
      </w:r>
    </w:p>
    <w:p/>
    <w:p>
      <w:r>
        <w:rPr>
          <w:rFonts w:hint="eastAsia"/>
        </w:rPr>
        <w:t>个人投资者确认（签名）：________________          日期：_______年____月____日</w:t>
      </w:r>
    </w:p>
    <w:p/>
    <w:p/>
    <w:p>
      <w:pPr>
        <w:rPr>
          <w:b/>
        </w:rPr>
      </w:pPr>
      <w:r>
        <w:rPr>
          <w:rFonts w:hint="eastAsia"/>
          <w:b/>
        </w:rPr>
        <w:t>（以下由机构投资者填写）</w:t>
      </w:r>
    </w:p>
    <w:p>
      <w:r>
        <w:rPr>
          <w:rFonts w:hint="eastAsia"/>
        </w:rPr>
        <w:t>机构投资者确认（单位公章）：</w:t>
      </w:r>
    </w:p>
    <w:p/>
    <w:p/>
    <w:p>
      <w:r>
        <w:rPr>
          <w:rFonts w:hint="eastAsia"/>
        </w:rPr>
        <w:t>法定代表人（签章）或授权代理人：                 日期：_______年____月____日</w:t>
      </w:r>
    </w:p>
    <w:p>
      <w:pPr>
        <w:autoSpaceDE w:val="0"/>
        <w:autoSpaceDN w:val="0"/>
        <w:adjustRightInd w:val="0"/>
        <w:spacing w:before="62" w:beforeLines="20" w:line="300" w:lineRule="exact"/>
        <w:ind w:right="19" w:rightChars="9" w:firstLine="413" w:firstLineChars="196"/>
        <w:jc w:val="left"/>
        <w:rPr>
          <w:rFonts w:ascii="宋体" w:hAnsi="宋体"/>
          <w:b/>
          <w:bCs/>
        </w:rPr>
      </w:pPr>
    </w:p>
    <w:p>
      <w:pPr>
        <w:spacing w:line="300" w:lineRule="exact"/>
        <w:ind w:firstLine="420" w:firstLineChars="200"/>
        <w:rPr>
          <w:rFonts w:hint="eastAsia" w:ascii="宋体" w:hAnsi="宋体"/>
          <w:bCs/>
          <w:kern w:val="0"/>
          <w:lang w:val="zh-CN"/>
        </w:rPr>
      </w:pPr>
    </w:p>
    <w:p/>
    <w:sectPr>
      <w:headerReference r:id="rId3" w:type="default"/>
      <w:pgSz w:w="11906" w:h="16838"/>
      <w:pgMar w:top="1418"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b/>
        <w:sz w:val="22"/>
        <w:szCs w:val="21"/>
      </w:rPr>
    </w:pPr>
    <w:r>
      <w:rPr>
        <w:rFonts w:hint="eastAsia" w:ascii="宋体" w:hAnsi="宋体" w:cs="宋体"/>
        <w:b/>
        <w:bCs/>
        <w:sz w:val="21"/>
        <w:szCs w:val="21"/>
      </w:rPr>
      <w:t xml:space="preserve">   理财非存款、产品有风险、投资须谨慎   </w:t>
    </w:r>
    <w:r>
      <w:rPr>
        <w:rFonts w:ascii="宋体" w:hAnsi="宋体" w:cs="宋体"/>
        <w:b/>
        <w:bCs/>
        <w:sz w:val="21"/>
        <w:szCs w:val="21"/>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V.202404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FC"/>
    <w:rsid w:val="00002FAB"/>
    <w:rsid w:val="000076B1"/>
    <w:rsid w:val="000106D8"/>
    <w:rsid w:val="000150D6"/>
    <w:rsid w:val="000162E9"/>
    <w:rsid w:val="0001675B"/>
    <w:rsid w:val="000216C8"/>
    <w:rsid w:val="00025DAD"/>
    <w:rsid w:val="0002704E"/>
    <w:rsid w:val="00027E3A"/>
    <w:rsid w:val="00035539"/>
    <w:rsid w:val="000363E7"/>
    <w:rsid w:val="0003730D"/>
    <w:rsid w:val="0004175B"/>
    <w:rsid w:val="000428C2"/>
    <w:rsid w:val="000465D1"/>
    <w:rsid w:val="0005478F"/>
    <w:rsid w:val="00054D4B"/>
    <w:rsid w:val="00055CE3"/>
    <w:rsid w:val="0005628E"/>
    <w:rsid w:val="0007168B"/>
    <w:rsid w:val="00082F81"/>
    <w:rsid w:val="00084211"/>
    <w:rsid w:val="00087772"/>
    <w:rsid w:val="00091C57"/>
    <w:rsid w:val="0009328B"/>
    <w:rsid w:val="00094AD2"/>
    <w:rsid w:val="00097791"/>
    <w:rsid w:val="000A2FD2"/>
    <w:rsid w:val="000A36BC"/>
    <w:rsid w:val="000A575D"/>
    <w:rsid w:val="000A5E89"/>
    <w:rsid w:val="000A6466"/>
    <w:rsid w:val="000A7730"/>
    <w:rsid w:val="000B4E77"/>
    <w:rsid w:val="000C0582"/>
    <w:rsid w:val="000D5812"/>
    <w:rsid w:val="000D5C13"/>
    <w:rsid w:val="000D5C64"/>
    <w:rsid w:val="000E0DC7"/>
    <w:rsid w:val="000E2024"/>
    <w:rsid w:val="000E2356"/>
    <w:rsid w:val="000E4C08"/>
    <w:rsid w:val="000E7812"/>
    <w:rsid w:val="000F26EF"/>
    <w:rsid w:val="000F4300"/>
    <w:rsid w:val="00102598"/>
    <w:rsid w:val="001032CC"/>
    <w:rsid w:val="00114D08"/>
    <w:rsid w:val="00116315"/>
    <w:rsid w:val="00140164"/>
    <w:rsid w:val="00154374"/>
    <w:rsid w:val="001577A5"/>
    <w:rsid w:val="00163379"/>
    <w:rsid w:val="00163AD7"/>
    <w:rsid w:val="00167ED9"/>
    <w:rsid w:val="00170D37"/>
    <w:rsid w:val="00172FD0"/>
    <w:rsid w:val="00173F65"/>
    <w:rsid w:val="0018113A"/>
    <w:rsid w:val="00184B97"/>
    <w:rsid w:val="00185C65"/>
    <w:rsid w:val="00193E1C"/>
    <w:rsid w:val="00196572"/>
    <w:rsid w:val="001A158D"/>
    <w:rsid w:val="001A63B3"/>
    <w:rsid w:val="001B0CB2"/>
    <w:rsid w:val="001C2E47"/>
    <w:rsid w:val="001D1242"/>
    <w:rsid w:val="001D72EF"/>
    <w:rsid w:val="001E14B4"/>
    <w:rsid w:val="001E1940"/>
    <w:rsid w:val="001E36EA"/>
    <w:rsid w:val="001F0EE2"/>
    <w:rsid w:val="00200EE2"/>
    <w:rsid w:val="00203332"/>
    <w:rsid w:val="00203E73"/>
    <w:rsid w:val="00212CBA"/>
    <w:rsid w:val="00231428"/>
    <w:rsid w:val="002338BC"/>
    <w:rsid w:val="002358F1"/>
    <w:rsid w:val="002359A7"/>
    <w:rsid w:val="002429A6"/>
    <w:rsid w:val="00247CD8"/>
    <w:rsid w:val="00250748"/>
    <w:rsid w:val="002544F6"/>
    <w:rsid w:val="002620A8"/>
    <w:rsid w:val="002671EE"/>
    <w:rsid w:val="0027584F"/>
    <w:rsid w:val="00281305"/>
    <w:rsid w:val="00285D78"/>
    <w:rsid w:val="0029769D"/>
    <w:rsid w:val="002A1D38"/>
    <w:rsid w:val="002A59D6"/>
    <w:rsid w:val="002C3061"/>
    <w:rsid w:val="002D06E1"/>
    <w:rsid w:val="002D2CA3"/>
    <w:rsid w:val="002E6D0C"/>
    <w:rsid w:val="00300D49"/>
    <w:rsid w:val="003044DC"/>
    <w:rsid w:val="003103FD"/>
    <w:rsid w:val="00312A5E"/>
    <w:rsid w:val="00312D85"/>
    <w:rsid w:val="003229DB"/>
    <w:rsid w:val="00322DA2"/>
    <w:rsid w:val="003245D5"/>
    <w:rsid w:val="00332AC8"/>
    <w:rsid w:val="00333A84"/>
    <w:rsid w:val="00341ACD"/>
    <w:rsid w:val="00342C8E"/>
    <w:rsid w:val="003472C0"/>
    <w:rsid w:val="00355976"/>
    <w:rsid w:val="00356C17"/>
    <w:rsid w:val="00383DB6"/>
    <w:rsid w:val="0038718E"/>
    <w:rsid w:val="00391DB3"/>
    <w:rsid w:val="00392174"/>
    <w:rsid w:val="0039490A"/>
    <w:rsid w:val="003A2B4C"/>
    <w:rsid w:val="003A48DF"/>
    <w:rsid w:val="003A50F6"/>
    <w:rsid w:val="003B2A93"/>
    <w:rsid w:val="003B68FF"/>
    <w:rsid w:val="003C5DCA"/>
    <w:rsid w:val="003D0DEC"/>
    <w:rsid w:val="003D66D3"/>
    <w:rsid w:val="003E51D6"/>
    <w:rsid w:val="003E5860"/>
    <w:rsid w:val="003E5FCE"/>
    <w:rsid w:val="003F75A5"/>
    <w:rsid w:val="0040245C"/>
    <w:rsid w:val="00420C85"/>
    <w:rsid w:val="004238D1"/>
    <w:rsid w:val="00426B9D"/>
    <w:rsid w:val="00435F9B"/>
    <w:rsid w:val="00436A7F"/>
    <w:rsid w:val="00447196"/>
    <w:rsid w:val="00447922"/>
    <w:rsid w:val="004516AB"/>
    <w:rsid w:val="00454182"/>
    <w:rsid w:val="004706C8"/>
    <w:rsid w:val="004735DA"/>
    <w:rsid w:val="0047519C"/>
    <w:rsid w:val="0048761E"/>
    <w:rsid w:val="004914FD"/>
    <w:rsid w:val="004A1046"/>
    <w:rsid w:val="004A1BE5"/>
    <w:rsid w:val="004A6C37"/>
    <w:rsid w:val="004B5B60"/>
    <w:rsid w:val="004B6C09"/>
    <w:rsid w:val="004B73D1"/>
    <w:rsid w:val="004B7456"/>
    <w:rsid w:val="004C0C75"/>
    <w:rsid w:val="004C4C8D"/>
    <w:rsid w:val="004C589A"/>
    <w:rsid w:val="004C6CA0"/>
    <w:rsid w:val="004E162C"/>
    <w:rsid w:val="004E6F30"/>
    <w:rsid w:val="004E7117"/>
    <w:rsid w:val="004F0C4C"/>
    <w:rsid w:val="00501949"/>
    <w:rsid w:val="005031E2"/>
    <w:rsid w:val="00504989"/>
    <w:rsid w:val="0050798F"/>
    <w:rsid w:val="00515BCA"/>
    <w:rsid w:val="00515EA7"/>
    <w:rsid w:val="005406E4"/>
    <w:rsid w:val="00546092"/>
    <w:rsid w:val="00546D2F"/>
    <w:rsid w:val="00546D85"/>
    <w:rsid w:val="00561FB4"/>
    <w:rsid w:val="00562682"/>
    <w:rsid w:val="00565D33"/>
    <w:rsid w:val="00565F52"/>
    <w:rsid w:val="005675DB"/>
    <w:rsid w:val="0058071C"/>
    <w:rsid w:val="00585568"/>
    <w:rsid w:val="00586A01"/>
    <w:rsid w:val="00586CB7"/>
    <w:rsid w:val="00587DE4"/>
    <w:rsid w:val="00590167"/>
    <w:rsid w:val="00591296"/>
    <w:rsid w:val="005936A3"/>
    <w:rsid w:val="00594339"/>
    <w:rsid w:val="005A1FE7"/>
    <w:rsid w:val="005A777F"/>
    <w:rsid w:val="005B2E7E"/>
    <w:rsid w:val="005B32FA"/>
    <w:rsid w:val="005B4424"/>
    <w:rsid w:val="005C2D99"/>
    <w:rsid w:val="005D0A1C"/>
    <w:rsid w:val="005D7DBC"/>
    <w:rsid w:val="005E1E5F"/>
    <w:rsid w:val="005F14D4"/>
    <w:rsid w:val="005F1D2E"/>
    <w:rsid w:val="005F1E6D"/>
    <w:rsid w:val="005F2616"/>
    <w:rsid w:val="005F7BCC"/>
    <w:rsid w:val="00606A3E"/>
    <w:rsid w:val="006070EC"/>
    <w:rsid w:val="00615A7C"/>
    <w:rsid w:val="00631ED5"/>
    <w:rsid w:val="00643EDB"/>
    <w:rsid w:val="00644F4E"/>
    <w:rsid w:val="00654D9B"/>
    <w:rsid w:val="00656FD7"/>
    <w:rsid w:val="00657C7B"/>
    <w:rsid w:val="006619F6"/>
    <w:rsid w:val="00662471"/>
    <w:rsid w:val="006759D7"/>
    <w:rsid w:val="00677784"/>
    <w:rsid w:val="00680090"/>
    <w:rsid w:val="00681061"/>
    <w:rsid w:val="0068410C"/>
    <w:rsid w:val="00684E2B"/>
    <w:rsid w:val="00685362"/>
    <w:rsid w:val="00686555"/>
    <w:rsid w:val="006928B0"/>
    <w:rsid w:val="00692E39"/>
    <w:rsid w:val="00693D69"/>
    <w:rsid w:val="006A6D4F"/>
    <w:rsid w:val="006C1692"/>
    <w:rsid w:val="006C2BB0"/>
    <w:rsid w:val="006C6602"/>
    <w:rsid w:val="006C7B0E"/>
    <w:rsid w:val="006C7E27"/>
    <w:rsid w:val="006D2C75"/>
    <w:rsid w:val="006D528B"/>
    <w:rsid w:val="006E1E20"/>
    <w:rsid w:val="006E6D75"/>
    <w:rsid w:val="006E7013"/>
    <w:rsid w:val="006F3B8A"/>
    <w:rsid w:val="006F4C4A"/>
    <w:rsid w:val="00702E9B"/>
    <w:rsid w:val="007127D2"/>
    <w:rsid w:val="00713F99"/>
    <w:rsid w:val="00717E0C"/>
    <w:rsid w:val="0072091E"/>
    <w:rsid w:val="00722B21"/>
    <w:rsid w:val="00743F66"/>
    <w:rsid w:val="007459AD"/>
    <w:rsid w:val="00750571"/>
    <w:rsid w:val="00751EC6"/>
    <w:rsid w:val="00756FD9"/>
    <w:rsid w:val="007612E4"/>
    <w:rsid w:val="0076136C"/>
    <w:rsid w:val="00766B43"/>
    <w:rsid w:val="007720C1"/>
    <w:rsid w:val="00777A92"/>
    <w:rsid w:val="00780BD3"/>
    <w:rsid w:val="00781858"/>
    <w:rsid w:val="007837DF"/>
    <w:rsid w:val="007953D4"/>
    <w:rsid w:val="007A003E"/>
    <w:rsid w:val="007B58F0"/>
    <w:rsid w:val="007C05EA"/>
    <w:rsid w:val="007C21D0"/>
    <w:rsid w:val="007C314A"/>
    <w:rsid w:val="007C5184"/>
    <w:rsid w:val="007D3B23"/>
    <w:rsid w:val="007D7182"/>
    <w:rsid w:val="007E50E8"/>
    <w:rsid w:val="007E7EE8"/>
    <w:rsid w:val="007F4957"/>
    <w:rsid w:val="007F65A1"/>
    <w:rsid w:val="00806A28"/>
    <w:rsid w:val="00807A46"/>
    <w:rsid w:val="008138D0"/>
    <w:rsid w:val="00822D3F"/>
    <w:rsid w:val="00826BC6"/>
    <w:rsid w:val="008321B1"/>
    <w:rsid w:val="00836A9C"/>
    <w:rsid w:val="008421C4"/>
    <w:rsid w:val="00843A3F"/>
    <w:rsid w:val="008440E4"/>
    <w:rsid w:val="008479FF"/>
    <w:rsid w:val="0085401A"/>
    <w:rsid w:val="00860F1E"/>
    <w:rsid w:val="00862E80"/>
    <w:rsid w:val="00864588"/>
    <w:rsid w:val="008707FC"/>
    <w:rsid w:val="00885BA2"/>
    <w:rsid w:val="00887342"/>
    <w:rsid w:val="00887E94"/>
    <w:rsid w:val="008923F6"/>
    <w:rsid w:val="008953AF"/>
    <w:rsid w:val="00897423"/>
    <w:rsid w:val="008A28B5"/>
    <w:rsid w:val="008A4238"/>
    <w:rsid w:val="008A7015"/>
    <w:rsid w:val="008B7352"/>
    <w:rsid w:val="008B7B27"/>
    <w:rsid w:val="008C43C0"/>
    <w:rsid w:val="008D0DD6"/>
    <w:rsid w:val="008D1859"/>
    <w:rsid w:val="008D27AE"/>
    <w:rsid w:val="008D5C66"/>
    <w:rsid w:val="008D79B4"/>
    <w:rsid w:val="008F2279"/>
    <w:rsid w:val="008F34C0"/>
    <w:rsid w:val="008F36F9"/>
    <w:rsid w:val="008F5221"/>
    <w:rsid w:val="008F7D8D"/>
    <w:rsid w:val="009006C5"/>
    <w:rsid w:val="009049AA"/>
    <w:rsid w:val="00905BAD"/>
    <w:rsid w:val="00911F48"/>
    <w:rsid w:val="00914A63"/>
    <w:rsid w:val="00917C75"/>
    <w:rsid w:val="00920851"/>
    <w:rsid w:val="00936B7B"/>
    <w:rsid w:val="009530B1"/>
    <w:rsid w:val="00953511"/>
    <w:rsid w:val="0096669D"/>
    <w:rsid w:val="0097003B"/>
    <w:rsid w:val="00974627"/>
    <w:rsid w:val="009824D1"/>
    <w:rsid w:val="00985A5A"/>
    <w:rsid w:val="009879BF"/>
    <w:rsid w:val="00990AB1"/>
    <w:rsid w:val="009914D0"/>
    <w:rsid w:val="009973FC"/>
    <w:rsid w:val="009A5666"/>
    <w:rsid w:val="009B1860"/>
    <w:rsid w:val="009B3EF9"/>
    <w:rsid w:val="009B562B"/>
    <w:rsid w:val="009D7803"/>
    <w:rsid w:val="009E508E"/>
    <w:rsid w:val="009E6CD2"/>
    <w:rsid w:val="009F3C97"/>
    <w:rsid w:val="00A07E88"/>
    <w:rsid w:val="00A113E2"/>
    <w:rsid w:val="00A44F7A"/>
    <w:rsid w:val="00A54B98"/>
    <w:rsid w:val="00A55E07"/>
    <w:rsid w:val="00A60AD4"/>
    <w:rsid w:val="00A61094"/>
    <w:rsid w:val="00A67F57"/>
    <w:rsid w:val="00A74DA4"/>
    <w:rsid w:val="00A75558"/>
    <w:rsid w:val="00A779CD"/>
    <w:rsid w:val="00A859CA"/>
    <w:rsid w:val="00A86199"/>
    <w:rsid w:val="00AA70CF"/>
    <w:rsid w:val="00AA7455"/>
    <w:rsid w:val="00AB2A12"/>
    <w:rsid w:val="00AC0012"/>
    <w:rsid w:val="00AC0695"/>
    <w:rsid w:val="00AC0942"/>
    <w:rsid w:val="00AD0D8F"/>
    <w:rsid w:val="00AD4760"/>
    <w:rsid w:val="00AD4EA7"/>
    <w:rsid w:val="00AD6F6F"/>
    <w:rsid w:val="00AE37DF"/>
    <w:rsid w:val="00AE7B8C"/>
    <w:rsid w:val="00AF6A36"/>
    <w:rsid w:val="00B01F54"/>
    <w:rsid w:val="00B102ED"/>
    <w:rsid w:val="00B11614"/>
    <w:rsid w:val="00B11FD1"/>
    <w:rsid w:val="00B21877"/>
    <w:rsid w:val="00B21942"/>
    <w:rsid w:val="00B302DE"/>
    <w:rsid w:val="00B41A76"/>
    <w:rsid w:val="00B43A78"/>
    <w:rsid w:val="00B51CD5"/>
    <w:rsid w:val="00B559CE"/>
    <w:rsid w:val="00B60FE2"/>
    <w:rsid w:val="00B625C3"/>
    <w:rsid w:val="00B6382E"/>
    <w:rsid w:val="00B66BCC"/>
    <w:rsid w:val="00B940CC"/>
    <w:rsid w:val="00B9792E"/>
    <w:rsid w:val="00BA0E44"/>
    <w:rsid w:val="00BA28FC"/>
    <w:rsid w:val="00BA2F5F"/>
    <w:rsid w:val="00BA77B8"/>
    <w:rsid w:val="00BB131A"/>
    <w:rsid w:val="00BC3B6E"/>
    <w:rsid w:val="00BC46D2"/>
    <w:rsid w:val="00BC6B14"/>
    <w:rsid w:val="00BD28E2"/>
    <w:rsid w:val="00BD3F80"/>
    <w:rsid w:val="00BD7BD6"/>
    <w:rsid w:val="00BE5C33"/>
    <w:rsid w:val="00BE6A75"/>
    <w:rsid w:val="00BF0A99"/>
    <w:rsid w:val="00BF6AFA"/>
    <w:rsid w:val="00BF6CA6"/>
    <w:rsid w:val="00C00BA2"/>
    <w:rsid w:val="00C02AA7"/>
    <w:rsid w:val="00C119A9"/>
    <w:rsid w:val="00C132AD"/>
    <w:rsid w:val="00C21A13"/>
    <w:rsid w:val="00C25C6C"/>
    <w:rsid w:val="00C26ECF"/>
    <w:rsid w:val="00C379F8"/>
    <w:rsid w:val="00C51A02"/>
    <w:rsid w:val="00C5515B"/>
    <w:rsid w:val="00C6712A"/>
    <w:rsid w:val="00C70120"/>
    <w:rsid w:val="00C73AD4"/>
    <w:rsid w:val="00C761A4"/>
    <w:rsid w:val="00C81A9A"/>
    <w:rsid w:val="00C87BAA"/>
    <w:rsid w:val="00C93B02"/>
    <w:rsid w:val="00CA5339"/>
    <w:rsid w:val="00CB695D"/>
    <w:rsid w:val="00CB7857"/>
    <w:rsid w:val="00CC1395"/>
    <w:rsid w:val="00CD0E4E"/>
    <w:rsid w:val="00CD3465"/>
    <w:rsid w:val="00CE34A2"/>
    <w:rsid w:val="00CE467F"/>
    <w:rsid w:val="00CF6C1D"/>
    <w:rsid w:val="00D00397"/>
    <w:rsid w:val="00D005CB"/>
    <w:rsid w:val="00D01613"/>
    <w:rsid w:val="00D04625"/>
    <w:rsid w:val="00D047F1"/>
    <w:rsid w:val="00D17485"/>
    <w:rsid w:val="00D17997"/>
    <w:rsid w:val="00D22921"/>
    <w:rsid w:val="00D259EC"/>
    <w:rsid w:val="00D30F8C"/>
    <w:rsid w:val="00D34477"/>
    <w:rsid w:val="00D42927"/>
    <w:rsid w:val="00D5208D"/>
    <w:rsid w:val="00D54880"/>
    <w:rsid w:val="00D67B62"/>
    <w:rsid w:val="00D73464"/>
    <w:rsid w:val="00D77209"/>
    <w:rsid w:val="00D77AE4"/>
    <w:rsid w:val="00D82B41"/>
    <w:rsid w:val="00D939F1"/>
    <w:rsid w:val="00D9438D"/>
    <w:rsid w:val="00D9543D"/>
    <w:rsid w:val="00D96E45"/>
    <w:rsid w:val="00DA42CF"/>
    <w:rsid w:val="00DB045F"/>
    <w:rsid w:val="00DB1429"/>
    <w:rsid w:val="00DB18A7"/>
    <w:rsid w:val="00DB5359"/>
    <w:rsid w:val="00DB598A"/>
    <w:rsid w:val="00DC068C"/>
    <w:rsid w:val="00DC22C5"/>
    <w:rsid w:val="00DC2D1F"/>
    <w:rsid w:val="00DC2EB6"/>
    <w:rsid w:val="00DC71BA"/>
    <w:rsid w:val="00DD3DD9"/>
    <w:rsid w:val="00DF299E"/>
    <w:rsid w:val="00DF4E32"/>
    <w:rsid w:val="00E10BC3"/>
    <w:rsid w:val="00E167FE"/>
    <w:rsid w:val="00E270DB"/>
    <w:rsid w:val="00E31E78"/>
    <w:rsid w:val="00E4592E"/>
    <w:rsid w:val="00E50023"/>
    <w:rsid w:val="00E54B00"/>
    <w:rsid w:val="00E56083"/>
    <w:rsid w:val="00E56C91"/>
    <w:rsid w:val="00E607AD"/>
    <w:rsid w:val="00E641F8"/>
    <w:rsid w:val="00E65D26"/>
    <w:rsid w:val="00E91155"/>
    <w:rsid w:val="00E93D63"/>
    <w:rsid w:val="00EA027A"/>
    <w:rsid w:val="00EA0B02"/>
    <w:rsid w:val="00EA1AB6"/>
    <w:rsid w:val="00EA3862"/>
    <w:rsid w:val="00EA559A"/>
    <w:rsid w:val="00EB7031"/>
    <w:rsid w:val="00EC596E"/>
    <w:rsid w:val="00ED3398"/>
    <w:rsid w:val="00ED5CBF"/>
    <w:rsid w:val="00EE326E"/>
    <w:rsid w:val="00EF491D"/>
    <w:rsid w:val="00EF4B05"/>
    <w:rsid w:val="00EF764A"/>
    <w:rsid w:val="00F05DD3"/>
    <w:rsid w:val="00F06858"/>
    <w:rsid w:val="00F110F3"/>
    <w:rsid w:val="00F175F6"/>
    <w:rsid w:val="00F20B22"/>
    <w:rsid w:val="00F20D24"/>
    <w:rsid w:val="00F22CA1"/>
    <w:rsid w:val="00F254FC"/>
    <w:rsid w:val="00F262E3"/>
    <w:rsid w:val="00F27144"/>
    <w:rsid w:val="00F36558"/>
    <w:rsid w:val="00F44937"/>
    <w:rsid w:val="00F45663"/>
    <w:rsid w:val="00F50815"/>
    <w:rsid w:val="00F534C7"/>
    <w:rsid w:val="00F65B8E"/>
    <w:rsid w:val="00F65E24"/>
    <w:rsid w:val="00F6687A"/>
    <w:rsid w:val="00F732CF"/>
    <w:rsid w:val="00F8237C"/>
    <w:rsid w:val="00F84834"/>
    <w:rsid w:val="00F97204"/>
    <w:rsid w:val="00FA03C5"/>
    <w:rsid w:val="00FA0A23"/>
    <w:rsid w:val="00FD5054"/>
    <w:rsid w:val="00FE40F8"/>
    <w:rsid w:val="00FE582E"/>
    <w:rsid w:val="00FF6D41"/>
    <w:rsid w:val="7E7C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uiPriority w:val="99"/>
    <w:rPr>
      <w:b/>
      <w:bCs/>
    </w:rPr>
  </w:style>
  <w:style w:type="character" w:styleId="10">
    <w:name w:val="Hyperlink"/>
    <w:unhideWhenUsed/>
    <w:uiPriority w:val="99"/>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paragraph" w:customStyle="1" w:styleId="14">
    <w:name w:val="Default"/>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character" w:customStyle="1" w:styleId="15">
    <w:name w:val="批注框文本 Char"/>
    <w:basedOn w:val="9"/>
    <w:link w:val="3"/>
    <w:semiHidden/>
    <w:uiPriority w:val="99"/>
    <w:rPr>
      <w:rFonts w:ascii="Times New Roman" w:hAnsi="Times New Roman" w:eastAsia="宋体" w:cs="Times New Roman"/>
      <w:sz w:val="18"/>
      <w:szCs w:val="18"/>
    </w:rPr>
  </w:style>
  <w:style w:type="character" w:customStyle="1" w:styleId="16">
    <w:name w:val="批注文字 Char"/>
    <w:basedOn w:val="9"/>
    <w:link w:val="2"/>
    <w:semiHidden/>
    <w:uiPriority w:val="99"/>
    <w:rPr>
      <w:rFonts w:ascii="Times New Roman" w:hAnsi="Times New Roman" w:eastAsia="宋体" w:cs="Times New Roman"/>
      <w:szCs w:val="21"/>
    </w:rPr>
  </w:style>
  <w:style w:type="character" w:customStyle="1" w:styleId="17">
    <w:name w:val="批注主题 Char"/>
    <w:basedOn w:val="16"/>
    <w:link w:val="7"/>
    <w:semiHidden/>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2F0D-86B0-40D9-8AD5-21B2FDCF5966}">
  <ds:schemaRefs/>
</ds:datastoreItem>
</file>

<file path=docProps/app.xml><?xml version="1.0" encoding="utf-8"?>
<Properties xmlns="http://schemas.openxmlformats.org/officeDocument/2006/extended-properties" xmlns:vt="http://schemas.openxmlformats.org/officeDocument/2006/docPropsVTypes">
  <Template>Normal</Template>
  <Pages>2</Pages>
  <Words>367</Words>
  <Characters>2096</Characters>
  <Lines>17</Lines>
  <Paragraphs>4</Paragraphs>
  <TotalTime>1</TotalTime>
  <ScaleCrop>false</ScaleCrop>
  <LinksUpToDate>false</LinksUpToDate>
  <CharactersWithSpaces>2459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2022-04-13T06:37:00Z</dcterms:created>
  <dc:creator>张顺炜</dc:creator>
  <cp:lastModifiedBy>fans001</cp:lastModifiedBy>
  <cp:lastPrinted>2022-07-18T06:56:00Z</cp:lastPrinted>
  <dcterms:modified xsi:type="dcterms:W3CDTF">2025-01-06T06:39:15Z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4219395785854890A4712C1B73B98934</vt:lpwstr>
  </property>
</Properties>
</file>