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43ED6">
      <w:pPr>
        <w:spacing w:line="360" w:lineRule="auto"/>
        <w:ind w:firstLine="480" w:firstLineChars="200"/>
        <w:jc w:val="both"/>
        <w:rPr>
          <w:rFonts w:ascii="仿宋" w:hAnsi="仿宋" w:eastAsia="仿宋"/>
          <w:sz w:val="24"/>
          <w:szCs w:val="24"/>
        </w:rPr>
      </w:pPr>
      <w:bookmarkStart w:id="42" w:name="_GoBack"/>
      <w:bookmarkEnd w:id="42"/>
    </w:p>
    <w:p w14:paraId="1ACAA374">
      <w:pPr>
        <w:spacing w:line="360" w:lineRule="auto"/>
        <w:ind w:firstLine="480" w:firstLineChars="200"/>
        <w:jc w:val="both"/>
        <w:rPr>
          <w:rFonts w:ascii="仿宋" w:hAnsi="仿宋" w:eastAsia="仿宋"/>
          <w:sz w:val="24"/>
          <w:szCs w:val="24"/>
        </w:rPr>
      </w:pPr>
    </w:p>
    <w:p w14:paraId="699B6EAA">
      <w:pPr>
        <w:spacing w:line="360" w:lineRule="auto"/>
        <w:jc w:val="both"/>
        <w:rPr>
          <w:rFonts w:ascii="微软雅黑" w:eastAsia="微软雅黑"/>
          <w:b/>
          <w:sz w:val="48"/>
        </w:rPr>
      </w:pPr>
    </w:p>
    <w:p w14:paraId="2162351B">
      <w:pPr>
        <w:spacing w:line="360" w:lineRule="auto"/>
        <w:jc w:val="center"/>
        <w:rPr>
          <w:rFonts w:ascii="Times New Roman" w:hAnsi="Times New Roman" w:eastAsiaTheme="minorEastAsia"/>
          <w:b/>
          <w:sz w:val="48"/>
        </w:rPr>
      </w:pPr>
      <w:r>
        <w:rPr>
          <w:rFonts w:hint="eastAsia" w:ascii="Times New Roman" w:hAnsi="Times New Roman" w:eastAsiaTheme="minorEastAsia"/>
          <w:b/>
          <w:sz w:val="48"/>
        </w:rPr>
        <w:t>富国国证通用航空产业交易型开放式指数</w:t>
      </w:r>
      <w:r>
        <w:rPr>
          <w:rFonts w:ascii="Times New Roman" w:hAnsi="Times New Roman" w:eastAsiaTheme="minorEastAsia"/>
          <w:b/>
          <w:sz w:val="48"/>
        </w:rPr>
        <w:t>证券投资基金发起式联接基金</w:t>
      </w:r>
    </w:p>
    <w:p w14:paraId="44759C26">
      <w:pPr>
        <w:spacing w:line="360" w:lineRule="auto"/>
        <w:jc w:val="center"/>
        <w:rPr>
          <w:rFonts w:ascii="Times New Roman" w:hAnsi="Times New Roman" w:eastAsiaTheme="minorEastAsia"/>
          <w:b/>
          <w:sz w:val="48"/>
        </w:rPr>
      </w:pPr>
      <w:r>
        <w:rPr>
          <w:rFonts w:hint="eastAsia" w:ascii="Times New Roman" w:hAnsi="Times New Roman" w:eastAsiaTheme="minorEastAsia"/>
          <w:b/>
          <w:sz w:val="48"/>
        </w:rPr>
        <w:t>托管协议</w:t>
      </w:r>
    </w:p>
    <w:p w14:paraId="662F8C71">
      <w:pPr>
        <w:spacing w:line="360" w:lineRule="auto"/>
        <w:jc w:val="both"/>
        <w:rPr>
          <w:rFonts w:ascii="微软雅黑" w:eastAsia="微软雅黑"/>
          <w:b/>
          <w:sz w:val="48"/>
        </w:rPr>
      </w:pPr>
    </w:p>
    <w:p w14:paraId="57F601B9">
      <w:pPr>
        <w:spacing w:line="360" w:lineRule="auto"/>
        <w:jc w:val="both"/>
        <w:rPr>
          <w:rFonts w:ascii="微软雅黑" w:eastAsia="微软雅黑"/>
          <w:b/>
          <w:sz w:val="48"/>
        </w:rPr>
      </w:pPr>
    </w:p>
    <w:p w14:paraId="14C9443B">
      <w:pPr>
        <w:spacing w:line="360" w:lineRule="auto"/>
        <w:jc w:val="both"/>
        <w:rPr>
          <w:rFonts w:ascii="微软雅黑" w:eastAsia="微软雅黑"/>
          <w:b/>
          <w:sz w:val="48"/>
        </w:rPr>
      </w:pPr>
    </w:p>
    <w:p w14:paraId="314B4A52">
      <w:pPr>
        <w:spacing w:line="360" w:lineRule="auto"/>
        <w:jc w:val="both"/>
        <w:rPr>
          <w:rFonts w:ascii="微软雅黑" w:eastAsia="微软雅黑"/>
          <w:b/>
          <w:sz w:val="48"/>
        </w:rPr>
      </w:pPr>
    </w:p>
    <w:p w14:paraId="63658D93">
      <w:pPr>
        <w:spacing w:line="360" w:lineRule="auto"/>
        <w:jc w:val="both"/>
        <w:rPr>
          <w:rFonts w:ascii="微软雅黑" w:eastAsia="微软雅黑"/>
          <w:b/>
          <w:sz w:val="48"/>
        </w:rPr>
      </w:pPr>
    </w:p>
    <w:p w14:paraId="4B027A92">
      <w:pPr>
        <w:spacing w:line="360" w:lineRule="auto"/>
        <w:ind w:right="120" w:firstLine="1807" w:firstLineChars="500"/>
        <w:jc w:val="both"/>
        <w:rPr>
          <w:rFonts w:ascii="Times New Roman" w:hAnsi="Times New Roman" w:eastAsiaTheme="minorEastAsia"/>
          <w:b/>
          <w:sz w:val="36"/>
        </w:rPr>
      </w:pPr>
      <w:r>
        <w:rPr>
          <w:rFonts w:ascii="Times New Roman" w:hAnsi="Times New Roman" w:eastAsiaTheme="minorEastAsia"/>
          <w:b/>
          <w:sz w:val="36"/>
        </w:rPr>
        <w:t>基金管理人：富国基金管理有限公司</w:t>
      </w:r>
    </w:p>
    <w:p w14:paraId="280B94AD">
      <w:pPr>
        <w:spacing w:line="360" w:lineRule="auto"/>
        <w:ind w:right="120" w:firstLine="1807" w:firstLineChars="500"/>
        <w:jc w:val="both"/>
        <w:rPr>
          <w:rFonts w:ascii="Times New Roman" w:hAnsi="Times New Roman" w:eastAsiaTheme="minorEastAsia"/>
          <w:b/>
          <w:sz w:val="36"/>
        </w:rPr>
      </w:pPr>
      <w:r>
        <w:rPr>
          <w:rFonts w:ascii="Times New Roman" w:hAnsi="Times New Roman" w:eastAsiaTheme="minorEastAsia"/>
          <w:b/>
          <w:sz w:val="36"/>
        </w:rPr>
        <w:t>基金托管人：广发证券股份有限公司</w:t>
      </w:r>
    </w:p>
    <w:p w14:paraId="253DC5B7">
      <w:pPr>
        <w:spacing w:line="360" w:lineRule="auto"/>
        <w:ind w:firstLine="480" w:firstLineChars="200"/>
        <w:jc w:val="both"/>
        <w:rPr>
          <w:rFonts w:ascii="仿宋" w:hAnsi="仿宋" w:eastAsia="仿宋"/>
          <w:sz w:val="24"/>
          <w:szCs w:val="24"/>
        </w:rPr>
        <w:sectPr>
          <w:type w:val="continuous"/>
          <w:pgSz w:w="11910" w:h="16840"/>
          <w:pgMar w:top="1580" w:right="1560" w:bottom="280" w:left="1680" w:header="737" w:footer="992" w:gutter="0"/>
          <w:cols w:space="720" w:num="1"/>
          <w:docGrid w:linePitch="299" w:charSpace="0"/>
        </w:sectPr>
      </w:pPr>
    </w:p>
    <w:p w14:paraId="29A41838">
      <w:pPr>
        <w:pStyle w:val="3"/>
        <w:tabs>
          <w:tab w:val="left" w:pos="837"/>
        </w:tabs>
        <w:spacing w:line="360" w:lineRule="auto"/>
        <w:ind w:right="118"/>
        <w:rPr>
          <w:rFonts w:ascii="宋体" w:hAnsi="宋体" w:eastAsia="宋体" w:cs="宋体"/>
          <w:bCs w:val="0"/>
        </w:rPr>
      </w:pPr>
      <w:bookmarkStart w:id="0" w:name="_Toc23734"/>
      <w:r>
        <w:rPr>
          <w:rFonts w:ascii="宋体" w:hAnsi="宋体" w:eastAsia="宋体" w:cs="宋体"/>
          <w:bCs w:val="0"/>
        </w:rPr>
        <w:t>目</w:t>
      </w:r>
      <w:r>
        <w:rPr>
          <w:bCs w:val="0"/>
        </w:rPr>
        <w:t xml:space="preserve">    </w:t>
      </w:r>
      <w:r>
        <w:rPr>
          <w:rFonts w:ascii="宋体" w:hAnsi="宋体" w:eastAsia="宋体" w:cs="宋体"/>
          <w:bCs w:val="0"/>
        </w:rPr>
        <w:t>录</w:t>
      </w:r>
      <w:bookmarkEnd w:id="0"/>
    </w:p>
    <w:sdt>
      <w:sdtPr>
        <w:rPr>
          <w:b/>
          <w:bCs/>
          <w:sz w:val="22"/>
          <w:szCs w:val="22"/>
        </w:rPr>
        <w:id w:val="769508220"/>
        <w:docPartObj>
          <w:docPartGallery w:val="Table of Contents"/>
          <w:docPartUnique/>
        </w:docPartObj>
      </w:sdtPr>
      <w:sdtEndPr>
        <w:rPr>
          <w:b/>
          <w:bCs/>
          <w:sz w:val="22"/>
          <w:szCs w:val="22"/>
        </w:rPr>
      </w:sdtEndPr>
      <w:sdtContent>
        <w:p w14:paraId="3CDF020A">
          <w:pPr>
            <w:jc w:val="both"/>
            <w:rPr>
              <w:rFonts w:ascii="宋体" w:hAnsi="宋体" w:eastAsia="宋体" w:cs="宋体"/>
              <w:b/>
              <w:bCs/>
              <w:sz w:val="22"/>
              <w:szCs w:val="22"/>
              <w:lang w:val="zh-CN" w:eastAsia="zh-CN" w:bidi="zh-CN"/>
            </w:rPr>
          </w:pPr>
          <w:r>
            <w:fldChar w:fldCharType="begin"/>
          </w:r>
          <w:r>
            <w:instrText xml:space="preserve"> TOC \o "1-3" \h \z \u </w:instrText>
          </w:r>
          <w:r>
            <w:fldChar w:fldCharType="separate"/>
          </w:r>
        </w:p>
        <w:p w14:paraId="73C844BD">
          <w:pPr>
            <w:pStyle w:val="11"/>
            <w:tabs>
              <w:tab w:val="right" w:leader="dot" w:pos="8670"/>
            </w:tabs>
          </w:pPr>
          <w:r>
            <w:rPr>
              <w:bCs/>
            </w:rPr>
            <w:fldChar w:fldCharType="begin"/>
          </w:r>
          <w:r>
            <w:rPr>
              <w:bCs/>
            </w:rPr>
            <w:instrText xml:space="preserve"> HYPERLINK \l _Toc21389 </w:instrText>
          </w:r>
          <w:r>
            <w:rPr>
              <w:bCs/>
            </w:rPr>
            <w:fldChar w:fldCharType="separate"/>
          </w:r>
          <w:r>
            <w:rPr>
              <w:rFonts w:ascii="Times New Roman" w:hAnsi="Times New Roman" w:eastAsia="宋体" w:cs="Times New Roman"/>
              <w:bCs w:val="0"/>
              <w:kern w:val="2"/>
              <w:lang w:val="en-US" w:bidi="ar-SA"/>
            </w:rPr>
            <w:t>一、基金托管协议当事人</w:t>
          </w:r>
          <w:r>
            <w:tab/>
          </w:r>
          <w:r>
            <w:fldChar w:fldCharType="begin"/>
          </w:r>
          <w:r>
            <w:instrText xml:space="preserve"> PAGEREF _Toc21389 \h </w:instrText>
          </w:r>
          <w:r>
            <w:fldChar w:fldCharType="separate"/>
          </w:r>
          <w:r>
            <w:t>2</w:t>
          </w:r>
          <w:r>
            <w:fldChar w:fldCharType="end"/>
          </w:r>
          <w:r>
            <w:rPr>
              <w:bCs/>
            </w:rPr>
            <w:fldChar w:fldCharType="end"/>
          </w:r>
        </w:p>
        <w:p w14:paraId="64347C0D">
          <w:pPr>
            <w:pStyle w:val="11"/>
            <w:tabs>
              <w:tab w:val="right" w:leader="dot" w:pos="8670"/>
            </w:tabs>
          </w:pPr>
          <w:r>
            <w:rPr>
              <w:bCs/>
            </w:rPr>
            <w:fldChar w:fldCharType="begin"/>
          </w:r>
          <w:r>
            <w:rPr>
              <w:bCs/>
            </w:rPr>
            <w:instrText xml:space="preserve"> HYPERLINK \l _Toc31334 </w:instrText>
          </w:r>
          <w:r>
            <w:rPr>
              <w:bCs/>
            </w:rPr>
            <w:fldChar w:fldCharType="separate"/>
          </w:r>
          <w:r>
            <w:rPr>
              <w:rFonts w:ascii="Times New Roman" w:hAnsi="Times New Roman" w:eastAsia="宋体" w:cs="Times New Roman"/>
              <w:bCs w:val="0"/>
              <w:kern w:val="2"/>
              <w:lang w:val="en-US" w:bidi="ar-SA"/>
            </w:rPr>
            <w:t>二、基金托管协议的依据、目的和原则</w:t>
          </w:r>
          <w:r>
            <w:tab/>
          </w:r>
          <w:r>
            <w:fldChar w:fldCharType="begin"/>
          </w:r>
          <w:r>
            <w:instrText xml:space="preserve"> PAGEREF _Toc31334 \h </w:instrText>
          </w:r>
          <w:r>
            <w:fldChar w:fldCharType="separate"/>
          </w:r>
          <w:r>
            <w:t>3</w:t>
          </w:r>
          <w:r>
            <w:fldChar w:fldCharType="end"/>
          </w:r>
          <w:r>
            <w:rPr>
              <w:bCs/>
            </w:rPr>
            <w:fldChar w:fldCharType="end"/>
          </w:r>
        </w:p>
        <w:p w14:paraId="12E424A4">
          <w:pPr>
            <w:pStyle w:val="11"/>
            <w:tabs>
              <w:tab w:val="right" w:leader="dot" w:pos="8670"/>
            </w:tabs>
          </w:pPr>
          <w:r>
            <w:rPr>
              <w:bCs/>
            </w:rPr>
            <w:fldChar w:fldCharType="begin"/>
          </w:r>
          <w:r>
            <w:rPr>
              <w:bCs/>
            </w:rPr>
            <w:instrText xml:space="preserve"> HYPERLINK \l _Toc16816 </w:instrText>
          </w:r>
          <w:r>
            <w:rPr>
              <w:bCs/>
            </w:rPr>
            <w:fldChar w:fldCharType="separate"/>
          </w:r>
          <w:r>
            <w:rPr>
              <w:rFonts w:ascii="Times New Roman" w:hAnsi="Times New Roman" w:eastAsia="宋体" w:cs="Times New Roman"/>
              <w:bCs w:val="0"/>
              <w:kern w:val="2"/>
              <w:lang w:val="en-US" w:bidi="ar-SA"/>
            </w:rPr>
            <w:t>三、基金托管人对基金管理人的业务监督和核查</w:t>
          </w:r>
          <w:r>
            <w:tab/>
          </w:r>
          <w:r>
            <w:fldChar w:fldCharType="begin"/>
          </w:r>
          <w:r>
            <w:instrText xml:space="preserve"> PAGEREF _Toc16816 \h </w:instrText>
          </w:r>
          <w:r>
            <w:fldChar w:fldCharType="separate"/>
          </w:r>
          <w:r>
            <w:t>4</w:t>
          </w:r>
          <w:r>
            <w:fldChar w:fldCharType="end"/>
          </w:r>
          <w:r>
            <w:rPr>
              <w:bCs/>
            </w:rPr>
            <w:fldChar w:fldCharType="end"/>
          </w:r>
        </w:p>
        <w:p w14:paraId="69B21B07">
          <w:pPr>
            <w:pStyle w:val="11"/>
            <w:tabs>
              <w:tab w:val="right" w:leader="dot" w:pos="8670"/>
            </w:tabs>
          </w:pPr>
          <w:r>
            <w:rPr>
              <w:bCs/>
            </w:rPr>
            <w:fldChar w:fldCharType="begin"/>
          </w:r>
          <w:r>
            <w:rPr>
              <w:bCs/>
            </w:rPr>
            <w:instrText xml:space="preserve"> HYPERLINK \l _Toc24197 </w:instrText>
          </w:r>
          <w:r>
            <w:rPr>
              <w:bCs/>
            </w:rPr>
            <w:fldChar w:fldCharType="separate"/>
          </w:r>
          <w:r>
            <w:rPr>
              <w:rFonts w:ascii="Times New Roman" w:hAnsi="Times New Roman" w:eastAsia="宋体" w:cs="Times New Roman"/>
              <w:bCs w:val="0"/>
              <w:kern w:val="2"/>
              <w:lang w:val="en-US" w:bidi="ar-SA"/>
            </w:rPr>
            <w:t>四、基金管理人对基金托管人的业务核查</w:t>
          </w:r>
          <w:r>
            <w:tab/>
          </w:r>
          <w:r>
            <w:fldChar w:fldCharType="begin"/>
          </w:r>
          <w:r>
            <w:instrText xml:space="preserve"> PAGEREF _Toc24197 \h </w:instrText>
          </w:r>
          <w:r>
            <w:fldChar w:fldCharType="separate"/>
          </w:r>
          <w:r>
            <w:t>12</w:t>
          </w:r>
          <w:r>
            <w:fldChar w:fldCharType="end"/>
          </w:r>
          <w:r>
            <w:rPr>
              <w:bCs/>
            </w:rPr>
            <w:fldChar w:fldCharType="end"/>
          </w:r>
        </w:p>
        <w:p w14:paraId="61E20458">
          <w:pPr>
            <w:pStyle w:val="11"/>
            <w:tabs>
              <w:tab w:val="right" w:leader="dot" w:pos="8670"/>
            </w:tabs>
          </w:pPr>
          <w:r>
            <w:rPr>
              <w:bCs/>
            </w:rPr>
            <w:fldChar w:fldCharType="begin"/>
          </w:r>
          <w:r>
            <w:rPr>
              <w:bCs/>
            </w:rPr>
            <w:instrText xml:space="preserve"> HYPERLINK \l _Toc32088 </w:instrText>
          </w:r>
          <w:r>
            <w:rPr>
              <w:bCs/>
            </w:rPr>
            <w:fldChar w:fldCharType="separate"/>
          </w:r>
          <w:r>
            <w:rPr>
              <w:rFonts w:ascii="Times New Roman" w:hAnsi="Times New Roman" w:eastAsia="宋体" w:cs="Times New Roman"/>
              <w:bCs w:val="0"/>
              <w:kern w:val="2"/>
              <w:lang w:val="en-US" w:bidi="ar-SA"/>
            </w:rPr>
            <w:t>五、基金财产的保管</w:t>
          </w:r>
          <w:r>
            <w:tab/>
          </w:r>
          <w:r>
            <w:fldChar w:fldCharType="begin"/>
          </w:r>
          <w:r>
            <w:instrText xml:space="preserve"> PAGEREF _Toc32088 \h </w:instrText>
          </w:r>
          <w:r>
            <w:fldChar w:fldCharType="separate"/>
          </w:r>
          <w:r>
            <w:t>12</w:t>
          </w:r>
          <w:r>
            <w:fldChar w:fldCharType="end"/>
          </w:r>
          <w:r>
            <w:rPr>
              <w:bCs/>
            </w:rPr>
            <w:fldChar w:fldCharType="end"/>
          </w:r>
        </w:p>
        <w:p w14:paraId="504BFC98">
          <w:pPr>
            <w:pStyle w:val="11"/>
            <w:tabs>
              <w:tab w:val="right" w:leader="dot" w:pos="8670"/>
            </w:tabs>
          </w:pPr>
          <w:r>
            <w:rPr>
              <w:bCs/>
            </w:rPr>
            <w:fldChar w:fldCharType="begin"/>
          </w:r>
          <w:r>
            <w:rPr>
              <w:bCs/>
            </w:rPr>
            <w:instrText xml:space="preserve"> HYPERLINK \l _Toc6296 </w:instrText>
          </w:r>
          <w:r>
            <w:rPr>
              <w:bCs/>
            </w:rPr>
            <w:fldChar w:fldCharType="separate"/>
          </w:r>
          <w:r>
            <w:rPr>
              <w:rFonts w:ascii="Times New Roman" w:hAnsi="Times New Roman" w:eastAsia="宋体" w:cs="Times New Roman"/>
              <w:bCs w:val="0"/>
              <w:kern w:val="2"/>
              <w:lang w:val="en-US" w:bidi="ar-SA"/>
            </w:rPr>
            <w:t>六、指令的发送、确认及执行</w:t>
          </w:r>
          <w:r>
            <w:tab/>
          </w:r>
          <w:r>
            <w:fldChar w:fldCharType="begin"/>
          </w:r>
          <w:r>
            <w:instrText xml:space="preserve"> PAGEREF _Toc6296 \h </w:instrText>
          </w:r>
          <w:r>
            <w:fldChar w:fldCharType="separate"/>
          </w:r>
          <w:r>
            <w:t>15</w:t>
          </w:r>
          <w:r>
            <w:fldChar w:fldCharType="end"/>
          </w:r>
          <w:r>
            <w:rPr>
              <w:bCs/>
            </w:rPr>
            <w:fldChar w:fldCharType="end"/>
          </w:r>
        </w:p>
        <w:p w14:paraId="42024F57">
          <w:pPr>
            <w:pStyle w:val="11"/>
            <w:tabs>
              <w:tab w:val="right" w:leader="dot" w:pos="8670"/>
            </w:tabs>
          </w:pPr>
          <w:r>
            <w:rPr>
              <w:bCs/>
            </w:rPr>
            <w:fldChar w:fldCharType="begin"/>
          </w:r>
          <w:r>
            <w:rPr>
              <w:bCs/>
            </w:rPr>
            <w:instrText xml:space="preserve"> HYPERLINK \l _Toc6301 </w:instrText>
          </w:r>
          <w:r>
            <w:rPr>
              <w:bCs/>
            </w:rPr>
            <w:fldChar w:fldCharType="separate"/>
          </w:r>
          <w:r>
            <w:rPr>
              <w:rFonts w:ascii="Times New Roman" w:hAnsi="Times New Roman" w:eastAsia="宋体" w:cs="Times New Roman"/>
              <w:bCs w:val="0"/>
              <w:kern w:val="2"/>
              <w:lang w:val="en-US" w:bidi="ar-SA"/>
            </w:rPr>
            <w:t>七、交易及清算交收安排</w:t>
          </w:r>
          <w:r>
            <w:tab/>
          </w:r>
          <w:r>
            <w:fldChar w:fldCharType="begin"/>
          </w:r>
          <w:r>
            <w:instrText xml:space="preserve"> PAGEREF _Toc6301 \h </w:instrText>
          </w:r>
          <w:r>
            <w:fldChar w:fldCharType="separate"/>
          </w:r>
          <w:r>
            <w:t>18</w:t>
          </w:r>
          <w:r>
            <w:fldChar w:fldCharType="end"/>
          </w:r>
          <w:r>
            <w:rPr>
              <w:bCs/>
            </w:rPr>
            <w:fldChar w:fldCharType="end"/>
          </w:r>
        </w:p>
        <w:p w14:paraId="0CE2D85C">
          <w:pPr>
            <w:pStyle w:val="11"/>
            <w:tabs>
              <w:tab w:val="right" w:leader="dot" w:pos="8670"/>
            </w:tabs>
          </w:pPr>
          <w:r>
            <w:rPr>
              <w:bCs/>
            </w:rPr>
            <w:fldChar w:fldCharType="begin"/>
          </w:r>
          <w:r>
            <w:rPr>
              <w:bCs/>
            </w:rPr>
            <w:instrText xml:space="preserve"> HYPERLINK \l _Toc14452 </w:instrText>
          </w:r>
          <w:r>
            <w:rPr>
              <w:bCs/>
            </w:rPr>
            <w:fldChar w:fldCharType="separate"/>
          </w:r>
          <w:r>
            <w:rPr>
              <w:rFonts w:ascii="Times New Roman" w:hAnsi="Times New Roman" w:eastAsia="宋体" w:cs="Times New Roman"/>
              <w:bCs w:val="0"/>
              <w:kern w:val="2"/>
              <w:lang w:val="en-US" w:bidi="ar-SA"/>
            </w:rPr>
            <w:t>八、基金资产净值计算和会计核算</w:t>
          </w:r>
          <w:r>
            <w:tab/>
          </w:r>
          <w:r>
            <w:fldChar w:fldCharType="begin"/>
          </w:r>
          <w:r>
            <w:instrText xml:space="preserve"> PAGEREF _Toc14452 \h </w:instrText>
          </w:r>
          <w:r>
            <w:fldChar w:fldCharType="separate"/>
          </w:r>
          <w:r>
            <w:t>23</w:t>
          </w:r>
          <w:r>
            <w:fldChar w:fldCharType="end"/>
          </w:r>
          <w:r>
            <w:rPr>
              <w:bCs/>
            </w:rPr>
            <w:fldChar w:fldCharType="end"/>
          </w:r>
        </w:p>
        <w:p w14:paraId="60360A88">
          <w:pPr>
            <w:pStyle w:val="11"/>
            <w:tabs>
              <w:tab w:val="right" w:leader="dot" w:pos="8670"/>
            </w:tabs>
          </w:pPr>
          <w:r>
            <w:rPr>
              <w:bCs/>
            </w:rPr>
            <w:fldChar w:fldCharType="begin"/>
          </w:r>
          <w:r>
            <w:rPr>
              <w:bCs/>
            </w:rPr>
            <w:instrText xml:space="preserve"> HYPERLINK \l _Toc31150 </w:instrText>
          </w:r>
          <w:r>
            <w:rPr>
              <w:bCs/>
            </w:rPr>
            <w:fldChar w:fldCharType="separate"/>
          </w:r>
          <w:r>
            <w:rPr>
              <w:rFonts w:ascii="Times New Roman" w:hAnsi="Times New Roman" w:eastAsia="宋体" w:cs="Times New Roman"/>
              <w:bCs w:val="0"/>
              <w:kern w:val="2"/>
              <w:lang w:val="en-US" w:bidi="ar-SA"/>
            </w:rPr>
            <w:t>九、基金收益分配</w:t>
          </w:r>
          <w:r>
            <w:tab/>
          </w:r>
          <w:r>
            <w:fldChar w:fldCharType="begin"/>
          </w:r>
          <w:r>
            <w:instrText xml:space="preserve"> PAGEREF _Toc31150 \h </w:instrText>
          </w:r>
          <w:r>
            <w:fldChar w:fldCharType="separate"/>
          </w:r>
          <w:r>
            <w:t>25</w:t>
          </w:r>
          <w:r>
            <w:fldChar w:fldCharType="end"/>
          </w:r>
          <w:r>
            <w:rPr>
              <w:bCs/>
            </w:rPr>
            <w:fldChar w:fldCharType="end"/>
          </w:r>
        </w:p>
        <w:p w14:paraId="0BB42071">
          <w:pPr>
            <w:pStyle w:val="11"/>
            <w:tabs>
              <w:tab w:val="right" w:leader="dot" w:pos="8670"/>
            </w:tabs>
          </w:pPr>
          <w:r>
            <w:rPr>
              <w:bCs/>
            </w:rPr>
            <w:fldChar w:fldCharType="begin"/>
          </w:r>
          <w:r>
            <w:rPr>
              <w:bCs/>
            </w:rPr>
            <w:instrText xml:space="preserve"> HYPERLINK \l _Toc4721 </w:instrText>
          </w:r>
          <w:r>
            <w:rPr>
              <w:bCs/>
            </w:rPr>
            <w:fldChar w:fldCharType="separate"/>
          </w:r>
          <w:r>
            <w:rPr>
              <w:rFonts w:ascii="Times New Roman" w:hAnsi="Times New Roman" w:eastAsia="宋体" w:cs="Times New Roman"/>
              <w:bCs w:val="0"/>
              <w:kern w:val="2"/>
              <w:lang w:val="en-US" w:bidi="ar-SA"/>
            </w:rPr>
            <w:t>十、基金信息披露</w:t>
          </w:r>
          <w:r>
            <w:tab/>
          </w:r>
          <w:r>
            <w:fldChar w:fldCharType="begin"/>
          </w:r>
          <w:r>
            <w:instrText xml:space="preserve"> PAGEREF _Toc4721 \h </w:instrText>
          </w:r>
          <w:r>
            <w:fldChar w:fldCharType="separate"/>
          </w:r>
          <w:r>
            <w:t>26</w:t>
          </w:r>
          <w:r>
            <w:fldChar w:fldCharType="end"/>
          </w:r>
          <w:r>
            <w:rPr>
              <w:bCs/>
            </w:rPr>
            <w:fldChar w:fldCharType="end"/>
          </w:r>
        </w:p>
        <w:p w14:paraId="2DA6A810">
          <w:pPr>
            <w:pStyle w:val="11"/>
            <w:tabs>
              <w:tab w:val="right" w:leader="dot" w:pos="8670"/>
            </w:tabs>
          </w:pPr>
          <w:r>
            <w:rPr>
              <w:bCs/>
            </w:rPr>
            <w:fldChar w:fldCharType="begin"/>
          </w:r>
          <w:r>
            <w:rPr>
              <w:bCs/>
            </w:rPr>
            <w:instrText xml:space="preserve"> HYPERLINK \l _Toc14022 </w:instrText>
          </w:r>
          <w:r>
            <w:rPr>
              <w:bCs/>
            </w:rPr>
            <w:fldChar w:fldCharType="separate"/>
          </w:r>
          <w:r>
            <w:rPr>
              <w:rFonts w:ascii="Times New Roman" w:hAnsi="Times New Roman" w:eastAsia="宋体" w:cs="Times New Roman"/>
              <w:bCs w:val="0"/>
              <w:kern w:val="2"/>
              <w:lang w:val="en-US" w:bidi="ar-SA"/>
            </w:rPr>
            <w:t>十一、基金费用</w:t>
          </w:r>
          <w:r>
            <w:tab/>
          </w:r>
          <w:r>
            <w:fldChar w:fldCharType="begin"/>
          </w:r>
          <w:r>
            <w:instrText xml:space="preserve"> PAGEREF _Toc14022 \h </w:instrText>
          </w:r>
          <w:r>
            <w:fldChar w:fldCharType="separate"/>
          </w:r>
          <w:r>
            <w:t>28</w:t>
          </w:r>
          <w:r>
            <w:fldChar w:fldCharType="end"/>
          </w:r>
          <w:r>
            <w:rPr>
              <w:bCs/>
            </w:rPr>
            <w:fldChar w:fldCharType="end"/>
          </w:r>
        </w:p>
        <w:p w14:paraId="234DE88F">
          <w:pPr>
            <w:pStyle w:val="11"/>
            <w:tabs>
              <w:tab w:val="right" w:leader="dot" w:pos="8670"/>
            </w:tabs>
          </w:pPr>
          <w:r>
            <w:rPr>
              <w:bCs/>
            </w:rPr>
            <w:fldChar w:fldCharType="begin"/>
          </w:r>
          <w:r>
            <w:rPr>
              <w:bCs/>
            </w:rPr>
            <w:instrText xml:space="preserve"> HYPERLINK \l _Toc12827 </w:instrText>
          </w:r>
          <w:r>
            <w:rPr>
              <w:bCs/>
            </w:rPr>
            <w:fldChar w:fldCharType="separate"/>
          </w:r>
          <w:r>
            <w:rPr>
              <w:rFonts w:ascii="Times New Roman" w:hAnsi="Times New Roman" w:eastAsia="宋体" w:cs="Times New Roman"/>
              <w:bCs w:val="0"/>
              <w:kern w:val="2"/>
              <w:lang w:val="en-US" w:bidi="ar-SA"/>
            </w:rPr>
            <w:t>十二、基金份额持有人名册的登记与保管</w:t>
          </w:r>
          <w:r>
            <w:tab/>
          </w:r>
          <w:r>
            <w:fldChar w:fldCharType="begin"/>
          </w:r>
          <w:r>
            <w:instrText xml:space="preserve"> PAGEREF _Toc12827 \h </w:instrText>
          </w:r>
          <w:r>
            <w:fldChar w:fldCharType="separate"/>
          </w:r>
          <w:r>
            <w:t>30</w:t>
          </w:r>
          <w:r>
            <w:fldChar w:fldCharType="end"/>
          </w:r>
          <w:r>
            <w:rPr>
              <w:bCs/>
            </w:rPr>
            <w:fldChar w:fldCharType="end"/>
          </w:r>
        </w:p>
        <w:p w14:paraId="14B9C224">
          <w:pPr>
            <w:pStyle w:val="11"/>
            <w:tabs>
              <w:tab w:val="right" w:leader="dot" w:pos="8670"/>
            </w:tabs>
          </w:pPr>
          <w:r>
            <w:rPr>
              <w:bCs/>
            </w:rPr>
            <w:fldChar w:fldCharType="begin"/>
          </w:r>
          <w:r>
            <w:rPr>
              <w:bCs/>
            </w:rPr>
            <w:instrText xml:space="preserve"> HYPERLINK \l _Toc10901 </w:instrText>
          </w:r>
          <w:r>
            <w:rPr>
              <w:bCs/>
            </w:rPr>
            <w:fldChar w:fldCharType="separate"/>
          </w:r>
          <w:r>
            <w:rPr>
              <w:rFonts w:ascii="Times New Roman" w:hAnsi="Times New Roman" w:eastAsia="宋体" w:cs="Times New Roman"/>
              <w:bCs w:val="0"/>
              <w:kern w:val="2"/>
              <w:lang w:val="en-US" w:bidi="ar-SA"/>
            </w:rPr>
            <w:t>十三、基金有关文件档案的保存</w:t>
          </w:r>
          <w:r>
            <w:tab/>
          </w:r>
          <w:r>
            <w:fldChar w:fldCharType="begin"/>
          </w:r>
          <w:r>
            <w:instrText xml:space="preserve"> PAGEREF _Toc10901 \h </w:instrText>
          </w:r>
          <w:r>
            <w:fldChar w:fldCharType="separate"/>
          </w:r>
          <w:r>
            <w:t>30</w:t>
          </w:r>
          <w:r>
            <w:fldChar w:fldCharType="end"/>
          </w:r>
          <w:r>
            <w:rPr>
              <w:bCs/>
            </w:rPr>
            <w:fldChar w:fldCharType="end"/>
          </w:r>
        </w:p>
        <w:p w14:paraId="7AC8138A">
          <w:pPr>
            <w:pStyle w:val="11"/>
            <w:tabs>
              <w:tab w:val="right" w:leader="dot" w:pos="8670"/>
            </w:tabs>
          </w:pPr>
          <w:r>
            <w:rPr>
              <w:bCs/>
            </w:rPr>
            <w:fldChar w:fldCharType="begin"/>
          </w:r>
          <w:r>
            <w:rPr>
              <w:bCs/>
            </w:rPr>
            <w:instrText xml:space="preserve"> HYPERLINK \l _Toc22377 </w:instrText>
          </w:r>
          <w:r>
            <w:rPr>
              <w:bCs/>
            </w:rPr>
            <w:fldChar w:fldCharType="separate"/>
          </w:r>
          <w:r>
            <w:rPr>
              <w:rFonts w:ascii="Times New Roman" w:hAnsi="Times New Roman" w:eastAsia="宋体" w:cs="Times New Roman"/>
              <w:bCs w:val="0"/>
              <w:kern w:val="2"/>
              <w:lang w:val="en-US" w:bidi="ar-SA"/>
            </w:rPr>
            <w:t>十四、基金管理人和基金托管人的更换</w:t>
          </w:r>
          <w:r>
            <w:tab/>
          </w:r>
          <w:r>
            <w:fldChar w:fldCharType="begin"/>
          </w:r>
          <w:r>
            <w:instrText xml:space="preserve"> PAGEREF _Toc22377 \h </w:instrText>
          </w:r>
          <w:r>
            <w:fldChar w:fldCharType="separate"/>
          </w:r>
          <w:r>
            <w:t>31</w:t>
          </w:r>
          <w:r>
            <w:fldChar w:fldCharType="end"/>
          </w:r>
          <w:r>
            <w:rPr>
              <w:bCs/>
            </w:rPr>
            <w:fldChar w:fldCharType="end"/>
          </w:r>
        </w:p>
        <w:p w14:paraId="1CAD21A3">
          <w:pPr>
            <w:pStyle w:val="11"/>
            <w:tabs>
              <w:tab w:val="right" w:leader="dot" w:pos="8670"/>
            </w:tabs>
          </w:pPr>
          <w:r>
            <w:rPr>
              <w:bCs/>
            </w:rPr>
            <w:fldChar w:fldCharType="begin"/>
          </w:r>
          <w:r>
            <w:rPr>
              <w:bCs/>
            </w:rPr>
            <w:instrText xml:space="preserve"> HYPERLINK \l _Toc19732 </w:instrText>
          </w:r>
          <w:r>
            <w:rPr>
              <w:bCs/>
            </w:rPr>
            <w:fldChar w:fldCharType="separate"/>
          </w:r>
          <w:r>
            <w:rPr>
              <w:rFonts w:ascii="Times New Roman" w:hAnsi="Times New Roman" w:eastAsia="宋体" w:cs="Times New Roman"/>
              <w:bCs w:val="0"/>
              <w:kern w:val="2"/>
              <w:lang w:val="en-US" w:bidi="ar-SA"/>
            </w:rPr>
            <w:t>十五、禁止行为</w:t>
          </w:r>
          <w:r>
            <w:tab/>
          </w:r>
          <w:r>
            <w:fldChar w:fldCharType="begin"/>
          </w:r>
          <w:r>
            <w:instrText xml:space="preserve"> PAGEREF _Toc19732 \h </w:instrText>
          </w:r>
          <w:r>
            <w:fldChar w:fldCharType="separate"/>
          </w:r>
          <w:r>
            <w:t>33</w:t>
          </w:r>
          <w:r>
            <w:fldChar w:fldCharType="end"/>
          </w:r>
          <w:r>
            <w:rPr>
              <w:bCs/>
            </w:rPr>
            <w:fldChar w:fldCharType="end"/>
          </w:r>
        </w:p>
        <w:p w14:paraId="6EB9FB05">
          <w:pPr>
            <w:pStyle w:val="11"/>
            <w:tabs>
              <w:tab w:val="right" w:leader="dot" w:pos="8670"/>
            </w:tabs>
          </w:pPr>
          <w:r>
            <w:rPr>
              <w:bCs/>
            </w:rPr>
            <w:fldChar w:fldCharType="begin"/>
          </w:r>
          <w:r>
            <w:rPr>
              <w:bCs/>
            </w:rPr>
            <w:instrText xml:space="preserve"> HYPERLINK \l _Toc31437 </w:instrText>
          </w:r>
          <w:r>
            <w:rPr>
              <w:bCs/>
            </w:rPr>
            <w:fldChar w:fldCharType="separate"/>
          </w:r>
          <w:r>
            <w:rPr>
              <w:rFonts w:ascii="Times New Roman" w:hAnsi="Times New Roman" w:eastAsia="宋体" w:cs="Times New Roman"/>
              <w:bCs w:val="0"/>
              <w:kern w:val="2"/>
              <w:lang w:val="en-US" w:bidi="ar-SA"/>
            </w:rPr>
            <w:t>十六、托管协议的变更、终止与基金财产的清算</w:t>
          </w:r>
          <w:r>
            <w:tab/>
          </w:r>
          <w:r>
            <w:fldChar w:fldCharType="begin"/>
          </w:r>
          <w:r>
            <w:instrText xml:space="preserve"> PAGEREF _Toc31437 \h </w:instrText>
          </w:r>
          <w:r>
            <w:fldChar w:fldCharType="separate"/>
          </w:r>
          <w:r>
            <w:t>34</w:t>
          </w:r>
          <w:r>
            <w:fldChar w:fldCharType="end"/>
          </w:r>
          <w:r>
            <w:rPr>
              <w:bCs/>
            </w:rPr>
            <w:fldChar w:fldCharType="end"/>
          </w:r>
        </w:p>
        <w:p w14:paraId="39FF1D98">
          <w:pPr>
            <w:pStyle w:val="11"/>
            <w:tabs>
              <w:tab w:val="right" w:leader="dot" w:pos="8670"/>
            </w:tabs>
          </w:pPr>
          <w:r>
            <w:rPr>
              <w:bCs/>
            </w:rPr>
            <w:fldChar w:fldCharType="begin"/>
          </w:r>
          <w:r>
            <w:rPr>
              <w:bCs/>
            </w:rPr>
            <w:instrText xml:space="preserve"> HYPERLINK \l _Toc31714 </w:instrText>
          </w:r>
          <w:r>
            <w:rPr>
              <w:bCs/>
            </w:rPr>
            <w:fldChar w:fldCharType="separate"/>
          </w:r>
          <w:r>
            <w:rPr>
              <w:rFonts w:ascii="Times New Roman" w:hAnsi="Times New Roman" w:eastAsia="宋体" w:cs="Times New Roman"/>
              <w:bCs w:val="0"/>
              <w:kern w:val="2"/>
              <w:lang w:val="en-US" w:bidi="ar-SA"/>
            </w:rPr>
            <w:t>十七、违约责任</w:t>
          </w:r>
          <w:r>
            <w:tab/>
          </w:r>
          <w:r>
            <w:fldChar w:fldCharType="begin"/>
          </w:r>
          <w:r>
            <w:instrText xml:space="preserve"> PAGEREF _Toc31714 \h </w:instrText>
          </w:r>
          <w:r>
            <w:fldChar w:fldCharType="separate"/>
          </w:r>
          <w:r>
            <w:t>36</w:t>
          </w:r>
          <w:r>
            <w:fldChar w:fldCharType="end"/>
          </w:r>
          <w:r>
            <w:rPr>
              <w:bCs/>
            </w:rPr>
            <w:fldChar w:fldCharType="end"/>
          </w:r>
        </w:p>
        <w:p w14:paraId="20A46648">
          <w:pPr>
            <w:pStyle w:val="11"/>
            <w:tabs>
              <w:tab w:val="right" w:leader="dot" w:pos="8670"/>
            </w:tabs>
          </w:pPr>
          <w:r>
            <w:rPr>
              <w:bCs/>
            </w:rPr>
            <w:fldChar w:fldCharType="begin"/>
          </w:r>
          <w:r>
            <w:rPr>
              <w:bCs/>
            </w:rPr>
            <w:instrText xml:space="preserve"> HYPERLINK \l _Toc30357 </w:instrText>
          </w:r>
          <w:r>
            <w:rPr>
              <w:bCs/>
            </w:rPr>
            <w:fldChar w:fldCharType="separate"/>
          </w:r>
          <w:r>
            <w:rPr>
              <w:rFonts w:ascii="Times New Roman" w:hAnsi="Times New Roman" w:eastAsia="宋体" w:cs="Times New Roman"/>
              <w:bCs w:val="0"/>
              <w:kern w:val="2"/>
              <w:lang w:val="en-US" w:bidi="ar-SA"/>
            </w:rPr>
            <w:t>十八、争议解决方式</w:t>
          </w:r>
          <w:r>
            <w:tab/>
          </w:r>
          <w:r>
            <w:fldChar w:fldCharType="begin"/>
          </w:r>
          <w:r>
            <w:instrText xml:space="preserve"> PAGEREF _Toc30357 \h </w:instrText>
          </w:r>
          <w:r>
            <w:fldChar w:fldCharType="separate"/>
          </w:r>
          <w:r>
            <w:t>37</w:t>
          </w:r>
          <w:r>
            <w:fldChar w:fldCharType="end"/>
          </w:r>
          <w:r>
            <w:rPr>
              <w:bCs/>
            </w:rPr>
            <w:fldChar w:fldCharType="end"/>
          </w:r>
        </w:p>
        <w:p w14:paraId="6CDF0976">
          <w:pPr>
            <w:pStyle w:val="11"/>
            <w:tabs>
              <w:tab w:val="right" w:leader="dot" w:pos="8670"/>
            </w:tabs>
          </w:pPr>
          <w:r>
            <w:rPr>
              <w:bCs/>
            </w:rPr>
            <w:fldChar w:fldCharType="begin"/>
          </w:r>
          <w:r>
            <w:rPr>
              <w:bCs/>
            </w:rPr>
            <w:instrText xml:space="preserve"> HYPERLINK \l _Toc30359 </w:instrText>
          </w:r>
          <w:r>
            <w:rPr>
              <w:bCs/>
            </w:rPr>
            <w:fldChar w:fldCharType="separate"/>
          </w:r>
          <w:r>
            <w:rPr>
              <w:rFonts w:ascii="Times New Roman" w:hAnsi="Times New Roman" w:eastAsia="宋体" w:cs="Times New Roman"/>
              <w:bCs w:val="0"/>
              <w:kern w:val="2"/>
              <w:lang w:val="en-US" w:bidi="ar-SA"/>
            </w:rPr>
            <w:t>十九、托管协议的效力</w:t>
          </w:r>
          <w:r>
            <w:tab/>
          </w:r>
          <w:r>
            <w:fldChar w:fldCharType="begin"/>
          </w:r>
          <w:r>
            <w:instrText xml:space="preserve"> PAGEREF _Toc30359 \h </w:instrText>
          </w:r>
          <w:r>
            <w:fldChar w:fldCharType="separate"/>
          </w:r>
          <w:r>
            <w:t>37</w:t>
          </w:r>
          <w:r>
            <w:fldChar w:fldCharType="end"/>
          </w:r>
          <w:r>
            <w:rPr>
              <w:bCs/>
            </w:rPr>
            <w:fldChar w:fldCharType="end"/>
          </w:r>
        </w:p>
        <w:p w14:paraId="231F2979">
          <w:pPr>
            <w:pStyle w:val="11"/>
            <w:tabs>
              <w:tab w:val="right" w:leader="dot" w:pos="8670"/>
            </w:tabs>
          </w:pPr>
          <w:r>
            <w:rPr>
              <w:bCs/>
            </w:rPr>
            <w:fldChar w:fldCharType="begin"/>
          </w:r>
          <w:r>
            <w:rPr>
              <w:bCs/>
            </w:rPr>
            <w:instrText xml:space="preserve"> HYPERLINK \l _Toc10352 </w:instrText>
          </w:r>
          <w:r>
            <w:rPr>
              <w:bCs/>
            </w:rPr>
            <w:fldChar w:fldCharType="separate"/>
          </w:r>
          <w:r>
            <w:rPr>
              <w:rFonts w:ascii="Times New Roman" w:hAnsi="Times New Roman" w:eastAsia="宋体" w:cs="Times New Roman"/>
              <w:bCs w:val="0"/>
              <w:kern w:val="2"/>
              <w:lang w:val="en-US" w:bidi="ar-SA"/>
            </w:rPr>
            <w:t>二十、其他事项</w:t>
          </w:r>
          <w:r>
            <w:tab/>
          </w:r>
          <w:r>
            <w:fldChar w:fldCharType="begin"/>
          </w:r>
          <w:r>
            <w:instrText xml:space="preserve"> PAGEREF _Toc10352 \h </w:instrText>
          </w:r>
          <w:r>
            <w:fldChar w:fldCharType="separate"/>
          </w:r>
          <w:r>
            <w:t>38</w:t>
          </w:r>
          <w:r>
            <w:fldChar w:fldCharType="end"/>
          </w:r>
          <w:r>
            <w:rPr>
              <w:bCs/>
            </w:rPr>
            <w:fldChar w:fldCharType="end"/>
          </w:r>
        </w:p>
        <w:p w14:paraId="785AD9EA">
          <w:pPr>
            <w:pStyle w:val="11"/>
            <w:tabs>
              <w:tab w:val="right" w:leader="dot" w:pos="8670"/>
            </w:tabs>
          </w:pPr>
          <w:r>
            <w:rPr>
              <w:bCs/>
            </w:rPr>
            <w:fldChar w:fldCharType="begin"/>
          </w:r>
          <w:r>
            <w:rPr>
              <w:bCs/>
            </w:rPr>
            <w:instrText xml:space="preserve"> HYPERLINK \l _Toc14007 </w:instrText>
          </w:r>
          <w:r>
            <w:rPr>
              <w:bCs/>
            </w:rPr>
            <w:fldChar w:fldCharType="separate"/>
          </w:r>
          <w:r>
            <w:rPr>
              <w:rFonts w:ascii="Times New Roman" w:hAnsi="Times New Roman" w:eastAsia="宋体" w:cs="Times New Roman"/>
              <w:bCs w:val="0"/>
              <w:kern w:val="2"/>
              <w:lang w:val="en-US" w:bidi="ar-SA"/>
            </w:rPr>
            <w:t>二十一、托管协议的签订</w:t>
          </w:r>
          <w:r>
            <w:tab/>
          </w:r>
          <w:r>
            <w:fldChar w:fldCharType="begin"/>
          </w:r>
          <w:r>
            <w:instrText xml:space="preserve"> PAGEREF _Toc14007 \h </w:instrText>
          </w:r>
          <w:r>
            <w:fldChar w:fldCharType="separate"/>
          </w:r>
          <w:r>
            <w:t>38</w:t>
          </w:r>
          <w:r>
            <w:fldChar w:fldCharType="end"/>
          </w:r>
          <w:r>
            <w:rPr>
              <w:bCs/>
            </w:rPr>
            <w:fldChar w:fldCharType="end"/>
          </w:r>
        </w:p>
        <w:p w14:paraId="79C7B047">
          <w:pPr>
            <w:pStyle w:val="11"/>
            <w:tabs>
              <w:tab w:val="right" w:leader="dot" w:pos="8660"/>
            </w:tabs>
            <w:jc w:val="both"/>
          </w:pPr>
          <w:r>
            <w:rPr>
              <w:b/>
              <w:bCs/>
            </w:rPr>
            <w:fldChar w:fldCharType="end"/>
          </w:r>
        </w:p>
      </w:sdtContent>
    </w:sdt>
    <w:p w14:paraId="23E9B924">
      <w:pPr>
        <w:spacing w:line="360" w:lineRule="auto"/>
        <w:ind w:firstLine="480" w:firstLineChars="200"/>
        <w:jc w:val="both"/>
        <w:rPr>
          <w:rFonts w:ascii="仿宋" w:hAnsi="仿宋" w:eastAsia="仿宋"/>
          <w:sz w:val="24"/>
          <w:szCs w:val="24"/>
        </w:rPr>
      </w:pPr>
    </w:p>
    <w:p w14:paraId="5B736AF0">
      <w:pPr>
        <w:jc w:val="both"/>
        <w:rPr>
          <w:rFonts w:ascii="仿宋" w:hAnsi="仿宋" w:eastAsia="仿宋"/>
          <w:sz w:val="24"/>
          <w:szCs w:val="24"/>
        </w:rPr>
      </w:pPr>
    </w:p>
    <w:p w14:paraId="0342660C">
      <w:pPr>
        <w:jc w:val="both"/>
        <w:rPr>
          <w:rFonts w:ascii="仿宋" w:hAnsi="仿宋" w:eastAsia="仿宋"/>
          <w:sz w:val="24"/>
          <w:szCs w:val="24"/>
        </w:rPr>
      </w:pPr>
    </w:p>
    <w:p w14:paraId="2720DCA3">
      <w:pPr>
        <w:jc w:val="both"/>
        <w:rPr>
          <w:rFonts w:ascii="仿宋" w:hAnsi="仿宋" w:eastAsia="仿宋"/>
          <w:sz w:val="24"/>
          <w:szCs w:val="24"/>
        </w:rPr>
      </w:pPr>
    </w:p>
    <w:p w14:paraId="34F746D1">
      <w:pPr>
        <w:tabs>
          <w:tab w:val="left" w:pos="5328"/>
        </w:tabs>
        <w:jc w:val="both"/>
        <w:rPr>
          <w:rFonts w:ascii="仿宋" w:hAnsi="仿宋" w:eastAsia="仿宋"/>
          <w:sz w:val="24"/>
          <w:szCs w:val="24"/>
        </w:rPr>
      </w:pPr>
      <w:r>
        <w:rPr>
          <w:rFonts w:ascii="仿宋" w:hAnsi="仿宋" w:eastAsia="仿宋"/>
          <w:sz w:val="24"/>
          <w:szCs w:val="24"/>
        </w:rPr>
        <w:tab/>
      </w:r>
    </w:p>
    <w:p w14:paraId="5B3F5302">
      <w:pPr>
        <w:jc w:val="both"/>
        <w:rPr>
          <w:rFonts w:ascii="仿宋" w:hAnsi="仿宋" w:eastAsia="仿宋"/>
          <w:sz w:val="24"/>
          <w:szCs w:val="24"/>
        </w:rPr>
      </w:pPr>
    </w:p>
    <w:p w14:paraId="4A3851CE">
      <w:pPr>
        <w:jc w:val="both"/>
        <w:rPr>
          <w:rFonts w:ascii="仿宋" w:hAnsi="仿宋" w:eastAsia="仿宋"/>
          <w:sz w:val="24"/>
          <w:szCs w:val="24"/>
        </w:rPr>
        <w:sectPr>
          <w:headerReference r:id="rId5" w:type="first"/>
          <w:headerReference r:id="rId3" w:type="default"/>
          <w:footerReference r:id="rId6" w:type="default"/>
          <w:headerReference r:id="rId4" w:type="even"/>
          <w:pgSz w:w="11910" w:h="16840"/>
          <w:pgMar w:top="1520" w:right="1560" w:bottom="1400" w:left="1680" w:header="737" w:footer="992" w:gutter="0"/>
          <w:pgNumType w:start="1"/>
          <w:cols w:space="720" w:num="1"/>
          <w:docGrid w:linePitch="299" w:charSpace="0"/>
        </w:sectPr>
      </w:pPr>
    </w:p>
    <w:p w14:paraId="795144ED">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鉴于富国基金管理有限公司系一家依照中国法律合法成立并有效存续的有限责任公司，按照相关法律法规的规定具备担任基金管理人的资格和能力,拟募集发行富国国证通用航空产业交易型开放式指数证券投资基金发起式联接基金；</w:t>
      </w:r>
    </w:p>
    <w:p w14:paraId="3806A7AC">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鉴于广发证券股份有限公司系一家依照中国法律合法成立并有效存续的证券公司，按照相关法律法规的规定具备担任基金托管人的资格和能力；</w:t>
      </w:r>
    </w:p>
    <w:p w14:paraId="5C002449">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鉴于富国基金管理有限公司拟担任富国国证通用航空产业交易型开放式指数证券投资基金发起式联接基金的基金管理人，广发证券股份有限公司拟担任富国国证通用航空产业交易型开放式指数证券投资基金发起式联接基金的基金托管人；</w:t>
      </w:r>
    </w:p>
    <w:p w14:paraId="22B0524E">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为明确富国国证通用航空产业交易型开放式指数证券投资基金发起式联接基金的基金管理人和基金托管人之间的权利义务关系，特制订本托管协议；</w:t>
      </w:r>
    </w:p>
    <w:p w14:paraId="4AF1299E">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若本基金实施侧袋机制的，侧袋机制实施期间的相关安排见基金合同和招募说明书的规定；</w:t>
      </w:r>
    </w:p>
    <w:p w14:paraId="3F6DDC78">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除非另有约定，《富国国证通用航空产业交易型开放式指数证券投资基金发起式联接基金基金合同》（以下简称“《基金合同》</w:t>
      </w:r>
      <w:r>
        <w:rPr>
          <w:rFonts w:ascii="Times New Roman" w:hAnsi="Times New Roman"/>
          <w:spacing w:val="0"/>
          <w:sz w:val="24"/>
          <w:szCs w:val="24"/>
        </w:rPr>
        <w:t>”</w:t>
      </w:r>
      <w:r>
        <w:rPr>
          <w:rFonts w:hint="eastAsia" w:ascii="Times New Roman" w:hAnsi="Times New Roman"/>
          <w:spacing w:val="0"/>
          <w:sz w:val="24"/>
          <w:szCs w:val="24"/>
        </w:rPr>
        <w:t xml:space="preserve"> 或“基金合同”）中定义的术语在用于本托管协议时应具有相同的含义；若有抵触应以《基金合同》为准，并依其条款解释。</w:t>
      </w:r>
    </w:p>
    <w:p w14:paraId="6218F3CB">
      <w:pPr>
        <w:pStyle w:val="2"/>
        <w:spacing w:before="100" w:beforeAutospacing="1" w:after="100" w:afterAutospacing="1"/>
        <w:ind w:left="0"/>
        <w:jc w:val="center"/>
        <w:rPr>
          <w:rFonts w:ascii="Times New Roman" w:hAnsi="Times New Roman" w:eastAsia="宋体" w:cs="Times New Roman"/>
          <w:bCs w:val="0"/>
          <w:color w:val="000000" w:themeColor="text1"/>
          <w:kern w:val="2"/>
          <w:lang w:val="en-US" w:bidi="ar-SA"/>
          <w14:textFill>
            <w14:solidFill>
              <w14:schemeClr w14:val="tx1"/>
            </w14:solidFill>
          </w14:textFill>
        </w:rPr>
      </w:pPr>
      <w:bookmarkStart w:id="1" w:name="_Toc21389"/>
      <w:bookmarkStart w:id="2" w:name="_Toc516502486"/>
      <w:r>
        <w:rPr>
          <w:rFonts w:ascii="Times New Roman" w:hAnsi="Times New Roman" w:eastAsia="宋体" w:cs="Times New Roman"/>
          <w:bCs w:val="0"/>
          <w:color w:val="000000" w:themeColor="text1"/>
          <w:kern w:val="2"/>
          <w:lang w:val="en-US" w:bidi="ar-SA"/>
          <w14:textFill>
            <w14:solidFill>
              <w14:schemeClr w14:val="tx1"/>
            </w14:solidFill>
          </w14:textFill>
        </w:rPr>
        <w:t>一、基金托管协议当事人</w:t>
      </w:r>
      <w:bookmarkEnd w:id="1"/>
      <w:bookmarkEnd w:id="2"/>
    </w:p>
    <w:p w14:paraId="485C6E64">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（一）基金管理人（或简称“管理人”）</w:t>
      </w:r>
    </w:p>
    <w:p w14:paraId="3AE6BF1E">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名称：富国基金管理有限公司</w:t>
      </w:r>
    </w:p>
    <w:p w14:paraId="201EE4A4">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住所：中国（上海）自由贸易试验区世纪大道1196号世纪汇办公楼二座27-30层</w:t>
      </w:r>
    </w:p>
    <w:p w14:paraId="2E9127E3">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法定代表人：裴长江</w:t>
      </w:r>
    </w:p>
    <w:p w14:paraId="482575E5">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设立日期：1999年4月13日</w:t>
      </w:r>
    </w:p>
    <w:p w14:paraId="456771C0">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批准设立机关及批准设立文号：中国证券监督管理委员会证监基金字【1999】11号</w:t>
      </w:r>
    </w:p>
    <w:p w14:paraId="03841F6D">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组织形式：有限责任公司</w:t>
      </w:r>
    </w:p>
    <w:p w14:paraId="158B1129">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注册资本：人民币5.2亿元</w:t>
      </w:r>
    </w:p>
    <w:p w14:paraId="06312181">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存续期限：持续经营</w:t>
      </w:r>
    </w:p>
    <w:p w14:paraId="0BFDA1A9">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联系电话：</w:t>
      </w:r>
      <w:r>
        <w:rPr>
          <w:rFonts w:ascii="Times New Roman" w:hAnsi="Times New Roman"/>
          <w:spacing w:val="0"/>
          <w:sz w:val="24"/>
          <w:szCs w:val="24"/>
        </w:rPr>
        <w:t>021-20361818</w:t>
      </w:r>
    </w:p>
    <w:p w14:paraId="699A60F5">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（二）基金托管人（或简称“托管人”）</w:t>
      </w:r>
    </w:p>
    <w:p w14:paraId="7EA95F8A">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名称：广发证券股份有限公司</w:t>
      </w:r>
    </w:p>
    <w:p w14:paraId="5F7FAFB6">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注册地址：广东省广州市黄埔区中新广州知识城腾飞一街2号618室</w:t>
      </w:r>
    </w:p>
    <w:p w14:paraId="0C409C9A">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办公地址：广东省广州市天河区马场路26号广发证券大厦34楼</w:t>
      </w:r>
    </w:p>
    <w:p w14:paraId="174CB835">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法定代表人：林传辉</w:t>
      </w:r>
    </w:p>
    <w:p w14:paraId="2096CC3B">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成立日期：1994年01月21日</w:t>
      </w:r>
    </w:p>
    <w:p w14:paraId="4A67D168">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批准设立机关和批准设立文号：中国人民银行广东省分行粤银管字【1991】第133号</w:t>
      </w:r>
    </w:p>
    <w:p w14:paraId="0F6A9F2F">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注册资本：</w:t>
      </w:r>
      <w:r>
        <w:rPr>
          <w:rFonts w:ascii="Times New Roman" w:hAnsi="Times New Roman"/>
          <w:sz w:val="24"/>
          <w:szCs w:val="24"/>
        </w:rPr>
        <w:t>760584.5511</w:t>
      </w:r>
      <w:r>
        <w:rPr>
          <w:rFonts w:hint="eastAsia" w:ascii="Times New Roman" w:hAnsi="Times New Roman"/>
          <w:spacing w:val="0"/>
          <w:sz w:val="24"/>
          <w:szCs w:val="24"/>
        </w:rPr>
        <w:t>00万元人民币</w:t>
      </w:r>
    </w:p>
    <w:p w14:paraId="2A017026">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存续期间：长期</w:t>
      </w:r>
    </w:p>
    <w:p w14:paraId="4D63AB8A">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基金托管资格批文及文号：证监许可【2014】510号</w:t>
      </w:r>
    </w:p>
    <w:p w14:paraId="0421929B">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组织形式：股份有限公司</w:t>
      </w:r>
    </w:p>
    <w:p w14:paraId="01BB43C7">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经营范围：证券经纪；证券投资咨询；与证券交易、证券投资活动有关的财务顾问；证券承销与保荐；证券自营；融资融券；证券投资基金代销；证券投资基金托管；为期货公司提供中间介绍业务；代销金融产品；股票期权做市。（依法须经批准的项目，经相关部门批准后方可开展经营活动。）</w:t>
      </w:r>
    </w:p>
    <w:p w14:paraId="1C012B88">
      <w:pPr>
        <w:pStyle w:val="2"/>
        <w:spacing w:before="100" w:beforeAutospacing="1" w:after="100" w:afterAutospacing="1"/>
        <w:ind w:left="0"/>
        <w:jc w:val="center"/>
        <w:rPr>
          <w:rFonts w:ascii="Times New Roman" w:hAnsi="Times New Roman" w:eastAsia="宋体" w:cs="Times New Roman"/>
          <w:bCs w:val="0"/>
          <w:color w:val="000000" w:themeColor="text1"/>
          <w:kern w:val="2"/>
          <w:lang w:val="en-US" w:bidi="ar-SA"/>
          <w14:textFill>
            <w14:solidFill>
              <w14:schemeClr w14:val="tx1"/>
            </w14:solidFill>
          </w14:textFill>
        </w:rPr>
      </w:pPr>
      <w:bookmarkStart w:id="3" w:name="_Toc516502487"/>
      <w:bookmarkStart w:id="4" w:name="_Toc31334"/>
      <w:r>
        <w:rPr>
          <w:rFonts w:ascii="Times New Roman" w:hAnsi="Times New Roman" w:eastAsia="宋体" w:cs="Times New Roman"/>
          <w:bCs w:val="0"/>
          <w:color w:val="000000" w:themeColor="text1"/>
          <w:kern w:val="2"/>
          <w:lang w:val="en-US" w:bidi="ar-SA"/>
          <w14:textFill>
            <w14:solidFill>
              <w14:schemeClr w14:val="tx1"/>
            </w14:solidFill>
          </w14:textFill>
        </w:rPr>
        <w:t>二、基金托管协议的依据、目的和原则</w:t>
      </w:r>
      <w:bookmarkEnd w:id="3"/>
      <w:bookmarkEnd w:id="4"/>
    </w:p>
    <w:p w14:paraId="4E0266AA">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（一）订立托管协议的依据</w:t>
      </w:r>
    </w:p>
    <w:p w14:paraId="5972D74B">
      <w:pPr>
        <w:adjustRightInd w:val="0"/>
        <w:snapToGrid w:val="0"/>
        <w:spacing w:line="360" w:lineRule="auto"/>
        <w:ind w:firstLine="480" w:firstLineChars="200"/>
        <w:jc w:val="both"/>
        <w:rPr>
          <w:rFonts w:ascii="Times New Roman" w:hAnsi="Times New Roman"/>
          <w:spacing w:val="0"/>
          <w:sz w:val="24"/>
          <w:szCs w:val="24"/>
        </w:rPr>
      </w:pPr>
      <w:r>
        <w:rPr>
          <w:rFonts w:ascii="Times New Roman" w:hAnsi="Times New Roman"/>
          <w:color w:val="000000"/>
          <w:sz w:val="24"/>
          <w:szCs w:val="24"/>
        </w:rPr>
        <w:t>本协议依据《中华人民共和国证券投资基金法》（以下简称“《基金法》”）</w:t>
      </w:r>
      <w:r>
        <w:rPr>
          <w:rFonts w:hint="eastAsia" w:ascii="Times New Roman" w:hAnsi="Times New Roman"/>
          <w:color w:val="000000"/>
          <w:sz w:val="24"/>
          <w:szCs w:val="24"/>
        </w:rPr>
        <w:t>、</w:t>
      </w:r>
      <w:r>
        <w:rPr>
          <w:rFonts w:ascii="Times New Roman" w:hAnsi="Times New Roman"/>
          <w:color w:val="000000"/>
          <w:sz w:val="24"/>
        </w:rPr>
        <w:t>《公开募集证券投资基金</w:t>
      </w:r>
      <w:r>
        <w:rPr>
          <w:rFonts w:hint="eastAsia" w:ascii="Times New Roman" w:hAnsi="Times New Roman"/>
          <w:color w:val="000000"/>
          <w:sz w:val="24"/>
        </w:rPr>
        <w:t>运作</w:t>
      </w:r>
      <w:r>
        <w:rPr>
          <w:rFonts w:ascii="Times New Roman" w:hAnsi="Times New Roman"/>
          <w:color w:val="000000"/>
          <w:sz w:val="24"/>
        </w:rPr>
        <w:t>管理</w:t>
      </w:r>
      <w:r>
        <w:rPr>
          <w:rFonts w:hint="eastAsia" w:ascii="Times New Roman" w:hAnsi="Times New Roman"/>
          <w:color w:val="000000"/>
          <w:sz w:val="24"/>
        </w:rPr>
        <w:t>办法</w:t>
      </w:r>
      <w:r>
        <w:rPr>
          <w:rFonts w:ascii="Times New Roman" w:hAnsi="Times New Roman"/>
          <w:color w:val="000000"/>
          <w:sz w:val="24"/>
        </w:rPr>
        <w:t>》</w:t>
      </w:r>
      <w:r>
        <w:rPr>
          <w:rFonts w:hint="eastAsia" w:ascii="Times New Roman" w:hAnsi="Times New Roman"/>
          <w:color w:val="000000"/>
          <w:sz w:val="24"/>
        </w:rPr>
        <w:t>（以下简称“《运作办法》”）、《公开募集证券投资基金信息披露管理办法》</w:t>
      </w:r>
      <w:r>
        <w:rPr>
          <w:rFonts w:ascii="Times New Roman" w:hAnsi="Times New Roman"/>
          <w:color w:val="000000"/>
          <w:sz w:val="24"/>
        </w:rPr>
        <w:t>（以下简称</w:t>
      </w:r>
      <w:r>
        <w:rPr>
          <w:rFonts w:hint="eastAsia" w:ascii="Times New Roman" w:hAnsi="Times New Roman"/>
          <w:bCs/>
          <w:color w:val="000000"/>
          <w:sz w:val="24"/>
        </w:rPr>
        <w:t>“</w:t>
      </w:r>
      <w:r>
        <w:rPr>
          <w:rFonts w:ascii="Times New Roman" w:hAnsi="Times New Roman"/>
          <w:color w:val="000000"/>
          <w:sz w:val="24"/>
        </w:rPr>
        <w:t>《信息披露办法》</w:t>
      </w:r>
      <w:r>
        <w:rPr>
          <w:rFonts w:hint="eastAsia" w:ascii="Times New Roman" w:hAnsi="Times New Roman"/>
          <w:bCs/>
          <w:color w:val="000000"/>
          <w:sz w:val="24"/>
        </w:rPr>
        <w:t>”</w:t>
      </w:r>
      <w:r>
        <w:rPr>
          <w:rFonts w:ascii="Times New Roman" w:hAnsi="Times New Roman"/>
          <w:color w:val="000000"/>
          <w:sz w:val="24"/>
        </w:rPr>
        <w:t>）、《公开募集开放式证券投资基金流动性风险管理规定》</w:t>
      </w:r>
      <w:r>
        <w:rPr>
          <w:rFonts w:hint="eastAsia" w:ascii="Times New Roman" w:hAnsi="Times New Roman"/>
          <w:sz w:val="24"/>
        </w:rPr>
        <w:t>（以下简称“《流动性风险管理规定》”）、《公开募集证券投资基金运作指引第</w:t>
      </w:r>
      <w:r>
        <w:rPr>
          <w:rFonts w:ascii="Times New Roman" w:hAnsi="Times New Roman"/>
          <w:sz w:val="24"/>
        </w:rPr>
        <w:t>2号——基金中基金指引》、《公开募集证券投资基金运作指引第3号——指数基金指引》</w:t>
      </w:r>
      <w:r>
        <w:rPr>
          <w:rFonts w:ascii="Times New Roman" w:hAnsi="Times New Roman"/>
          <w:color w:val="000000"/>
          <w:sz w:val="24"/>
          <w:szCs w:val="24"/>
        </w:rPr>
        <w:t>等有关法律、法规（以下简称“法律法规”）、《基金合同》及其他有关规定制订。</w:t>
      </w:r>
    </w:p>
    <w:p w14:paraId="1E80DEBA">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（二）订立托管协议的目的</w:t>
      </w:r>
    </w:p>
    <w:p w14:paraId="2852FDF3">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4BC44F2">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（三）订立托管协议的原则</w:t>
      </w:r>
    </w:p>
    <w:p w14:paraId="7B14CEF2">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基金管理人和基金托管人本着平等自愿、诚实信用、充分保护基金投资者合法权益的原则，经协商一致，签订本协议。</w:t>
      </w:r>
    </w:p>
    <w:p w14:paraId="19772C85">
      <w:pPr>
        <w:spacing w:line="360" w:lineRule="auto"/>
        <w:jc w:val="both"/>
        <w:rPr>
          <w:rFonts w:ascii="Times New Roman" w:hAnsi="Times New Roman"/>
          <w:spacing w:val="0"/>
          <w:sz w:val="24"/>
          <w:szCs w:val="24"/>
        </w:rPr>
      </w:pPr>
    </w:p>
    <w:p w14:paraId="3EF106B9">
      <w:pPr>
        <w:pStyle w:val="2"/>
        <w:spacing w:before="100" w:beforeAutospacing="1" w:after="100" w:afterAutospacing="1"/>
        <w:ind w:left="0"/>
        <w:jc w:val="center"/>
        <w:rPr>
          <w:rFonts w:ascii="Times New Roman" w:hAnsi="Times New Roman" w:eastAsia="宋体" w:cs="Times New Roman"/>
          <w:bCs w:val="0"/>
          <w:color w:val="000000" w:themeColor="text1"/>
          <w:kern w:val="2"/>
          <w:lang w:val="en-US" w:bidi="ar-SA"/>
          <w14:textFill>
            <w14:solidFill>
              <w14:schemeClr w14:val="tx1"/>
            </w14:solidFill>
          </w14:textFill>
        </w:rPr>
      </w:pPr>
      <w:bookmarkStart w:id="5" w:name="_Toc16816"/>
      <w:bookmarkStart w:id="6" w:name="_Toc516502488"/>
      <w:r>
        <w:rPr>
          <w:rFonts w:ascii="Times New Roman" w:hAnsi="Times New Roman" w:eastAsia="宋体" w:cs="Times New Roman"/>
          <w:bCs w:val="0"/>
          <w:color w:val="000000" w:themeColor="text1"/>
          <w:kern w:val="2"/>
          <w:lang w:val="en-US" w:bidi="ar-SA"/>
          <w14:textFill>
            <w14:solidFill>
              <w14:schemeClr w14:val="tx1"/>
            </w14:solidFill>
          </w14:textFill>
        </w:rPr>
        <w:t>三、基金托管人对基金管理人的业务监督和核查</w:t>
      </w:r>
      <w:bookmarkEnd w:id="5"/>
      <w:bookmarkEnd w:id="6"/>
    </w:p>
    <w:p w14:paraId="5244DE39">
      <w:pPr>
        <w:spacing w:line="360" w:lineRule="auto"/>
        <w:ind w:firstLine="480" w:firstLineChars="200"/>
        <w:jc w:val="both"/>
        <w:rPr>
          <w:spacing w:val="0"/>
          <w:sz w:val="24"/>
          <w:szCs w:val="24"/>
        </w:rPr>
      </w:pPr>
      <w:r>
        <w:rPr>
          <w:rFonts w:hint="eastAsia" w:ascii="Times New Roman" w:hAnsi="Times New Roman"/>
          <w:spacing w:val="0"/>
          <w:sz w:val="24"/>
          <w:szCs w:val="24"/>
        </w:rPr>
        <w:t>（一）基金托管人根据有关法律法规的规定及《基金合同》的约定，对基金投资范围、投资对象进行监督。基金管理人应通过管理人公司邮箱或双方共同认可的其他方式向基金托管人提供投资监督联系方式。基金托管人接收基金管理人投资监督联系方式以及向基金管理人发送投资监督提示邮件的邮箱地址为：compliance_zctg@gf.com.cn。</w:t>
      </w:r>
    </w:p>
    <w:p w14:paraId="5443303E">
      <w:pPr>
        <w:spacing w:line="360" w:lineRule="auto"/>
        <w:ind w:firstLine="480" w:firstLineChars="200"/>
        <w:jc w:val="both"/>
        <w:rPr>
          <w:spacing w:val="0"/>
          <w:sz w:val="24"/>
          <w:szCs w:val="24"/>
        </w:rPr>
      </w:pPr>
      <w:r>
        <w:rPr>
          <w:spacing w:val="0"/>
          <w:sz w:val="24"/>
          <w:szCs w:val="24"/>
        </w:rPr>
        <w:t>《基金合同》明确约定基金投资风格</w:t>
      </w:r>
      <w:r>
        <w:rPr>
          <w:rFonts w:hint="eastAsia"/>
          <w:spacing w:val="0"/>
          <w:sz w:val="24"/>
          <w:szCs w:val="24"/>
        </w:rPr>
        <w:t>或</w:t>
      </w:r>
      <w:r>
        <w:rPr>
          <w:spacing w:val="0"/>
          <w:sz w:val="24"/>
          <w:szCs w:val="24"/>
        </w:rPr>
        <w:t>证券选择标准的，基金管理人应在</w:t>
      </w:r>
      <w:r>
        <w:rPr>
          <w:rFonts w:hint="eastAsia"/>
          <w:spacing w:val="0"/>
          <w:sz w:val="24"/>
          <w:szCs w:val="24"/>
        </w:rPr>
        <w:t>基金正式投资运作前向</w:t>
      </w:r>
      <w:r>
        <w:rPr>
          <w:spacing w:val="0"/>
          <w:sz w:val="24"/>
          <w:szCs w:val="24"/>
        </w:rPr>
        <w:t>基金托管人提供投资</w:t>
      </w:r>
      <w:r>
        <w:rPr>
          <w:rFonts w:hint="eastAsia"/>
          <w:spacing w:val="0"/>
          <w:sz w:val="24"/>
          <w:szCs w:val="24"/>
        </w:rPr>
        <w:t>风格库</w:t>
      </w:r>
      <w:r>
        <w:rPr>
          <w:spacing w:val="0"/>
          <w:sz w:val="24"/>
          <w:szCs w:val="24"/>
        </w:rPr>
        <w:t>和</w:t>
      </w:r>
      <w:r>
        <w:rPr>
          <w:rFonts w:hint="eastAsia"/>
          <w:spacing w:val="0"/>
          <w:sz w:val="24"/>
          <w:szCs w:val="24"/>
        </w:rPr>
        <w:t>基金管理人投资风格库管理制度</w:t>
      </w:r>
      <w:r>
        <w:rPr>
          <w:spacing w:val="0"/>
          <w:sz w:val="24"/>
          <w:szCs w:val="24"/>
        </w:rPr>
        <w:t>，以便基金托管人运用相关技术系统，对基金实际投资是否符合《基金合同》</w:t>
      </w:r>
      <w:r>
        <w:rPr>
          <w:rFonts w:hint="eastAsia"/>
          <w:spacing w:val="0"/>
          <w:sz w:val="24"/>
          <w:szCs w:val="24"/>
        </w:rPr>
        <w:t>相关</w:t>
      </w:r>
      <w:r>
        <w:rPr>
          <w:spacing w:val="0"/>
          <w:sz w:val="24"/>
          <w:szCs w:val="24"/>
        </w:rPr>
        <w:t>约定进行监督，对存在疑义的事项进行核查。</w:t>
      </w:r>
      <w:r>
        <w:rPr>
          <w:rFonts w:hint="eastAsia"/>
          <w:spacing w:val="0"/>
          <w:sz w:val="24"/>
          <w:szCs w:val="24"/>
        </w:rPr>
        <w:t>基金托管人有权向基金管理人获取其投资风格库制定或评审的内部程序。</w:t>
      </w:r>
      <w:r>
        <w:rPr>
          <w:spacing w:val="0"/>
          <w:sz w:val="24"/>
          <w:szCs w:val="24"/>
        </w:rPr>
        <w:t>基金管理人如</w:t>
      </w:r>
      <w:r>
        <w:rPr>
          <w:rFonts w:hint="eastAsia"/>
          <w:spacing w:val="0"/>
          <w:sz w:val="24"/>
          <w:szCs w:val="24"/>
        </w:rPr>
        <w:t>有调整投资风格库的，应确保不影响基金托管人履行投资监督职责，及时通知基金托管人。</w:t>
      </w:r>
    </w:p>
    <w:p w14:paraId="6F0F7257">
      <w:pPr>
        <w:spacing w:line="360" w:lineRule="auto"/>
        <w:ind w:firstLine="480" w:firstLineChars="200"/>
        <w:jc w:val="both"/>
        <w:rPr>
          <w:rFonts w:ascii="Times New Roman" w:hAnsi="Times New Roman"/>
          <w:bCs/>
          <w:sz w:val="24"/>
        </w:rPr>
      </w:pPr>
      <w:r>
        <w:rPr>
          <w:rFonts w:hint="eastAsia" w:ascii="Times New Roman" w:hAnsi="Times New Roman"/>
          <w:bCs/>
          <w:sz w:val="24"/>
        </w:rPr>
        <w:t>本基金的投资范围主要为目标ETF基金份额、标的指数成份股及备选成份股（均含存托凭证）。为更好地实现投资目标，本基金可少量投资于部分非成份股（包含主板、科创板、创业板及其他经中国证监会允许发行的股票）、存托凭证、债券（包含国债、央行票据、地方政府债券、政府支持机构债券、政府支持债券、金融债券、企业债券、公司债券、次级债券、可转换债券、可交换债券、可分离交易可转债、短期融资券（含超短期融资券）、中期票据等）、资产支持证券、债券回购、银行存款、同业存单、衍生工具（股指期货、国债期货、股票期权等）、货币市场工具以及中国证监会允许基金投资的其他金融工具（但须符合中国证监会相关规定）。</w:t>
      </w:r>
    </w:p>
    <w:p w14:paraId="1E6DADA6">
      <w:pPr>
        <w:spacing w:line="360" w:lineRule="auto"/>
        <w:ind w:firstLine="480" w:firstLineChars="200"/>
        <w:jc w:val="both"/>
        <w:rPr>
          <w:rFonts w:ascii="Times New Roman" w:hAnsi="Times New Roman"/>
          <w:bCs/>
          <w:sz w:val="24"/>
        </w:rPr>
      </w:pPr>
      <w:r>
        <w:rPr>
          <w:rFonts w:hint="eastAsia" w:ascii="Times New Roman" w:hAnsi="Times New Roman"/>
          <w:bCs/>
          <w:sz w:val="24"/>
        </w:rPr>
        <w:t>本基金可根据法律法规的规定参与融资及转融通证券出借业务。</w:t>
      </w:r>
    </w:p>
    <w:p w14:paraId="655D69D6">
      <w:pPr>
        <w:spacing w:line="360" w:lineRule="auto"/>
        <w:ind w:firstLine="480" w:firstLineChars="200"/>
        <w:jc w:val="both"/>
        <w:rPr>
          <w:rFonts w:ascii="Times New Roman" w:hAnsi="Times New Roman"/>
          <w:bCs/>
          <w:sz w:val="24"/>
        </w:rPr>
      </w:pPr>
      <w:r>
        <w:rPr>
          <w:rFonts w:hint="eastAsia" w:ascii="Times New Roman" w:hAnsi="Times New Roman"/>
          <w:bCs/>
          <w:sz w:val="24"/>
        </w:rPr>
        <w:t>如法律法规或监管机构以后允许基金投资其他品种，基金管理人在履行适当程序后，可以将其纳入投资范围。</w:t>
      </w:r>
    </w:p>
    <w:p w14:paraId="24B8B3B0">
      <w:pPr>
        <w:spacing w:line="360" w:lineRule="auto"/>
        <w:ind w:firstLine="480" w:firstLineChars="200"/>
        <w:jc w:val="both"/>
        <w:rPr>
          <w:rFonts w:ascii="Times New Roman" w:hAnsi="Times New Roman"/>
          <w:bCs/>
          <w:sz w:val="24"/>
        </w:rPr>
      </w:pPr>
      <w:r>
        <w:rPr>
          <w:rFonts w:hint="eastAsia" w:ascii="Times New Roman" w:hAnsi="Times New Roman"/>
          <w:bCs/>
          <w:sz w:val="24"/>
        </w:rPr>
        <w:t>基金的投资组合比例为：本基金投资于目标ETF的比例不得低于基金资产净值的90%，因法律法规的规定而受限制的情形除外。每个交易日日终，在扣除股指期货合约、国债期货合约和股票期权合约需缴纳的交易保证金后，本基金保留的现金或者到期日在一年以内的政府债券不低于基金资产净值的5%，其中现金不包括结算备付金、存出保证金、应收申购款等。</w:t>
      </w:r>
    </w:p>
    <w:p w14:paraId="4937B77B">
      <w:pPr>
        <w:spacing w:line="360" w:lineRule="auto"/>
        <w:ind w:firstLine="480" w:firstLineChars="200"/>
        <w:jc w:val="both"/>
        <w:rPr>
          <w:rFonts w:ascii="Times New Roman" w:hAnsi="Times New Roman"/>
          <w:bCs/>
          <w:sz w:val="24"/>
        </w:rPr>
      </w:pPr>
      <w:r>
        <w:rPr>
          <w:rFonts w:hint="eastAsia" w:ascii="Times New Roman" w:hAnsi="Times New Roman"/>
          <w:bCs/>
          <w:sz w:val="24"/>
        </w:rPr>
        <w:t>如法律法规或监管机构对该比例要求有变更的，在履行适当程序后，以变更后的比例为准，本基金的投资比例会做相应调整。</w:t>
      </w:r>
    </w:p>
    <w:p w14:paraId="41E6594D">
      <w:pPr>
        <w:spacing w:line="360" w:lineRule="auto"/>
        <w:ind w:firstLine="480" w:firstLineChars="200"/>
        <w:jc w:val="both"/>
        <w:rPr>
          <w:rFonts w:ascii="Times New Roman" w:hAnsi="Times New Roman"/>
          <w:bCs/>
          <w:sz w:val="24"/>
        </w:rPr>
      </w:pPr>
      <w:r>
        <w:rPr>
          <w:rFonts w:hint="eastAsia" w:ascii="Times New Roman" w:hAnsi="Times New Roman"/>
          <w:bCs/>
          <w:sz w:val="24"/>
        </w:rPr>
        <w:t>（二）基金托管人根据有关法律法规的规定及《基金合同》的约定，对基金投资、融资比例进行监督。基金托管人按下述比例和调整期限进行监督：</w:t>
      </w:r>
    </w:p>
    <w:p w14:paraId="2866D072">
      <w:pPr>
        <w:spacing w:line="360" w:lineRule="auto"/>
        <w:ind w:firstLine="480" w:firstLineChars="200"/>
        <w:jc w:val="both"/>
        <w:rPr>
          <w:rFonts w:ascii="Times New Roman" w:hAnsi="Times New Roman"/>
          <w:bCs/>
          <w:sz w:val="24"/>
        </w:rPr>
      </w:pPr>
      <w:r>
        <w:rPr>
          <w:rFonts w:hint="eastAsia" w:ascii="Times New Roman" w:hAnsi="Times New Roman"/>
          <w:bCs/>
          <w:sz w:val="24"/>
        </w:rPr>
        <w:t>（1）本基金投资于目标ETF的比例不低于基金资产净值的90%；</w:t>
      </w:r>
    </w:p>
    <w:p w14:paraId="786D9EBD">
      <w:pPr>
        <w:spacing w:line="360" w:lineRule="auto"/>
        <w:ind w:firstLine="480" w:firstLineChars="200"/>
        <w:jc w:val="both"/>
        <w:rPr>
          <w:rFonts w:ascii="Times New Roman" w:hAnsi="Times New Roman"/>
          <w:bCs/>
          <w:sz w:val="24"/>
        </w:rPr>
      </w:pPr>
      <w:r>
        <w:rPr>
          <w:rFonts w:hint="eastAsia" w:ascii="Times New Roman" w:hAnsi="Times New Roman"/>
          <w:bCs/>
          <w:sz w:val="24"/>
        </w:rPr>
        <w:t>（2）每个交易日日终，在扣除股指期货合约、国债期货合约和股票期权合约需缴纳的交易保证金后，本基金保留的现金或者到期日在一年以内的政府债券不低于基金资产净值的5%，其中现金不包括结算备付金、存出保证金、应收申购款等；</w:t>
      </w:r>
    </w:p>
    <w:p w14:paraId="4C809F6B">
      <w:pPr>
        <w:spacing w:line="360" w:lineRule="auto"/>
        <w:ind w:firstLine="480" w:firstLineChars="200"/>
        <w:jc w:val="both"/>
        <w:rPr>
          <w:rFonts w:ascii="Times New Roman" w:hAnsi="Times New Roman"/>
          <w:bCs/>
          <w:sz w:val="24"/>
        </w:rPr>
      </w:pPr>
      <w:r>
        <w:rPr>
          <w:rFonts w:hint="eastAsia" w:ascii="Times New Roman" w:hAnsi="Times New Roman"/>
          <w:bCs/>
          <w:sz w:val="24"/>
        </w:rPr>
        <w:t>（3）本基金投资于同一原始权益人的各类资产支持证券的比例，不得超过基金资产净值的10%；</w:t>
      </w:r>
    </w:p>
    <w:p w14:paraId="79EEABC6">
      <w:pPr>
        <w:spacing w:line="360" w:lineRule="auto"/>
        <w:ind w:firstLine="480" w:firstLineChars="200"/>
        <w:jc w:val="both"/>
        <w:rPr>
          <w:rFonts w:ascii="Times New Roman" w:hAnsi="Times New Roman"/>
          <w:bCs/>
          <w:sz w:val="24"/>
        </w:rPr>
      </w:pPr>
      <w:r>
        <w:rPr>
          <w:rFonts w:hint="eastAsia" w:ascii="Times New Roman" w:hAnsi="Times New Roman"/>
          <w:bCs/>
          <w:sz w:val="24"/>
        </w:rPr>
        <w:t>（4）本基金持有的全部资产支持证券，其市值不得超过基金资产净值的20%；</w:t>
      </w:r>
    </w:p>
    <w:p w14:paraId="01C13AF1">
      <w:pPr>
        <w:spacing w:line="360" w:lineRule="auto"/>
        <w:ind w:firstLine="480" w:firstLineChars="200"/>
        <w:jc w:val="both"/>
        <w:rPr>
          <w:rFonts w:ascii="Times New Roman" w:hAnsi="Times New Roman"/>
          <w:bCs/>
          <w:sz w:val="24"/>
        </w:rPr>
      </w:pPr>
      <w:r>
        <w:rPr>
          <w:rFonts w:hint="eastAsia" w:ascii="Times New Roman" w:hAnsi="Times New Roman"/>
          <w:bCs/>
          <w:sz w:val="24"/>
        </w:rPr>
        <w:t>（5）本基金持有的同一（指同一信用级别）资产支持证券的比例，不得超过该资产支持证券规模的10%；</w:t>
      </w:r>
    </w:p>
    <w:p w14:paraId="3D56688E">
      <w:pPr>
        <w:spacing w:line="360" w:lineRule="auto"/>
        <w:ind w:firstLine="480" w:firstLineChars="200"/>
        <w:jc w:val="both"/>
        <w:rPr>
          <w:rFonts w:ascii="Times New Roman" w:hAnsi="Times New Roman"/>
          <w:bCs/>
          <w:sz w:val="24"/>
        </w:rPr>
      </w:pPr>
      <w:r>
        <w:rPr>
          <w:rFonts w:hint="eastAsia" w:ascii="Times New Roman" w:hAnsi="Times New Roman"/>
          <w:bCs/>
          <w:sz w:val="24"/>
        </w:rPr>
        <w:t>（6）本基金管理人管理的全部基金投资于同一原始权益人的各类资产支持证券，不得超过其各类资产支持证券合计规模的10%；</w:t>
      </w:r>
    </w:p>
    <w:p w14:paraId="31C696B9">
      <w:pPr>
        <w:spacing w:line="360" w:lineRule="auto"/>
        <w:ind w:firstLine="480" w:firstLineChars="200"/>
        <w:jc w:val="both"/>
        <w:rPr>
          <w:rFonts w:ascii="Times New Roman" w:hAnsi="Times New Roman"/>
          <w:bCs/>
          <w:sz w:val="24"/>
        </w:rPr>
      </w:pPr>
      <w:r>
        <w:rPr>
          <w:rFonts w:hint="eastAsia" w:ascii="Times New Roman" w:hAnsi="Times New Roman"/>
          <w:bCs/>
          <w:sz w:val="24"/>
        </w:rPr>
        <w:t>（7）本基金应投资于信用级别评级为BBB以上（含BBB）的资产支持证券。基金持有资产支持证券期间，如果其信用等级下降、不再符合投资标准，应在评级报告发布之日起3个月内予以全部卖出；</w:t>
      </w:r>
    </w:p>
    <w:p w14:paraId="68BC6625">
      <w:pPr>
        <w:spacing w:line="360" w:lineRule="auto"/>
        <w:ind w:firstLine="480" w:firstLineChars="200"/>
        <w:jc w:val="both"/>
        <w:rPr>
          <w:rFonts w:ascii="Times New Roman" w:hAnsi="Times New Roman"/>
          <w:bCs/>
          <w:sz w:val="24"/>
        </w:rPr>
      </w:pPr>
      <w:r>
        <w:rPr>
          <w:rFonts w:hint="eastAsia" w:ascii="Times New Roman" w:hAnsi="Times New Roman"/>
          <w:bCs/>
          <w:sz w:val="24"/>
        </w:rPr>
        <w:t>（8）基金财产参与股票发行申购，本基金所申报的金额不超过本基金的总资产，本基金所申报的股票数量不超过拟发行股票公司本次发行股票的总量；</w:t>
      </w:r>
    </w:p>
    <w:p w14:paraId="1D9F934A">
      <w:pPr>
        <w:spacing w:line="360" w:lineRule="auto"/>
        <w:ind w:firstLine="480" w:firstLineChars="200"/>
        <w:jc w:val="both"/>
        <w:rPr>
          <w:rFonts w:ascii="Times New Roman" w:hAnsi="Times New Roman"/>
          <w:bCs/>
          <w:sz w:val="24"/>
        </w:rPr>
      </w:pPr>
      <w:r>
        <w:rPr>
          <w:rFonts w:hint="eastAsia" w:ascii="Times New Roman" w:hAnsi="Times New Roman"/>
          <w:bCs/>
          <w:sz w:val="24"/>
        </w:rPr>
        <w:t>本基金参与股指期货交易和国债期货交易的，应当遵循下列（9）-（13）要求：</w:t>
      </w:r>
    </w:p>
    <w:p w14:paraId="4F03E856">
      <w:pPr>
        <w:spacing w:line="360" w:lineRule="auto"/>
        <w:ind w:firstLine="480" w:firstLineChars="200"/>
        <w:jc w:val="both"/>
        <w:rPr>
          <w:rFonts w:ascii="Times New Roman" w:hAnsi="Times New Roman"/>
          <w:bCs/>
          <w:sz w:val="24"/>
        </w:rPr>
      </w:pPr>
      <w:r>
        <w:rPr>
          <w:rFonts w:hint="eastAsia" w:ascii="Times New Roman" w:hAnsi="Times New Roman"/>
          <w:bCs/>
          <w:sz w:val="24"/>
        </w:rPr>
        <w:t>（9）本基金在任何交易日日终，持有的买入股指期货合约价值，不得超过基金资产净值的10%；持有的买入国债期货合约价值，不得超过基金资产净值的15%；</w:t>
      </w:r>
    </w:p>
    <w:p w14:paraId="4264C025">
      <w:pPr>
        <w:spacing w:line="360" w:lineRule="auto"/>
        <w:ind w:firstLine="480" w:firstLineChars="200"/>
        <w:jc w:val="both"/>
        <w:rPr>
          <w:rFonts w:ascii="Times New Roman" w:hAnsi="Times New Roman"/>
          <w:bCs/>
          <w:sz w:val="24"/>
        </w:rPr>
      </w:pPr>
      <w:r>
        <w:rPr>
          <w:rFonts w:hint="eastAsia" w:ascii="Times New Roman" w:hAnsi="Times New Roman"/>
          <w:bCs/>
          <w:sz w:val="24"/>
        </w:rPr>
        <w:t>（10）本基金在任何交易日日终，持有的买入国债期货和股指期货合约价值与有价证券市值之和，不得超过基金资产净值的100%。其中，有价证券指股票、债券（不含到期日在一年以内的政府债券）、资产支持证券、买入返售金融资产（不含质押式回购）等；</w:t>
      </w:r>
    </w:p>
    <w:p w14:paraId="4B596596">
      <w:pPr>
        <w:spacing w:line="360" w:lineRule="auto"/>
        <w:ind w:firstLine="480" w:firstLineChars="200"/>
        <w:jc w:val="both"/>
        <w:rPr>
          <w:rFonts w:ascii="Times New Roman" w:hAnsi="Times New Roman"/>
          <w:bCs/>
          <w:sz w:val="24"/>
        </w:rPr>
      </w:pPr>
      <w:r>
        <w:rPr>
          <w:rFonts w:hint="eastAsia" w:ascii="Times New Roman" w:hAnsi="Times New Roman"/>
          <w:bCs/>
          <w:sz w:val="24"/>
        </w:rPr>
        <w:t>（11）本基金在任何交易日日终，持有的卖出股指期货合约价值不得超过基金持有的股票总市值的20%；持有的卖出国债期货合约价值不得超过基金持有的债券总市值的30%；</w:t>
      </w:r>
    </w:p>
    <w:p w14:paraId="48E049C9">
      <w:pPr>
        <w:spacing w:line="360" w:lineRule="auto"/>
        <w:ind w:firstLine="480" w:firstLineChars="200"/>
        <w:jc w:val="both"/>
        <w:rPr>
          <w:rFonts w:ascii="Times New Roman" w:hAnsi="Times New Roman"/>
          <w:bCs/>
          <w:sz w:val="24"/>
        </w:rPr>
      </w:pPr>
      <w:r>
        <w:rPr>
          <w:rFonts w:hint="eastAsia" w:ascii="Times New Roman" w:hAnsi="Times New Roman"/>
          <w:bCs/>
          <w:sz w:val="24"/>
        </w:rPr>
        <w:t>（12）本基金所持有的股票市值和买入、卖出股指期货合约价值，合计（轧差计算）应当符合基金合同关于股票投资比例的有关约定；基金所持有的债券（不含到期日在一年以内的政府债券）市值和买入、卖出国债期货合约价值，合计（轧差计算）应当符合基金合同关于债券投资比例的有关约定；</w:t>
      </w:r>
    </w:p>
    <w:p w14:paraId="4FE69F96">
      <w:pPr>
        <w:spacing w:line="360" w:lineRule="auto"/>
        <w:ind w:firstLine="480" w:firstLineChars="200"/>
        <w:jc w:val="both"/>
        <w:rPr>
          <w:rFonts w:ascii="Times New Roman" w:hAnsi="Times New Roman"/>
          <w:bCs/>
          <w:sz w:val="24"/>
        </w:rPr>
      </w:pPr>
      <w:r>
        <w:rPr>
          <w:rFonts w:hint="eastAsia" w:ascii="Times New Roman" w:hAnsi="Times New Roman"/>
          <w:bCs/>
          <w:sz w:val="24"/>
        </w:rPr>
        <w:t>（13）本基金在任何交易日内交易（不包括平仓）的股指期货合约的成交金额不得超过上一交易日基金资产净值的20%；在任何交易日内交易（不包括平仓）的国债期货合约的成交金额不得超过上一交易日基金资产净值的30%；</w:t>
      </w:r>
    </w:p>
    <w:p w14:paraId="18624F37">
      <w:pPr>
        <w:spacing w:line="360" w:lineRule="auto"/>
        <w:ind w:firstLine="480" w:firstLineChars="200"/>
        <w:jc w:val="both"/>
        <w:rPr>
          <w:rFonts w:ascii="Times New Roman" w:hAnsi="Times New Roman"/>
          <w:bCs/>
          <w:sz w:val="24"/>
        </w:rPr>
      </w:pPr>
      <w:r>
        <w:rPr>
          <w:rFonts w:hint="eastAsia" w:ascii="Times New Roman" w:hAnsi="Times New Roman"/>
          <w:bCs/>
          <w:sz w:val="24"/>
        </w:rPr>
        <w:t>本基金参与股票期权交易的，应当遵守下列（14）-（16）要求：</w:t>
      </w:r>
    </w:p>
    <w:p w14:paraId="580A65B3">
      <w:pPr>
        <w:spacing w:line="360" w:lineRule="auto"/>
        <w:ind w:firstLine="480" w:firstLineChars="200"/>
        <w:jc w:val="both"/>
        <w:rPr>
          <w:rFonts w:ascii="Times New Roman" w:hAnsi="Times New Roman"/>
          <w:bCs/>
          <w:sz w:val="24"/>
        </w:rPr>
      </w:pPr>
      <w:r>
        <w:rPr>
          <w:rFonts w:hint="eastAsia" w:ascii="Times New Roman" w:hAnsi="Times New Roman"/>
          <w:bCs/>
          <w:sz w:val="24"/>
        </w:rPr>
        <w:t>（14）因未平仓的期权合约支付和收取的权利金总额不得超过基金资产净值的10%；</w:t>
      </w:r>
    </w:p>
    <w:p w14:paraId="49048673">
      <w:pPr>
        <w:spacing w:line="360" w:lineRule="auto"/>
        <w:ind w:firstLine="480" w:firstLineChars="200"/>
        <w:jc w:val="both"/>
        <w:rPr>
          <w:rFonts w:ascii="Times New Roman" w:hAnsi="Times New Roman"/>
          <w:bCs/>
          <w:sz w:val="24"/>
        </w:rPr>
      </w:pPr>
      <w:r>
        <w:rPr>
          <w:rFonts w:hint="eastAsia" w:ascii="Times New Roman" w:hAnsi="Times New Roman"/>
          <w:bCs/>
          <w:sz w:val="24"/>
        </w:rPr>
        <w:t>（15）开仓卖出认购期权的，应持有足额标的证券；开仓卖出认沽期权的，应持有合约行权所需的全额现金或交易所规则认可的可冲抵期权保证金的现金等价物；</w:t>
      </w:r>
    </w:p>
    <w:p w14:paraId="39866D9A">
      <w:pPr>
        <w:spacing w:line="360" w:lineRule="auto"/>
        <w:ind w:firstLine="480" w:firstLineChars="200"/>
        <w:jc w:val="both"/>
        <w:rPr>
          <w:rFonts w:ascii="Times New Roman" w:hAnsi="Times New Roman"/>
          <w:bCs/>
          <w:sz w:val="24"/>
        </w:rPr>
      </w:pPr>
      <w:r>
        <w:rPr>
          <w:rFonts w:hint="eastAsia" w:ascii="Times New Roman" w:hAnsi="Times New Roman"/>
          <w:bCs/>
          <w:sz w:val="24"/>
        </w:rPr>
        <w:t>（16）未平仓的期权合约面值不得超过基金资产净值的20%。其中，合约面值按照行权价乘以合约乘数计算；</w:t>
      </w:r>
    </w:p>
    <w:p w14:paraId="5FB4B782">
      <w:pPr>
        <w:spacing w:line="360" w:lineRule="auto"/>
        <w:ind w:firstLine="480" w:firstLineChars="200"/>
        <w:jc w:val="both"/>
        <w:rPr>
          <w:rFonts w:ascii="Times New Roman" w:hAnsi="Times New Roman"/>
          <w:bCs/>
          <w:sz w:val="24"/>
        </w:rPr>
      </w:pPr>
      <w:r>
        <w:rPr>
          <w:rFonts w:hint="eastAsia" w:ascii="Times New Roman" w:hAnsi="Times New Roman"/>
          <w:bCs/>
          <w:sz w:val="24"/>
        </w:rPr>
        <w:t>（17）本基金参与融资业务的，在任何交易日日终，持有的融资买入股票与其他有价证券市值之和，不得超过基金资产净值的95%；</w:t>
      </w:r>
    </w:p>
    <w:p w14:paraId="53F09E99">
      <w:pPr>
        <w:spacing w:line="360" w:lineRule="auto"/>
        <w:ind w:firstLine="480" w:firstLineChars="200"/>
        <w:jc w:val="both"/>
        <w:rPr>
          <w:rFonts w:ascii="Times New Roman" w:hAnsi="Times New Roman"/>
          <w:bCs/>
          <w:sz w:val="24"/>
        </w:rPr>
      </w:pPr>
      <w:r>
        <w:rPr>
          <w:rFonts w:hint="eastAsia" w:ascii="Times New Roman" w:hAnsi="Times New Roman"/>
          <w:bCs/>
          <w:sz w:val="24"/>
        </w:rPr>
        <w:t>（18）本基金参与转融通证券出借业务的，应当符合下列要求：最近6个月内日均基金资产净值不得低于2亿元；参与转融通证券出借业务的资产不得超过基金资产净值的30%，其中出借期限在10个交易日以上的出借证券归为流动性受限资产；参与转融通证券出借业务的单只证券不得超过基金持有该证券总量的50%；证券出借的平均剩余期限不得超过30天，平均剩余期限按照市值加权平均计算；</w:t>
      </w:r>
    </w:p>
    <w:p w14:paraId="33D096FC">
      <w:pPr>
        <w:spacing w:line="360" w:lineRule="auto"/>
        <w:ind w:firstLine="480" w:firstLineChars="200"/>
        <w:jc w:val="both"/>
        <w:rPr>
          <w:rFonts w:ascii="Times New Roman" w:hAnsi="Times New Roman"/>
          <w:bCs/>
          <w:sz w:val="24"/>
        </w:rPr>
      </w:pPr>
      <w:r>
        <w:rPr>
          <w:rFonts w:hint="eastAsia" w:ascii="Times New Roman" w:hAnsi="Times New Roman"/>
          <w:bCs/>
          <w:sz w:val="24"/>
        </w:rPr>
        <w:t>（19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34FD354">
      <w:pPr>
        <w:spacing w:line="360" w:lineRule="auto"/>
        <w:ind w:firstLine="480" w:firstLineChars="200"/>
        <w:jc w:val="both"/>
        <w:rPr>
          <w:rFonts w:ascii="Times New Roman" w:hAnsi="Times New Roman"/>
          <w:bCs/>
          <w:sz w:val="24"/>
        </w:rPr>
      </w:pPr>
      <w:r>
        <w:rPr>
          <w:rFonts w:hint="eastAsia" w:ascii="Times New Roman" w:hAnsi="Times New Roman"/>
          <w:bCs/>
          <w:sz w:val="24"/>
        </w:rPr>
        <w:t>（20）本基金与私募类证券资管产品及中国证监会认定的其他主体为交易对手开展逆回购交易的，可接受质押品的资质要求应当与基金合同约定的投资范围保持一致；</w:t>
      </w:r>
    </w:p>
    <w:p w14:paraId="4FCA7128">
      <w:pPr>
        <w:spacing w:line="360" w:lineRule="auto"/>
        <w:ind w:firstLine="480" w:firstLineChars="200"/>
        <w:jc w:val="both"/>
        <w:rPr>
          <w:rFonts w:ascii="Times New Roman" w:hAnsi="Times New Roman"/>
          <w:bCs/>
          <w:sz w:val="24"/>
        </w:rPr>
      </w:pPr>
      <w:r>
        <w:rPr>
          <w:rFonts w:hint="eastAsia" w:ascii="Times New Roman" w:hAnsi="Times New Roman"/>
          <w:bCs/>
          <w:sz w:val="24"/>
        </w:rPr>
        <w:t>（21）本基金资产总值不超过基金资产净值的140%；</w:t>
      </w:r>
    </w:p>
    <w:p w14:paraId="09D739E7">
      <w:pPr>
        <w:spacing w:line="360" w:lineRule="auto"/>
        <w:ind w:firstLine="480" w:firstLineChars="200"/>
        <w:jc w:val="both"/>
        <w:rPr>
          <w:rFonts w:ascii="Times New Roman" w:hAnsi="Times New Roman"/>
          <w:bCs/>
          <w:sz w:val="24"/>
        </w:rPr>
      </w:pPr>
      <w:r>
        <w:rPr>
          <w:rFonts w:hint="eastAsia" w:ascii="Times New Roman" w:hAnsi="Times New Roman"/>
          <w:bCs/>
          <w:sz w:val="24"/>
        </w:rPr>
        <w:t>（22）本基金投资存托凭证的比例限制依照境内上市交易的股票执行；</w:t>
      </w:r>
    </w:p>
    <w:p w14:paraId="7BBB2F88">
      <w:pPr>
        <w:spacing w:line="360" w:lineRule="auto"/>
        <w:ind w:firstLine="480" w:firstLineChars="200"/>
        <w:jc w:val="both"/>
        <w:rPr>
          <w:rFonts w:ascii="Times New Roman" w:hAnsi="Times New Roman"/>
          <w:bCs/>
          <w:sz w:val="24"/>
        </w:rPr>
      </w:pPr>
      <w:r>
        <w:rPr>
          <w:rFonts w:hint="eastAsia" w:ascii="Times New Roman" w:hAnsi="Times New Roman"/>
          <w:bCs/>
          <w:sz w:val="24"/>
        </w:rPr>
        <w:t>（23）法律法规及中国证监会规定的和基金合同约定的其他投资限制。</w:t>
      </w:r>
    </w:p>
    <w:p w14:paraId="67BCAFC4">
      <w:pPr>
        <w:spacing w:line="360" w:lineRule="auto"/>
        <w:ind w:firstLine="480" w:firstLineChars="200"/>
        <w:jc w:val="both"/>
        <w:rPr>
          <w:rFonts w:ascii="Times New Roman" w:hAnsi="Times New Roman"/>
          <w:bCs/>
          <w:sz w:val="24"/>
        </w:rPr>
      </w:pPr>
      <w:r>
        <w:rPr>
          <w:rFonts w:hint="eastAsia" w:ascii="Times New Roman" w:hAnsi="Times New Roman"/>
          <w:bCs/>
          <w:sz w:val="24"/>
        </w:rPr>
        <w:t>除上述第（1）、（2）、（7）、（18）至（20）项情形之外，因证券/期货市场波动、证券发行人合并、基金规模变动、标的指数成份股调整、标的指数成份股流动性限制、目标ETF暂停申购、赎回或二级市场交易停牌等基金管理人之外的因素致使基金投资比例不符合上述规定投资比例的，基金管理人应当在10个交易日内进行调整；因证券/期货市场波动、证券发行人合并、基金规模变动、标的指数成份股调整、标的指数成份股流动性限制、目标ETF暂停申购、赎回或二级市场交易停牌等基金管理人之外的因素致使基金投资比例不符合第（1）项投资比例的，基金管理人应当在20个交易日内进行调整，但中国证监会规定的特殊情形除外。因证券市场波动、证券发行人合并、基金规模变动等基金管理人之外的因素致使基金投资不符合第（18）项规定的，基金管理人不得新增出借业务。法律法规另有规定的，从其规定。</w:t>
      </w:r>
    </w:p>
    <w:p w14:paraId="125F9F70">
      <w:pPr>
        <w:spacing w:line="360" w:lineRule="auto"/>
        <w:ind w:firstLine="480" w:firstLineChars="200"/>
        <w:jc w:val="both"/>
        <w:rPr>
          <w:rFonts w:ascii="Times New Roman" w:hAnsi="Times New Roman"/>
          <w:spacing w:val="0"/>
          <w:sz w:val="24"/>
          <w:szCs w:val="24"/>
        </w:rPr>
      </w:pPr>
      <w:r>
        <w:rPr>
          <w:rFonts w:hint="eastAsia" w:ascii="Times New Roman" w:hAnsi="Times New Roman"/>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554CAF3D">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（三）基金托管人根据有关法律法规的规定及《基金合同》的约定，对本基金投资禁止行为进行监督。为维护基金份额持有人的合法权益，基金财产不得用于下列投资或者活动：</w:t>
      </w:r>
    </w:p>
    <w:p w14:paraId="2A4FC47C">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1、承销证券；</w:t>
      </w:r>
    </w:p>
    <w:p w14:paraId="0C90C126">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2、违反规定向他人贷款或者提供担保；</w:t>
      </w:r>
    </w:p>
    <w:p w14:paraId="6EA5E480">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3、从事承担无限责任的投资；</w:t>
      </w:r>
    </w:p>
    <w:p w14:paraId="16B4A661">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4、买卖除目标ETF以外的其他基金份额，但是中国证监会另有规定的除外；</w:t>
      </w:r>
    </w:p>
    <w:p w14:paraId="12AF7B30">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5、向基金管理人、基金托管人出资；</w:t>
      </w:r>
    </w:p>
    <w:p w14:paraId="2F2CC0F1">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6、从事内幕交易、操纵证券交易价格及其他不正当的证券交易活动；</w:t>
      </w:r>
    </w:p>
    <w:p w14:paraId="16ED62B8">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7、法律、行政法规和中国证监会规定禁止的其他活动。</w:t>
      </w:r>
    </w:p>
    <w:p w14:paraId="26FAD2CD">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B2F7F5D">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管理人应在基金投资运作之前向基金托管人提供基金管理人关联方名单和关联交易证券名单。如基金管理人关联方名单和关联交易证券名单发生变化的，基金管理人应确保不影响基金托管人履行投资监督职责，及时将变化情况以书面形式通知基金托管人。</w:t>
      </w:r>
    </w:p>
    <w:p w14:paraId="7737C2BA">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如法律法规或监管部门取消或调整上述禁止性规定，基金管理人在履行适当程序后，本基金可不受上述规定的限制或按调整后的规定执行。</w:t>
      </w:r>
    </w:p>
    <w:p w14:paraId="006B50F9">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（四）基金托管人根据有关法律法规的规定及《基金合同》的约定，对基金管理人参与银行间债券市场进行监督。</w:t>
      </w:r>
      <w:r>
        <w:rPr>
          <w:rFonts w:hint="eastAsia"/>
          <w:spacing w:val="0"/>
          <w:sz w:val="24"/>
          <w:szCs w:val="24"/>
        </w:rPr>
        <w:t>本</w:t>
      </w:r>
      <w:r>
        <w:rPr>
          <w:rFonts w:hint="eastAsia"/>
          <w:spacing w:val="0"/>
          <w:sz w:val="24"/>
        </w:rPr>
        <w:t>基金参与银行间债券交易前，须</w:t>
      </w:r>
      <w:r>
        <w:rPr>
          <w:rFonts w:hint="eastAsia" w:ascii="Times New Roman" w:hAnsi="Times New Roman"/>
          <w:spacing w:val="0"/>
          <w:sz w:val="24"/>
          <w:szCs w:val="24"/>
        </w:rPr>
        <w:t>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并负责解决因交易对手不履行合同而造成的纠纷及损失，基金托管人不承担由此造成的相应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相应损失和责任。</w:t>
      </w:r>
      <w:r>
        <w:rPr>
          <w:rFonts w:hint="eastAsia"/>
          <w:spacing w:val="0"/>
          <w:sz w:val="24"/>
          <w:szCs w:val="24"/>
        </w:rPr>
        <w:t>如基金管理人未提供名单，视为可与全市场交易对手进行交易。</w:t>
      </w:r>
    </w:p>
    <w:p w14:paraId="1DCC4D0B">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（五）基金托管人根据有关法律法规的规定及《基金合同》的约定，对基金管理人投资银行存款进行监督。</w:t>
      </w:r>
    </w:p>
    <w:p w14:paraId="5D161890">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基金投资银行存款的，基金管理人应根据法律法规的规定及《基金合同》的约定，</w:t>
      </w:r>
      <w:r>
        <w:rPr>
          <w:spacing w:val="0"/>
          <w:sz w:val="24"/>
          <w:szCs w:val="24"/>
        </w:rPr>
        <w:t>确定符合条件的所有存款银行的名单</w:t>
      </w:r>
      <w:r>
        <w:rPr>
          <w:rFonts w:hint="eastAsia"/>
          <w:spacing w:val="0"/>
          <w:sz w:val="24"/>
          <w:szCs w:val="24"/>
        </w:rPr>
        <w:t>，</w:t>
      </w:r>
      <w:r>
        <w:rPr>
          <w:spacing w:val="0"/>
          <w:sz w:val="24"/>
          <w:szCs w:val="24"/>
        </w:rPr>
        <w:t>并及时提供给基金托管人</w:t>
      </w:r>
      <w:r>
        <w:rPr>
          <w:rFonts w:hint="eastAsia"/>
          <w:spacing w:val="0"/>
          <w:sz w:val="24"/>
          <w:szCs w:val="24"/>
        </w:rPr>
        <w:t>，基金托管人对基金投资银行存款的交易对手是否符合有关规定进行监督。基金管理人应</w:t>
      </w:r>
      <w:r>
        <w:rPr>
          <w:rFonts w:hint="eastAsia" w:ascii="Times New Roman" w:hAnsi="Times New Roman"/>
          <w:spacing w:val="0"/>
          <w:sz w:val="24"/>
          <w:szCs w:val="24"/>
        </w:rPr>
        <w:t>根据法律法规的规定及《基金合同》的约定，建立投资制度、审慎选择存款银行，做好风险控制；并按照基金托管人的要求配合基金托管人完成相关业务办理。</w:t>
      </w:r>
    </w:p>
    <w:p w14:paraId="731CD592">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六）若本基金参与转融通证券出借业务，基金管理人应当遵守审慎经营的原则，配备技术系统和专业人员，制定科学合理的投资策略和风险管理制度，完善业务流程，有效地防范和控制风险，基金托管人对基金参与转融通证券出借业务进行监督和复核。</w:t>
      </w:r>
    </w:p>
    <w:p w14:paraId="56DC92FC">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七）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5B02CB96">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如果基金管理人未经基金托管人的审核擅自将不实的业绩表现数据印制在宣传推介材料上，则基金托管人对此不承担相应责任，并将在发现后立即报告中国证监会。</w:t>
      </w:r>
    </w:p>
    <w:p w14:paraId="5FCAED6E">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（八）基金托管人根据有关法律法规的规定及《基金合同》的约定，对基金投资流通受限证券进行监督。</w:t>
      </w:r>
    </w:p>
    <w:p w14:paraId="28C76839">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1、基金投资流通受限证券，应遵守《关于基金投资非公开发行股票等流通受限证券有关问题的通知》等有关法律法规规定。</w:t>
      </w:r>
    </w:p>
    <w:p w14:paraId="0ED3D179">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2、此处的流通受限证券与上文提及的流动性受限资产并不完全一致，包括由《上市公司证券发行注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52F9228D">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本基金投资的流通受限证券限于可由中国证券登记结算有限责任公司或中央国债登记结算有限责任公司负责登记和存管，并可在证券交易所或全国银行间债券市场交易的证券。</w:t>
      </w:r>
    </w:p>
    <w:p w14:paraId="6DAAF4E9">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169DBDF5">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基金管理人应当将上述规章制度提交给基金托管人。</w:t>
      </w:r>
    </w:p>
    <w:p w14:paraId="5631D1BB">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相应责任。如因基金管理人原因导致本基金出现损失致使基金托管人承担连带赔偿责任的，基金管理人应赔偿基金托管人由此遭受的损失。</w:t>
      </w:r>
    </w:p>
    <w:p w14:paraId="6E1C027C">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在投资流通受限证券之前，基金管理人应至少提前一个交易日向基金托管人提供有关流通受限证券的相关信息，具体应当包括但不限于如下文件（如有）：</w:t>
      </w:r>
    </w:p>
    <w:p w14:paraId="486E3FF8">
      <w:pPr>
        <w:spacing w:line="360" w:lineRule="auto"/>
        <w:ind w:firstLine="480" w:firstLineChars="200"/>
        <w:jc w:val="both"/>
        <w:rPr>
          <w:spacing w:val="0"/>
          <w:sz w:val="24"/>
          <w:szCs w:val="24"/>
        </w:rPr>
      </w:pPr>
      <w:r>
        <w:rPr>
          <w:rFonts w:hint="eastAsia"/>
          <w:spacing w:val="0"/>
          <w:sz w:val="24"/>
          <w:szCs w:val="24"/>
        </w:rPr>
        <w:t>拟发行证券主体的中国证监会批准文件、发行证券数量、发行价格、锁定期、基金拟认购的数量、价格、总成本、总成本占基金资产净值的比例、已持有流通受限证券市值占资产净值的比例、资金划付时间等。</w:t>
      </w:r>
      <w:r>
        <w:rPr>
          <w:spacing w:val="0"/>
          <w:sz w:val="24"/>
          <w:szCs w:val="24"/>
        </w:rPr>
        <w:t>基金管理人应保证上述信息的真实、完整。</w:t>
      </w:r>
    </w:p>
    <w:p w14:paraId="4476B482">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相应责任，并有权报告中国证监会。</w:t>
      </w:r>
    </w:p>
    <w:p w14:paraId="67D2D2DC">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管理人应保证基金投资的流通受限证券登记存管在本基金名下，并确保证基金托管人能够正常查询。因基金管理人原因产生的流通受限证券登记存管问题，造成基金财产的损失或基金托管人无法安全保管基金财产的责任与损失，由基金管理人承担。</w:t>
      </w:r>
    </w:p>
    <w:p w14:paraId="3315C45D">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如果基金管理人未按照本协议的约定向基金托管人报送相关数据或者报送了虚假的数据，导致基金托管人不能按照《基金合同》及本协议的约定履行基金托管人职责的，基金管理人应依法承担相应法律后果。除基金托管人未能依据《基金合同》及本协议履行职责外，因投资流通受限证券产生的损失，基金托管人按照本协议履行监督职责后不承担上述损失。</w:t>
      </w:r>
    </w:p>
    <w:p w14:paraId="3975AD98">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（九）侧袋机制的实施和投资运作安排</w:t>
      </w:r>
    </w:p>
    <w:p w14:paraId="03049A4E">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5B758A8">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侧袋机制实施期间，投资组合比例、投资策略、组合限制、业绩比较基准、风险收益特征等约定仅适用于主袋账户。</w:t>
      </w:r>
    </w:p>
    <w:p w14:paraId="4BB60CAC">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侧袋账户的实施条件、实施程序、运作安排、投资安排、特定资产的处置变现和支付等对投资者权益有重大影响的事项详见招募说明书的规定。</w:t>
      </w:r>
    </w:p>
    <w:p w14:paraId="09D7B43E">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十）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合理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63341AAF">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十一）基金管理人有义务配合和协助基金托管人依照法律法规、《基金合同》和本托管协议对基金业务执行核查。对基金托管人发出的书面提示，基金管理人应在规定时间内答复并改正，或就基金托管人的合理疑义进行解释或举证；对基金托管人按照法规要求需向中国证监会报送基金监督报告的事项，基金管理人应积极配合提供相关数据资料和制度等。</w:t>
      </w:r>
    </w:p>
    <w:p w14:paraId="50774F6A">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十二）基金托管人发现基金管理人有重大违规行为，应及时报告中国证监会，同时通知基金管理人限期纠正，并将纠正结果报告中国证监会。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5145B66F">
      <w:pPr>
        <w:pStyle w:val="2"/>
        <w:spacing w:before="100" w:beforeAutospacing="1" w:after="100" w:afterAutospacing="1"/>
        <w:ind w:left="0"/>
        <w:jc w:val="center"/>
        <w:rPr>
          <w:rFonts w:ascii="Times New Roman" w:hAnsi="Times New Roman" w:eastAsia="宋体" w:cs="Times New Roman"/>
          <w:bCs w:val="0"/>
          <w:color w:val="000000" w:themeColor="text1"/>
          <w:kern w:val="2"/>
          <w:lang w:val="en-US" w:bidi="ar-SA"/>
          <w14:textFill>
            <w14:solidFill>
              <w14:schemeClr w14:val="tx1"/>
            </w14:solidFill>
          </w14:textFill>
        </w:rPr>
      </w:pPr>
      <w:bookmarkStart w:id="7" w:name="_Toc516502489"/>
      <w:bookmarkStart w:id="8" w:name="_Toc24197"/>
      <w:r>
        <w:rPr>
          <w:rFonts w:ascii="Times New Roman" w:hAnsi="Times New Roman" w:eastAsia="宋体" w:cs="Times New Roman"/>
          <w:bCs w:val="0"/>
          <w:color w:val="000000" w:themeColor="text1"/>
          <w:kern w:val="2"/>
          <w:lang w:val="en-US" w:bidi="ar-SA"/>
          <w14:textFill>
            <w14:solidFill>
              <w14:schemeClr w14:val="tx1"/>
            </w14:solidFill>
          </w14:textFill>
        </w:rPr>
        <w:t>四、基金管理人对基金托管人的业务核查</w:t>
      </w:r>
      <w:bookmarkEnd w:id="7"/>
      <w:bookmarkEnd w:id="8"/>
    </w:p>
    <w:p w14:paraId="786A4F4A">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一）基金管理人对基金托管人履行托管职责情况进行核查，核查事项包括基金托管人安全保管基金财产、开设基金财产的托管账户和证券账户等投资所需账户、复核基金管理人计算的基金资产净值和各类基金份额净值、根据基金管理人指令办理清算交收、相关信息披露和监督基金投资运作等行为。</w:t>
      </w:r>
    </w:p>
    <w:p w14:paraId="760590D4">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基金托管人对基金管理人通知的违规事项未能在限期内纠正的，基金管理人可报告中国证监会。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对基金管理人按照法规要求需向中国证监会报送基金监督报告的，基金托管人应积极配合提供相关数据资料和制度等。</w:t>
      </w:r>
    </w:p>
    <w:p w14:paraId="72AC051D">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18CA99A4">
      <w:pPr>
        <w:pStyle w:val="2"/>
        <w:spacing w:before="100" w:beforeAutospacing="1" w:after="100" w:afterAutospacing="1"/>
        <w:ind w:left="0"/>
        <w:jc w:val="center"/>
        <w:rPr>
          <w:rFonts w:ascii="Times New Roman" w:hAnsi="Times New Roman" w:eastAsia="宋体" w:cs="Times New Roman"/>
          <w:bCs w:val="0"/>
          <w:color w:val="000000" w:themeColor="text1"/>
          <w:kern w:val="2"/>
          <w:lang w:val="en-US" w:bidi="ar-SA"/>
          <w14:textFill>
            <w14:solidFill>
              <w14:schemeClr w14:val="tx1"/>
            </w14:solidFill>
          </w14:textFill>
        </w:rPr>
      </w:pPr>
      <w:bookmarkStart w:id="9" w:name="_Toc32088"/>
      <w:bookmarkStart w:id="10" w:name="_Toc516502490"/>
      <w:r>
        <w:rPr>
          <w:rFonts w:ascii="Times New Roman" w:hAnsi="Times New Roman" w:eastAsia="宋体" w:cs="Times New Roman"/>
          <w:bCs w:val="0"/>
          <w:color w:val="000000" w:themeColor="text1"/>
          <w:kern w:val="2"/>
          <w:lang w:val="en-US" w:bidi="ar-SA"/>
          <w14:textFill>
            <w14:solidFill>
              <w14:schemeClr w14:val="tx1"/>
            </w14:solidFill>
          </w14:textFill>
        </w:rPr>
        <w:t>五、基金财产的保管</w:t>
      </w:r>
      <w:bookmarkEnd w:id="9"/>
      <w:bookmarkEnd w:id="10"/>
    </w:p>
    <w:p w14:paraId="6C681D61">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（一）基金财产保管的原则</w:t>
      </w:r>
    </w:p>
    <w:p w14:paraId="02E75945">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1、基金财产应独立于基金管理人、基金托管人的固有财产。</w:t>
      </w:r>
    </w:p>
    <w:p w14:paraId="7849A48D">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2、基金托管人应安全保管基金财产。未经基金管理人依据合法程序作出的合法合规指令，基金托管人不得自行运用、处分、分配基金的任何财产。</w:t>
      </w:r>
    </w:p>
    <w:p w14:paraId="44A067C7">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3、基金托管人按照规定开设基金财产的托管账户和证券账户等投资所需账户。</w:t>
      </w:r>
    </w:p>
    <w:p w14:paraId="75D5DF03">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4、基金托管人对所托管的不同基金财产分别设置账户，独立核算，分账管理，确保基金财产的完整与独立。</w:t>
      </w:r>
    </w:p>
    <w:p w14:paraId="012D1776">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5、基金托管人根据基金管理人的指令，按照《基金合同》和本协议的约定保管基金财产，如有特殊情况双方可另行协商解决。</w:t>
      </w:r>
    </w:p>
    <w:p w14:paraId="4DC80EC9">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6、对于因为基金投资产生的应收资产和基金认（申）购过程中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w:t>
      </w:r>
      <w:r>
        <w:rPr>
          <w:rFonts w:hint="eastAsia"/>
          <w:spacing w:val="0"/>
          <w:sz w:val="24"/>
          <w:szCs w:val="24"/>
        </w:rPr>
        <w:t>相应</w:t>
      </w:r>
      <w:r>
        <w:rPr>
          <w:rFonts w:hint="eastAsia" w:ascii="Times New Roman" w:hAnsi="Times New Roman"/>
          <w:spacing w:val="0"/>
          <w:sz w:val="24"/>
          <w:szCs w:val="24"/>
        </w:rPr>
        <w:t>责任，但应当提供必要的协助和配合。</w:t>
      </w:r>
    </w:p>
    <w:p w14:paraId="61CCA427">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7、除依据法律法规和《基金合同》的规定外，基金托管人不得委托第三人托管基金财产。</w:t>
      </w:r>
    </w:p>
    <w:p w14:paraId="632772B1">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（二）基金募集期间及募集资金的验资</w:t>
      </w:r>
    </w:p>
    <w:p w14:paraId="19E9BA46">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1、基金募集期间的资金应存于基金管理人或其委托的登记机构在具有托管资格的商业银行开设的基金认购专户。该账户由基金管理人或其委托的登记机构开立并管理。</w:t>
      </w:r>
    </w:p>
    <w:p w14:paraId="71495A81">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2、基金募集期满或基金停止募集时，在发起资金提供方使用发起资金认购本基金的金额不少于</w:t>
      </w:r>
      <w:r>
        <w:rPr>
          <w:rFonts w:ascii="Times New Roman" w:hAnsi="Times New Roman"/>
          <w:spacing w:val="0"/>
          <w:sz w:val="24"/>
          <w:szCs w:val="24"/>
        </w:rPr>
        <w:t xml:space="preserve">1000 </w:t>
      </w:r>
      <w:r>
        <w:rPr>
          <w:rFonts w:hint="eastAsia" w:ascii="Times New Roman" w:hAnsi="Times New Roman"/>
          <w:spacing w:val="0"/>
          <w:sz w:val="24"/>
          <w:szCs w:val="24"/>
        </w:rPr>
        <w:t>万元人民币、且发起资金提供方承诺其认购的基金份额持有期限自基金合同生效之日起不少于3年的条件下，同时本基金目标ETF符合基金备案条件的前提下，基金管理人应将属于基金财产的全部资金划入基金托管人开立的基金托管账户，同时在规定时间内，聘请符合《中华人民共和国证券法》（以下简称“《证券法》”）规定的会计师事务所进行验资，出具验资报告，验资报告需对发起资金提供方及其持有份额进行专门说明。出具的验资报告由参加验资的2名或2名以上中国注册会计师签字方为有效。</w:t>
      </w:r>
    </w:p>
    <w:p w14:paraId="7658444C">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3、若基金募集期限届满，未能达到《基金合同》生效的条件，由基金管理人按规定办理退款等事宜，基金托管人应提供充分协助。</w:t>
      </w:r>
    </w:p>
    <w:p w14:paraId="54F1A628">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（三）基金托管账户的开立和管理</w:t>
      </w:r>
    </w:p>
    <w:p w14:paraId="17C63F1E">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1、基金托管人应负责本基金的托管账户的开设和管理。</w:t>
      </w:r>
    </w:p>
    <w:p w14:paraId="2F32EF1B">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2、基金托管人可以本基金的名义在具有基金托管资格的商业银行开设本基金的托管账户，并根据基金管理人合法合规的指令办理资金收付。本基金的银行预留印鉴由基金托管人保管和使用。本基金的一切货币收支活动，包括但不限于投资、支付赎回金额、支付基金收益、收取申购款，均需通过本基金的托管账户进行。</w:t>
      </w:r>
    </w:p>
    <w:p w14:paraId="5A128C50">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3、基金托管账户的开立和使用，限于满足开展本基金业务的需要。基金托管人和基金管理人不得假借本基金的名义开立任何其他银行账户；亦不得使用基金的任何账户进行本基金业务以外的活动。</w:t>
      </w:r>
    </w:p>
    <w:p w14:paraId="35AE4E80">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4、基金托管账户应符合相关法律法规的有关规定。</w:t>
      </w:r>
    </w:p>
    <w:p w14:paraId="0AD0965D">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（四）基金证券账户和结算备付金账户的开立和管理</w:t>
      </w:r>
    </w:p>
    <w:p w14:paraId="63A5C905">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1、基金托管人在中国证券登记结算有限责任公司北京分公司、上海分公司、深圳分公司为基金开立基金托管人与基金联名的证券账户。</w:t>
      </w:r>
    </w:p>
    <w:p w14:paraId="16FCB658">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57DA1E72">
      <w:pPr>
        <w:widowControl/>
        <w:adjustRightInd w:val="0"/>
        <w:snapToGrid w:val="0"/>
        <w:spacing w:line="360" w:lineRule="auto"/>
        <w:ind w:firstLine="480" w:firstLineChars="200"/>
        <w:rPr>
          <w:color w:val="000000"/>
          <w:sz w:val="24"/>
          <w:szCs w:val="24"/>
          <w:lang w:val="en-GB"/>
        </w:rPr>
      </w:pPr>
      <w:r>
        <w:rPr>
          <w:color w:val="000000"/>
          <w:sz w:val="24"/>
          <w:szCs w:val="24"/>
          <w:lang w:val="en-GB"/>
        </w:rPr>
        <w:t>3、基金托管人以自身法人名义在中国证券登记结算</w:t>
      </w:r>
      <w:r>
        <w:rPr>
          <w:rFonts w:hint="eastAsia"/>
          <w:color w:val="000000"/>
          <w:sz w:val="24"/>
          <w:szCs w:val="24"/>
          <w:lang w:val="en-GB"/>
        </w:rPr>
        <w:t>有限责任</w:t>
      </w:r>
      <w:r>
        <w:rPr>
          <w:color w:val="000000"/>
          <w:sz w:val="24"/>
          <w:szCs w:val="24"/>
          <w:lang w:val="en-GB"/>
        </w:rPr>
        <w:t>公司开立结算备付金账户，并代表所托管的基金完成与中国证券登记结算有限责任公司的一级法人清算工作</w:t>
      </w:r>
      <w:r>
        <w:rPr>
          <w:rFonts w:hint="eastAsia"/>
          <w:color w:val="000000"/>
          <w:sz w:val="24"/>
          <w:szCs w:val="24"/>
          <w:lang w:val="en-GB"/>
        </w:rPr>
        <w:t>，基金管理人应予以积极协助</w:t>
      </w:r>
      <w:r>
        <w:rPr>
          <w:color w:val="000000"/>
          <w:sz w:val="24"/>
          <w:szCs w:val="24"/>
          <w:lang w:val="en-GB"/>
        </w:rPr>
        <w:t>。结算备付金的收取按照中国证券登记结算</w:t>
      </w:r>
      <w:r>
        <w:rPr>
          <w:rFonts w:hint="eastAsia"/>
          <w:color w:val="000000"/>
          <w:sz w:val="24"/>
          <w:szCs w:val="24"/>
          <w:lang w:val="en-GB"/>
        </w:rPr>
        <w:t>有限责任</w:t>
      </w:r>
      <w:r>
        <w:rPr>
          <w:color w:val="000000"/>
          <w:sz w:val="24"/>
          <w:szCs w:val="24"/>
          <w:lang w:val="en-GB"/>
        </w:rPr>
        <w:t>公司的规定执行。</w:t>
      </w:r>
    </w:p>
    <w:p w14:paraId="22B24845">
      <w:pPr>
        <w:widowControl/>
        <w:adjustRightInd w:val="0"/>
        <w:snapToGrid w:val="0"/>
        <w:spacing w:line="360" w:lineRule="auto"/>
        <w:ind w:firstLine="480" w:firstLineChars="200"/>
        <w:rPr>
          <w:rFonts w:ascii="Times New Roman" w:hAnsi="Times New Roman"/>
          <w:spacing w:val="0"/>
          <w:sz w:val="24"/>
          <w:szCs w:val="24"/>
          <w:lang w:val="en-GB"/>
        </w:rPr>
      </w:pPr>
      <w:r>
        <w:rPr>
          <w:rFonts w:hint="eastAsia"/>
          <w:color w:val="000000"/>
          <w:sz w:val="24"/>
          <w:szCs w:val="24"/>
          <w:lang w:val="en-GB"/>
        </w:rPr>
        <w:t>4、</w:t>
      </w:r>
      <w:r>
        <w:rPr>
          <w:color w:val="000000"/>
          <w:sz w:val="24"/>
          <w:szCs w:val="24"/>
          <w:lang w:val="en-GB"/>
        </w:rPr>
        <w:t>基金证券账户的开立和证券账户卡</w:t>
      </w:r>
      <w:r>
        <w:rPr>
          <w:rFonts w:hint="eastAsia"/>
          <w:color w:val="000000"/>
          <w:sz w:val="24"/>
          <w:szCs w:val="24"/>
          <w:lang w:val="en-GB"/>
        </w:rPr>
        <w:t>（如有）</w:t>
      </w:r>
      <w:r>
        <w:rPr>
          <w:color w:val="000000"/>
          <w:sz w:val="24"/>
          <w:szCs w:val="24"/>
          <w:lang w:val="en-GB"/>
        </w:rPr>
        <w:t>的保管由基金托管人负责，账户资产的管理和运用由基金管理人负责。</w:t>
      </w:r>
    </w:p>
    <w:p w14:paraId="68DB28F5">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14:paraId="38E67DD6">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（五）债券托管账户的开设和管理</w:t>
      </w:r>
    </w:p>
    <w:p w14:paraId="44440506">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根据基金管理人的要求，《基金合同》生效后，基金托管人根据中国人民银行、中央国债登记结算有限责任公司、银行间市场清算所股份有限公司的有关规定，以基金的名义在中央国债登记结算有限责任公司、银行间市场清算所股份有限公司开立债券托管与结算账户，并代表基金进行银行间市场债券的结算。</w:t>
      </w:r>
      <w:r>
        <w:rPr>
          <w:rFonts w:hint="eastAsia"/>
          <w:sz w:val="24"/>
        </w:rPr>
        <w:t>基金管理人代表基金签订全国银行间债券市场债券回购主协议</w:t>
      </w:r>
      <w:r>
        <w:rPr>
          <w:rFonts w:hint="eastAsia"/>
          <w:sz w:val="24"/>
          <w:szCs w:val="21"/>
        </w:rPr>
        <w:t>。回购主协议的签署与托管人无关。全国银行间同业拆借市场的交易资格由基金管理人以基金的名义申请，银行间债券市场准入备案由基金管理人和基金托管人共同负责</w:t>
      </w:r>
      <w:r>
        <w:rPr>
          <w:rFonts w:hint="eastAsia"/>
          <w:sz w:val="24"/>
        </w:rPr>
        <w:t>。</w:t>
      </w:r>
    </w:p>
    <w:p w14:paraId="527EFA65">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（六）其他账户的开立和管理</w:t>
      </w:r>
    </w:p>
    <w:p w14:paraId="4575D7E5">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基金托管人。</w:t>
      </w:r>
    </w:p>
    <w:p w14:paraId="54AB2511">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基金托管人和基金管理人应当在开户过程中相互配合，并提供所需资料。基金管理人保证所提供的账户开户材料的真实性和有效性，且在相关资料变更后及时将变更的资料提供给基金托管人。</w:t>
      </w:r>
    </w:p>
    <w:p w14:paraId="683CF502">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2、因业务发展需要而开立的其他账户，可以根据法律法规和《基金合同》的规定，在基金管理人和基金托管人商议后开立。新账户按有关规则使用并管理。</w:t>
      </w:r>
    </w:p>
    <w:p w14:paraId="367975A3">
      <w:pPr>
        <w:spacing w:line="360" w:lineRule="auto"/>
        <w:ind w:firstLine="480" w:firstLineChars="200"/>
        <w:jc w:val="both"/>
        <w:rPr>
          <w:rFonts w:ascii="Times New Roman" w:hAnsi="Times New Roman"/>
          <w:spacing w:val="0"/>
          <w:sz w:val="24"/>
          <w:szCs w:val="24"/>
        </w:rPr>
      </w:pPr>
      <w:r>
        <w:rPr>
          <w:rFonts w:ascii="Times New Roman" w:hAnsi="Times New Roman"/>
          <w:spacing w:val="0"/>
          <w:sz w:val="24"/>
          <w:szCs w:val="24"/>
        </w:rPr>
        <w:t>3</w:t>
      </w:r>
      <w:r>
        <w:rPr>
          <w:rFonts w:hint="eastAsia" w:ascii="Times New Roman" w:hAnsi="Times New Roman"/>
          <w:spacing w:val="0"/>
          <w:sz w:val="24"/>
          <w:szCs w:val="24"/>
        </w:rPr>
        <w:t>、法律法规等有关规定对相关账户的开立和管理另有规定的，从其规定办理。</w:t>
      </w:r>
    </w:p>
    <w:p w14:paraId="50589FEA">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（七）基金财产投资的有关有价凭证等的保管</w:t>
      </w:r>
    </w:p>
    <w:p w14:paraId="64760922">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14:paraId="5D283AF8">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（八）与基金财产有关的重大合同的保管</w:t>
      </w:r>
    </w:p>
    <w:p w14:paraId="2665E366">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由基金管理人代表基金签署的、与基金有关的重大合同的原件分别由基金管理人、基金托管人保管。除协议另有规定或受限于相关机构制式文件要求外，基金管理人在代表基金签署与基金有关的重大合同时应尽量保证基金一方持有两份以上的正本，以便基金管理人和基金托管人至少各持有一份正本的原件。基金管理人应在重大合同签署后及时将重大合同扫描件发送给基金托管人，并在三十个工作日内将正本送达基金托管人处（如有两份正本）。重大合同的保管期限</w:t>
      </w:r>
      <w:r>
        <w:rPr>
          <w:rFonts w:hint="eastAsia"/>
          <w:bCs/>
          <w:sz w:val="24"/>
        </w:rPr>
        <w:t>不低于</w:t>
      </w:r>
      <w:r>
        <w:rPr>
          <w:rFonts w:hint="eastAsia"/>
          <w:sz w:val="24"/>
        </w:rPr>
        <w:t>法律法规规定的</w:t>
      </w:r>
      <w:r>
        <w:rPr>
          <w:rFonts w:hint="eastAsia"/>
          <w:bCs/>
          <w:sz w:val="24"/>
        </w:rPr>
        <w:t>最低期限</w:t>
      </w:r>
      <w:r>
        <w:rPr>
          <w:rFonts w:hint="eastAsia" w:ascii="Times New Roman" w:hAnsi="Times New Roman"/>
          <w:spacing w:val="0"/>
          <w:sz w:val="24"/>
          <w:szCs w:val="24"/>
        </w:rPr>
        <w:t>。对于无法取得二份以上的正本的，基金管理人应向基金托管人提供加盖公章的合同复印件或扫描件，未经双方协商一致，合同原件不得转移。</w:t>
      </w:r>
    </w:p>
    <w:p w14:paraId="5BC8038F">
      <w:pPr>
        <w:pStyle w:val="2"/>
        <w:spacing w:before="100" w:beforeAutospacing="1" w:after="100" w:afterAutospacing="1"/>
        <w:ind w:left="0"/>
        <w:jc w:val="center"/>
        <w:rPr>
          <w:rFonts w:ascii="Times New Roman" w:hAnsi="Times New Roman" w:eastAsia="宋体" w:cs="Times New Roman"/>
          <w:bCs w:val="0"/>
          <w:color w:val="000000" w:themeColor="text1"/>
          <w:kern w:val="2"/>
          <w:lang w:val="en-US" w:bidi="ar-SA"/>
          <w14:textFill>
            <w14:solidFill>
              <w14:schemeClr w14:val="tx1"/>
            </w14:solidFill>
          </w14:textFill>
        </w:rPr>
      </w:pPr>
      <w:bookmarkStart w:id="11" w:name="_Toc6296"/>
      <w:bookmarkStart w:id="12" w:name="_Toc516502491"/>
      <w:r>
        <w:rPr>
          <w:rFonts w:ascii="Times New Roman" w:hAnsi="Times New Roman" w:eastAsia="宋体" w:cs="Times New Roman"/>
          <w:bCs w:val="0"/>
          <w:color w:val="000000" w:themeColor="text1"/>
          <w:kern w:val="2"/>
          <w:lang w:val="en-US" w:bidi="ar-SA"/>
          <w14:textFill>
            <w14:solidFill>
              <w14:schemeClr w14:val="tx1"/>
            </w14:solidFill>
          </w14:textFill>
        </w:rPr>
        <w:t>六、指令的发送、确认及执行</w:t>
      </w:r>
      <w:bookmarkEnd w:id="11"/>
      <w:bookmarkEnd w:id="12"/>
    </w:p>
    <w:p w14:paraId="755B0FD9">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基金管理人在运用基金财产时向基金托管人发送资金划拨及其他款项收付指令，基金托管人执行基金管理人的指令、办理基金名下的资金往来等有关事项。</w:t>
      </w:r>
    </w:p>
    <w:p w14:paraId="2A2CF8CE">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（一）基金管理人对发送指令人员的书面授权</w:t>
      </w:r>
    </w:p>
    <w:p w14:paraId="44DB6567">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1、基金管理人应指定专人向基金托管人发送指令。</w:t>
      </w:r>
    </w:p>
    <w:p w14:paraId="050321A6">
      <w:pPr>
        <w:spacing w:line="360" w:lineRule="auto"/>
        <w:ind w:firstLine="480" w:firstLineChars="200"/>
        <w:jc w:val="both"/>
        <w:rPr>
          <w:spacing w:val="0"/>
          <w:sz w:val="24"/>
          <w:szCs w:val="24"/>
        </w:rPr>
      </w:pPr>
      <w:r>
        <w:rPr>
          <w:rFonts w:hint="eastAsia" w:ascii="Times New Roman" w:hAnsi="Times New Roman"/>
          <w:spacing w:val="0"/>
          <w:sz w:val="24"/>
          <w:szCs w:val="24"/>
        </w:rPr>
        <w:t>2、</w:t>
      </w:r>
      <w:r>
        <w:rPr>
          <w:rFonts w:hint="eastAsia"/>
          <w:spacing w:val="0"/>
          <w:sz w:val="24"/>
          <w:szCs w:val="24"/>
        </w:rPr>
        <w:t>基金管理人应优先选择使用电子指令，并根据基金托管人的要求提供电子指令授权通知，指定电子指令的被授权人或签署操作备忘录。如需使用纸质指令的，基金管理人需向基金托管人提供纸质指令授权通知，纸质指令授权通知的内容包括被授权人的名单、签章样本、权限、生效时间和预留印鉴。</w:t>
      </w:r>
    </w:p>
    <w:p w14:paraId="20E380F6">
      <w:pPr>
        <w:spacing w:line="360" w:lineRule="auto"/>
        <w:ind w:firstLine="480" w:firstLineChars="200"/>
        <w:jc w:val="both"/>
        <w:rPr>
          <w:spacing w:val="0"/>
          <w:sz w:val="24"/>
          <w:szCs w:val="24"/>
        </w:rPr>
      </w:pPr>
      <w:r>
        <w:rPr>
          <w:rFonts w:hint="eastAsia"/>
          <w:spacing w:val="0"/>
          <w:sz w:val="24"/>
          <w:szCs w:val="24"/>
        </w:rPr>
        <w:t>基金管理人更改被授权印鉴，须提前三个工作日向基金托管人提供变更后的新的授权通知。授权通知应加盖基金管理人公司公章及法定代表人签字或盖章并写明生效时间。</w:t>
      </w:r>
    </w:p>
    <w:p w14:paraId="1966B5BD">
      <w:pPr>
        <w:spacing w:line="360" w:lineRule="auto"/>
        <w:ind w:firstLine="480" w:firstLineChars="200"/>
        <w:jc w:val="both"/>
        <w:rPr>
          <w:spacing w:val="0"/>
          <w:sz w:val="24"/>
          <w:szCs w:val="24"/>
        </w:rPr>
      </w:pPr>
      <w:r>
        <w:rPr>
          <w:spacing w:val="0"/>
          <w:sz w:val="24"/>
          <w:szCs w:val="24"/>
        </w:rPr>
        <w:t>3、授权通知的确认：首次授权通知，在基金托管人确认收到授权通知后于授权通知载明的生效时间生效（如基金托管人收到授权通知的时间晚于授权通知载明的生效时间，则授权通知自基金托管人确认收到授权通知的时间生效，下同）。基金管理人使用电子邮件方式或其他双方认可的方式向基金托管人发送授权通知后，应及时与基金托管人电话确认，以保证基金托管人及时查收。由于印鉴变更而提供的变更后的新的授权通知，基金管理人必须提前至少一个交易日，使用电子邮件方式或其他双方认可的方式向基金托管人发送扫描件，同时电话通知基金托管人，变更后的新的授权通知经基金托管人确认后于授权通知载明的生效时间（早于基金托管人确认时间的，以基金托管人确认日为准）生效，同时原授权通知失效。变更通知生效前，基金托管人仍应按原约定执行指令，基金管理人不得否认其效力。对于基金管理人未及时通知变更情况导致基金托管人发生资金划付差错，由此产生的责任由基金管理人承担。</w:t>
      </w:r>
    </w:p>
    <w:p w14:paraId="5076D583">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4、基金管理人和基金托管人对授权文件负有保密义务，其内容不得向被授权人及相关操作人员以外的任何人泄露，</w:t>
      </w:r>
      <w:r>
        <w:rPr>
          <w:rFonts w:hint="eastAsia" w:ascii="Times New Roman" w:hAnsi="Times New Roman"/>
          <w:sz w:val="24"/>
        </w:rPr>
        <w:t>但法律法规规定或有权机关要求的除外</w:t>
      </w:r>
      <w:r>
        <w:rPr>
          <w:rFonts w:hint="eastAsia" w:ascii="Times New Roman" w:hAnsi="Times New Roman"/>
          <w:spacing w:val="0"/>
          <w:sz w:val="24"/>
          <w:szCs w:val="24"/>
        </w:rPr>
        <w:t>。</w:t>
      </w:r>
    </w:p>
    <w:p w14:paraId="41F34615">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（二）指令的内容</w:t>
      </w:r>
    </w:p>
    <w:p w14:paraId="144A1EE6">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1、指令包括付款指令（含赎回、分红付款指令、银行间业务划款指令）以及其他资金划拨指令等。</w:t>
      </w:r>
    </w:p>
    <w:p w14:paraId="72AB012F">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2、基金管理人发给基金托管人的</w:t>
      </w:r>
      <w:r>
        <w:rPr>
          <w:spacing w:val="0"/>
          <w:sz w:val="24"/>
          <w:szCs w:val="24"/>
        </w:rPr>
        <w:t>纸质</w:t>
      </w:r>
      <w:r>
        <w:rPr>
          <w:rFonts w:hint="eastAsia" w:ascii="Times New Roman" w:hAnsi="Times New Roman"/>
          <w:spacing w:val="0"/>
          <w:sz w:val="24"/>
          <w:szCs w:val="24"/>
        </w:rPr>
        <w:t>指令应写明款项事由、支付</w:t>
      </w:r>
      <w:r>
        <w:rPr>
          <w:rFonts w:hint="eastAsia"/>
          <w:spacing w:val="0"/>
          <w:sz w:val="24"/>
          <w:szCs w:val="24"/>
        </w:rPr>
        <w:t>日期</w:t>
      </w:r>
      <w:r>
        <w:rPr>
          <w:rFonts w:hint="eastAsia" w:ascii="Times New Roman" w:hAnsi="Times New Roman"/>
          <w:spacing w:val="0"/>
          <w:sz w:val="24"/>
          <w:szCs w:val="24"/>
        </w:rPr>
        <w:t>、金额、账户</w:t>
      </w:r>
      <w:r>
        <w:rPr>
          <w:rFonts w:hint="eastAsia"/>
          <w:spacing w:val="0"/>
          <w:sz w:val="24"/>
          <w:szCs w:val="24"/>
        </w:rPr>
        <w:t>信息</w:t>
      </w:r>
      <w:r>
        <w:rPr>
          <w:rFonts w:hint="eastAsia" w:ascii="Times New Roman" w:hAnsi="Times New Roman"/>
          <w:spacing w:val="0"/>
          <w:sz w:val="24"/>
          <w:szCs w:val="24"/>
        </w:rPr>
        <w:t>等，并加盖预留印鉴。</w:t>
      </w:r>
    </w:p>
    <w:p w14:paraId="06A34ED2">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（三）指令的发送、确认及执行的时间和程序</w:t>
      </w:r>
    </w:p>
    <w:p w14:paraId="3AB11890">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1、指令的发送与确认</w:t>
      </w:r>
    </w:p>
    <w:p w14:paraId="2DDA27FF">
      <w:pPr>
        <w:spacing w:line="360" w:lineRule="auto"/>
        <w:ind w:firstLine="480" w:firstLineChars="200"/>
        <w:jc w:val="both"/>
        <w:rPr>
          <w:spacing w:val="0"/>
          <w:sz w:val="24"/>
          <w:szCs w:val="24"/>
        </w:rPr>
      </w:pPr>
      <w:r>
        <w:rPr>
          <w:rFonts w:hint="eastAsia"/>
          <w:spacing w:val="0"/>
          <w:sz w:val="24"/>
          <w:szCs w:val="24"/>
        </w:rPr>
        <w:t>基金管理人发送指令应采用电子邮件扫描件、电子指令或双方认同的其他方式。</w:t>
      </w:r>
    </w:p>
    <w:p w14:paraId="6F8A7A21">
      <w:pPr>
        <w:spacing w:line="360" w:lineRule="auto"/>
        <w:ind w:firstLine="480" w:firstLineChars="200"/>
        <w:jc w:val="both"/>
        <w:rPr>
          <w:rFonts w:ascii="Times New Roman" w:hAnsi="Times New Roman"/>
          <w:spacing w:val="0"/>
          <w:sz w:val="24"/>
          <w:szCs w:val="24"/>
        </w:rPr>
      </w:pPr>
      <w:r>
        <w:rPr>
          <w:rFonts w:hint="eastAsia"/>
          <w:spacing w:val="0"/>
          <w:sz w:val="24"/>
          <w:szCs w:val="24"/>
        </w:rPr>
        <w:t>如非上述方式发送的指令，基金托管人有权拒绝指令的确认和执行。</w:t>
      </w:r>
      <w:r>
        <w:rPr>
          <w:rFonts w:hint="eastAsia" w:ascii="Times New Roman" w:hAnsi="Times New Roman"/>
          <w:spacing w:val="0"/>
          <w:sz w:val="24"/>
          <w:szCs w:val="24"/>
        </w:rPr>
        <w:t>基金管理人应按照法律法规和《基金合同》的规定，在其合法的经营权限和交易权限内发送指令。</w:t>
      </w:r>
    </w:p>
    <w:p w14:paraId="345073B0">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被授权人应严格按照其授权权限发送指令。对于被授权人依约定程序发出的指令，基金管理人不得否认其效力。但如果基金管理人已经撤销或更改对交易指令发送人员的授权，并且基金托管人根据本协议确认后，则对于此后该交易指令发送人员无权发送的指令，或超权限发送的指令，基金管理人不承担责任，授权已更改但未经基金托管人确认的情况除外。</w:t>
      </w:r>
    </w:p>
    <w:p w14:paraId="7624B78F">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管理人发送加盖预留印鉴的指令后，应及时向基金托管人确认。指令或成交单到达基金托管人后，基金托管人应指定专人根据基金管理人提供的授权文件进行表面一致性审查，及时审慎验证有关内容及印鉴，基金托管人对指令的真实性不承担责任。如有疑问必须及时通知基金管理人。</w:t>
      </w:r>
    </w:p>
    <w:p w14:paraId="10058F37">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对于要求当天到账的指令，必须在当天15:00前向基金托管人发送，15:00之后发送的，基金托管人尽力执行，但不能保证划账成功。如果要求当天某一时点到账的指令，则指令需要提前2个工作小时发送，并确保相关付款条件已经具备。基金托管人将视付款条件具备时为指令送达时间。</w:t>
      </w:r>
      <w:r>
        <w:rPr>
          <w:rFonts w:hint="eastAsia"/>
          <w:sz w:val="24"/>
          <w:szCs w:val="24"/>
        </w:rPr>
        <w:t>对于中国证券登记结算有限责任公司实行</w:t>
      </w:r>
      <w:r>
        <w:rPr>
          <w:rFonts w:ascii="Times New Roman" w:hAnsi="Times New Roman"/>
          <w:sz w:val="24"/>
          <w:szCs w:val="24"/>
        </w:rPr>
        <w:t>T+0非担保交收的业务，基金管理人应在交易日14：30前将</w:t>
      </w:r>
      <w:r>
        <w:rPr>
          <w:rFonts w:hint="eastAsia"/>
          <w:sz w:val="24"/>
          <w:szCs w:val="24"/>
        </w:rPr>
        <w:t>划款指令发送至托管人。</w:t>
      </w:r>
      <w:r>
        <w:rPr>
          <w:rFonts w:hint="eastAsia" w:ascii="Times New Roman" w:hAnsi="Times New Roman"/>
          <w:sz w:val="24"/>
          <w:szCs w:val="24"/>
        </w:rPr>
        <w:t>因基金管理人指令传输不及时，致使资金未能及时划入中登公司所造成的损失由基金管理人承担。</w:t>
      </w:r>
    </w:p>
    <w:p w14:paraId="083053FF">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2、指令的执行</w:t>
      </w:r>
    </w:p>
    <w:p w14:paraId="3E9F689B">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基金托管人对指令验证后，应及时执行。</w:t>
      </w:r>
    </w:p>
    <w:p w14:paraId="5054507A">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管理人应确保基金托管人在执行指令时，基金托管账户有足够的资金余额，否则基金托管人可不予执行，但应及时通知基金管理人，由基金管理人审核、查明原因，确认此交易指令无效，基金托管人不承担因未执行该指令造成损失的责任。</w:t>
      </w:r>
    </w:p>
    <w:p w14:paraId="3D28230F">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对于申购新股等时效性要求高的指令，基金管理人必须及时将指令发送至基金托管人并进行电话确认，为基金托管人预留充足的指令处理时间。</w:t>
      </w:r>
    </w:p>
    <w:p w14:paraId="3B75CBA1">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（四）基金管理人发送错误指令的情形和处理程序</w:t>
      </w:r>
    </w:p>
    <w:p w14:paraId="76F5F9C9">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基金托管人发现指令错误，提示基金管理人改正后再予以执行，若由此造成的延误损失由基金管理人承担。</w:t>
      </w:r>
    </w:p>
    <w:p w14:paraId="55DD98AF">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（五）基金托管人依照法律法规暂缓、拒绝执行指令的情形和处理程序</w:t>
      </w:r>
    </w:p>
    <w:p w14:paraId="0BD7C383">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若基金托管人发现基金管理人的指令违反法律、行政法规和其他有关规定，或者违反《基金合同》约定的，应当视情况暂缓或拒绝执行，及时通知基金管理人。</w:t>
      </w:r>
    </w:p>
    <w:p w14:paraId="3431D4FB">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若基金托管人发现基金管理人依据交易程序已经生效的指令违反法律、行政法规和其他有关规定，或者违反《基金合同》约定的，应当及时通知基金管理人，由此造成的损失由基金管理人承担。</w:t>
      </w:r>
    </w:p>
    <w:p w14:paraId="18E046C2">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（六）基金托管人未按照基金管理人指令执行的处理方法</w:t>
      </w:r>
    </w:p>
    <w:p w14:paraId="67A452CD">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基金托管人由于其自身原因未能执行或错误执行基金管理人指令致使本基金的利益受到损害，应在发现后，及时采取措施予以弥补，给基金份额持有人造成损失的，对由此造成的直接经济损失负赔偿责任。</w:t>
      </w:r>
    </w:p>
    <w:p w14:paraId="23E7FFEF">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（七）更换被授权人的程序</w:t>
      </w:r>
    </w:p>
    <w:p w14:paraId="5293ACD7">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基金管理人撤换被授权人、改变被授权人的权限，须提前三个工作日向基金托管人提供变更后的新的授权通知。授权通知应加盖基金管理人公司公章及法定代表人签字或盖章并写明生效时间。</w:t>
      </w:r>
    </w:p>
    <w:p w14:paraId="477A3A7E">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由于人员、权限变更而提供的变更后的新的授权通知，基金管理人必须提前至少一个交易日，使用电子邮件方式或其他双方认可的方式向基金托管人发送扫描件，同时电话通知基金托管人，变更后的新的授权通知经基金托管人确认后于授权通知载明的生效时间（早于基金托管人确认时间的，以基金托管人确认日为准）生效，同时原授权通知失效。被授权人变更通知生效前，基金托管人仍应按原约定执行指令，基金管理人不得否认其效力。对于基金管理人未及时通知变更情况导致基金托管人发生资金划付差错，由此产生的责任由基金管理人承担。</w:t>
      </w:r>
    </w:p>
    <w:p w14:paraId="43211868">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（八）其他事项</w:t>
      </w:r>
    </w:p>
    <w:p w14:paraId="1A155AB7">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1、基金托管人在接收指令时，应对指令的要素是否齐全、印鉴是否与预留的授权文件内容相符进行表面一致性检查，如发现问题，应及时通知基金管理人。</w:t>
      </w:r>
    </w:p>
    <w:p w14:paraId="221E0E7D">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2、除因其自身原因致使基金的利益受到损害而负赔偿责任外，基金托管人按照法律法规、本协议的规定执行基金管理人指令而引起的可能发生的损失，均由基金管理人负责。</w:t>
      </w:r>
    </w:p>
    <w:p w14:paraId="2EDD3B84">
      <w:pPr>
        <w:pStyle w:val="2"/>
        <w:spacing w:before="100" w:beforeAutospacing="1" w:after="100" w:afterAutospacing="1"/>
        <w:ind w:left="0"/>
        <w:jc w:val="center"/>
        <w:rPr>
          <w:rFonts w:ascii="Times New Roman" w:hAnsi="Times New Roman" w:eastAsia="宋体" w:cs="Times New Roman"/>
          <w:bCs w:val="0"/>
          <w:color w:val="000000" w:themeColor="text1"/>
          <w:kern w:val="2"/>
          <w:lang w:val="en-US" w:bidi="ar-SA"/>
          <w14:textFill>
            <w14:solidFill>
              <w14:schemeClr w14:val="tx1"/>
            </w14:solidFill>
          </w14:textFill>
        </w:rPr>
      </w:pPr>
      <w:bookmarkStart w:id="13" w:name="_Toc6301"/>
      <w:r>
        <w:rPr>
          <w:rFonts w:ascii="Times New Roman" w:hAnsi="Times New Roman" w:eastAsia="宋体" w:cs="Times New Roman"/>
          <w:bCs w:val="0"/>
          <w:color w:val="000000" w:themeColor="text1"/>
          <w:kern w:val="2"/>
          <w:lang w:val="en-US" w:bidi="ar-SA"/>
          <w14:textFill>
            <w14:solidFill>
              <w14:schemeClr w14:val="tx1"/>
            </w14:solidFill>
          </w14:textFill>
        </w:rPr>
        <w:t>七、交易及清算交收安排</w:t>
      </w:r>
      <w:bookmarkEnd w:id="13"/>
    </w:p>
    <w:p w14:paraId="14A070AD">
      <w:pPr>
        <w:spacing w:line="360" w:lineRule="auto"/>
        <w:ind w:firstLine="480" w:firstLineChars="200"/>
        <w:jc w:val="both"/>
        <w:rPr>
          <w:spacing w:val="0"/>
          <w:sz w:val="24"/>
          <w:szCs w:val="24"/>
        </w:rPr>
      </w:pPr>
      <w:r>
        <w:rPr>
          <w:spacing w:val="0"/>
          <w:sz w:val="24"/>
          <w:szCs w:val="24"/>
        </w:rPr>
        <w:t>（一）选择代理证券、期货买卖的证券、期货</w:t>
      </w:r>
      <w:r>
        <w:rPr>
          <w:rFonts w:hint="eastAsia"/>
          <w:spacing w:val="0"/>
          <w:sz w:val="24"/>
          <w:szCs w:val="24"/>
        </w:rPr>
        <w:t>经营</w:t>
      </w:r>
      <w:r>
        <w:rPr>
          <w:spacing w:val="0"/>
          <w:sz w:val="24"/>
          <w:szCs w:val="24"/>
        </w:rPr>
        <w:t>机构</w:t>
      </w:r>
    </w:p>
    <w:p w14:paraId="1635F503">
      <w:pPr>
        <w:spacing w:line="360" w:lineRule="auto"/>
        <w:ind w:firstLine="480" w:firstLineChars="200"/>
        <w:jc w:val="both"/>
        <w:rPr>
          <w:spacing w:val="0"/>
          <w:sz w:val="24"/>
          <w:szCs w:val="24"/>
        </w:rPr>
      </w:pPr>
      <w:r>
        <w:rPr>
          <w:color w:val="000000"/>
          <w:sz w:val="24"/>
          <w:szCs w:val="24"/>
          <w:lang w:val="en-GB"/>
        </w:rPr>
        <w:t>基金管理人应设计选择代理证券买卖的证券经营机构的标准和程序。基金管理人负责选择代理本基金证券买卖的证券经营机构，使用其</w:t>
      </w:r>
      <w:r>
        <w:rPr>
          <w:rFonts w:hint="eastAsia"/>
          <w:color w:val="000000"/>
          <w:sz w:val="24"/>
          <w:szCs w:val="24"/>
          <w:lang w:val="en-GB"/>
        </w:rPr>
        <w:t>交易单元</w:t>
      </w:r>
      <w:r>
        <w:rPr>
          <w:color w:val="000000"/>
          <w:sz w:val="24"/>
          <w:szCs w:val="24"/>
          <w:lang w:val="en-GB"/>
        </w:rPr>
        <w:t>作为基金的</w:t>
      </w:r>
      <w:r>
        <w:rPr>
          <w:rFonts w:hint="eastAsia"/>
          <w:color w:val="000000"/>
          <w:sz w:val="24"/>
          <w:szCs w:val="24"/>
          <w:lang w:val="en-GB"/>
        </w:rPr>
        <w:t>交易单元</w:t>
      </w:r>
      <w:r>
        <w:rPr>
          <w:color w:val="000000"/>
          <w:sz w:val="24"/>
          <w:szCs w:val="24"/>
          <w:lang w:val="en-GB"/>
        </w:rPr>
        <w:t>。基金管理人和被选中的证券经营机构签订</w:t>
      </w:r>
      <w:r>
        <w:rPr>
          <w:rFonts w:hint="eastAsia"/>
          <w:color w:val="000000"/>
          <w:sz w:val="24"/>
          <w:szCs w:val="24"/>
          <w:lang w:val="en-GB"/>
        </w:rPr>
        <w:t>交易单元使用</w:t>
      </w:r>
      <w:r>
        <w:rPr>
          <w:color w:val="000000"/>
          <w:sz w:val="24"/>
          <w:szCs w:val="24"/>
          <w:lang w:val="en-GB"/>
        </w:rPr>
        <w:t>协议，由基金管理人提前通知基金托管人。基金管理人应根据有关规定，在基金的中期报告和年度报告中将所选证券经营机构的有关情况、基金通过该证券经营机构买卖证券的成交量、回购成交量和支付的佣金等予以披露，并将</w:t>
      </w:r>
      <w:r>
        <w:rPr>
          <w:rFonts w:hint="eastAsia"/>
          <w:color w:val="000000"/>
          <w:sz w:val="24"/>
          <w:szCs w:val="24"/>
          <w:lang w:val="en-GB"/>
        </w:rPr>
        <w:t>上述</w:t>
      </w:r>
      <w:r>
        <w:rPr>
          <w:color w:val="000000"/>
          <w:sz w:val="24"/>
          <w:szCs w:val="24"/>
          <w:lang w:val="en-GB"/>
        </w:rPr>
        <w:t>情况及基金专用</w:t>
      </w:r>
      <w:r>
        <w:rPr>
          <w:rFonts w:hint="eastAsia"/>
          <w:color w:val="000000"/>
          <w:sz w:val="24"/>
          <w:szCs w:val="24"/>
          <w:lang w:val="en-GB"/>
        </w:rPr>
        <w:t>交易单元</w:t>
      </w:r>
      <w:r>
        <w:rPr>
          <w:color w:val="000000"/>
          <w:sz w:val="24"/>
          <w:szCs w:val="24"/>
          <w:lang w:val="en-GB"/>
        </w:rPr>
        <w:t>号、佣金费率等基金基本信息以及变更情况及时以书面形式通知基金托管人。</w:t>
      </w:r>
      <w:r>
        <w:rPr>
          <w:rFonts w:hint="eastAsia"/>
          <w:color w:val="000000"/>
          <w:sz w:val="24"/>
          <w:szCs w:val="24"/>
          <w:lang w:val="en-GB"/>
        </w:rPr>
        <w:t>因相关法律法规或交易规则的修改带来的变化以届时有效的法律法规和相关交易规则为准。</w:t>
      </w:r>
    </w:p>
    <w:p w14:paraId="313C5EF0">
      <w:pPr>
        <w:spacing w:line="360" w:lineRule="auto"/>
        <w:ind w:firstLine="480" w:firstLineChars="200"/>
        <w:jc w:val="both"/>
        <w:rPr>
          <w:spacing w:val="0"/>
          <w:sz w:val="24"/>
          <w:szCs w:val="24"/>
        </w:rPr>
      </w:pPr>
      <w:r>
        <w:rPr>
          <w:spacing w:val="0"/>
          <w:sz w:val="24"/>
          <w:szCs w:val="24"/>
        </w:rPr>
        <w:t>基金管理人负责选择代理本基金期货交易的期货经纪机构，并与其签订期货经纪合同，其他事宜根据法律法规、《基金合同》的相关规定执行</w:t>
      </w:r>
      <w:r>
        <w:rPr>
          <w:rFonts w:hint="eastAsia"/>
          <w:spacing w:val="0"/>
          <w:sz w:val="24"/>
          <w:szCs w:val="24"/>
        </w:rPr>
        <w:t>，若无明确规定的，可参照有关证券买卖、证券经营机构选择的规则执行</w:t>
      </w:r>
      <w:r>
        <w:rPr>
          <w:spacing w:val="0"/>
          <w:sz w:val="24"/>
          <w:szCs w:val="24"/>
        </w:rPr>
        <w:t>。</w:t>
      </w:r>
    </w:p>
    <w:p w14:paraId="4A86A6A5">
      <w:pPr>
        <w:spacing w:line="360" w:lineRule="auto"/>
        <w:ind w:firstLine="480" w:firstLineChars="200"/>
        <w:jc w:val="both"/>
        <w:rPr>
          <w:spacing w:val="0"/>
          <w:sz w:val="24"/>
          <w:szCs w:val="24"/>
          <w:lang w:val="en-US"/>
        </w:rPr>
      </w:pPr>
      <w:r>
        <w:rPr>
          <w:rFonts w:hint="eastAsia"/>
          <w:spacing w:val="0"/>
          <w:sz w:val="24"/>
          <w:szCs w:val="24"/>
          <w:lang w:val="en-US"/>
        </w:rPr>
        <w:t>本基金由基金管理人作为交易参与人通过交易单元在证券交易所进行证券交易。根据《上海证券交易所、深圳证券交易所、中国证券登记结算有限责任公司证券交易资金前端风险控制业务规则》等有关规定，证券交易所、证券登记机构对交易参与人相关交易单元的全天净买入申报金额总量实施额度管理，并通过交易所对交易参与人实施前端控制。本基金可能因上述业务规则而无法完成某笔或某些交易，由此造成的损益由基金财产承担。</w:t>
      </w:r>
    </w:p>
    <w:p w14:paraId="25018FFE">
      <w:pPr>
        <w:spacing w:line="360" w:lineRule="auto"/>
        <w:ind w:firstLine="480" w:firstLineChars="200"/>
        <w:jc w:val="both"/>
        <w:rPr>
          <w:spacing w:val="0"/>
          <w:sz w:val="24"/>
          <w:szCs w:val="24"/>
        </w:rPr>
      </w:pPr>
      <w:r>
        <w:rPr>
          <w:spacing w:val="0"/>
          <w:sz w:val="24"/>
          <w:szCs w:val="24"/>
        </w:rPr>
        <w:t>（二）基金投资证券后的清算交收安排</w:t>
      </w:r>
    </w:p>
    <w:p w14:paraId="0E935132">
      <w:pPr>
        <w:spacing w:line="360" w:lineRule="auto"/>
        <w:ind w:firstLine="480" w:firstLineChars="200"/>
        <w:jc w:val="both"/>
        <w:rPr>
          <w:spacing w:val="0"/>
          <w:sz w:val="24"/>
          <w:szCs w:val="24"/>
        </w:rPr>
      </w:pPr>
      <w:r>
        <w:rPr>
          <w:spacing w:val="0"/>
          <w:sz w:val="24"/>
          <w:szCs w:val="24"/>
        </w:rPr>
        <w:t>1、清算与交割</w:t>
      </w:r>
    </w:p>
    <w:p w14:paraId="6DB4D5A1">
      <w:pPr>
        <w:pStyle w:val="19"/>
        <w:spacing w:line="360" w:lineRule="auto"/>
        <w:ind w:left="0" w:firstLineChars="200"/>
        <w:jc w:val="both"/>
        <w:rPr>
          <w:spacing w:val="0"/>
          <w:sz w:val="24"/>
          <w:szCs w:val="24"/>
        </w:rPr>
      </w:pPr>
      <w:r>
        <w:rPr>
          <w:rFonts w:hint="eastAsia"/>
          <w:spacing w:val="0"/>
          <w:sz w:val="24"/>
          <w:szCs w:val="24"/>
        </w:rPr>
        <w:t>（</w:t>
      </w:r>
      <w:r>
        <w:rPr>
          <w:spacing w:val="0"/>
          <w:sz w:val="24"/>
          <w:szCs w:val="24"/>
        </w:rPr>
        <w:t>1）基金投资证券的清算交收安排</w:t>
      </w:r>
    </w:p>
    <w:p w14:paraId="1722378C">
      <w:pPr>
        <w:spacing w:line="360" w:lineRule="auto"/>
        <w:ind w:firstLine="480" w:firstLineChars="200"/>
        <w:jc w:val="both"/>
        <w:rPr>
          <w:spacing w:val="0"/>
          <w:sz w:val="24"/>
          <w:szCs w:val="24"/>
        </w:rPr>
      </w:pPr>
      <w:r>
        <w:rPr>
          <w:rFonts w:hint="eastAsia"/>
          <w:spacing w:val="0"/>
          <w:sz w:val="24"/>
          <w:szCs w:val="24"/>
        </w:rPr>
        <w:t>基金托管人负责基金买卖证券的清算交收。资金汇划由基金托管人根据基金管理人的交易成交结果具体办理。</w:t>
      </w:r>
    </w:p>
    <w:p w14:paraId="1807B6E3">
      <w:pPr>
        <w:spacing w:line="360" w:lineRule="auto"/>
        <w:ind w:firstLine="480" w:firstLineChars="200"/>
        <w:jc w:val="both"/>
        <w:rPr>
          <w:spacing w:val="0"/>
          <w:sz w:val="24"/>
          <w:szCs w:val="24"/>
        </w:rPr>
      </w:pPr>
      <w:r>
        <w:rPr>
          <w:rFonts w:hint="eastAsia"/>
          <w:spacing w:val="0"/>
          <w:sz w:val="24"/>
          <w:szCs w:val="24"/>
        </w:rPr>
        <w:t>如果因为基金托管人自身原因在清算上造成基金资产的损失，应由基金托管人负责赔偿基金的损失；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如果由于基金管理人违反法律法规、交易规则的规定进行超买、超卖，或管理人管理的资产出现欠库、应付资金不足等原因造成基金投资清算困难和风险，基金托管人发现后应立即通知基金管理人，由基金管理人负责解决，由此给基金造成的损失由基金管理人承担。</w:t>
      </w:r>
    </w:p>
    <w:p w14:paraId="072B4DBB">
      <w:pPr>
        <w:spacing w:line="360" w:lineRule="auto"/>
        <w:ind w:firstLine="480" w:firstLineChars="200"/>
        <w:jc w:val="both"/>
        <w:rPr>
          <w:spacing w:val="0"/>
          <w:sz w:val="24"/>
          <w:szCs w:val="24"/>
        </w:rPr>
      </w:pPr>
      <w:r>
        <w:rPr>
          <w:rFonts w:hint="eastAsia"/>
          <w:spacing w:val="0"/>
          <w:sz w:val="24"/>
          <w:szCs w:val="24"/>
        </w:rPr>
        <w:t>基金管理人应采取合理措施，确保在</w:t>
      </w:r>
      <w:r>
        <w:rPr>
          <w:spacing w:val="0"/>
          <w:sz w:val="24"/>
          <w:szCs w:val="24"/>
        </w:rPr>
        <w:t>T+1日12:00之前有足够的资金头寸用于中国证券登记结算有限</w:t>
      </w:r>
      <w:r>
        <w:rPr>
          <w:rFonts w:hint="eastAsia"/>
          <w:spacing w:val="0"/>
          <w:sz w:val="24"/>
          <w:szCs w:val="24"/>
          <w:lang w:val="en-US"/>
        </w:rPr>
        <w:t>责任</w:t>
      </w:r>
      <w:r>
        <w:rPr>
          <w:spacing w:val="0"/>
          <w:sz w:val="24"/>
          <w:szCs w:val="24"/>
        </w:rPr>
        <w:t>公司北京分公司</w:t>
      </w:r>
      <w:r>
        <w:rPr>
          <w:rFonts w:hint="eastAsia"/>
          <w:spacing w:val="0"/>
          <w:sz w:val="24"/>
          <w:szCs w:val="24"/>
        </w:rPr>
        <w:t>、</w:t>
      </w:r>
      <w:r>
        <w:rPr>
          <w:spacing w:val="0"/>
          <w:sz w:val="24"/>
          <w:szCs w:val="24"/>
        </w:rPr>
        <w:t>上海分公司和深圳分公司的资金结算。</w:t>
      </w:r>
    </w:p>
    <w:p w14:paraId="04E1DEED">
      <w:pPr>
        <w:spacing w:line="360" w:lineRule="auto"/>
        <w:ind w:firstLine="480" w:firstLineChars="200"/>
        <w:jc w:val="both"/>
        <w:rPr>
          <w:spacing w:val="0"/>
          <w:sz w:val="24"/>
          <w:szCs w:val="24"/>
        </w:rPr>
      </w:pPr>
      <w:r>
        <w:rPr>
          <w:rFonts w:hint="eastAsia"/>
          <w:spacing w:val="0"/>
          <w:sz w:val="24"/>
          <w:szCs w:val="24"/>
        </w:rPr>
        <w:t>基金管理人应保证基金托管人在执行基金管理人发送的划款指令时，基金托管资金账户或资金交收账户上有充足的资金。基金的资金头寸不足时，基金托管人有权拒绝基金管理人发送的划款指令，但应及时通知基金管理人。基金管理人在发送划款指令时应充分考虑基金托管人的划款处理时间。在基金资金头寸充足的情况下，基金托管人对基金管理人符合法律法规、《基金合同》、本协议的指令不得拖延或拒绝执行。</w:t>
      </w:r>
    </w:p>
    <w:p w14:paraId="3A6D4DFA">
      <w:pPr>
        <w:pStyle w:val="19"/>
        <w:spacing w:line="360" w:lineRule="auto"/>
        <w:ind w:left="0" w:firstLineChars="200"/>
        <w:jc w:val="both"/>
        <w:rPr>
          <w:spacing w:val="0"/>
          <w:sz w:val="24"/>
          <w:szCs w:val="24"/>
        </w:rPr>
      </w:pPr>
      <w:r>
        <w:rPr>
          <w:rFonts w:hint="eastAsia"/>
          <w:spacing w:val="0"/>
          <w:sz w:val="24"/>
          <w:szCs w:val="24"/>
        </w:rPr>
        <w:t>（</w:t>
      </w:r>
      <w:r>
        <w:rPr>
          <w:spacing w:val="0"/>
          <w:sz w:val="24"/>
          <w:szCs w:val="24"/>
        </w:rPr>
        <w:t>2）期货（股指期货、国债期货）的清算交收安排</w:t>
      </w:r>
    </w:p>
    <w:p w14:paraId="1056F91B">
      <w:pPr>
        <w:spacing w:line="360" w:lineRule="auto"/>
        <w:ind w:firstLine="480" w:firstLineChars="200"/>
        <w:jc w:val="both"/>
        <w:rPr>
          <w:spacing w:val="0"/>
          <w:sz w:val="24"/>
          <w:szCs w:val="24"/>
        </w:rPr>
      </w:pPr>
      <w:r>
        <w:rPr>
          <w:spacing w:val="0"/>
          <w:sz w:val="24"/>
          <w:szCs w:val="24"/>
        </w:rPr>
        <w:t>本基金投资于期货发生的资金交割清算由基金管理人选定的期货经纪公司负责办理，基金托管人对由于期货交易所期货保证金制度和清算交割的需要而存放在期货经纪公司的资金不行使保管职责和交收职责，基金管理人应在期货经纪协议或其</w:t>
      </w:r>
      <w:r>
        <w:rPr>
          <w:rFonts w:hint="eastAsia"/>
          <w:spacing w:val="0"/>
          <w:sz w:val="24"/>
          <w:szCs w:val="24"/>
          <w:lang w:val="en-US"/>
        </w:rPr>
        <w:t>他</w:t>
      </w:r>
      <w:r>
        <w:rPr>
          <w:spacing w:val="0"/>
          <w:sz w:val="24"/>
          <w:szCs w:val="24"/>
        </w:rPr>
        <w:t>协议中约定由选定的期货经纪公司承担资金安全保管责任和交收责任。</w:t>
      </w:r>
    </w:p>
    <w:p w14:paraId="29270988">
      <w:pPr>
        <w:pStyle w:val="19"/>
        <w:spacing w:line="360" w:lineRule="auto"/>
        <w:ind w:left="0" w:firstLineChars="200"/>
        <w:jc w:val="both"/>
        <w:rPr>
          <w:spacing w:val="0"/>
          <w:sz w:val="24"/>
          <w:szCs w:val="24"/>
        </w:rPr>
      </w:pPr>
      <w:r>
        <w:rPr>
          <w:rFonts w:hint="eastAsia"/>
          <w:spacing w:val="0"/>
          <w:sz w:val="24"/>
          <w:szCs w:val="24"/>
        </w:rPr>
        <w:t>（</w:t>
      </w:r>
      <w:r>
        <w:rPr>
          <w:spacing w:val="0"/>
          <w:sz w:val="24"/>
          <w:szCs w:val="24"/>
        </w:rPr>
        <w:t>3）其</w:t>
      </w:r>
      <w:r>
        <w:rPr>
          <w:rFonts w:hint="eastAsia"/>
          <w:spacing w:val="0"/>
          <w:sz w:val="24"/>
          <w:szCs w:val="24"/>
          <w:lang w:val="en-US"/>
        </w:rPr>
        <w:t>他</w:t>
      </w:r>
      <w:r>
        <w:rPr>
          <w:spacing w:val="0"/>
          <w:sz w:val="24"/>
          <w:szCs w:val="24"/>
        </w:rPr>
        <w:t>场外交易资金结算</w:t>
      </w:r>
    </w:p>
    <w:p w14:paraId="35C81E23">
      <w:pPr>
        <w:spacing w:line="360" w:lineRule="auto"/>
        <w:ind w:firstLine="480" w:firstLineChars="200"/>
        <w:jc w:val="both"/>
        <w:rPr>
          <w:spacing w:val="0"/>
          <w:sz w:val="24"/>
          <w:szCs w:val="24"/>
        </w:rPr>
      </w:pPr>
      <w:r>
        <w:rPr>
          <w:spacing w:val="0"/>
          <w:sz w:val="24"/>
          <w:szCs w:val="24"/>
        </w:rPr>
        <w:t>场外资金对外投资划款由基金托管人凭基金管理人符合本托管协议约定的有效资金划拨指令和相关投资合同（如有）进行资金划拨；场外投资本金及收益的划回，由管理人负责协调相关资金划拨回产品托管户事宜。</w:t>
      </w:r>
    </w:p>
    <w:p w14:paraId="7F9F35B4">
      <w:pPr>
        <w:spacing w:line="360" w:lineRule="auto"/>
        <w:ind w:firstLine="480" w:firstLineChars="200"/>
        <w:jc w:val="both"/>
        <w:rPr>
          <w:spacing w:val="0"/>
          <w:sz w:val="24"/>
          <w:szCs w:val="24"/>
        </w:rPr>
      </w:pPr>
      <w:r>
        <w:rPr>
          <w:spacing w:val="0"/>
          <w:sz w:val="24"/>
          <w:szCs w:val="24"/>
        </w:rPr>
        <w:t>2、交易记录、资金和证券账目核对的时间和方式</w:t>
      </w:r>
    </w:p>
    <w:p w14:paraId="39B04AE3">
      <w:pPr>
        <w:spacing w:line="360" w:lineRule="auto"/>
        <w:ind w:firstLine="480" w:firstLineChars="200"/>
        <w:jc w:val="both"/>
        <w:rPr>
          <w:spacing w:val="0"/>
          <w:sz w:val="24"/>
          <w:szCs w:val="24"/>
        </w:rPr>
      </w:pPr>
      <w:r>
        <w:rPr>
          <w:rFonts w:hint="eastAsia"/>
          <w:spacing w:val="0"/>
          <w:sz w:val="24"/>
          <w:szCs w:val="24"/>
        </w:rPr>
        <w:t>（</w:t>
      </w:r>
      <w:r>
        <w:rPr>
          <w:spacing w:val="0"/>
          <w:sz w:val="24"/>
          <w:szCs w:val="24"/>
        </w:rPr>
        <w:t>1）交易记录的核对</w:t>
      </w:r>
    </w:p>
    <w:p w14:paraId="56836FC1">
      <w:pPr>
        <w:spacing w:line="360" w:lineRule="auto"/>
        <w:ind w:firstLine="480" w:firstLineChars="200"/>
        <w:jc w:val="both"/>
        <w:rPr>
          <w:spacing w:val="0"/>
          <w:sz w:val="24"/>
          <w:szCs w:val="24"/>
        </w:rPr>
      </w:pPr>
      <w:r>
        <w:rPr>
          <w:spacing w:val="0"/>
          <w:sz w:val="24"/>
          <w:szCs w:val="24"/>
        </w:rPr>
        <w:t>基金管理人和基金托管人按日进行交易记录的核对。对外披露净值之前，必须保证当天所有实际交易记录与基金会计账簿上的交易记录完全一致。如果实际交易记录与会计账簿记录不一致，造成基金会计核算不完整或不真实，由此给基金造成的损失由基金管理人承担。</w:t>
      </w:r>
    </w:p>
    <w:p w14:paraId="6DBD4B15">
      <w:pPr>
        <w:spacing w:line="360" w:lineRule="auto"/>
        <w:ind w:firstLine="480" w:firstLineChars="200"/>
        <w:jc w:val="both"/>
        <w:rPr>
          <w:spacing w:val="0"/>
          <w:sz w:val="24"/>
          <w:szCs w:val="24"/>
        </w:rPr>
      </w:pPr>
      <w:r>
        <w:rPr>
          <w:rFonts w:hint="eastAsia"/>
          <w:spacing w:val="0"/>
          <w:sz w:val="24"/>
          <w:szCs w:val="24"/>
        </w:rPr>
        <w:t>（</w:t>
      </w:r>
      <w:r>
        <w:rPr>
          <w:spacing w:val="0"/>
          <w:sz w:val="24"/>
          <w:szCs w:val="24"/>
        </w:rPr>
        <w:t>2）资金账目的核对</w:t>
      </w:r>
    </w:p>
    <w:p w14:paraId="053A3F93">
      <w:pPr>
        <w:spacing w:line="360" w:lineRule="auto"/>
        <w:ind w:firstLine="480" w:firstLineChars="200"/>
        <w:jc w:val="both"/>
        <w:rPr>
          <w:spacing w:val="0"/>
          <w:sz w:val="24"/>
          <w:szCs w:val="24"/>
        </w:rPr>
      </w:pPr>
      <w:r>
        <w:rPr>
          <w:spacing w:val="0"/>
          <w:sz w:val="24"/>
          <w:szCs w:val="24"/>
        </w:rPr>
        <w:t>资金账目由基金管理人与基金托管人按日核实，账实相符。</w:t>
      </w:r>
    </w:p>
    <w:p w14:paraId="29C35B92">
      <w:pPr>
        <w:spacing w:line="360" w:lineRule="auto"/>
        <w:ind w:firstLine="480" w:firstLineChars="200"/>
        <w:jc w:val="both"/>
        <w:rPr>
          <w:spacing w:val="0"/>
          <w:sz w:val="24"/>
          <w:szCs w:val="24"/>
        </w:rPr>
      </w:pPr>
      <w:r>
        <w:rPr>
          <w:rFonts w:hint="eastAsia"/>
          <w:spacing w:val="0"/>
          <w:sz w:val="24"/>
          <w:szCs w:val="24"/>
        </w:rPr>
        <w:t>（</w:t>
      </w:r>
      <w:r>
        <w:rPr>
          <w:spacing w:val="0"/>
          <w:sz w:val="24"/>
          <w:szCs w:val="24"/>
        </w:rPr>
        <w:t>3）证券账目的核对</w:t>
      </w:r>
    </w:p>
    <w:p w14:paraId="5871E31F">
      <w:pPr>
        <w:spacing w:line="360" w:lineRule="auto"/>
        <w:ind w:firstLine="480" w:firstLineChars="200"/>
        <w:jc w:val="both"/>
        <w:rPr>
          <w:spacing w:val="0"/>
          <w:sz w:val="24"/>
          <w:szCs w:val="24"/>
        </w:rPr>
      </w:pPr>
      <w:r>
        <w:rPr>
          <w:rFonts w:hint="eastAsia"/>
          <w:spacing w:val="0"/>
          <w:sz w:val="24"/>
          <w:szCs w:val="24"/>
        </w:rPr>
        <w:t>基金管理人和基金托管人每个交易日结束后核对基金证券账目，确保双方账目相符。</w:t>
      </w:r>
    </w:p>
    <w:p w14:paraId="22C0E90C">
      <w:pPr>
        <w:spacing w:line="360" w:lineRule="auto"/>
        <w:ind w:firstLine="480" w:firstLineChars="200"/>
        <w:jc w:val="both"/>
        <w:rPr>
          <w:spacing w:val="0"/>
          <w:sz w:val="24"/>
          <w:szCs w:val="24"/>
        </w:rPr>
      </w:pPr>
      <w:r>
        <w:rPr>
          <w:rFonts w:hint="eastAsia"/>
          <w:spacing w:val="0"/>
          <w:sz w:val="24"/>
          <w:szCs w:val="24"/>
        </w:rPr>
        <w:t>（</w:t>
      </w:r>
      <w:r>
        <w:rPr>
          <w:spacing w:val="0"/>
          <w:sz w:val="24"/>
          <w:szCs w:val="24"/>
        </w:rPr>
        <w:t>4</w:t>
      </w:r>
      <w:r>
        <w:rPr>
          <w:rFonts w:hint="eastAsia"/>
          <w:spacing w:val="0"/>
          <w:sz w:val="24"/>
          <w:szCs w:val="24"/>
        </w:rPr>
        <w:t>）</w:t>
      </w:r>
      <w:r>
        <w:rPr>
          <w:spacing w:val="0"/>
          <w:sz w:val="24"/>
          <w:szCs w:val="24"/>
        </w:rPr>
        <w:t>实物券账目</w:t>
      </w:r>
    </w:p>
    <w:p w14:paraId="06BB6055">
      <w:pPr>
        <w:spacing w:line="360" w:lineRule="auto"/>
        <w:ind w:firstLine="480" w:firstLineChars="200"/>
        <w:jc w:val="both"/>
        <w:rPr>
          <w:spacing w:val="0"/>
          <w:sz w:val="24"/>
          <w:szCs w:val="24"/>
        </w:rPr>
      </w:pPr>
      <w:r>
        <w:rPr>
          <w:spacing w:val="0"/>
          <w:sz w:val="24"/>
          <w:szCs w:val="24"/>
        </w:rPr>
        <w:t>实物券账目，每月月末相关各方进行账实核对。</w:t>
      </w:r>
    </w:p>
    <w:p w14:paraId="1B352845">
      <w:pPr>
        <w:spacing w:line="360" w:lineRule="auto"/>
        <w:ind w:firstLine="480" w:firstLineChars="200"/>
        <w:jc w:val="both"/>
        <w:rPr>
          <w:spacing w:val="0"/>
          <w:sz w:val="24"/>
          <w:szCs w:val="24"/>
        </w:rPr>
      </w:pPr>
      <w:r>
        <w:rPr>
          <w:spacing w:val="0"/>
          <w:sz w:val="24"/>
          <w:szCs w:val="24"/>
        </w:rPr>
        <w:t>（三）开放式基金申购、赎回和基金转换的资金清算</w:t>
      </w:r>
    </w:p>
    <w:p w14:paraId="15B1D01E">
      <w:pPr>
        <w:spacing w:line="360" w:lineRule="auto"/>
        <w:ind w:firstLine="480" w:firstLineChars="200"/>
        <w:jc w:val="both"/>
        <w:rPr>
          <w:spacing w:val="0"/>
          <w:sz w:val="24"/>
          <w:szCs w:val="24"/>
        </w:rPr>
      </w:pPr>
      <w:r>
        <w:rPr>
          <w:spacing w:val="0"/>
          <w:sz w:val="24"/>
          <w:szCs w:val="24"/>
        </w:rPr>
        <w:t>1、基金份额申购、赎回</w:t>
      </w:r>
      <w:r>
        <w:rPr>
          <w:rFonts w:hint="eastAsia"/>
          <w:spacing w:val="0"/>
          <w:sz w:val="24"/>
          <w:szCs w:val="24"/>
        </w:rPr>
        <w:t>、转换</w:t>
      </w:r>
      <w:r>
        <w:rPr>
          <w:spacing w:val="0"/>
          <w:sz w:val="24"/>
          <w:szCs w:val="24"/>
        </w:rPr>
        <w:t>的确认、清算由基金管理人或其委托的登记机构负责。</w:t>
      </w:r>
    </w:p>
    <w:p w14:paraId="6B6294A2">
      <w:pPr>
        <w:spacing w:line="360" w:lineRule="auto"/>
        <w:ind w:firstLine="480" w:firstLineChars="200"/>
        <w:jc w:val="both"/>
        <w:rPr>
          <w:spacing w:val="0"/>
          <w:sz w:val="24"/>
          <w:szCs w:val="24"/>
        </w:rPr>
      </w:pPr>
      <w:r>
        <w:rPr>
          <w:spacing w:val="0"/>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F971BB2">
      <w:pPr>
        <w:spacing w:line="360" w:lineRule="auto"/>
        <w:ind w:firstLine="480" w:firstLineChars="200"/>
        <w:jc w:val="both"/>
        <w:rPr>
          <w:spacing w:val="0"/>
          <w:sz w:val="24"/>
          <w:szCs w:val="24"/>
        </w:rPr>
      </w:pPr>
      <w:r>
        <w:rPr>
          <w:rFonts w:ascii="Times New Roman" w:hAnsi="Times New Roman"/>
          <w:spacing w:val="0"/>
          <w:sz w:val="24"/>
          <w:szCs w:val="24"/>
        </w:rPr>
        <w:t>3、基金管理人应保证本基金管理人或本基金管理人委托的登记机构每个工作日15:00前向基金托管人发送</w:t>
      </w:r>
      <w:r>
        <w:rPr>
          <w:spacing w:val="0"/>
          <w:sz w:val="24"/>
          <w:szCs w:val="24"/>
        </w:rPr>
        <w:t>前一开放日上述有关数据，并保证相关数据的准确、完整。</w:t>
      </w:r>
    </w:p>
    <w:p w14:paraId="7CB8B20C">
      <w:pPr>
        <w:spacing w:line="360" w:lineRule="auto"/>
        <w:ind w:firstLine="480" w:firstLineChars="200"/>
        <w:jc w:val="both"/>
        <w:rPr>
          <w:spacing w:val="0"/>
          <w:sz w:val="24"/>
          <w:szCs w:val="24"/>
        </w:rPr>
      </w:pPr>
      <w:r>
        <w:rPr>
          <w:spacing w:val="0"/>
          <w:sz w:val="24"/>
          <w:szCs w:val="24"/>
        </w:rPr>
        <w:t>4、</w:t>
      </w:r>
      <w:r>
        <w:rPr>
          <w:rFonts w:hint="eastAsia"/>
          <w:spacing w:val="0"/>
          <w:sz w:val="24"/>
          <w:szCs w:val="24"/>
        </w:rPr>
        <w:t>基金管理人或本基金管理人委托的</w:t>
      </w:r>
      <w:r>
        <w:rPr>
          <w:spacing w:val="0"/>
          <w:sz w:val="24"/>
          <w:szCs w:val="24"/>
        </w:rPr>
        <w:t>登记机构应通过与基金托管人建立的系统发送有关数据(包括电子数据和盖章生效的纸制清算汇总表)，并各自按有关规定保存</w:t>
      </w:r>
      <w:r>
        <w:rPr>
          <w:rFonts w:hint="eastAsia"/>
          <w:spacing w:val="0"/>
          <w:sz w:val="24"/>
          <w:szCs w:val="24"/>
        </w:rPr>
        <w:t>。</w:t>
      </w:r>
      <w:r>
        <w:rPr>
          <w:spacing w:val="0"/>
          <w:sz w:val="24"/>
          <w:szCs w:val="24"/>
        </w:rPr>
        <w:t>如因各种原因，该系统无法正常发送，双方可协商解决处理方式。</w:t>
      </w:r>
    </w:p>
    <w:p w14:paraId="000C4DF5">
      <w:pPr>
        <w:spacing w:line="360" w:lineRule="auto"/>
        <w:ind w:firstLine="480" w:firstLineChars="200"/>
        <w:jc w:val="both"/>
        <w:rPr>
          <w:spacing w:val="0"/>
          <w:sz w:val="24"/>
          <w:szCs w:val="24"/>
        </w:rPr>
      </w:pPr>
      <w:r>
        <w:rPr>
          <w:spacing w:val="0"/>
          <w:sz w:val="24"/>
          <w:szCs w:val="24"/>
        </w:rPr>
        <w:t>5、如基金管理人委托其他机构办理本基金的注册登记业务，应保证上述相关事宜按时进行。否则，由基金管理人承担相应的责任。</w:t>
      </w:r>
    </w:p>
    <w:p w14:paraId="61924493">
      <w:pPr>
        <w:spacing w:line="360" w:lineRule="auto"/>
        <w:ind w:firstLine="480" w:firstLineChars="200"/>
        <w:jc w:val="both"/>
        <w:rPr>
          <w:spacing w:val="0"/>
          <w:sz w:val="24"/>
          <w:szCs w:val="24"/>
        </w:rPr>
      </w:pPr>
      <w:r>
        <w:rPr>
          <w:spacing w:val="0"/>
          <w:sz w:val="24"/>
          <w:szCs w:val="24"/>
        </w:rPr>
        <w:t>6、关于清算专用账户的设立</w:t>
      </w:r>
    </w:p>
    <w:p w14:paraId="5DE33E53">
      <w:pPr>
        <w:spacing w:line="360" w:lineRule="auto"/>
        <w:ind w:firstLine="480" w:firstLineChars="200"/>
        <w:jc w:val="both"/>
        <w:rPr>
          <w:spacing w:val="0"/>
          <w:sz w:val="24"/>
          <w:szCs w:val="24"/>
        </w:rPr>
      </w:pPr>
      <w:r>
        <w:rPr>
          <w:spacing w:val="0"/>
          <w:sz w:val="24"/>
          <w:szCs w:val="24"/>
        </w:rPr>
        <w:t>为满足申购、赎回及分红资金汇划的需要，由基金管理人开立资金清算的专用账户</w:t>
      </w:r>
      <w:r>
        <w:rPr>
          <w:rFonts w:hint="eastAsia"/>
          <w:spacing w:val="0"/>
          <w:sz w:val="24"/>
          <w:szCs w:val="24"/>
        </w:rPr>
        <w:t>（即基金清算账户）</w:t>
      </w:r>
      <w:r>
        <w:rPr>
          <w:spacing w:val="0"/>
          <w:sz w:val="24"/>
          <w:szCs w:val="24"/>
        </w:rPr>
        <w:t>，该账户由登记机构管理。</w:t>
      </w:r>
    </w:p>
    <w:p w14:paraId="2A713AD8">
      <w:pPr>
        <w:spacing w:line="360" w:lineRule="auto"/>
        <w:ind w:firstLine="480" w:firstLineChars="200"/>
        <w:jc w:val="both"/>
        <w:rPr>
          <w:spacing w:val="0"/>
          <w:sz w:val="24"/>
          <w:szCs w:val="24"/>
        </w:rPr>
      </w:pPr>
      <w:r>
        <w:rPr>
          <w:spacing w:val="0"/>
          <w:sz w:val="24"/>
          <w:szCs w:val="24"/>
        </w:rPr>
        <w:t>7、对于基金申购过程中产生的应收款，应由基金管理人负责与有关当事人确定到账日期并通知基金托管人，到账日应收款没有到达基金托管账户的，基金托管人应及时通知基金管理人采取措施进行催收，由此造成基金损失的，基金管理人应负责向有关当事人追偿基金的损失。</w:t>
      </w:r>
    </w:p>
    <w:p w14:paraId="1A60102F">
      <w:pPr>
        <w:spacing w:line="360" w:lineRule="auto"/>
        <w:ind w:firstLine="480" w:firstLineChars="200"/>
        <w:jc w:val="both"/>
        <w:rPr>
          <w:spacing w:val="0"/>
          <w:sz w:val="24"/>
          <w:szCs w:val="24"/>
        </w:rPr>
      </w:pPr>
      <w:r>
        <w:rPr>
          <w:spacing w:val="0"/>
          <w:sz w:val="24"/>
          <w:szCs w:val="24"/>
        </w:rPr>
        <w:t>8、赎回和分红资金划拨规定</w:t>
      </w:r>
    </w:p>
    <w:p w14:paraId="18992BC2">
      <w:pPr>
        <w:spacing w:line="360" w:lineRule="auto"/>
        <w:ind w:firstLine="480" w:firstLineChars="200"/>
        <w:jc w:val="both"/>
        <w:rPr>
          <w:spacing w:val="0"/>
          <w:sz w:val="24"/>
          <w:szCs w:val="24"/>
        </w:rPr>
      </w:pPr>
      <w:r>
        <w:rPr>
          <w:spacing w:val="0"/>
          <w:sz w:val="24"/>
          <w:szCs w:val="24"/>
        </w:rPr>
        <w:t>拨付赎回款或进行基金分红时，如基金托管账户有足够的资金，基金托管人应按时拨付；因基金托管账户没有足够的资金，导致基金托管人不能按时拨付，如系基金管理人的原因造成，责任由基金管理人承担，基金托管人不承担垫款义务。</w:t>
      </w:r>
    </w:p>
    <w:p w14:paraId="561EFEAC">
      <w:pPr>
        <w:spacing w:line="360" w:lineRule="auto"/>
        <w:ind w:firstLine="480" w:firstLineChars="200"/>
        <w:jc w:val="both"/>
        <w:rPr>
          <w:spacing w:val="0"/>
          <w:sz w:val="24"/>
          <w:szCs w:val="24"/>
        </w:rPr>
      </w:pPr>
      <w:r>
        <w:rPr>
          <w:spacing w:val="0"/>
          <w:sz w:val="24"/>
          <w:szCs w:val="24"/>
        </w:rPr>
        <w:t>9、资金指令</w:t>
      </w:r>
    </w:p>
    <w:p w14:paraId="51DAF2B4">
      <w:pPr>
        <w:spacing w:line="360" w:lineRule="auto"/>
        <w:ind w:firstLine="480" w:firstLineChars="200"/>
        <w:jc w:val="both"/>
        <w:rPr>
          <w:spacing w:val="0"/>
          <w:sz w:val="24"/>
          <w:szCs w:val="24"/>
        </w:rPr>
      </w:pPr>
      <w:r>
        <w:rPr>
          <w:spacing w:val="0"/>
          <w:sz w:val="24"/>
          <w:szCs w:val="24"/>
        </w:rPr>
        <w:t>除申购款项到达基金托管账户需双方按约定方式对账外，回购到期付款和与投资有关的付款、赎回和分红资金划拨时，基金管理人需向基金托管人下达指令。</w:t>
      </w:r>
    </w:p>
    <w:p w14:paraId="1CF0315F">
      <w:pPr>
        <w:spacing w:line="360" w:lineRule="auto"/>
        <w:ind w:firstLine="480" w:firstLineChars="200"/>
        <w:jc w:val="both"/>
        <w:rPr>
          <w:spacing w:val="0"/>
          <w:sz w:val="24"/>
          <w:szCs w:val="24"/>
        </w:rPr>
      </w:pPr>
      <w:r>
        <w:rPr>
          <w:spacing w:val="0"/>
          <w:sz w:val="24"/>
          <w:szCs w:val="24"/>
        </w:rPr>
        <w:t>资金指令的格式、内容、发送、接收和确认方式等与投资指令相同。</w:t>
      </w:r>
    </w:p>
    <w:p w14:paraId="1ECBCF8A">
      <w:pPr>
        <w:spacing w:line="360" w:lineRule="auto"/>
        <w:ind w:firstLine="480" w:firstLineChars="200"/>
        <w:jc w:val="both"/>
        <w:rPr>
          <w:spacing w:val="0"/>
          <w:sz w:val="24"/>
          <w:szCs w:val="24"/>
        </w:rPr>
      </w:pPr>
      <w:r>
        <w:rPr>
          <w:spacing w:val="0"/>
          <w:sz w:val="24"/>
          <w:szCs w:val="24"/>
        </w:rPr>
        <w:t>（</w:t>
      </w:r>
      <w:r>
        <w:rPr>
          <w:rFonts w:hint="eastAsia"/>
          <w:spacing w:val="0"/>
          <w:sz w:val="24"/>
          <w:szCs w:val="24"/>
        </w:rPr>
        <w:t>四</w:t>
      </w:r>
      <w:r>
        <w:rPr>
          <w:spacing w:val="0"/>
          <w:sz w:val="24"/>
          <w:szCs w:val="24"/>
        </w:rPr>
        <w:t>）申赎净额结算</w:t>
      </w:r>
    </w:p>
    <w:p w14:paraId="412D3EE0">
      <w:pPr>
        <w:spacing w:line="360" w:lineRule="auto"/>
        <w:ind w:firstLine="480" w:firstLineChars="200"/>
        <w:jc w:val="both"/>
        <w:rPr>
          <w:spacing w:val="0"/>
          <w:sz w:val="24"/>
          <w:szCs w:val="24"/>
        </w:rPr>
      </w:pPr>
      <w:r>
        <w:rPr>
          <w:spacing w:val="0"/>
          <w:sz w:val="24"/>
          <w:szCs w:val="24"/>
        </w:rPr>
        <w:t>基金</w:t>
      </w:r>
      <w:r>
        <w:rPr>
          <w:rFonts w:ascii="Times New Roman" w:hAnsi="Times New Roman"/>
          <w:spacing w:val="0"/>
          <w:sz w:val="24"/>
          <w:szCs w:val="24"/>
        </w:rPr>
        <w:t>托管账户与“基金清算账户”间的资金结算遵循“全额清算、净额交收”的原则，每日按照基金托管账户应收资金与应付资金的差额来确定基金托管账户净应收额或净应付额，以此确定资金交收额。当存在基金托管账户净应收额时，基金管理人应在交收日15:00时之前从基金清算账户划往基金托管账户；当存在基金托管账户净应付额时，基金托管人按照基金管理人的划款指令将基金托管账户净应付额在交收日12：00前划往基金清算账户</w:t>
      </w:r>
      <w:r>
        <w:rPr>
          <w:spacing w:val="0"/>
          <w:sz w:val="24"/>
          <w:szCs w:val="24"/>
        </w:rPr>
        <w:t>。</w:t>
      </w:r>
    </w:p>
    <w:p w14:paraId="1DA7DC26">
      <w:pPr>
        <w:spacing w:line="360" w:lineRule="auto"/>
        <w:ind w:firstLine="480" w:firstLineChars="200"/>
        <w:jc w:val="both"/>
        <w:rPr>
          <w:spacing w:val="0"/>
          <w:sz w:val="24"/>
          <w:szCs w:val="24"/>
        </w:rPr>
      </w:pPr>
      <w:r>
        <w:rPr>
          <w:spacing w:val="0"/>
          <w:sz w:val="24"/>
          <w:szCs w:val="24"/>
        </w:rPr>
        <w:t>如果当日基金为净应付款，基金托管人应根据基金管理人的指令及时进行划付。如果指令接收时，账户余额不足支付，以账户足额时间为指令接收时间。因基金托管账户没有足够的资金，导致基金托管人不能按时拨付，如系基金管理人的原因造成，责任由基金管理人承担，基金托管人不承担垫款义务。</w:t>
      </w:r>
    </w:p>
    <w:p w14:paraId="69565CBC">
      <w:pPr>
        <w:spacing w:line="360" w:lineRule="auto"/>
        <w:ind w:firstLine="480" w:firstLineChars="200"/>
        <w:jc w:val="both"/>
        <w:rPr>
          <w:spacing w:val="0"/>
          <w:sz w:val="24"/>
          <w:szCs w:val="24"/>
        </w:rPr>
      </w:pPr>
      <w:r>
        <w:rPr>
          <w:spacing w:val="0"/>
          <w:sz w:val="24"/>
          <w:szCs w:val="24"/>
        </w:rPr>
        <w:t>（</w:t>
      </w:r>
      <w:r>
        <w:rPr>
          <w:rFonts w:hint="eastAsia"/>
          <w:spacing w:val="0"/>
          <w:sz w:val="24"/>
          <w:szCs w:val="24"/>
        </w:rPr>
        <w:t>五</w:t>
      </w:r>
      <w:r>
        <w:rPr>
          <w:spacing w:val="0"/>
          <w:sz w:val="24"/>
          <w:szCs w:val="24"/>
        </w:rPr>
        <w:t>）投资银行存款的特别约定</w:t>
      </w:r>
    </w:p>
    <w:p w14:paraId="04BDCCCF">
      <w:pPr>
        <w:spacing w:line="360" w:lineRule="auto"/>
        <w:ind w:firstLine="576" w:firstLineChars="240"/>
        <w:jc w:val="both"/>
        <w:rPr>
          <w:spacing w:val="0"/>
          <w:sz w:val="24"/>
          <w:szCs w:val="24"/>
        </w:rPr>
      </w:pPr>
      <w:r>
        <w:rPr>
          <w:spacing w:val="0"/>
          <w:sz w:val="24"/>
          <w:szCs w:val="24"/>
        </w:rPr>
        <w:t>1、本基金投资银行存款前，基金管理人应与存款银行签订具体存款协议，包括但不限于以下内容：</w:t>
      </w:r>
    </w:p>
    <w:p w14:paraId="38746B76">
      <w:pPr>
        <w:pStyle w:val="19"/>
        <w:tabs>
          <w:tab w:val="left" w:pos="993"/>
        </w:tabs>
        <w:spacing w:line="360" w:lineRule="auto"/>
        <w:ind w:left="0" w:firstLineChars="200"/>
        <w:jc w:val="both"/>
        <w:rPr>
          <w:spacing w:val="0"/>
          <w:sz w:val="24"/>
          <w:szCs w:val="24"/>
        </w:rPr>
      </w:pPr>
      <w:r>
        <w:rPr>
          <w:rFonts w:hint="eastAsia"/>
          <w:spacing w:val="0"/>
          <w:sz w:val="24"/>
          <w:szCs w:val="24"/>
        </w:rPr>
        <w:t>（</w:t>
      </w:r>
      <w:r>
        <w:rPr>
          <w:spacing w:val="0"/>
          <w:sz w:val="24"/>
          <w:szCs w:val="24"/>
        </w:rPr>
        <w:t>1）存款账户必须以本基金名义开立,并将基金托管人为本基金开立的基金银行账户指定为唯一回款账户，任何情况下，存款银行都不得将存款投资本息划往任何其他账户。</w:t>
      </w:r>
    </w:p>
    <w:p w14:paraId="5D9AE7E7">
      <w:pPr>
        <w:pStyle w:val="19"/>
        <w:tabs>
          <w:tab w:val="left" w:pos="993"/>
        </w:tabs>
        <w:spacing w:line="360" w:lineRule="auto"/>
        <w:ind w:left="0" w:firstLineChars="200"/>
        <w:jc w:val="both"/>
        <w:rPr>
          <w:spacing w:val="0"/>
          <w:sz w:val="24"/>
          <w:szCs w:val="24"/>
        </w:rPr>
      </w:pPr>
      <w:r>
        <w:rPr>
          <w:rFonts w:hint="eastAsia"/>
          <w:spacing w:val="0"/>
          <w:sz w:val="24"/>
          <w:szCs w:val="24"/>
        </w:rPr>
        <w:t>（</w:t>
      </w:r>
      <w:r>
        <w:rPr>
          <w:spacing w:val="0"/>
          <w:sz w:val="24"/>
          <w:szCs w:val="24"/>
        </w:rPr>
        <w:t>2）存款银行不得接受基金管理人或基金托管人任何一方单方面提出的对存款进行更名、转让、挂失、质押、担保、撤销、变更印鉴及回款账户信息等可能导致财产转移的操作申请。</w:t>
      </w:r>
    </w:p>
    <w:p w14:paraId="5DBA8779">
      <w:pPr>
        <w:pStyle w:val="19"/>
        <w:tabs>
          <w:tab w:val="left" w:pos="993"/>
        </w:tabs>
        <w:spacing w:line="360" w:lineRule="auto"/>
        <w:ind w:left="0" w:firstLineChars="200"/>
        <w:jc w:val="both"/>
        <w:rPr>
          <w:spacing w:val="0"/>
          <w:sz w:val="24"/>
          <w:szCs w:val="24"/>
        </w:rPr>
      </w:pPr>
      <w:r>
        <w:rPr>
          <w:rFonts w:hint="eastAsia"/>
          <w:spacing w:val="0"/>
          <w:sz w:val="24"/>
          <w:szCs w:val="24"/>
        </w:rPr>
        <w:t>（</w:t>
      </w:r>
      <w:r>
        <w:rPr>
          <w:spacing w:val="0"/>
          <w:sz w:val="24"/>
          <w:szCs w:val="24"/>
        </w:rPr>
        <w:t>3）约定存款证实书的具体传递交接方式及交接期限。</w:t>
      </w:r>
    </w:p>
    <w:p w14:paraId="4B5C045B">
      <w:pPr>
        <w:pStyle w:val="19"/>
        <w:tabs>
          <w:tab w:val="left" w:pos="993"/>
        </w:tabs>
        <w:spacing w:line="360" w:lineRule="auto"/>
        <w:ind w:left="0" w:firstLineChars="200"/>
        <w:jc w:val="both"/>
        <w:rPr>
          <w:spacing w:val="0"/>
          <w:sz w:val="24"/>
          <w:szCs w:val="24"/>
        </w:rPr>
      </w:pPr>
      <w:r>
        <w:rPr>
          <w:rFonts w:hint="eastAsia"/>
          <w:spacing w:val="0"/>
          <w:sz w:val="24"/>
          <w:szCs w:val="24"/>
        </w:rPr>
        <w:t>（</w:t>
      </w:r>
      <w:r>
        <w:rPr>
          <w:spacing w:val="0"/>
          <w:sz w:val="24"/>
          <w:szCs w:val="24"/>
        </w:rPr>
        <w:t>4）资金划转过程中需要使用存款银行过渡账户的，存款银行须保证资金在过渡账户中不出现滞留，不被挪用。</w:t>
      </w:r>
    </w:p>
    <w:p w14:paraId="53FA114E">
      <w:pPr>
        <w:spacing w:line="360" w:lineRule="auto"/>
        <w:ind w:firstLine="480" w:firstLineChars="200"/>
        <w:jc w:val="both"/>
        <w:rPr>
          <w:spacing w:val="0"/>
          <w:sz w:val="24"/>
          <w:szCs w:val="24"/>
        </w:rPr>
      </w:pPr>
      <w:r>
        <w:rPr>
          <w:spacing w:val="0"/>
          <w:sz w:val="24"/>
          <w:szCs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r>
        <w:rPr>
          <w:rFonts w:hint="eastAsia"/>
          <w:spacing w:val="0"/>
          <w:sz w:val="24"/>
          <w:szCs w:val="24"/>
        </w:rPr>
        <w:t>。</w:t>
      </w:r>
    </w:p>
    <w:p w14:paraId="3CAC7A96">
      <w:pPr>
        <w:spacing w:line="360" w:lineRule="auto"/>
        <w:ind w:firstLine="480" w:firstLineChars="200"/>
        <w:jc w:val="both"/>
        <w:rPr>
          <w:rFonts w:ascii="Times New Roman" w:hAnsi="Times New Roman"/>
          <w:spacing w:val="0"/>
          <w:sz w:val="24"/>
          <w:szCs w:val="24"/>
        </w:rPr>
      </w:pPr>
      <w:r>
        <w:rPr>
          <w:spacing w:val="0"/>
          <w:sz w:val="24"/>
          <w:szCs w:val="24"/>
        </w:rPr>
        <w:t>3、基金管理人投资银行存款或办理存款支取时，应提前书面通知基金托管人，以便基金托管人有足够的时间履行相应的业务操作程序。</w:t>
      </w:r>
    </w:p>
    <w:p w14:paraId="55B9EEAE">
      <w:pPr>
        <w:pStyle w:val="2"/>
        <w:spacing w:before="100" w:beforeAutospacing="1" w:after="100" w:afterAutospacing="1"/>
        <w:ind w:left="0"/>
        <w:jc w:val="center"/>
        <w:rPr>
          <w:rFonts w:ascii="Times New Roman" w:hAnsi="Times New Roman" w:eastAsia="宋体" w:cs="Times New Roman"/>
          <w:bCs w:val="0"/>
          <w:color w:val="000000" w:themeColor="text1"/>
          <w:kern w:val="2"/>
          <w:lang w:val="en-US" w:bidi="ar-SA"/>
          <w14:textFill>
            <w14:solidFill>
              <w14:schemeClr w14:val="tx1"/>
            </w14:solidFill>
          </w14:textFill>
        </w:rPr>
      </w:pPr>
      <w:bookmarkStart w:id="14" w:name="_Toc14452"/>
      <w:bookmarkStart w:id="15" w:name="_Toc516502493"/>
      <w:r>
        <w:rPr>
          <w:rFonts w:ascii="Times New Roman" w:hAnsi="Times New Roman" w:eastAsia="宋体" w:cs="Times New Roman"/>
          <w:bCs w:val="0"/>
          <w:color w:val="000000" w:themeColor="text1"/>
          <w:kern w:val="2"/>
          <w:lang w:val="en-US" w:bidi="ar-SA"/>
          <w14:textFill>
            <w14:solidFill>
              <w14:schemeClr w14:val="tx1"/>
            </w14:solidFill>
          </w14:textFill>
        </w:rPr>
        <w:t>八、基金资产净值计算和会计核算</w:t>
      </w:r>
      <w:bookmarkEnd w:id="14"/>
      <w:bookmarkEnd w:id="15"/>
    </w:p>
    <w:p w14:paraId="59907979">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（一）基金资产净值的计算及复核程序</w:t>
      </w:r>
    </w:p>
    <w:p w14:paraId="0CCCA39D">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1、基金资产净值</w:t>
      </w:r>
    </w:p>
    <w:p w14:paraId="2199FA4F">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基金资产净值是指基金资产总值减去基金负债后的价值。</w:t>
      </w:r>
    </w:p>
    <w:p w14:paraId="4889DCBE">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各类基金份额净值是按照每个工作日闭市后，该类基金资产净值除以当日该类基金份额的余额数量计算，均精确到0.0001元，小数点后第5位四舍五入，由此产生的收益或损失由基金财产承担。基金管理人可以设立大额赎回情形下的净值精度应急调整机制。法律法规、监管机构、基金合同另有规定的，从其规定。</w:t>
      </w:r>
    </w:p>
    <w:p w14:paraId="4C4D4D96">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基金管理人于每个工作日计算基金资产净值及各类基金份额净值，并按规定公告。</w:t>
      </w:r>
    </w:p>
    <w:p w14:paraId="59AF6FB8">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2、复核程序</w:t>
      </w:r>
    </w:p>
    <w:p w14:paraId="56F12E74">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按规定对外公布。</w:t>
      </w:r>
    </w:p>
    <w:p w14:paraId="253D21D4">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（二）基金资产估值方法和特殊情形的处理</w:t>
      </w:r>
    </w:p>
    <w:p w14:paraId="05E11138">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1、估值对象</w:t>
      </w:r>
    </w:p>
    <w:p w14:paraId="71960FB1">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基金所拥有的目标ETF基金份额、股票、存托凭证、股指期货合约、国债期货合约、股票期权合约、债券和银行存款本息、资产支持证券、应收款项、其他投资等资产及负债。</w:t>
      </w:r>
    </w:p>
    <w:p w14:paraId="6CAECBE3">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2、估值方法</w:t>
      </w:r>
    </w:p>
    <w:p w14:paraId="3AF224F4">
      <w:pPr>
        <w:spacing w:line="360" w:lineRule="auto"/>
        <w:ind w:firstLine="480" w:firstLineChars="200"/>
        <w:jc w:val="both"/>
        <w:rPr>
          <w:rFonts w:ascii="Times New Roman" w:hAnsi="Times New Roman"/>
          <w:sz w:val="24"/>
          <w:szCs w:val="24"/>
        </w:rPr>
      </w:pPr>
      <w:r>
        <w:rPr>
          <w:rFonts w:hint="eastAsia" w:ascii="Times New Roman" w:hAnsi="Times New Roman"/>
          <w:sz w:val="24"/>
          <w:szCs w:val="24"/>
        </w:rPr>
        <w:t>基金管理人与基金托管人应按照《基金合同》约定的估值方法进行估值。</w:t>
      </w:r>
    </w:p>
    <w:p w14:paraId="6CEF4E20">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3、特殊情形的处理</w:t>
      </w:r>
    </w:p>
    <w:p w14:paraId="29BC1C6E">
      <w:pPr>
        <w:adjustRightInd w:val="0"/>
        <w:snapToGrid w:val="0"/>
        <w:spacing w:line="360" w:lineRule="auto"/>
        <w:ind w:firstLine="480" w:firstLineChars="200"/>
        <w:jc w:val="both"/>
        <w:rPr>
          <w:rFonts w:ascii="Times New Roman" w:hAnsi="Times New Roman"/>
          <w:spacing w:val="0"/>
          <w:sz w:val="24"/>
          <w:szCs w:val="24"/>
        </w:rPr>
      </w:pPr>
      <w:r>
        <w:rPr>
          <w:rStyle w:val="30"/>
          <w:rFonts w:hint="eastAsia" w:ascii="Times New Roman" w:hAnsi="Times New Roman"/>
          <w:color w:val="000000"/>
          <w:sz w:val="24"/>
          <w:szCs w:val="24"/>
        </w:rPr>
        <w:t>基金管理人与基金托管人应当按照《基金合同》的约定处理特殊情况。</w:t>
      </w:r>
    </w:p>
    <w:p w14:paraId="5F4C3F91">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（三）基金份额净值错误的处理方式</w:t>
      </w:r>
    </w:p>
    <w:p w14:paraId="0A515061">
      <w:pPr>
        <w:adjustRightInd w:val="0"/>
        <w:snapToGrid w:val="0"/>
        <w:spacing w:line="360" w:lineRule="auto"/>
        <w:ind w:firstLine="480" w:firstLineChars="200"/>
        <w:jc w:val="both"/>
        <w:rPr>
          <w:rFonts w:ascii="Times New Roman" w:hAnsi="Times New Roman"/>
          <w:spacing w:val="0"/>
          <w:sz w:val="24"/>
          <w:szCs w:val="24"/>
        </w:rPr>
      </w:pPr>
      <w:r>
        <w:rPr>
          <w:rFonts w:hint="eastAsia" w:ascii="Times New Roman" w:hAnsi="Times New Roman"/>
          <w:bCs/>
          <w:sz w:val="24"/>
        </w:rPr>
        <w:t>基金管理人与基金托管人应当按照《基金合同》的约定处理估值错误。</w:t>
      </w:r>
    </w:p>
    <w:p w14:paraId="1B932601">
      <w:pPr>
        <w:spacing w:line="360" w:lineRule="auto"/>
        <w:ind w:firstLine="480" w:firstLineChars="200"/>
        <w:jc w:val="both"/>
        <w:rPr>
          <w:rFonts w:ascii="Times New Roman" w:hAnsi="Times New Roman"/>
          <w:sz w:val="24"/>
          <w:szCs w:val="24"/>
        </w:rPr>
      </w:pPr>
      <w:r>
        <w:rPr>
          <w:rFonts w:ascii="Times New Roman" w:hAnsi="Times New Roman"/>
          <w:sz w:val="24"/>
          <w:szCs w:val="24"/>
        </w:rPr>
        <w:t>（四）暂停估值与公告基金份额净值的情形</w:t>
      </w:r>
    </w:p>
    <w:p w14:paraId="4DB3C006">
      <w:pPr>
        <w:spacing w:line="360" w:lineRule="auto"/>
        <w:ind w:firstLine="480" w:firstLineChars="200"/>
        <w:jc w:val="both"/>
        <w:rPr>
          <w:rFonts w:ascii="Times New Roman" w:hAnsi="Times New Roman"/>
          <w:sz w:val="24"/>
          <w:szCs w:val="24"/>
        </w:rPr>
      </w:pPr>
      <w:r>
        <w:rPr>
          <w:rFonts w:hint="eastAsia" w:ascii="Times New Roman" w:hAnsi="Times New Roman"/>
          <w:sz w:val="24"/>
          <w:szCs w:val="24"/>
        </w:rPr>
        <w:t>1、基金投资所涉及的证券、期货交易市场遇法定节假日或因其他原因暂停营业时；</w:t>
      </w:r>
    </w:p>
    <w:p w14:paraId="379B2935">
      <w:pPr>
        <w:spacing w:line="360" w:lineRule="auto"/>
        <w:ind w:firstLine="480" w:firstLineChars="200"/>
        <w:jc w:val="both"/>
        <w:rPr>
          <w:rFonts w:ascii="Times New Roman" w:hAnsi="Times New Roman"/>
          <w:sz w:val="24"/>
          <w:szCs w:val="24"/>
        </w:rPr>
      </w:pPr>
      <w:r>
        <w:rPr>
          <w:rFonts w:hint="eastAsia" w:ascii="Times New Roman" w:hAnsi="Times New Roman"/>
          <w:sz w:val="24"/>
          <w:szCs w:val="24"/>
        </w:rPr>
        <w:t>2、因不可抗力致使基金管理人、基金托管人无法准确评估基金资产价值时；</w:t>
      </w:r>
    </w:p>
    <w:p w14:paraId="3EE0CD48">
      <w:pPr>
        <w:spacing w:line="360" w:lineRule="auto"/>
        <w:ind w:firstLine="480" w:firstLineChars="200"/>
        <w:jc w:val="both"/>
        <w:rPr>
          <w:rFonts w:ascii="Times New Roman" w:hAnsi="Times New Roman"/>
          <w:sz w:val="24"/>
          <w:szCs w:val="24"/>
        </w:rPr>
      </w:pPr>
      <w:r>
        <w:rPr>
          <w:rFonts w:hint="eastAsia" w:ascii="Times New Roman" w:hAnsi="Times New Roman"/>
          <w:sz w:val="24"/>
          <w:szCs w:val="24"/>
        </w:rPr>
        <w:t>3、当特定资产占前一估值日基金资产净值50%以上的，经与基金托管人协商确认后，基金管理人应当暂停估值；</w:t>
      </w:r>
    </w:p>
    <w:p w14:paraId="0CE73B1D">
      <w:pPr>
        <w:spacing w:line="360" w:lineRule="auto"/>
        <w:ind w:firstLine="480" w:firstLineChars="200"/>
        <w:jc w:val="both"/>
        <w:rPr>
          <w:rFonts w:ascii="Times New Roman" w:hAnsi="Times New Roman"/>
          <w:sz w:val="24"/>
          <w:szCs w:val="24"/>
        </w:rPr>
      </w:pPr>
      <w:r>
        <w:rPr>
          <w:rFonts w:hint="eastAsia" w:ascii="Times New Roman" w:hAnsi="Times New Roman"/>
          <w:sz w:val="24"/>
          <w:szCs w:val="24"/>
        </w:rPr>
        <w:t>4、基金所投资的目标ETF发生暂停估值、暂停公告基金份额净值的情形；</w:t>
      </w:r>
    </w:p>
    <w:p w14:paraId="407BE92E">
      <w:pPr>
        <w:spacing w:line="360" w:lineRule="auto"/>
        <w:ind w:firstLine="480" w:firstLineChars="200"/>
        <w:jc w:val="both"/>
        <w:rPr>
          <w:rFonts w:ascii="Times New Roman" w:hAnsi="Times New Roman"/>
          <w:sz w:val="24"/>
          <w:szCs w:val="24"/>
        </w:rPr>
      </w:pPr>
      <w:r>
        <w:rPr>
          <w:rFonts w:hint="eastAsia" w:ascii="Times New Roman" w:hAnsi="Times New Roman"/>
          <w:sz w:val="24"/>
          <w:szCs w:val="24"/>
        </w:rPr>
        <w:t>5、法律法规规定、中国证监会和基金合同认定的其他情形。</w:t>
      </w:r>
    </w:p>
    <w:p w14:paraId="7F0148E0">
      <w:pPr>
        <w:spacing w:line="360" w:lineRule="auto"/>
        <w:ind w:firstLine="480" w:firstLineChars="200"/>
        <w:jc w:val="both"/>
        <w:rPr>
          <w:rFonts w:ascii="Times New Roman" w:hAnsi="Times New Roman"/>
          <w:sz w:val="24"/>
          <w:szCs w:val="24"/>
        </w:rPr>
      </w:pPr>
      <w:r>
        <w:rPr>
          <w:rFonts w:hint="eastAsia" w:ascii="Times New Roman" w:hAnsi="Times New Roman"/>
          <w:sz w:val="24"/>
          <w:szCs w:val="24"/>
        </w:rPr>
        <w:t>（五）实施侧袋机制期间的基金资产估值</w:t>
      </w:r>
    </w:p>
    <w:p w14:paraId="5C2B09BD">
      <w:pPr>
        <w:adjustRightInd w:val="0"/>
        <w:snapToGrid w:val="0"/>
        <w:spacing w:line="360" w:lineRule="auto"/>
        <w:ind w:firstLine="480" w:firstLineChars="200"/>
        <w:jc w:val="both"/>
        <w:rPr>
          <w:rFonts w:ascii="Times New Roman" w:hAnsi="Times New Roman"/>
          <w:spacing w:val="0"/>
          <w:sz w:val="24"/>
          <w:szCs w:val="24"/>
        </w:rPr>
      </w:pPr>
      <w:r>
        <w:rPr>
          <w:rFonts w:hint="eastAsia" w:ascii="Times New Roman" w:hAnsi="Times New Roman"/>
          <w:color w:val="000000"/>
          <w:sz w:val="24"/>
          <w:szCs w:val="24"/>
        </w:rPr>
        <w:t>本基金实施侧袋机制的，应根据《基金合同》的约定对主袋账户资产进行估值并披露主袋账户的基金净值信息，暂停披露侧袋账户份额净值。</w:t>
      </w:r>
    </w:p>
    <w:p w14:paraId="2A918683">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（六）基金会计制度</w:t>
      </w:r>
    </w:p>
    <w:p w14:paraId="26B64D16">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按国家有关部门规定的会计制度执行。</w:t>
      </w:r>
    </w:p>
    <w:p w14:paraId="7C8CA448">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（七）基金账册的建立</w:t>
      </w:r>
    </w:p>
    <w:p w14:paraId="0AAA5E15">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14:paraId="5CCD9DD4">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（八）基金财务报表与报告的编制和复核</w:t>
      </w:r>
    </w:p>
    <w:p w14:paraId="3161745A">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1、财务报表的编制</w:t>
      </w:r>
    </w:p>
    <w:p w14:paraId="502FA654">
      <w:pPr>
        <w:spacing w:line="360" w:lineRule="auto"/>
        <w:ind w:firstLine="480" w:firstLineChars="200"/>
        <w:jc w:val="both"/>
        <w:rPr>
          <w:rFonts w:ascii="Times New Roman" w:hAnsi="Times New Roman"/>
          <w:spacing w:val="0"/>
          <w:sz w:val="24"/>
          <w:szCs w:val="24"/>
        </w:rPr>
      </w:pPr>
      <w:r>
        <w:rPr>
          <w:rFonts w:hint="eastAsia" w:ascii="Times New Roman" w:hAnsi="Times New Roman"/>
          <w:color w:val="000000"/>
          <w:sz w:val="24"/>
          <w:szCs w:val="24"/>
        </w:rPr>
        <w:t>基金管理人应当及时编制并对外提供真实、完整的基金财务会计报告。</w:t>
      </w:r>
      <w:r>
        <w:rPr>
          <w:rFonts w:ascii="Times New Roman" w:hAnsi="Times New Roman"/>
          <w:color w:val="000000"/>
          <w:sz w:val="24"/>
          <w:szCs w:val="24"/>
        </w:rPr>
        <w:t>月度报表的编制，基金管理人应于每月终了后5</w:t>
      </w:r>
      <w:r>
        <w:rPr>
          <w:rFonts w:hint="eastAsia" w:ascii="Times New Roman" w:hAnsi="Times New Roman"/>
          <w:color w:val="000000"/>
          <w:sz w:val="24"/>
          <w:szCs w:val="24"/>
        </w:rPr>
        <w:t>个工作</w:t>
      </w:r>
      <w:r>
        <w:rPr>
          <w:rFonts w:ascii="Times New Roman" w:hAnsi="Times New Roman"/>
          <w:color w:val="000000"/>
          <w:sz w:val="24"/>
          <w:szCs w:val="24"/>
        </w:rPr>
        <w:t>日内完成。季度报告应在</w:t>
      </w:r>
      <w:r>
        <w:rPr>
          <w:rFonts w:hint="eastAsia" w:ascii="Times New Roman" w:hAnsi="Times New Roman"/>
          <w:color w:val="000000"/>
          <w:sz w:val="24"/>
          <w:szCs w:val="24"/>
        </w:rPr>
        <w:t>季度</w:t>
      </w:r>
      <w:r>
        <w:rPr>
          <w:rFonts w:ascii="Times New Roman" w:hAnsi="Times New Roman"/>
          <w:color w:val="000000"/>
          <w:sz w:val="24"/>
          <w:szCs w:val="24"/>
        </w:rPr>
        <w:t>结束之日起15个工作日内</w:t>
      </w:r>
      <w:r>
        <w:rPr>
          <w:rFonts w:hint="eastAsia" w:ascii="Times New Roman" w:hAnsi="Times New Roman"/>
          <w:color w:val="000000"/>
          <w:sz w:val="24"/>
          <w:szCs w:val="24"/>
        </w:rPr>
        <w:t>编制完毕并</w:t>
      </w:r>
      <w:r>
        <w:rPr>
          <w:rFonts w:ascii="Times New Roman" w:hAnsi="Times New Roman"/>
          <w:color w:val="000000"/>
          <w:sz w:val="24"/>
          <w:szCs w:val="24"/>
        </w:rPr>
        <w:t>予以公告；</w:t>
      </w:r>
      <w:r>
        <w:rPr>
          <w:rFonts w:hint="eastAsia" w:ascii="Times New Roman" w:hAnsi="Times New Roman"/>
          <w:color w:val="000000"/>
          <w:sz w:val="24"/>
          <w:szCs w:val="24"/>
        </w:rPr>
        <w:t>中期</w:t>
      </w:r>
      <w:r>
        <w:rPr>
          <w:rFonts w:ascii="Times New Roman" w:hAnsi="Times New Roman"/>
          <w:color w:val="000000"/>
          <w:sz w:val="24"/>
          <w:szCs w:val="24"/>
        </w:rPr>
        <w:t>报告在</w:t>
      </w:r>
      <w:r>
        <w:rPr>
          <w:rFonts w:hint="eastAsia" w:ascii="Times New Roman" w:hAnsi="Times New Roman"/>
          <w:color w:val="000000"/>
          <w:sz w:val="24"/>
          <w:szCs w:val="24"/>
        </w:rPr>
        <w:t>上半年结束之日起两个月</w:t>
      </w:r>
      <w:r>
        <w:rPr>
          <w:rFonts w:ascii="Times New Roman" w:hAnsi="Times New Roman"/>
          <w:color w:val="000000"/>
          <w:sz w:val="24"/>
          <w:szCs w:val="24"/>
        </w:rPr>
        <w:t>内</w:t>
      </w:r>
      <w:r>
        <w:rPr>
          <w:rFonts w:hint="eastAsia" w:ascii="Times New Roman" w:hAnsi="Times New Roman"/>
          <w:color w:val="000000"/>
          <w:sz w:val="24"/>
          <w:szCs w:val="24"/>
        </w:rPr>
        <w:t>编制完毕并</w:t>
      </w:r>
      <w:r>
        <w:rPr>
          <w:rFonts w:ascii="Times New Roman" w:hAnsi="Times New Roman"/>
          <w:color w:val="000000"/>
          <w:sz w:val="24"/>
          <w:szCs w:val="24"/>
        </w:rPr>
        <w:t>予以公告；年度报告</w:t>
      </w:r>
      <w:r>
        <w:rPr>
          <w:rFonts w:hint="eastAsia" w:ascii="Times New Roman" w:hAnsi="Times New Roman"/>
          <w:color w:val="000000"/>
          <w:sz w:val="24"/>
          <w:szCs w:val="24"/>
        </w:rPr>
        <w:t>在年度结束之日起三个月内编制完毕并</w:t>
      </w:r>
      <w:r>
        <w:rPr>
          <w:rFonts w:ascii="Times New Roman" w:hAnsi="Times New Roman"/>
          <w:color w:val="000000"/>
          <w:sz w:val="24"/>
          <w:szCs w:val="24"/>
        </w:rPr>
        <w:t>予以公告。</w:t>
      </w:r>
      <w:r>
        <w:rPr>
          <w:rFonts w:hint="eastAsia" w:ascii="Times New Roman" w:hAnsi="Times New Roman"/>
          <w:color w:val="000000"/>
          <w:sz w:val="24"/>
          <w:szCs w:val="24"/>
        </w:rPr>
        <w:t>基金年度报告中的财务会计报告应当经过符合《中华人民共和国证券法》规定的会计师事务所审计。</w:t>
      </w:r>
      <w:r>
        <w:rPr>
          <w:rFonts w:ascii="Times New Roman" w:hAnsi="Times New Roman"/>
          <w:color w:val="000000"/>
          <w:sz w:val="24"/>
          <w:szCs w:val="24"/>
        </w:rPr>
        <w:t>《基金合同》生效不足</w:t>
      </w:r>
      <w:r>
        <w:rPr>
          <w:rFonts w:hint="eastAsia" w:ascii="Times New Roman" w:hAnsi="Times New Roman"/>
          <w:color w:val="000000"/>
          <w:sz w:val="24"/>
          <w:szCs w:val="24"/>
        </w:rPr>
        <w:t>2</w:t>
      </w:r>
      <w:r>
        <w:rPr>
          <w:rFonts w:ascii="Times New Roman" w:hAnsi="Times New Roman"/>
          <w:color w:val="000000"/>
          <w:sz w:val="24"/>
          <w:szCs w:val="24"/>
        </w:rPr>
        <w:t>个月的，基金管理人可以不编制当期季度报告、</w:t>
      </w:r>
      <w:r>
        <w:rPr>
          <w:rFonts w:hint="eastAsia" w:ascii="Times New Roman" w:hAnsi="Times New Roman"/>
          <w:color w:val="000000"/>
          <w:sz w:val="24"/>
          <w:szCs w:val="24"/>
        </w:rPr>
        <w:t>中期</w:t>
      </w:r>
      <w:r>
        <w:rPr>
          <w:rFonts w:ascii="Times New Roman" w:hAnsi="Times New Roman"/>
          <w:color w:val="000000"/>
          <w:sz w:val="24"/>
          <w:szCs w:val="24"/>
        </w:rPr>
        <w:t>报告或者年度报告。</w:t>
      </w:r>
    </w:p>
    <w:p w14:paraId="5ACBD3A3">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2、报表复核</w:t>
      </w:r>
    </w:p>
    <w:p w14:paraId="4462A86D">
      <w:pPr>
        <w:spacing w:line="360" w:lineRule="auto"/>
        <w:ind w:firstLine="480" w:firstLineChars="200"/>
        <w:jc w:val="both"/>
        <w:rPr>
          <w:spacing w:val="0"/>
          <w:sz w:val="24"/>
          <w:szCs w:val="24"/>
        </w:rPr>
      </w:pPr>
      <w:r>
        <w:rPr>
          <w:spacing w:val="0"/>
          <w:sz w:val="24"/>
          <w:szCs w:val="24"/>
        </w:rPr>
        <w:t>基金管理人在</w:t>
      </w:r>
      <w:r>
        <w:rPr>
          <w:rFonts w:hint="eastAsia"/>
          <w:spacing w:val="0"/>
          <w:sz w:val="24"/>
          <w:szCs w:val="24"/>
        </w:rPr>
        <w:t>上述财务</w:t>
      </w:r>
      <w:r>
        <w:rPr>
          <w:spacing w:val="0"/>
          <w:sz w:val="24"/>
          <w:szCs w:val="24"/>
        </w:rPr>
        <w:t>报表完成</w:t>
      </w:r>
      <w:r>
        <w:rPr>
          <w:rFonts w:hint="eastAsia"/>
          <w:spacing w:val="0"/>
          <w:sz w:val="24"/>
          <w:szCs w:val="24"/>
        </w:rPr>
        <w:t>后</w:t>
      </w:r>
      <w:r>
        <w:rPr>
          <w:spacing w:val="0"/>
          <w:sz w:val="24"/>
          <w:szCs w:val="24"/>
        </w:rPr>
        <w:t>，将报表提供给基金托管人复核，基金托管人应在收到后</w:t>
      </w:r>
      <w:r>
        <w:rPr>
          <w:rFonts w:hint="eastAsia"/>
          <w:spacing w:val="0"/>
          <w:sz w:val="24"/>
          <w:szCs w:val="24"/>
        </w:rPr>
        <w:t>进行</w:t>
      </w:r>
      <w:r>
        <w:rPr>
          <w:spacing w:val="0"/>
          <w:sz w:val="24"/>
          <w:szCs w:val="24"/>
        </w:rPr>
        <w:t>复核，并将复核结果书面通知基金管理人。基金管理人和基金托管人之间的上述文件往来均以</w:t>
      </w:r>
      <w:r>
        <w:rPr>
          <w:rFonts w:hint="eastAsia"/>
          <w:spacing w:val="0"/>
          <w:sz w:val="24"/>
          <w:szCs w:val="24"/>
        </w:rPr>
        <w:t>邮件</w:t>
      </w:r>
      <w:r>
        <w:rPr>
          <w:spacing w:val="0"/>
          <w:sz w:val="24"/>
          <w:szCs w:val="24"/>
        </w:rPr>
        <w:t>的方式或双方商定的其他方式进行。</w:t>
      </w:r>
    </w:p>
    <w:p w14:paraId="0C520AD6">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7918DD02">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（九）基金管理人应每季向基金托管人提供基金业绩比较基准的基础数据和编制结果。</w:t>
      </w:r>
    </w:p>
    <w:p w14:paraId="4419C9E4">
      <w:pPr>
        <w:pStyle w:val="2"/>
        <w:spacing w:before="100" w:beforeAutospacing="1" w:after="100" w:afterAutospacing="1"/>
        <w:ind w:left="0"/>
        <w:jc w:val="center"/>
        <w:rPr>
          <w:rFonts w:ascii="Times New Roman" w:hAnsi="Times New Roman" w:eastAsia="宋体" w:cs="Times New Roman"/>
          <w:bCs w:val="0"/>
          <w:color w:val="000000" w:themeColor="text1"/>
          <w:kern w:val="2"/>
          <w:lang w:val="en-US" w:bidi="ar-SA"/>
          <w14:textFill>
            <w14:solidFill>
              <w14:schemeClr w14:val="tx1"/>
            </w14:solidFill>
          </w14:textFill>
        </w:rPr>
      </w:pPr>
      <w:bookmarkStart w:id="16" w:name="_Toc31150"/>
      <w:bookmarkStart w:id="17" w:name="_Toc516502494"/>
      <w:r>
        <w:rPr>
          <w:rFonts w:ascii="Times New Roman" w:hAnsi="Times New Roman" w:eastAsia="宋体" w:cs="Times New Roman"/>
          <w:bCs w:val="0"/>
          <w:color w:val="000000" w:themeColor="text1"/>
          <w:kern w:val="2"/>
          <w:lang w:val="en-US" w:bidi="ar-SA"/>
          <w14:textFill>
            <w14:solidFill>
              <w14:schemeClr w14:val="tx1"/>
            </w14:solidFill>
          </w14:textFill>
        </w:rPr>
        <w:t>九、基金收益分配</w:t>
      </w:r>
      <w:bookmarkEnd w:id="16"/>
      <w:bookmarkEnd w:id="17"/>
    </w:p>
    <w:p w14:paraId="77726C76">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基金收益分配是指按规定将基金的可供分配利润按基金份额进行比例分配。</w:t>
      </w:r>
    </w:p>
    <w:p w14:paraId="22811BFC">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（一）基金收益分配的原则</w:t>
      </w:r>
    </w:p>
    <w:p w14:paraId="5B5151F4">
      <w:pPr>
        <w:spacing w:line="360" w:lineRule="auto"/>
        <w:ind w:firstLine="480" w:firstLineChars="200"/>
        <w:jc w:val="both"/>
        <w:rPr>
          <w:rFonts w:hint="eastAsia" w:ascii="Times New Roman" w:hAnsi="Times New Roman"/>
          <w:spacing w:val="0"/>
          <w:sz w:val="24"/>
          <w:szCs w:val="24"/>
        </w:rPr>
      </w:pPr>
      <w:r>
        <w:rPr>
          <w:rFonts w:hint="eastAsia" w:ascii="Times New Roman" w:hAnsi="Times New Roman"/>
          <w:spacing w:val="0"/>
          <w:sz w:val="24"/>
          <w:szCs w:val="24"/>
        </w:rPr>
        <w:t>1、在符合有关基金分红条件的前提下，基金管理人可对本基金进行收益分配；若基金合同生效不满3个月，本基金可不进行收益分配；</w:t>
      </w:r>
    </w:p>
    <w:p w14:paraId="3AF148F9">
      <w:pPr>
        <w:spacing w:line="360" w:lineRule="auto"/>
        <w:ind w:firstLine="480" w:firstLineChars="200"/>
        <w:jc w:val="both"/>
        <w:rPr>
          <w:rFonts w:hint="eastAsia" w:ascii="Times New Roman" w:hAnsi="Times New Roman"/>
          <w:spacing w:val="0"/>
          <w:sz w:val="24"/>
          <w:szCs w:val="24"/>
        </w:rPr>
      </w:pPr>
      <w:r>
        <w:rPr>
          <w:rFonts w:hint="eastAsia" w:ascii="Times New Roman" w:hAnsi="Times New Roman"/>
          <w:spacing w:val="0"/>
          <w:sz w:val="24"/>
          <w:szCs w:val="24"/>
        </w:rPr>
        <w:t>2、本基金收益分配方式分两种：现金分红与红利再投资，投资者可选择现金红利或将现金红利自动转为相应类别的基金份额进行再投资；若投资者不选择，本基金默认的收益分配方式是现金分红；基金份额持有人可对A类和C类基金份额分别选择不同的分红方式；</w:t>
      </w:r>
    </w:p>
    <w:p w14:paraId="68C1C721">
      <w:pPr>
        <w:spacing w:line="360" w:lineRule="auto"/>
        <w:ind w:firstLine="480" w:firstLineChars="200"/>
        <w:jc w:val="both"/>
        <w:rPr>
          <w:rFonts w:hint="eastAsia" w:ascii="Times New Roman" w:hAnsi="Times New Roman"/>
          <w:spacing w:val="0"/>
          <w:sz w:val="24"/>
          <w:szCs w:val="24"/>
        </w:rPr>
      </w:pPr>
      <w:r>
        <w:rPr>
          <w:rFonts w:hint="eastAsia" w:ascii="Times New Roman" w:hAnsi="Times New Roman"/>
          <w:spacing w:val="0"/>
          <w:sz w:val="24"/>
          <w:szCs w:val="24"/>
        </w:rPr>
        <w:t>3、同一类别的每一基金份额享有同等分配权，由于本基金A类基金份额不收取销售服务费，C类基金份额收取销售服务费，各基金份额类别对应的可供分配利润将有所不同；</w:t>
      </w:r>
    </w:p>
    <w:p w14:paraId="7E66E46B">
      <w:pPr>
        <w:spacing w:line="360" w:lineRule="auto"/>
        <w:ind w:firstLine="480" w:firstLineChars="200"/>
        <w:jc w:val="both"/>
        <w:rPr>
          <w:rFonts w:hint="eastAsia" w:ascii="Times New Roman" w:hAnsi="Times New Roman"/>
          <w:spacing w:val="0"/>
          <w:sz w:val="24"/>
          <w:szCs w:val="24"/>
        </w:rPr>
      </w:pPr>
      <w:r>
        <w:rPr>
          <w:rFonts w:hint="eastAsia" w:ascii="Times New Roman" w:hAnsi="Times New Roman"/>
          <w:spacing w:val="0"/>
          <w:sz w:val="24"/>
          <w:szCs w:val="24"/>
        </w:rPr>
        <w:t>4、法律法规或监管机关另有规定的，从其规定。</w:t>
      </w:r>
    </w:p>
    <w:p w14:paraId="07C92BB0">
      <w:pPr>
        <w:spacing w:line="360" w:lineRule="auto"/>
        <w:ind w:firstLine="480" w:firstLineChars="200"/>
        <w:jc w:val="both"/>
        <w:rPr>
          <w:rFonts w:hint="eastAsia" w:ascii="Times New Roman" w:hAnsi="Times New Roman"/>
          <w:spacing w:val="0"/>
          <w:sz w:val="24"/>
          <w:szCs w:val="24"/>
        </w:rPr>
      </w:pPr>
      <w:r>
        <w:rPr>
          <w:rFonts w:hint="eastAsia" w:ascii="Times New Roman" w:hAnsi="Times New Roman"/>
          <w:spacing w:val="0"/>
          <w:sz w:val="24"/>
          <w:szCs w:val="24"/>
        </w:rPr>
        <w:t>在遵守法律法规和监管部门的规定，且对基金份额持有人利益无实质性不利影响的前提下，基金管理人履行适当程序后可对基金收益分配原则和支付方式进行调整，不需召开基金份额持有人大会，但应于变更实施日前在规定媒介公告。</w:t>
      </w:r>
    </w:p>
    <w:p w14:paraId="1BC1DA98">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本基金每次收益分配比例详见届时基金管理人发布的公告。</w:t>
      </w:r>
    </w:p>
    <w:p w14:paraId="3E71A20A">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（二）基金收益分配方案的确定、复核、公告与实施</w:t>
      </w:r>
    </w:p>
    <w:p w14:paraId="58FBC015">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1、本基金收益分配方案由基金管理人拟定，并由基金托管人复核，依照《信息披露办法》的有关规定在规定媒介公告。</w:t>
      </w:r>
    </w:p>
    <w:p w14:paraId="34302346">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2、在分配方案公布后（依据具体方案的规定），基金管理人就支付的现金红利向基金托管人发送划款指令，基金托管人按照基金管理人的指令及时进行分红资金的划付。</w:t>
      </w:r>
    </w:p>
    <w:p w14:paraId="3B7955BF">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3、法律法规或监管机关另有规定的，从其规定。</w:t>
      </w:r>
    </w:p>
    <w:p w14:paraId="3555D738">
      <w:pPr>
        <w:spacing w:line="360" w:lineRule="auto"/>
        <w:ind w:firstLine="540" w:firstLineChars="225"/>
        <w:jc w:val="both"/>
        <w:rPr>
          <w:rFonts w:ascii="Times New Roman" w:hAnsi="Times New Roman"/>
          <w:bCs/>
          <w:sz w:val="24"/>
        </w:rPr>
      </w:pPr>
      <w:r>
        <w:rPr>
          <w:rFonts w:hint="eastAsia" w:ascii="Times New Roman" w:hAnsi="Times New Roman"/>
          <w:bCs/>
          <w:sz w:val="24"/>
        </w:rPr>
        <w:t>（三）基金收益分配中发生的费用</w:t>
      </w:r>
    </w:p>
    <w:p w14:paraId="3797573A">
      <w:pPr>
        <w:spacing w:line="360" w:lineRule="auto"/>
        <w:ind w:firstLine="540" w:firstLineChars="225"/>
        <w:jc w:val="both"/>
        <w:rPr>
          <w:rFonts w:ascii="Times New Roman" w:hAnsi="Times New Roman"/>
          <w:bCs/>
          <w:sz w:val="24"/>
        </w:rPr>
      </w:pPr>
      <w:r>
        <w:rPr>
          <w:rFonts w:hint="eastAsia" w:ascii="Times New Roman" w:hAnsi="Times New Roman"/>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5DE7893D">
      <w:pPr>
        <w:spacing w:line="360" w:lineRule="auto"/>
        <w:ind w:firstLine="540" w:firstLineChars="225"/>
        <w:jc w:val="both"/>
        <w:rPr>
          <w:rFonts w:ascii="Times New Roman" w:hAnsi="Times New Roman"/>
          <w:bCs/>
          <w:sz w:val="24"/>
        </w:rPr>
      </w:pPr>
      <w:r>
        <w:rPr>
          <w:rFonts w:hint="eastAsia" w:ascii="Times New Roman" w:hAnsi="Times New Roman"/>
          <w:bCs/>
          <w:sz w:val="24"/>
        </w:rPr>
        <w:t>（四）实施侧袋机制期间的收益分配</w:t>
      </w:r>
    </w:p>
    <w:p w14:paraId="278889C1">
      <w:pPr>
        <w:spacing w:line="360" w:lineRule="auto"/>
        <w:ind w:firstLine="540" w:firstLineChars="225"/>
        <w:jc w:val="both"/>
        <w:rPr>
          <w:rFonts w:ascii="Times New Roman" w:hAnsi="Times New Roman"/>
          <w:bCs/>
          <w:sz w:val="24"/>
        </w:rPr>
      </w:pPr>
      <w:r>
        <w:rPr>
          <w:rFonts w:hint="eastAsia" w:ascii="Times New Roman" w:hAnsi="Times New Roman"/>
          <w:bCs/>
          <w:sz w:val="24"/>
        </w:rPr>
        <w:t>本基金实施侧袋机制的，侧袋账户不进行收益分配，详见招募说明书的规定。</w:t>
      </w:r>
    </w:p>
    <w:p w14:paraId="3B23DAC9">
      <w:pPr>
        <w:spacing w:line="360" w:lineRule="auto"/>
        <w:ind w:firstLine="480" w:firstLineChars="200"/>
        <w:jc w:val="both"/>
        <w:rPr>
          <w:rFonts w:ascii="Times New Roman" w:hAnsi="Times New Roman"/>
          <w:spacing w:val="0"/>
          <w:sz w:val="24"/>
          <w:szCs w:val="24"/>
        </w:rPr>
      </w:pPr>
    </w:p>
    <w:p w14:paraId="733E3147">
      <w:pPr>
        <w:pStyle w:val="2"/>
        <w:spacing w:before="100" w:beforeAutospacing="1" w:after="100" w:afterAutospacing="1"/>
        <w:ind w:left="0"/>
        <w:jc w:val="center"/>
        <w:rPr>
          <w:rFonts w:ascii="Times New Roman" w:hAnsi="Times New Roman" w:eastAsia="宋体" w:cs="Times New Roman"/>
          <w:bCs w:val="0"/>
          <w:color w:val="000000" w:themeColor="text1"/>
          <w:kern w:val="2"/>
          <w:lang w:val="en-US" w:bidi="ar-SA"/>
          <w14:textFill>
            <w14:solidFill>
              <w14:schemeClr w14:val="tx1"/>
            </w14:solidFill>
          </w14:textFill>
        </w:rPr>
      </w:pPr>
      <w:bookmarkStart w:id="18" w:name="_Toc4721"/>
      <w:bookmarkStart w:id="19" w:name="_Toc516502495"/>
      <w:r>
        <w:rPr>
          <w:rFonts w:ascii="Times New Roman" w:hAnsi="Times New Roman" w:eastAsia="宋体" w:cs="Times New Roman"/>
          <w:bCs w:val="0"/>
          <w:color w:val="000000" w:themeColor="text1"/>
          <w:kern w:val="2"/>
          <w:lang w:val="en-US" w:bidi="ar-SA"/>
          <w14:textFill>
            <w14:solidFill>
              <w14:schemeClr w14:val="tx1"/>
            </w14:solidFill>
          </w14:textFill>
        </w:rPr>
        <w:t>十、基金信息披露</w:t>
      </w:r>
      <w:bookmarkEnd w:id="18"/>
      <w:bookmarkEnd w:id="19"/>
    </w:p>
    <w:p w14:paraId="52C4BAC6">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（一）保密义务</w:t>
      </w:r>
    </w:p>
    <w:p w14:paraId="6C25048E">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托管人和基金管理人应按法律法规、《基金合同》的有关规定进行信息披露，拟公开披露的信息在公开披露之前应予保密。除按《基金法》、《运作办法》、《信息披露办法》、《流动性风险管理规定》、《基金合同》及其他有关规定进行信息披露外，基金管理人和基金托管人对基金运作中产生的信息以及从对方获得的业务信息应予保密。</w:t>
      </w:r>
    </w:p>
    <w:p w14:paraId="7F7C2FF8">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管理人和基金托管人除了为合法履行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14:paraId="7054302C">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1、非因基金管理人和基金托管人的原因导致保密信息被披露、泄露或公开；</w:t>
      </w:r>
    </w:p>
    <w:p w14:paraId="3F163B60">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2、基金管理人和基金托管人为遵守和服从法院判决或裁定、仲裁裁决或中国证监会等监管机构的命令、决定所做出的信息披露或公开。</w:t>
      </w:r>
    </w:p>
    <w:p w14:paraId="42ED5039">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（二）信息披露的内容</w:t>
      </w:r>
    </w:p>
    <w:p w14:paraId="751C363A">
      <w:pPr>
        <w:spacing w:line="360" w:lineRule="auto"/>
        <w:ind w:firstLine="480" w:firstLineChars="200"/>
        <w:jc w:val="both"/>
        <w:rPr>
          <w:rFonts w:ascii="Times New Roman" w:hAnsi="Times New Roman"/>
          <w:spacing w:val="0"/>
          <w:sz w:val="24"/>
          <w:szCs w:val="24"/>
        </w:rPr>
      </w:pPr>
      <w:r>
        <w:rPr>
          <w:rFonts w:hint="eastAsia" w:ascii="Times New Roman" w:hAnsi="Times New Roman"/>
          <w:color w:val="000000"/>
          <w:sz w:val="24"/>
          <w:szCs w:val="24"/>
        </w:rPr>
        <w:t>基金的信息披露主要包括基金招募说明书、《基金合同》、基金托管协议、基金产品资料概要、基金份额发售公告、基金合同生效公告、基金净值信息、基金份额申购、赎回价格、基金定期报告（包括基金年度报告、基金中期报告和基金季度报告）、临时报告、澄清公告、基金份额持有人大会决议、投资于基金份额的信息、投资于资产支持证券的信息、投资于股指期货和国债期货的信息、投资于股票期权的信息、投资存托凭证的信息、参与融资及转融通证券出借业务的信息、实施侧袋机制期间的信息、清算报告及中国证监会规定的其他信息。基金年度报告中的财务会计报告需经符合《中华人民共和国证券法》规定的会计师事务所审计后，方可披露。</w:t>
      </w:r>
    </w:p>
    <w:p w14:paraId="2C70B1D7">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（三）基金托管人和基金管理人在信息披露中的职责和信息披露程序</w:t>
      </w:r>
    </w:p>
    <w:p w14:paraId="4C8A724F">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1、职责</w:t>
      </w:r>
    </w:p>
    <w:p w14:paraId="32FABD59">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14:paraId="7A70027A">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管理人应当在中国证监会规定的时间内，将应予披露的基金信息通过符合中国证监会规定条件的全国性报刊和《信息披露办法》规定的互联网网站等媒介披露。根据法律法规应由基金托管人公开披露的信息，基金托管人将通过规定报刊和基金托管人的互联网网站公开披露。</w:t>
      </w:r>
    </w:p>
    <w:p w14:paraId="01D25250">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当出现下述情况时，基金管理人和基金托管人可暂停或延迟披露基金信息：</w:t>
      </w:r>
    </w:p>
    <w:p w14:paraId="0236ACF4">
      <w:pPr>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w:t>
      </w:r>
      <w:r>
        <w:rPr>
          <w:rFonts w:hint="eastAsia" w:ascii="Times New Roman" w:hAnsi="Times New Roman"/>
          <w:color w:val="000000"/>
          <w:sz w:val="24"/>
          <w:szCs w:val="24"/>
          <w:lang w:val="en-US"/>
        </w:rPr>
        <w:t>1</w:t>
      </w:r>
      <w:r>
        <w:rPr>
          <w:rFonts w:hint="eastAsia" w:ascii="Times New Roman" w:hAnsi="Times New Roman"/>
          <w:color w:val="000000"/>
          <w:sz w:val="24"/>
          <w:szCs w:val="24"/>
        </w:rPr>
        <w:t>）基金投资所涉及的证券、期货交易市场遇法定节假日或因其他原因暂停交易时；</w:t>
      </w:r>
    </w:p>
    <w:p w14:paraId="0587BD15">
      <w:pPr>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w:t>
      </w:r>
      <w:r>
        <w:rPr>
          <w:rFonts w:hint="eastAsia" w:ascii="Times New Roman" w:hAnsi="Times New Roman"/>
          <w:color w:val="000000"/>
          <w:sz w:val="24"/>
          <w:szCs w:val="24"/>
          <w:lang w:val="en-US"/>
        </w:rPr>
        <w:t>2</w:t>
      </w:r>
      <w:r>
        <w:rPr>
          <w:rFonts w:hint="eastAsia" w:ascii="Times New Roman" w:hAnsi="Times New Roman"/>
          <w:color w:val="000000"/>
          <w:sz w:val="24"/>
          <w:szCs w:val="24"/>
        </w:rPr>
        <w:t>）因不可抗力致使基金管理人、基金托管人无法准确评估基金资产价值或无法进行信息披露时；</w:t>
      </w:r>
    </w:p>
    <w:p w14:paraId="6519B375">
      <w:pPr>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w:t>
      </w:r>
      <w:r>
        <w:rPr>
          <w:rFonts w:hint="eastAsia" w:ascii="Times New Roman" w:hAnsi="Times New Roman"/>
          <w:color w:val="000000"/>
          <w:sz w:val="24"/>
          <w:szCs w:val="24"/>
          <w:lang w:val="en-US"/>
        </w:rPr>
        <w:t>3</w:t>
      </w:r>
      <w:r>
        <w:rPr>
          <w:rFonts w:hint="eastAsia" w:ascii="Times New Roman" w:hAnsi="Times New Roman"/>
          <w:color w:val="000000"/>
          <w:sz w:val="24"/>
          <w:szCs w:val="24"/>
        </w:rPr>
        <w:t>）当特定资产占前一估值日基金资产净值50%以上的，经与基金托管人协商确认后暂停估值的；</w:t>
      </w:r>
    </w:p>
    <w:p w14:paraId="65244D7B">
      <w:pPr>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w:t>
      </w:r>
      <w:r>
        <w:rPr>
          <w:rFonts w:hint="eastAsia" w:ascii="Times New Roman" w:hAnsi="Times New Roman"/>
          <w:color w:val="000000"/>
          <w:sz w:val="24"/>
          <w:szCs w:val="24"/>
          <w:lang w:val="en-US"/>
        </w:rPr>
        <w:t>4</w:t>
      </w:r>
      <w:r>
        <w:rPr>
          <w:rFonts w:hint="eastAsia" w:ascii="Times New Roman" w:hAnsi="Times New Roman"/>
          <w:color w:val="000000"/>
          <w:sz w:val="24"/>
          <w:szCs w:val="24"/>
        </w:rPr>
        <w:t>）基金所投资的目标ETF发生暂停估值、暂停公告基金份额净值的情形；</w:t>
      </w:r>
    </w:p>
    <w:p w14:paraId="795DE89F">
      <w:pPr>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w:t>
      </w:r>
      <w:r>
        <w:rPr>
          <w:rFonts w:hint="eastAsia" w:ascii="Times New Roman" w:hAnsi="Times New Roman"/>
          <w:color w:val="000000"/>
          <w:sz w:val="24"/>
          <w:szCs w:val="24"/>
          <w:lang w:val="en-US"/>
        </w:rPr>
        <w:t>5</w:t>
      </w:r>
      <w:r>
        <w:rPr>
          <w:rFonts w:hint="eastAsia" w:ascii="Times New Roman" w:hAnsi="Times New Roman"/>
          <w:color w:val="000000"/>
          <w:sz w:val="24"/>
          <w:szCs w:val="24"/>
        </w:rPr>
        <w:t>）法律法规、基金合同或中国证监会规定的情况。</w:t>
      </w:r>
    </w:p>
    <w:p w14:paraId="2D8454CD">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2、程序</w:t>
      </w:r>
    </w:p>
    <w:p w14:paraId="164464CE">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按有关规定须经基金托管人复核的信息披露文件，由基金管理人起草、并经基金托管人复核后由基金管理人公告。发生《基金合同》中规定需要披露的事项时，按《基金合同》规定公布。</w:t>
      </w:r>
    </w:p>
    <w:p w14:paraId="4712F995">
      <w:pPr>
        <w:spacing w:line="360" w:lineRule="auto"/>
        <w:ind w:firstLine="480" w:firstLineChars="200"/>
        <w:jc w:val="both"/>
        <w:rPr>
          <w:rFonts w:ascii="Times New Roman" w:hAnsi="Times New Roman"/>
          <w:spacing w:val="0"/>
          <w:sz w:val="24"/>
          <w:szCs w:val="24"/>
        </w:rPr>
      </w:pPr>
      <w:r>
        <w:rPr>
          <w:rFonts w:ascii="Times New Roman" w:hAnsi="Times New Roman"/>
          <w:spacing w:val="0"/>
          <w:sz w:val="24"/>
          <w:szCs w:val="24"/>
        </w:rPr>
        <w:t>3</w:t>
      </w:r>
      <w:r>
        <w:rPr>
          <w:rFonts w:hint="eastAsia" w:ascii="Times New Roman" w:hAnsi="Times New Roman"/>
          <w:spacing w:val="0"/>
          <w:sz w:val="24"/>
          <w:szCs w:val="24"/>
        </w:rPr>
        <w:t>、信息文本的存放</w:t>
      </w:r>
    </w:p>
    <w:p w14:paraId="4176598E">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依法必须披露的信息发布后，基金管理人、基金托管人应当按照相关法律法规规定将信息置备于各自住所，供社会公众查阅、复制。</w:t>
      </w:r>
    </w:p>
    <w:p w14:paraId="260D1D20">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投资者可以免费查阅上述文件。在支付工本费后可在合理时间获得上述文件的复制件或复印件。基金管理人和基金托管人应保证文本的内容与所公告的内容完全一致。</w:t>
      </w:r>
    </w:p>
    <w:p w14:paraId="223D2CF6">
      <w:pPr>
        <w:pStyle w:val="2"/>
        <w:spacing w:before="100" w:beforeAutospacing="1" w:after="100" w:afterAutospacing="1"/>
        <w:ind w:left="0"/>
        <w:jc w:val="center"/>
        <w:rPr>
          <w:rFonts w:ascii="Times New Roman" w:hAnsi="Times New Roman" w:eastAsia="宋体" w:cs="Times New Roman"/>
          <w:bCs w:val="0"/>
          <w:color w:val="000000" w:themeColor="text1"/>
          <w:kern w:val="2"/>
          <w:lang w:val="en-US" w:bidi="ar-SA"/>
          <w14:textFill>
            <w14:solidFill>
              <w14:schemeClr w14:val="tx1"/>
            </w14:solidFill>
          </w14:textFill>
        </w:rPr>
      </w:pPr>
      <w:bookmarkStart w:id="20" w:name="_Toc516502496"/>
      <w:bookmarkStart w:id="21" w:name="_Toc14022"/>
      <w:r>
        <w:rPr>
          <w:rFonts w:ascii="Times New Roman" w:hAnsi="Times New Roman" w:eastAsia="宋体" w:cs="Times New Roman"/>
          <w:bCs w:val="0"/>
          <w:color w:val="000000" w:themeColor="text1"/>
          <w:kern w:val="2"/>
          <w:lang w:val="en-US" w:bidi="ar-SA"/>
          <w14:textFill>
            <w14:solidFill>
              <w14:schemeClr w14:val="tx1"/>
            </w14:solidFill>
          </w14:textFill>
        </w:rPr>
        <w:t>十一、基金费用</w:t>
      </w:r>
      <w:bookmarkEnd w:id="20"/>
      <w:bookmarkEnd w:id="21"/>
    </w:p>
    <w:p w14:paraId="2CE1C5CD">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（一）基金管理人的管理费</w:t>
      </w:r>
    </w:p>
    <w:p w14:paraId="15C7FAE6">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本基金基金财产中投资于目标ETF的部分不收取管理费。本基金的管理费按前一日基金资产净值扣除所持有目标ETF基金份额部分的基金资产净值后的余额（若为负数，则取0）的0.50%的年费率计提。管理费的计算方法如下：</w:t>
      </w:r>
    </w:p>
    <w:p w14:paraId="34EF2364">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H＝E×0.50%÷当年天数</w:t>
      </w:r>
    </w:p>
    <w:p w14:paraId="26A944D5">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H为每日应计提的基金管理费</w:t>
      </w:r>
    </w:p>
    <w:p w14:paraId="3CB363C8">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E为前一日基金资产净值扣除前一日所持有目标ETF基金份额部分的基金资产净值，若为负数，则E取0</w:t>
      </w:r>
    </w:p>
    <w:p w14:paraId="02BC1626">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管理费每日计算，逐日累计至每月月末，按月支付。由基金管理人与基金托管人核对一致后，由基金托管人于次月首日起第3个工作日内从基金财产中一次性支付给基金管理人。若遇法定节假日、休息日或不可抗力致使无法按时支付的，支付日期顺延。</w:t>
      </w:r>
    </w:p>
    <w:p w14:paraId="10E53EC0">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w:t>
      </w:r>
      <w:r>
        <w:rPr>
          <w:rFonts w:hint="eastAsia" w:ascii="Times New Roman" w:hAnsi="Times New Roman"/>
          <w:spacing w:val="0"/>
          <w:sz w:val="24"/>
          <w:szCs w:val="24"/>
          <w:lang w:val="en-US"/>
        </w:rPr>
        <w:t>二</w:t>
      </w:r>
      <w:r>
        <w:rPr>
          <w:rFonts w:hint="eastAsia" w:ascii="Times New Roman" w:hAnsi="Times New Roman"/>
          <w:spacing w:val="0"/>
          <w:sz w:val="24"/>
          <w:szCs w:val="24"/>
        </w:rPr>
        <w:t>）基金托管人的托管费</w:t>
      </w:r>
    </w:p>
    <w:p w14:paraId="0C53C04D">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本基金基金财产中投资于目标ETF的部分不收取托管费。本基金的托管费按前一日基金资产净值扣除所持有目标ETF基金份额部分的基金资产净值后的余额（若为负数，则取0）的0.10%的年费率计提。托管费的计算方法如下：</w:t>
      </w:r>
    </w:p>
    <w:p w14:paraId="01454CF7">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H＝E×0.10%÷当年天数</w:t>
      </w:r>
    </w:p>
    <w:p w14:paraId="381274CB">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H为每日应计提的基金托管费</w:t>
      </w:r>
    </w:p>
    <w:p w14:paraId="524DB63E">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E为前一日基金资产净值扣除前一日所持有目标ETF基金份额部分的基金资产净值，若为负数，则E取0</w:t>
      </w:r>
    </w:p>
    <w:p w14:paraId="0CA828D0">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托管费每日计算，逐日累计至每月月末，按月支付。由基金管理人与基金托管人核对一致后，由基金托管人于次月首日起第3个工作日内从基金财产中一次性支取。若遇法定节假日、休息日或不可抗力致使无法按时支付的，支取日期顺延。</w:t>
      </w:r>
    </w:p>
    <w:p w14:paraId="1195EA10">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w:t>
      </w:r>
      <w:r>
        <w:rPr>
          <w:rFonts w:hint="eastAsia" w:ascii="Times New Roman" w:hAnsi="Times New Roman"/>
          <w:spacing w:val="0"/>
          <w:sz w:val="24"/>
          <w:szCs w:val="24"/>
          <w:lang w:val="en-US"/>
        </w:rPr>
        <w:t>三</w:t>
      </w:r>
      <w:r>
        <w:rPr>
          <w:rFonts w:hint="eastAsia" w:ascii="Times New Roman" w:hAnsi="Times New Roman"/>
          <w:spacing w:val="0"/>
          <w:sz w:val="24"/>
          <w:szCs w:val="24"/>
        </w:rPr>
        <w:t>）C类基金份额的销售服务费</w:t>
      </w:r>
    </w:p>
    <w:p w14:paraId="3AE18E26">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本基金基金份额分为不同的类别，适用不同的销售服务费率。其中，A类基金份额不收取销售服务费。本基金C类基金份额销售服务费按前一日C类基金份额的基金资产净值的0.20%的年费率计提。计算方法如下：</w:t>
      </w:r>
    </w:p>
    <w:p w14:paraId="435C2F09">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H＝E×0.20%÷当年天数</w:t>
      </w:r>
    </w:p>
    <w:p w14:paraId="5161AAD4">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H为C类基金份额每日应计提的销售服务费</w:t>
      </w:r>
    </w:p>
    <w:p w14:paraId="76E64646">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E为C类基金份额前一日的基金资产净值</w:t>
      </w:r>
    </w:p>
    <w:p w14:paraId="337AF84F">
      <w:pPr>
        <w:widowControl/>
        <w:adjustRightInd w:val="0"/>
        <w:snapToGrid w:val="0"/>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C类基金份额销售服务费每日计算，逐日累计至每月月末，按月支付。由基金管理人与基金托管人核对一致后，由基金托管人于次月首日起第3个工作日内从基金财产中一次性划出。若遇法定节假日、休息日或不可抗力致使无法按时支付的，支付日期顺延。</w:t>
      </w:r>
    </w:p>
    <w:p w14:paraId="4EB06C40">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四）银行汇划费用、基金的证券、期货和股票期权等交易、结算费用、基金相关账户的开户和维护费用、基金合同生效后的信息披露费用、基金份额持有人大会费用、基金合同生效后与基金相关的会计师费、律师费、诉讼费和仲裁费等根据有关法律法规、基金合同及相应协议的规定，可以列入当期基金费用。</w:t>
      </w:r>
    </w:p>
    <w:p w14:paraId="5A393E10">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（五）不列入基金费用的项目</w:t>
      </w:r>
    </w:p>
    <w:p w14:paraId="0FC126F5">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募集期间的律师费、会计师费和信息披露费用不得从基金财产中列支。基金管理人与基金托管人因未履行或未完全履行义务导致的费用支出或基金资产的损失，以及处理与基金运作无关的事项发生的费用等不列入基金费用。《基金合同》生效前的相关费用，包括但不限于验资费、会计师和律师费、信息披露费等费用不列入基金费用。</w:t>
      </w:r>
    </w:p>
    <w:p w14:paraId="4EB714B7">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六）本基金运作前产生的且可以从基金财产中列支的相关费用由基金管理人垫付，运作后由基金管理人向基金托管人发送划付指令,经基金托管人复核后于次日起3个工作日内从基金资产中一次性支付给基金管理人。</w:t>
      </w:r>
    </w:p>
    <w:p w14:paraId="481C1A2A">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（七）实施侧袋机制期间的基金费用</w:t>
      </w:r>
    </w:p>
    <w:p w14:paraId="0310C6F6">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本基金实施侧袋机制的，与侧袋账户有关的费用可以从侧袋账户中列支，但应待侧袋账户资产变现后方可列支，有关费用可酌情收取或减免，但不得收取管理费，详见招募说明书的规定。</w:t>
      </w:r>
    </w:p>
    <w:p w14:paraId="662A2496">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（八）违规处理方式</w:t>
      </w:r>
    </w:p>
    <w:p w14:paraId="3A2F6254">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76E46C16">
      <w:pPr>
        <w:pStyle w:val="2"/>
        <w:spacing w:before="100" w:beforeAutospacing="1" w:after="100" w:afterAutospacing="1"/>
        <w:ind w:left="0"/>
        <w:jc w:val="center"/>
        <w:rPr>
          <w:rFonts w:ascii="Times New Roman" w:hAnsi="Times New Roman" w:eastAsia="宋体" w:cs="Times New Roman"/>
          <w:bCs w:val="0"/>
          <w:color w:val="000000" w:themeColor="text1"/>
          <w:kern w:val="2"/>
          <w:lang w:val="en-US" w:bidi="ar-SA"/>
          <w14:textFill>
            <w14:solidFill>
              <w14:schemeClr w14:val="tx1"/>
            </w14:solidFill>
          </w14:textFill>
        </w:rPr>
      </w:pPr>
      <w:bookmarkStart w:id="22" w:name="_Toc12827"/>
      <w:bookmarkStart w:id="23" w:name="_Toc516502497"/>
      <w:r>
        <w:rPr>
          <w:rFonts w:ascii="Times New Roman" w:hAnsi="Times New Roman" w:eastAsia="宋体" w:cs="Times New Roman"/>
          <w:bCs w:val="0"/>
          <w:color w:val="000000" w:themeColor="text1"/>
          <w:kern w:val="2"/>
          <w:lang w:val="en-US" w:bidi="ar-SA"/>
          <w14:textFill>
            <w14:solidFill>
              <w14:schemeClr w14:val="tx1"/>
            </w14:solidFill>
          </w14:textFill>
        </w:rPr>
        <w:t>十二、基金份额持有人名册的登记与保管</w:t>
      </w:r>
      <w:bookmarkEnd w:id="22"/>
      <w:bookmarkEnd w:id="23"/>
    </w:p>
    <w:p w14:paraId="51441D04">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本基金的基金管理人和基金托管人须分别妥善保管的基金份额持有人名册，包括基金合同生效日、基金合同终止日、基金权益登记日、基金份额持有人大会权益登记日、每年6月30日、每年12月31日的基金份额持有人名册。基金份额持有人名册的内容至少应包括持有人的名称和持有的基金份额。</w:t>
      </w:r>
    </w:p>
    <w:p w14:paraId="65926ED2">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7E739E8E">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2B01F05F">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管理人和基金托管人应妥善保管基金份额持有人名册，保存期限不少于法律法规规定的最低期限。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314B7387">
      <w:pPr>
        <w:pStyle w:val="2"/>
        <w:spacing w:before="100" w:beforeAutospacing="1" w:after="100" w:afterAutospacing="1"/>
        <w:ind w:left="0"/>
        <w:jc w:val="center"/>
        <w:rPr>
          <w:rFonts w:ascii="Times New Roman" w:hAnsi="Times New Roman" w:eastAsia="宋体" w:cs="Times New Roman"/>
          <w:bCs w:val="0"/>
          <w:color w:val="000000" w:themeColor="text1"/>
          <w:kern w:val="2"/>
          <w:lang w:val="en-US" w:bidi="ar-SA"/>
          <w14:textFill>
            <w14:solidFill>
              <w14:schemeClr w14:val="tx1"/>
            </w14:solidFill>
          </w14:textFill>
        </w:rPr>
      </w:pPr>
      <w:bookmarkStart w:id="24" w:name="_Toc516502498"/>
      <w:bookmarkStart w:id="25" w:name="_Toc10901"/>
      <w:r>
        <w:rPr>
          <w:rFonts w:ascii="Times New Roman" w:hAnsi="Times New Roman" w:eastAsia="宋体" w:cs="Times New Roman"/>
          <w:bCs w:val="0"/>
          <w:color w:val="000000" w:themeColor="text1"/>
          <w:kern w:val="2"/>
          <w:lang w:val="en-US" w:bidi="ar-SA"/>
          <w14:textFill>
            <w14:solidFill>
              <w14:schemeClr w14:val="tx1"/>
            </w14:solidFill>
          </w14:textFill>
        </w:rPr>
        <w:t>十三、基金有关文件档案的保存</w:t>
      </w:r>
      <w:bookmarkEnd w:id="24"/>
      <w:bookmarkEnd w:id="25"/>
    </w:p>
    <w:p w14:paraId="00B471A7">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（一）档案保存</w:t>
      </w:r>
    </w:p>
    <w:p w14:paraId="6AA7F932">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法律法规规定的最低期限。</w:t>
      </w:r>
    </w:p>
    <w:p w14:paraId="19DFB288">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（二）合同档案的建立</w:t>
      </w:r>
    </w:p>
    <w:p w14:paraId="53089B6A">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基金管理人代表基金签署与基金相关的重大合同文本后，应及时将重大合同扫描件发送给基金托管人，并</w:t>
      </w:r>
      <w:r>
        <w:rPr>
          <w:rFonts w:hint="eastAsia" w:ascii="Times New Roman" w:hAnsi="Times New Roman"/>
          <w:sz w:val="24"/>
          <w:szCs w:val="24"/>
          <w:lang w:val="en-US"/>
        </w:rPr>
        <w:t>按照本合同的约定</w:t>
      </w:r>
      <w:r>
        <w:rPr>
          <w:rFonts w:ascii="Times New Roman" w:hAnsi="Times New Roman"/>
          <w:sz w:val="24"/>
          <w:szCs w:val="24"/>
        </w:rPr>
        <w:t>将</w:t>
      </w:r>
      <w:r>
        <w:rPr>
          <w:rFonts w:hint="eastAsia" w:ascii="Times New Roman" w:hAnsi="Times New Roman"/>
          <w:sz w:val="24"/>
          <w:szCs w:val="24"/>
          <w:lang w:val="en-US"/>
        </w:rPr>
        <w:t>相关</w:t>
      </w:r>
      <w:r>
        <w:rPr>
          <w:rFonts w:hint="eastAsia" w:ascii="Times New Roman" w:hAnsi="Times New Roman"/>
          <w:spacing w:val="0"/>
          <w:sz w:val="24"/>
          <w:szCs w:val="24"/>
        </w:rPr>
        <w:t>合同文本正本送达基金托管人处。</w:t>
      </w:r>
    </w:p>
    <w:p w14:paraId="7A0EBE82">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（三）变更与协助</w:t>
      </w:r>
    </w:p>
    <w:p w14:paraId="15E3F506">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若基金管理人/基金托管人发生变更，未变更的一方有义务协助变更后的接任人接收相应文件。</w:t>
      </w:r>
    </w:p>
    <w:p w14:paraId="3820D315">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（四）基金管理人和基金托管人应按各自职责完整保存原始凭证、记账凭证、基金账册、交易记录和重要合同等，承担保密义务并保存，保存期限不少于法律法规规定的最低期限。</w:t>
      </w:r>
    </w:p>
    <w:p w14:paraId="783891F5">
      <w:pPr>
        <w:pStyle w:val="2"/>
        <w:spacing w:before="100" w:beforeAutospacing="1" w:after="100" w:afterAutospacing="1"/>
        <w:ind w:left="0"/>
        <w:jc w:val="center"/>
        <w:rPr>
          <w:rFonts w:ascii="Times New Roman" w:hAnsi="Times New Roman" w:eastAsia="宋体" w:cs="Times New Roman"/>
          <w:bCs w:val="0"/>
          <w:color w:val="000000" w:themeColor="text1"/>
          <w:kern w:val="2"/>
          <w:lang w:val="en-US" w:bidi="ar-SA"/>
          <w14:textFill>
            <w14:solidFill>
              <w14:schemeClr w14:val="tx1"/>
            </w14:solidFill>
          </w14:textFill>
        </w:rPr>
      </w:pPr>
      <w:bookmarkStart w:id="26" w:name="_Toc516502499"/>
      <w:bookmarkStart w:id="27" w:name="_Toc22377"/>
      <w:r>
        <w:rPr>
          <w:rFonts w:ascii="Times New Roman" w:hAnsi="Times New Roman" w:eastAsia="宋体" w:cs="Times New Roman"/>
          <w:bCs w:val="0"/>
          <w:color w:val="000000" w:themeColor="text1"/>
          <w:kern w:val="2"/>
          <w:lang w:val="en-US" w:bidi="ar-SA"/>
          <w14:textFill>
            <w14:solidFill>
              <w14:schemeClr w14:val="tx1"/>
            </w14:solidFill>
          </w14:textFill>
        </w:rPr>
        <w:t>十四、基金管理人和基金托管人的更换</w:t>
      </w:r>
      <w:bookmarkEnd w:id="26"/>
      <w:bookmarkEnd w:id="27"/>
    </w:p>
    <w:p w14:paraId="46997813">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（一）基金管理人的更换</w:t>
      </w:r>
    </w:p>
    <w:p w14:paraId="3B7E0A82">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1</w:t>
      </w:r>
      <w:r>
        <w:rPr>
          <w:rFonts w:hint="eastAsia" w:ascii="Times New Roman" w:hAnsi="Times New Roman"/>
          <w:color w:val="000000"/>
          <w:sz w:val="24"/>
          <w:szCs w:val="24"/>
          <w:lang w:val="en-US"/>
        </w:rPr>
        <w:t>、</w:t>
      </w:r>
      <w:r>
        <w:rPr>
          <w:rFonts w:hint="eastAsia" w:ascii="Times New Roman" w:hAnsi="Times New Roman"/>
          <w:color w:val="000000"/>
          <w:sz w:val="24"/>
          <w:szCs w:val="24"/>
        </w:rPr>
        <w:t>基金管理人的更换条件</w:t>
      </w:r>
    </w:p>
    <w:p w14:paraId="7536AC4A">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有下列情形之一的，基金管理人职责终止：</w:t>
      </w:r>
    </w:p>
    <w:p w14:paraId="68B3ABE7">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（1）基金管理人被依法取消基金管理资格；</w:t>
      </w:r>
    </w:p>
    <w:p w14:paraId="5E22AE4E">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（2）基金管理人被基金份额持有人大会解任；</w:t>
      </w:r>
    </w:p>
    <w:p w14:paraId="365BD2A3">
      <w:pPr>
        <w:adjustRightInd w:val="0"/>
        <w:snapToGrid w:val="0"/>
        <w:spacing w:line="360" w:lineRule="auto"/>
        <w:ind w:firstLine="480" w:firstLineChars="200"/>
        <w:jc w:val="both"/>
        <w:rPr>
          <w:rFonts w:ascii="Times New Roman" w:hAnsi="Times New Roman"/>
          <w:color w:val="000000"/>
          <w:sz w:val="24"/>
          <w:szCs w:val="24"/>
          <w:lang w:val="en-US"/>
        </w:rPr>
      </w:pPr>
      <w:r>
        <w:rPr>
          <w:rFonts w:hint="eastAsia" w:ascii="Times New Roman" w:hAnsi="Times New Roman"/>
          <w:color w:val="000000"/>
          <w:sz w:val="24"/>
          <w:szCs w:val="24"/>
        </w:rPr>
        <w:t>（3）基金管理人依法解散、被依法撤销或被依法宣告破产；</w:t>
      </w:r>
    </w:p>
    <w:p w14:paraId="327AA7E8">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（4）法律法规及中国证监会规定的和基金合同约定的其他情形。</w:t>
      </w:r>
    </w:p>
    <w:p w14:paraId="61FE6745">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2、基金管理人的更换程序</w:t>
      </w:r>
    </w:p>
    <w:p w14:paraId="31F3C6A0">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更换基金管理人必须依照如下程序进行：</w:t>
      </w:r>
    </w:p>
    <w:p w14:paraId="4585C1A5">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w:t>
      </w:r>
      <w:r>
        <w:rPr>
          <w:rFonts w:hint="eastAsia" w:ascii="Times New Roman" w:hAnsi="Times New Roman"/>
          <w:color w:val="000000"/>
          <w:sz w:val="24"/>
          <w:szCs w:val="24"/>
          <w:lang w:val="en-US"/>
        </w:rPr>
        <w:t>1</w:t>
      </w:r>
      <w:r>
        <w:rPr>
          <w:rFonts w:hint="eastAsia" w:ascii="Times New Roman" w:hAnsi="Times New Roman"/>
          <w:color w:val="000000"/>
          <w:sz w:val="24"/>
          <w:szCs w:val="24"/>
        </w:rPr>
        <w:t>）提名：临时基金管理人应向基金托管人、单独或合计持有10%以上（含10%）基金份额的基金份额持有人征集新任基金管理人提名人选。新任基金管理人提名人选由临时基金管理人、基金托管人、单独或合计持有10%以上（含10%）基金份额的基金份额持有人提名的人选构成；</w:t>
      </w:r>
    </w:p>
    <w:p w14:paraId="62BFFABF">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w:t>
      </w:r>
      <w:r>
        <w:rPr>
          <w:rFonts w:hint="eastAsia" w:ascii="Times New Roman" w:hAnsi="Times New Roman"/>
          <w:color w:val="000000"/>
          <w:sz w:val="24"/>
          <w:szCs w:val="24"/>
          <w:lang w:val="en-US"/>
        </w:rPr>
        <w:t>2</w:t>
      </w:r>
      <w:r>
        <w:rPr>
          <w:rFonts w:hint="eastAsia" w:ascii="Times New Roman" w:hAnsi="Times New Roman"/>
          <w:color w:val="000000"/>
          <w:sz w:val="24"/>
          <w:szCs w:val="24"/>
        </w:rPr>
        <w:t>）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3F5B0B72">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w:t>
      </w:r>
      <w:r>
        <w:rPr>
          <w:rFonts w:hint="eastAsia" w:ascii="Times New Roman" w:hAnsi="Times New Roman"/>
          <w:color w:val="000000"/>
          <w:sz w:val="24"/>
          <w:szCs w:val="24"/>
          <w:lang w:val="en-US"/>
        </w:rPr>
        <w:t>3</w:t>
      </w:r>
      <w:r>
        <w:rPr>
          <w:rFonts w:hint="eastAsia" w:ascii="Times New Roman" w:hAnsi="Times New Roman"/>
          <w:color w:val="000000"/>
          <w:sz w:val="24"/>
          <w:szCs w:val="24"/>
        </w:rPr>
        <w:t>）临时基金管理人：新任基金管理人产生之前，临时基金管理人由基金管理人、基金托管人、单独或合计持有10%以上（含10%）基金份额的基金份额持有人提名，中国证监会根据《基金法》的规定，从提名人选中择优指定临时基金管理人。基金管理人、基金托管人、单独或合计持有10%以上（含10%）基金份额的基金份额持有人均不提名的，由中国证监会指定临时基金管理人；</w:t>
      </w:r>
    </w:p>
    <w:p w14:paraId="7AF3DD8C">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w:t>
      </w:r>
      <w:r>
        <w:rPr>
          <w:rFonts w:hint="eastAsia" w:ascii="Times New Roman" w:hAnsi="Times New Roman"/>
          <w:color w:val="000000"/>
          <w:sz w:val="24"/>
          <w:szCs w:val="24"/>
          <w:lang w:val="en-US"/>
        </w:rPr>
        <w:t>4</w:t>
      </w:r>
      <w:r>
        <w:rPr>
          <w:rFonts w:hint="eastAsia" w:ascii="Times New Roman" w:hAnsi="Times New Roman"/>
          <w:color w:val="000000"/>
          <w:sz w:val="24"/>
          <w:szCs w:val="24"/>
        </w:rPr>
        <w:t>）备案：基金份额持有人大会更换基金管理人的决议须报中国证监会备案；</w:t>
      </w:r>
    </w:p>
    <w:p w14:paraId="4B297776">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w:t>
      </w:r>
      <w:r>
        <w:rPr>
          <w:rFonts w:hint="eastAsia" w:ascii="Times New Roman" w:hAnsi="Times New Roman"/>
          <w:color w:val="000000"/>
          <w:sz w:val="24"/>
          <w:szCs w:val="24"/>
          <w:lang w:val="en-US"/>
        </w:rPr>
        <w:t>5</w:t>
      </w:r>
      <w:r>
        <w:rPr>
          <w:rFonts w:hint="eastAsia" w:ascii="Times New Roman" w:hAnsi="Times New Roman"/>
          <w:color w:val="000000"/>
          <w:sz w:val="24"/>
          <w:szCs w:val="24"/>
        </w:rPr>
        <w:t>）公告：基金管理人更换后，由基金托管人在更换基金管理人的基金份额持有人大会决议生效后2日内在规定媒介公告；</w:t>
      </w:r>
    </w:p>
    <w:p w14:paraId="5827AF6C">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w:t>
      </w:r>
      <w:r>
        <w:rPr>
          <w:rFonts w:hint="eastAsia" w:ascii="Times New Roman" w:hAnsi="Times New Roman"/>
          <w:color w:val="000000"/>
          <w:sz w:val="24"/>
          <w:szCs w:val="24"/>
          <w:lang w:val="en-US"/>
        </w:rPr>
        <w:t>6</w:t>
      </w:r>
      <w:r>
        <w:rPr>
          <w:rFonts w:hint="eastAsia" w:ascii="Times New Roman" w:hAnsi="Times New Roman"/>
          <w:color w:val="000000"/>
          <w:sz w:val="24"/>
          <w:szCs w:val="24"/>
        </w:rPr>
        <w:t>）交接与责任划分：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净值。基金管理人、临时基金管理人、新任基金管理人应对各自履职行为依法承担责任；</w:t>
      </w:r>
    </w:p>
    <w:p w14:paraId="4940B1A5">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w:t>
      </w:r>
      <w:r>
        <w:rPr>
          <w:rFonts w:hint="eastAsia" w:ascii="Times New Roman" w:hAnsi="Times New Roman"/>
          <w:color w:val="000000"/>
          <w:sz w:val="24"/>
          <w:szCs w:val="24"/>
          <w:lang w:val="en-US"/>
        </w:rPr>
        <w:t>7</w:t>
      </w:r>
      <w:r>
        <w:rPr>
          <w:rFonts w:hint="eastAsia" w:ascii="Times New Roman" w:hAnsi="Times New Roman"/>
          <w:color w:val="000000"/>
          <w:sz w:val="24"/>
          <w:szCs w:val="24"/>
        </w:rPr>
        <w:t>）审计：基金管理人职责终止的，应当按照法律法规规定聘请符合《中华人民共和国证券法》规定的会计师事务所对基金财产进行审计，并将审计结果予以公告，同时报中国证监会备案，审计费用从基金财产中列支；</w:t>
      </w:r>
    </w:p>
    <w:p w14:paraId="751691F3">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w:t>
      </w:r>
      <w:r>
        <w:rPr>
          <w:rFonts w:hint="eastAsia" w:ascii="Times New Roman" w:hAnsi="Times New Roman"/>
          <w:color w:val="000000"/>
          <w:sz w:val="24"/>
          <w:szCs w:val="24"/>
          <w:lang w:val="en-US"/>
        </w:rPr>
        <w:t>8</w:t>
      </w:r>
      <w:r>
        <w:rPr>
          <w:rFonts w:hint="eastAsia" w:ascii="Times New Roman" w:hAnsi="Times New Roman"/>
          <w:color w:val="000000"/>
          <w:sz w:val="24"/>
          <w:szCs w:val="24"/>
        </w:rPr>
        <w:t>）基金名称变更：基金管理人更换后，如果原任或新任基金管理人要求，应按其要求替换或删除基金名称中与原任基金管理人有关的名称字样。</w:t>
      </w:r>
    </w:p>
    <w:p w14:paraId="4E90B6AC">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（二）基金托管人的更换</w:t>
      </w:r>
    </w:p>
    <w:p w14:paraId="1D509B67">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1、基金托管人的更换条件</w:t>
      </w:r>
    </w:p>
    <w:p w14:paraId="20614DD0">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有下列情形之一的，基金托管人职责终止：</w:t>
      </w:r>
    </w:p>
    <w:p w14:paraId="7588535D">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（1）基金托管人被依法取消基金托管资格；</w:t>
      </w:r>
    </w:p>
    <w:p w14:paraId="4F973FD9">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 xml:space="preserve">（2）基金托管人被基金份额持有人大会解任； </w:t>
      </w:r>
    </w:p>
    <w:p w14:paraId="4EB588F7">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（3）基金托管人依法解散、被依法撤销或被依法宣</w:t>
      </w:r>
      <w:r>
        <w:rPr>
          <w:rFonts w:ascii="Times New Roman" w:hAnsi="Times New Roman"/>
          <w:color w:val="000000"/>
          <w:sz w:val="24"/>
          <w:szCs w:val="24"/>
        </w:rPr>
        <w:t>告</w:t>
      </w:r>
      <w:r>
        <w:rPr>
          <w:rFonts w:hint="eastAsia" w:ascii="Times New Roman" w:hAnsi="Times New Roman"/>
          <w:color w:val="000000"/>
          <w:sz w:val="24"/>
          <w:szCs w:val="24"/>
        </w:rPr>
        <w:t>破产；</w:t>
      </w:r>
    </w:p>
    <w:p w14:paraId="50ACDB98">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（4）法律法规及中国证监会规定的和基金合同约定的其他情形。</w:t>
      </w:r>
    </w:p>
    <w:p w14:paraId="37C446E3">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2、基金托管人的更换程序</w:t>
      </w:r>
    </w:p>
    <w:p w14:paraId="01F42062">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w:t>
      </w:r>
      <w:r>
        <w:rPr>
          <w:rFonts w:hint="eastAsia" w:ascii="Times New Roman" w:hAnsi="Times New Roman"/>
          <w:color w:val="000000"/>
          <w:sz w:val="24"/>
          <w:szCs w:val="24"/>
          <w:lang w:val="en-US"/>
        </w:rPr>
        <w:t>1</w:t>
      </w:r>
      <w:r>
        <w:rPr>
          <w:rFonts w:hint="eastAsia" w:ascii="Times New Roman" w:hAnsi="Times New Roman"/>
          <w:color w:val="000000"/>
          <w:sz w:val="24"/>
          <w:szCs w:val="24"/>
        </w:rPr>
        <w:t>）提名：新任基金托管人由基金管理人或由单独或合计持有10%以上（含10%）基金份额的基金份额持有人提名；</w:t>
      </w:r>
    </w:p>
    <w:p w14:paraId="1F1F491E">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w:t>
      </w:r>
      <w:r>
        <w:rPr>
          <w:rFonts w:hint="eastAsia" w:ascii="Times New Roman" w:hAnsi="Times New Roman"/>
          <w:color w:val="000000"/>
          <w:sz w:val="24"/>
          <w:szCs w:val="24"/>
          <w:lang w:val="en-US"/>
        </w:rPr>
        <w:t>2</w:t>
      </w:r>
      <w:r>
        <w:rPr>
          <w:rFonts w:hint="eastAsia" w:ascii="Times New Roman" w:hAnsi="Times New Roman"/>
          <w:color w:val="000000"/>
          <w:sz w:val="24"/>
          <w:szCs w:val="24"/>
        </w:rPr>
        <w:t>）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7D139F1C">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w:t>
      </w:r>
      <w:r>
        <w:rPr>
          <w:rFonts w:hint="eastAsia" w:ascii="Times New Roman" w:hAnsi="Times New Roman"/>
          <w:color w:val="000000"/>
          <w:sz w:val="24"/>
          <w:szCs w:val="24"/>
          <w:lang w:val="en-US"/>
        </w:rPr>
        <w:t>3</w:t>
      </w:r>
      <w:r>
        <w:rPr>
          <w:rFonts w:hint="eastAsia" w:ascii="Times New Roman" w:hAnsi="Times New Roman"/>
          <w:color w:val="000000"/>
          <w:sz w:val="24"/>
          <w:szCs w:val="24"/>
        </w:rPr>
        <w:t>）临时基金托管人：新任基金托管人产生之前，由中国证监会指定临时基金托管人；</w:t>
      </w:r>
    </w:p>
    <w:p w14:paraId="08E08733">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w:t>
      </w:r>
      <w:r>
        <w:rPr>
          <w:rFonts w:hint="eastAsia" w:ascii="Times New Roman" w:hAnsi="Times New Roman"/>
          <w:color w:val="000000"/>
          <w:sz w:val="24"/>
          <w:szCs w:val="24"/>
          <w:lang w:val="en-US"/>
        </w:rPr>
        <w:t>4</w:t>
      </w:r>
      <w:r>
        <w:rPr>
          <w:rFonts w:hint="eastAsia" w:ascii="Times New Roman" w:hAnsi="Times New Roman"/>
          <w:color w:val="000000"/>
          <w:sz w:val="24"/>
          <w:szCs w:val="24"/>
        </w:rPr>
        <w:t>）备案：基金份额持有人大会更换基金托管人的决议须报中国证监会备案；</w:t>
      </w:r>
    </w:p>
    <w:p w14:paraId="473940AB">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w:t>
      </w:r>
      <w:r>
        <w:rPr>
          <w:rFonts w:hint="eastAsia" w:ascii="Times New Roman" w:hAnsi="Times New Roman"/>
          <w:color w:val="000000"/>
          <w:sz w:val="24"/>
          <w:szCs w:val="24"/>
          <w:lang w:val="en-US"/>
        </w:rPr>
        <w:t>5</w:t>
      </w:r>
      <w:r>
        <w:rPr>
          <w:rFonts w:hint="eastAsia" w:ascii="Times New Roman" w:hAnsi="Times New Roman"/>
          <w:color w:val="000000"/>
          <w:sz w:val="24"/>
          <w:szCs w:val="24"/>
        </w:rPr>
        <w:t>）公告：基金托管人更换后，由基金管理人在更换基金托管人的基金份额持有人大会决议生效后2日内在规定媒介公告；</w:t>
      </w:r>
    </w:p>
    <w:p w14:paraId="6B354BCE">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w:t>
      </w:r>
      <w:r>
        <w:rPr>
          <w:rFonts w:hint="eastAsia" w:ascii="Times New Roman" w:hAnsi="Times New Roman"/>
          <w:color w:val="000000"/>
          <w:sz w:val="24"/>
          <w:szCs w:val="24"/>
          <w:lang w:val="en-US"/>
        </w:rPr>
        <w:t>6</w:t>
      </w:r>
      <w:r>
        <w:rPr>
          <w:rFonts w:hint="eastAsia" w:ascii="Times New Roman" w:hAnsi="Times New Roman"/>
          <w:color w:val="000000"/>
          <w:sz w:val="24"/>
          <w:szCs w:val="24"/>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净值；</w:t>
      </w:r>
    </w:p>
    <w:p w14:paraId="2F853EFF">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w:t>
      </w:r>
      <w:r>
        <w:rPr>
          <w:rFonts w:hint="eastAsia" w:ascii="Times New Roman" w:hAnsi="Times New Roman"/>
          <w:color w:val="000000"/>
          <w:sz w:val="24"/>
          <w:szCs w:val="24"/>
          <w:lang w:val="en-US"/>
        </w:rPr>
        <w:t>7</w:t>
      </w:r>
      <w:r>
        <w:rPr>
          <w:rFonts w:hint="eastAsia" w:ascii="Times New Roman" w:hAnsi="Times New Roman"/>
          <w:color w:val="000000"/>
          <w:sz w:val="24"/>
          <w:szCs w:val="24"/>
        </w:rPr>
        <w:t>）审计：基金托管人职责终止的，应当按照法律法规规定聘请符合《中华人民共和国证券法》规定的会计师事务所对基金财产进行审计，并将审计结果予以公告，同时报中国证监会备案，审计费用从基金财产中列支。</w:t>
      </w:r>
    </w:p>
    <w:p w14:paraId="392E6F10">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（三）基金管理人与基金托管人同时更换</w:t>
      </w:r>
    </w:p>
    <w:p w14:paraId="24C6B942">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1、提名：如果基金管理人和基金托管人同时更换，由单独或合计持有基金总份额10%以上（含10%）的基金份额持有人提名新的基金管理人和基金托管人；</w:t>
      </w:r>
    </w:p>
    <w:p w14:paraId="30BEECC8">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2、基金管理人和基金托管人的更换分别按上述程序进行；</w:t>
      </w:r>
    </w:p>
    <w:p w14:paraId="468465A3">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3、公告：新任基金管理人和新任基金托管人</w:t>
      </w:r>
      <w:r>
        <w:rPr>
          <w:rFonts w:hint="eastAsia" w:ascii="Times New Roman" w:hAnsi="Times New Roman"/>
          <w:sz w:val="24"/>
          <w:szCs w:val="24"/>
        </w:rPr>
        <w:t>应</w:t>
      </w:r>
      <w:r>
        <w:rPr>
          <w:rFonts w:hint="eastAsia" w:ascii="Times New Roman" w:hAnsi="Times New Roman"/>
          <w:color w:val="000000"/>
          <w:sz w:val="24"/>
          <w:szCs w:val="24"/>
        </w:rPr>
        <w:t>在</w:t>
      </w:r>
      <w:r>
        <w:rPr>
          <w:rFonts w:hint="eastAsia" w:ascii="Times New Roman" w:hAnsi="Times New Roman"/>
          <w:sz w:val="24"/>
          <w:szCs w:val="24"/>
        </w:rPr>
        <w:t>更换基金管理人和基金托管人的基金份额持有人大会决议生效后</w:t>
      </w:r>
      <w:r>
        <w:rPr>
          <w:rFonts w:ascii="Times New Roman" w:hAnsi="Times New Roman"/>
          <w:color w:val="000000"/>
          <w:sz w:val="24"/>
          <w:szCs w:val="24"/>
        </w:rPr>
        <w:t>2日内在规定媒介上联合公告</w:t>
      </w:r>
      <w:r>
        <w:rPr>
          <w:rFonts w:hint="eastAsia" w:ascii="Times New Roman" w:hAnsi="Times New Roman"/>
          <w:color w:val="000000"/>
          <w:sz w:val="24"/>
          <w:szCs w:val="24"/>
        </w:rPr>
        <w:t>。</w:t>
      </w:r>
    </w:p>
    <w:p w14:paraId="0F15C5B6">
      <w:pPr>
        <w:spacing w:line="360" w:lineRule="auto"/>
        <w:ind w:firstLine="480" w:firstLineChars="200"/>
        <w:jc w:val="both"/>
        <w:rPr>
          <w:rFonts w:ascii="Times New Roman" w:hAnsi="Times New Roman"/>
          <w:bCs/>
          <w:sz w:val="24"/>
        </w:rPr>
      </w:pPr>
      <w:r>
        <w:rPr>
          <w:rFonts w:hint="eastAsia" w:ascii="Times New Roman" w:hAnsi="Times New Roman"/>
          <w:bCs/>
          <w:sz w:val="24"/>
        </w:rPr>
        <w:t>（四）新任或临时基金管理人接收基金管理业务或新任或临时基金托管人接收基金财产和基金托管业务前，原任基金管理人或基金托管人应依据法律法规和基金合同的规定继续履行相关职责，并保证不对基金份额持有人的利益造成损害。原任基金管理人或基金托管人在继续履行相关职责期间，仍有权按照基金合同的规定收取基金管理费或基金托管费。</w:t>
      </w:r>
    </w:p>
    <w:p w14:paraId="0DAA82BF">
      <w:pPr>
        <w:spacing w:line="360" w:lineRule="auto"/>
        <w:ind w:firstLine="480" w:firstLineChars="200"/>
        <w:jc w:val="both"/>
        <w:rPr>
          <w:bCs/>
          <w:sz w:val="24"/>
        </w:rPr>
      </w:pPr>
      <w:r>
        <w:rPr>
          <w:rFonts w:hint="eastAsia" w:ascii="Times New Roman" w:hAnsi="Times New Roman"/>
          <w:bCs/>
          <w:sz w:val="24"/>
        </w:rPr>
        <w:t>（五）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0419F42E">
      <w:pPr>
        <w:pStyle w:val="2"/>
        <w:spacing w:before="100" w:beforeAutospacing="1" w:after="100" w:afterAutospacing="1"/>
        <w:ind w:left="0"/>
        <w:jc w:val="center"/>
        <w:rPr>
          <w:rFonts w:ascii="Times New Roman" w:hAnsi="Times New Roman" w:eastAsia="宋体" w:cs="Times New Roman"/>
          <w:bCs w:val="0"/>
          <w:color w:val="000000" w:themeColor="text1"/>
          <w:kern w:val="2"/>
          <w:lang w:val="en-US" w:bidi="ar-SA"/>
          <w14:textFill>
            <w14:solidFill>
              <w14:schemeClr w14:val="tx1"/>
            </w14:solidFill>
          </w14:textFill>
        </w:rPr>
      </w:pPr>
      <w:bookmarkStart w:id="28" w:name="_Toc516502500"/>
      <w:bookmarkStart w:id="29" w:name="_Toc19732"/>
      <w:r>
        <w:rPr>
          <w:rFonts w:ascii="Times New Roman" w:hAnsi="Times New Roman" w:eastAsia="宋体" w:cs="Times New Roman"/>
          <w:bCs w:val="0"/>
          <w:color w:val="000000" w:themeColor="text1"/>
          <w:kern w:val="2"/>
          <w:lang w:val="en-US" w:bidi="ar-SA"/>
          <w14:textFill>
            <w14:solidFill>
              <w14:schemeClr w14:val="tx1"/>
            </w14:solidFill>
          </w14:textFill>
        </w:rPr>
        <w:t>十五、禁止行为</w:t>
      </w:r>
      <w:bookmarkEnd w:id="28"/>
      <w:bookmarkEnd w:id="29"/>
    </w:p>
    <w:p w14:paraId="01966BAE">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托管协议当事人禁止从事的行为，包括但不限于：</w:t>
      </w:r>
    </w:p>
    <w:p w14:paraId="124C73AC">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（一）基金管理人、基金托管人将其固有财产或者他人财产混同于基金财产从事证券投资。</w:t>
      </w:r>
    </w:p>
    <w:p w14:paraId="6AB3BAD3">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（二）基金管理人不公平地对待其管理的不同基金财产。基金托管人不公平地对待其托管的不同基金财产。</w:t>
      </w:r>
    </w:p>
    <w:p w14:paraId="1EFC8A7F">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（三）基金管理人、基金托管人利用基金财产为基金份额持有人以外的第三人牟取利益。</w:t>
      </w:r>
    </w:p>
    <w:p w14:paraId="0BB9318C">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（四）基金管理人、基金托管人向基金份额持有人违规承诺收益或者承担损失。</w:t>
      </w:r>
    </w:p>
    <w:p w14:paraId="4071DCB5">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（五）基金管理人、基金托管人侵占、挪用基金财产。</w:t>
      </w:r>
    </w:p>
    <w:p w14:paraId="110EFA26">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（六）基金管理人、基金托管人对泄露因职务便利获取的未公开信息、利用该信息从事或者明示、暗示他人从事相关的交易活动。</w:t>
      </w:r>
    </w:p>
    <w:p w14:paraId="13693826">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（七）基金管理人、基金托管人玩忽职守，不按照规定履行职责。</w:t>
      </w:r>
    </w:p>
    <w:p w14:paraId="00C5FF5A">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（八）基金管理人在没有充足资金的情况下向基金托管人发出投资指令和付款指令，或违规向基金托管人发出指令。</w:t>
      </w:r>
    </w:p>
    <w:p w14:paraId="34CB1F92">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（九）基金管理人、基金托管人在行政上、财务上不独立,其高级管理人员和其他从业人员相互兼职。</w:t>
      </w:r>
    </w:p>
    <w:p w14:paraId="717DD8CD">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（十）基金托管人私自动用或处分基金资产，根据基金管理人的合法指令、《基金合同》或托管协议的规定进行处分的除外。</w:t>
      </w:r>
    </w:p>
    <w:p w14:paraId="284A7ABF">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（十一）基金财产用于下列投资或者活动：</w:t>
      </w:r>
    </w:p>
    <w:p w14:paraId="0DDE0BE3">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1、承销证券；</w:t>
      </w:r>
    </w:p>
    <w:p w14:paraId="7F86E0FA">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2、违反规定向他人贷款或者提供担保；</w:t>
      </w:r>
    </w:p>
    <w:p w14:paraId="682861E6">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3、从事承担无限责任的投资；</w:t>
      </w:r>
    </w:p>
    <w:p w14:paraId="7D1F5CAB">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4、买卖除目标ETF以外的其他基金份额，但是中国证监会另有规定的除外；</w:t>
      </w:r>
    </w:p>
    <w:p w14:paraId="2EE3FA3D">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5、向其基金管理人、基金托管人出资；</w:t>
      </w:r>
    </w:p>
    <w:p w14:paraId="62ED5E81">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6、从事内幕交易、操纵证券交易价格及其他不正当的证券交易活动；</w:t>
      </w:r>
    </w:p>
    <w:p w14:paraId="165AE671">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7、法律、行政法规和中国证监会及基金合同规定禁止从事的其他活动。</w:t>
      </w:r>
    </w:p>
    <w:p w14:paraId="437584AC">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如法律法规或监管部门取消或调整上述禁止性规定，基金管理人在履行适当程序后，本基金可不受上述规定的限制或按调整后的规定执行。</w:t>
      </w:r>
    </w:p>
    <w:p w14:paraId="7DE13218">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（十二）法律法规和《基金合同》禁止的其他行为，以及依照法律、行政法规有关规定，由中国证监会规定禁止基金管理人、基金托管人从事的其他行为。</w:t>
      </w:r>
    </w:p>
    <w:p w14:paraId="5379D81B">
      <w:pPr>
        <w:pStyle w:val="2"/>
        <w:spacing w:before="100" w:beforeAutospacing="1" w:after="100" w:afterAutospacing="1"/>
        <w:ind w:left="0"/>
        <w:jc w:val="center"/>
        <w:rPr>
          <w:rFonts w:ascii="Times New Roman" w:hAnsi="Times New Roman" w:eastAsia="宋体" w:cs="Times New Roman"/>
          <w:bCs w:val="0"/>
          <w:color w:val="000000" w:themeColor="text1"/>
          <w:kern w:val="2"/>
          <w:lang w:val="en-US" w:bidi="ar-SA"/>
          <w14:textFill>
            <w14:solidFill>
              <w14:schemeClr w14:val="tx1"/>
            </w14:solidFill>
          </w14:textFill>
        </w:rPr>
      </w:pPr>
      <w:bookmarkStart w:id="30" w:name="_Toc516502501"/>
      <w:bookmarkStart w:id="31" w:name="_Toc31437"/>
      <w:r>
        <w:rPr>
          <w:rFonts w:ascii="Times New Roman" w:hAnsi="Times New Roman" w:eastAsia="宋体" w:cs="Times New Roman"/>
          <w:bCs w:val="0"/>
          <w:color w:val="000000" w:themeColor="text1"/>
          <w:kern w:val="2"/>
          <w:lang w:val="en-US" w:bidi="ar-SA"/>
          <w14:textFill>
            <w14:solidFill>
              <w14:schemeClr w14:val="tx1"/>
            </w14:solidFill>
          </w14:textFill>
        </w:rPr>
        <w:t>十六、托管协议的变更、终止与基金财产的清算</w:t>
      </w:r>
      <w:bookmarkEnd w:id="30"/>
      <w:bookmarkEnd w:id="31"/>
    </w:p>
    <w:p w14:paraId="1E469562">
      <w:pPr>
        <w:adjustRightInd w:val="0"/>
        <w:snapToGrid w:val="0"/>
        <w:spacing w:line="360" w:lineRule="auto"/>
        <w:ind w:firstLine="480" w:firstLineChars="200"/>
        <w:jc w:val="both"/>
        <w:rPr>
          <w:rFonts w:ascii="Times New Roman" w:hAnsi="Times New Roman"/>
          <w:color w:val="000000"/>
          <w:sz w:val="24"/>
          <w:szCs w:val="24"/>
        </w:rPr>
      </w:pPr>
      <w:r>
        <w:rPr>
          <w:rFonts w:ascii="Times New Roman" w:hAnsi="Times New Roman"/>
          <w:color w:val="000000"/>
          <w:sz w:val="24"/>
          <w:szCs w:val="24"/>
        </w:rPr>
        <w:t>（一）托管协议的变更程序</w:t>
      </w:r>
    </w:p>
    <w:p w14:paraId="181F1AA7">
      <w:pPr>
        <w:adjustRightInd w:val="0"/>
        <w:snapToGrid w:val="0"/>
        <w:spacing w:line="360" w:lineRule="auto"/>
        <w:ind w:firstLine="480" w:firstLineChars="200"/>
        <w:jc w:val="both"/>
        <w:rPr>
          <w:rFonts w:ascii="Times New Roman" w:hAnsi="Times New Roman"/>
          <w:color w:val="000000"/>
          <w:sz w:val="24"/>
          <w:szCs w:val="24"/>
        </w:rPr>
      </w:pPr>
      <w:r>
        <w:rPr>
          <w:rFonts w:ascii="Times New Roman" w:hAnsi="Times New Roman"/>
          <w:color w:val="000000"/>
          <w:sz w:val="24"/>
          <w:szCs w:val="24"/>
        </w:rPr>
        <w:t>本协议双方当事人经协商一致，可以对协议进行修改。修改后的新协议，其内容不得与基金合同的规定有任何冲突。</w:t>
      </w:r>
    </w:p>
    <w:p w14:paraId="1176733D">
      <w:pPr>
        <w:adjustRightInd w:val="0"/>
        <w:snapToGrid w:val="0"/>
        <w:spacing w:line="360" w:lineRule="auto"/>
        <w:ind w:firstLine="480" w:firstLineChars="200"/>
        <w:jc w:val="both"/>
        <w:rPr>
          <w:rFonts w:ascii="Times New Roman" w:hAnsi="Times New Roman"/>
          <w:color w:val="000000"/>
          <w:sz w:val="24"/>
          <w:szCs w:val="24"/>
        </w:rPr>
      </w:pPr>
      <w:r>
        <w:rPr>
          <w:rFonts w:ascii="Times New Roman" w:hAnsi="Times New Roman"/>
          <w:color w:val="000000"/>
          <w:sz w:val="24"/>
          <w:szCs w:val="24"/>
        </w:rPr>
        <w:t>（二）基金托管协议终止的情形</w:t>
      </w:r>
    </w:p>
    <w:p w14:paraId="4B978708">
      <w:pPr>
        <w:adjustRightInd w:val="0"/>
        <w:snapToGrid w:val="0"/>
        <w:spacing w:line="360" w:lineRule="auto"/>
        <w:ind w:firstLine="480" w:firstLineChars="200"/>
        <w:jc w:val="both"/>
        <w:rPr>
          <w:rFonts w:ascii="Times New Roman" w:hAnsi="Times New Roman"/>
          <w:color w:val="000000"/>
          <w:sz w:val="24"/>
          <w:szCs w:val="24"/>
        </w:rPr>
      </w:pPr>
      <w:r>
        <w:rPr>
          <w:rFonts w:ascii="Times New Roman" w:hAnsi="Times New Roman"/>
          <w:color w:val="000000"/>
          <w:sz w:val="24"/>
          <w:szCs w:val="24"/>
        </w:rPr>
        <w:t>1</w:t>
      </w:r>
      <w:r>
        <w:rPr>
          <w:rFonts w:hint="eastAsia" w:ascii="Times New Roman" w:hAnsi="Times New Roman"/>
          <w:color w:val="000000"/>
          <w:sz w:val="24"/>
          <w:szCs w:val="24"/>
        </w:rPr>
        <w:t>、</w:t>
      </w:r>
      <w:r>
        <w:rPr>
          <w:rFonts w:ascii="Times New Roman" w:hAnsi="Times New Roman"/>
          <w:color w:val="000000"/>
          <w:sz w:val="24"/>
          <w:szCs w:val="24"/>
        </w:rPr>
        <w:t>基金合同终止；</w:t>
      </w:r>
    </w:p>
    <w:p w14:paraId="6D0BB1BD">
      <w:pPr>
        <w:adjustRightInd w:val="0"/>
        <w:snapToGrid w:val="0"/>
        <w:spacing w:line="360" w:lineRule="auto"/>
        <w:ind w:firstLine="480" w:firstLineChars="200"/>
        <w:jc w:val="both"/>
        <w:rPr>
          <w:rFonts w:ascii="Times New Roman" w:hAnsi="Times New Roman"/>
          <w:color w:val="000000"/>
          <w:sz w:val="24"/>
          <w:szCs w:val="24"/>
        </w:rPr>
      </w:pPr>
      <w:r>
        <w:rPr>
          <w:rFonts w:ascii="Times New Roman" w:hAnsi="Times New Roman"/>
          <w:color w:val="000000"/>
          <w:sz w:val="24"/>
          <w:szCs w:val="24"/>
        </w:rPr>
        <w:t>2</w:t>
      </w:r>
      <w:r>
        <w:rPr>
          <w:rFonts w:hint="eastAsia" w:ascii="Times New Roman" w:hAnsi="Times New Roman"/>
          <w:color w:val="000000"/>
          <w:sz w:val="24"/>
          <w:szCs w:val="24"/>
        </w:rPr>
        <w:t>、</w:t>
      </w:r>
      <w:r>
        <w:rPr>
          <w:rFonts w:ascii="Times New Roman" w:hAnsi="Times New Roman"/>
          <w:color w:val="000000"/>
          <w:sz w:val="24"/>
          <w:szCs w:val="24"/>
        </w:rPr>
        <w:t>基金托管人解散、依法被撤销、破产或由其他基金托管人接管基金资产；</w:t>
      </w:r>
    </w:p>
    <w:p w14:paraId="48E05FB0">
      <w:pPr>
        <w:adjustRightInd w:val="0"/>
        <w:snapToGrid w:val="0"/>
        <w:spacing w:line="360" w:lineRule="auto"/>
        <w:ind w:firstLine="480" w:firstLineChars="200"/>
        <w:jc w:val="both"/>
        <w:rPr>
          <w:rFonts w:ascii="Times New Roman" w:hAnsi="Times New Roman"/>
          <w:color w:val="000000"/>
          <w:sz w:val="24"/>
          <w:szCs w:val="24"/>
        </w:rPr>
      </w:pPr>
      <w:r>
        <w:rPr>
          <w:rFonts w:ascii="Times New Roman" w:hAnsi="Times New Roman"/>
          <w:color w:val="000000"/>
          <w:sz w:val="24"/>
          <w:szCs w:val="24"/>
        </w:rPr>
        <w:t>3</w:t>
      </w:r>
      <w:r>
        <w:rPr>
          <w:rFonts w:hint="eastAsia" w:ascii="Times New Roman" w:hAnsi="Times New Roman"/>
          <w:color w:val="000000"/>
          <w:sz w:val="24"/>
          <w:szCs w:val="24"/>
        </w:rPr>
        <w:t>、</w:t>
      </w:r>
      <w:r>
        <w:rPr>
          <w:rFonts w:ascii="Times New Roman" w:hAnsi="Times New Roman"/>
          <w:color w:val="000000"/>
          <w:sz w:val="24"/>
          <w:szCs w:val="24"/>
        </w:rPr>
        <w:t>基金管理人解散、依法被撤销、破产或由其他基金管理人接管基金管理权；</w:t>
      </w:r>
    </w:p>
    <w:p w14:paraId="25FE77A7">
      <w:pPr>
        <w:adjustRightInd w:val="0"/>
        <w:snapToGrid w:val="0"/>
        <w:spacing w:line="360" w:lineRule="auto"/>
        <w:ind w:firstLine="480" w:firstLineChars="200"/>
        <w:jc w:val="both"/>
        <w:rPr>
          <w:rFonts w:ascii="Times New Roman" w:hAnsi="Times New Roman"/>
          <w:color w:val="000000"/>
          <w:sz w:val="24"/>
          <w:szCs w:val="24"/>
        </w:rPr>
      </w:pPr>
      <w:r>
        <w:rPr>
          <w:rFonts w:ascii="Times New Roman" w:hAnsi="Times New Roman"/>
          <w:color w:val="000000"/>
          <w:sz w:val="24"/>
          <w:szCs w:val="24"/>
        </w:rPr>
        <w:t>4</w:t>
      </w:r>
      <w:r>
        <w:rPr>
          <w:rFonts w:hint="eastAsia" w:ascii="Times New Roman" w:hAnsi="Times New Roman"/>
          <w:color w:val="000000"/>
          <w:sz w:val="24"/>
          <w:szCs w:val="24"/>
        </w:rPr>
        <w:t>、</w:t>
      </w:r>
      <w:r>
        <w:rPr>
          <w:rFonts w:ascii="Times New Roman" w:hAnsi="Times New Roman"/>
          <w:color w:val="000000"/>
          <w:sz w:val="24"/>
          <w:szCs w:val="24"/>
        </w:rPr>
        <w:t>发生法律法规</w:t>
      </w:r>
      <w:r>
        <w:rPr>
          <w:rFonts w:hint="eastAsia" w:ascii="Times New Roman" w:hAnsi="Times New Roman"/>
          <w:color w:val="000000"/>
          <w:sz w:val="24"/>
          <w:szCs w:val="24"/>
        </w:rPr>
        <w:t>、中国证监会</w:t>
      </w:r>
      <w:r>
        <w:rPr>
          <w:rFonts w:ascii="Times New Roman" w:hAnsi="Times New Roman"/>
          <w:color w:val="000000"/>
          <w:sz w:val="24"/>
          <w:szCs w:val="24"/>
        </w:rPr>
        <w:t>或基金合同规定的终止事项。</w:t>
      </w:r>
    </w:p>
    <w:p w14:paraId="76BC3D67">
      <w:pPr>
        <w:adjustRightInd w:val="0"/>
        <w:snapToGrid w:val="0"/>
        <w:spacing w:line="360" w:lineRule="auto"/>
        <w:ind w:firstLine="480" w:firstLineChars="200"/>
        <w:jc w:val="both"/>
        <w:rPr>
          <w:rFonts w:ascii="Times New Roman" w:hAnsi="Times New Roman"/>
          <w:color w:val="000000"/>
          <w:sz w:val="24"/>
          <w:szCs w:val="24"/>
        </w:rPr>
      </w:pPr>
      <w:r>
        <w:rPr>
          <w:rFonts w:ascii="Times New Roman" w:hAnsi="Times New Roman"/>
          <w:color w:val="000000"/>
          <w:sz w:val="24"/>
          <w:szCs w:val="24"/>
        </w:rPr>
        <w:t>（三）基金财产的清算</w:t>
      </w:r>
    </w:p>
    <w:p w14:paraId="77978040">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1、基金财产清算小组：自出现基金合同终止事由之日起30个工作日内成立基金财产清算小组，基金管理人或临时基金管理人组织基金财产清算小组并在中国证监会的监督下进行基金清算。</w:t>
      </w:r>
    </w:p>
    <w:p w14:paraId="6430AB62">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2、基金财产清算小组组成：基金财产清算小组成员由基金管理人或临时基金管理人、基金托管人、符合《中华人民共和国证券法》规定的注册会计师、律师以及中国证监会指定的人员组成。基金财产清算小组可以聘用必要的工作人员。</w:t>
      </w:r>
    </w:p>
    <w:p w14:paraId="01FC54A3">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3、基金财产清算小组职责：基金财产清算小组负责基金财产的保管、清理、估价、变现和分配。基金财产清算小组可以依法进行必要的民事活动。</w:t>
      </w:r>
    </w:p>
    <w:p w14:paraId="2A9C20FB">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4、基金财产清算程序：</w:t>
      </w:r>
    </w:p>
    <w:p w14:paraId="5FD17F4B">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（1）基金合同终止情形出现时，由基金财产清算小组统一接管基金；</w:t>
      </w:r>
    </w:p>
    <w:p w14:paraId="7E50809F">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（2）对基金财产和债权债务进行清理和确认；</w:t>
      </w:r>
    </w:p>
    <w:p w14:paraId="12616919">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（3）对基金财产进行估值和变现；</w:t>
      </w:r>
    </w:p>
    <w:p w14:paraId="09D5E222">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（4）制作清算报告；</w:t>
      </w:r>
    </w:p>
    <w:p w14:paraId="77D51EB4">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（5）聘请会计师事务所对清算报告进行外部审计，聘请律师事务所对清算报告出具法律意见书；</w:t>
      </w:r>
    </w:p>
    <w:p w14:paraId="648467B0">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（6）将清算报告报中国证监会备案并公告；</w:t>
      </w:r>
    </w:p>
    <w:p w14:paraId="700475A2">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（7）对基金剩余财产进行分配。</w:t>
      </w:r>
    </w:p>
    <w:p w14:paraId="6ED5081F">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5、基金财产清算的期限为6个月，但因本基金所持证券的流动性受到限制而不能及时变现的，清算期限相应顺延。</w:t>
      </w:r>
    </w:p>
    <w:p w14:paraId="0B0B4526">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6、</w:t>
      </w:r>
      <w:r>
        <w:rPr>
          <w:rFonts w:ascii="Times New Roman" w:hAnsi="Times New Roman"/>
          <w:color w:val="000000"/>
          <w:sz w:val="24"/>
          <w:szCs w:val="24"/>
        </w:rPr>
        <w:t>清算费用</w:t>
      </w:r>
    </w:p>
    <w:p w14:paraId="2906A6F1">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清算费用是指基金财产清算小组在进行基金财产清算过程中发生的所有合理费用，清算费用由基金财产清算小组优先从基金剩余财产中支付。</w:t>
      </w:r>
    </w:p>
    <w:p w14:paraId="58152E35">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7、</w:t>
      </w:r>
      <w:r>
        <w:rPr>
          <w:rFonts w:ascii="Times New Roman" w:hAnsi="Times New Roman"/>
          <w:bCs/>
          <w:sz w:val="24"/>
        </w:rPr>
        <w:t>基金财产清算剩余资产的分配</w:t>
      </w:r>
    </w:p>
    <w:p w14:paraId="1E298B94">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bCs/>
          <w:sz w:val="24"/>
        </w:rPr>
        <w:t>依据基金财产清算的分配方案，将基金财产清算后的全部剩余资产扣除基金财产清算费用、交纳所欠税款并清偿基金债务后，按基金份额持有人持有的基金份额比例进行分配。</w:t>
      </w:r>
    </w:p>
    <w:p w14:paraId="3174603F">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8、</w:t>
      </w:r>
      <w:r>
        <w:rPr>
          <w:rFonts w:ascii="Times New Roman" w:hAnsi="Times New Roman"/>
          <w:color w:val="000000"/>
          <w:sz w:val="24"/>
          <w:szCs w:val="24"/>
        </w:rPr>
        <w:t>基金财产清算的公告</w:t>
      </w:r>
    </w:p>
    <w:p w14:paraId="0A0B71B2">
      <w:pPr>
        <w:adjustRightInd w:val="0"/>
        <w:snapToGrid w:val="0"/>
        <w:spacing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清算过程中的有关重大事项须及时公告；基金财产清算报告经符合《中华人民共和国证券法》规定的会计师事务所审计并由律师事务所出具法律意见书后，由基金财产清算小组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09C4906E">
      <w:pPr>
        <w:adjustRightInd w:val="0"/>
        <w:snapToGrid w:val="0"/>
        <w:spacing w:line="360" w:lineRule="auto"/>
        <w:ind w:firstLine="480" w:firstLineChars="200"/>
        <w:jc w:val="both"/>
        <w:rPr>
          <w:rFonts w:ascii="Times New Roman" w:hAnsi="Times New Roman"/>
          <w:color w:val="000000"/>
          <w:sz w:val="24"/>
          <w:szCs w:val="24"/>
        </w:rPr>
      </w:pPr>
      <w:r>
        <w:rPr>
          <w:rFonts w:ascii="Times New Roman" w:hAnsi="Times New Roman"/>
          <w:color w:val="000000"/>
          <w:sz w:val="24"/>
          <w:szCs w:val="24"/>
        </w:rPr>
        <w:t>9</w:t>
      </w:r>
      <w:r>
        <w:rPr>
          <w:rFonts w:hint="eastAsia" w:ascii="Times New Roman" w:hAnsi="Times New Roman"/>
          <w:color w:val="000000"/>
          <w:sz w:val="24"/>
          <w:szCs w:val="24"/>
        </w:rPr>
        <w:t>、</w:t>
      </w:r>
      <w:r>
        <w:rPr>
          <w:rFonts w:ascii="Times New Roman" w:hAnsi="Times New Roman"/>
          <w:color w:val="000000"/>
          <w:sz w:val="24"/>
          <w:szCs w:val="24"/>
        </w:rPr>
        <w:t>基金财产清算账册及文件的保存</w:t>
      </w:r>
    </w:p>
    <w:p w14:paraId="73D0F702">
      <w:pPr>
        <w:adjustRightInd w:val="0"/>
        <w:snapToGrid w:val="0"/>
        <w:spacing w:line="360" w:lineRule="auto"/>
        <w:ind w:firstLine="480" w:firstLineChars="200"/>
        <w:jc w:val="both"/>
        <w:rPr>
          <w:rFonts w:ascii="Times New Roman" w:hAnsi="Times New Roman"/>
          <w:color w:val="000000"/>
          <w:sz w:val="24"/>
          <w:szCs w:val="24"/>
        </w:rPr>
      </w:pPr>
      <w:r>
        <w:rPr>
          <w:rFonts w:hint="eastAsia"/>
          <w:bCs/>
          <w:sz w:val="24"/>
        </w:rPr>
        <w:t>基金财产清算账册及有关文件由基金托管人保存，保存期限不少于法律法规的规定。</w:t>
      </w:r>
    </w:p>
    <w:p w14:paraId="3DA29E22">
      <w:pPr>
        <w:pStyle w:val="2"/>
        <w:spacing w:before="100" w:beforeAutospacing="1" w:after="100" w:afterAutospacing="1"/>
        <w:ind w:left="0"/>
        <w:jc w:val="center"/>
        <w:rPr>
          <w:rFonts w:ascii="Times New Roman" w:hAnsi="Times New Roman" w:eastAsia="宋体" w:cs="Times New Roman"/>
          <w:bCs w:val="0"/>
          <w:color w:val="000000" w:themeColor="text1"/>
          <w:kern w:val="2"/>
          <w:lang w:val="en-US" w:bidi="ar-SA"/>
          <w14:textFill>
            <w14:solidFill>
              <w14:schemeClr w14:val="tx1"/>
            </w14:solidFill>
          </w14:textFill>
        </w:rPr>
      </w:pPr>
      <w:bookmarkStart w:id="32" w:name="_Toc31714"/>
      <w:bookmarkStart w:id="33" w:name="_Toc516502502"/>
      <w:r>
        <w:rPr>
          <w:rFonts w:ascii="Times New Roman" w:hAnsi="Times New Roman" w:eastAsia="宋体" w:cs="Times New Roman"/>
          <w:bCs w:val="0"/>
          <w:color w:val="000000" w:themeColor="text1"/>
          <w:kern w:val="2"/>
          <w:lang w:val="en-US" w:bidi="ar-SA"/>
          <w14:textFill>
            <w14:solidFill>
              <w14:schemeClr w14:val="tx1"/>
            </w14:solidFill>
          </w14:textFill>
        </w:rPr>
        <w:t>十七、违约责任</w:t>
      </w:r>
      <w:bookmarkEnd w:id="32"/>
      <w:bookmarkEnd w:id="33"/>
    </w:p>
    <w:p w14:paraId="054A8A5E">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（一）基金管理人、基金托管人不履行本协议或履行本协议不符合约定的，应当承担违约责任。</w:t>
      </w:r>
    </w:p>
    <w:p w14:paraId="444CF8FE">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二）基金管理人、基金托管人在履行各自职责的过程中，违反《基金法》或者《基金合同》和本托管协议约定，给基金财产或者基金份额持有人造成损害的，应当分别对各自的行为依法承担赔偿责任对损失的赔偿，仅限于直接损失。</w:t>
      </w:r>
    </w:p>
    <w:p w14:paraId="39F9DDBE">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三）当事人违约，给另一方当事人造成损失的，应就直接损失进行赔偿；给基金资产造成损失的，应就直接损失进行赔偿，另一方当事人有权利及义务代表基金向违约方追偿。如发生下列情况，当事人应当免责：</w:t>
      </w:r>
    </w:p>
    <w:p w14:paraId="678DC626">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1、不可抗力；</w:t>
      </w:r>
    </w:p>
    <w:p w14:paraId="7CB3A6C1">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2、基金管理人和/或基金托管人按照当时有效的法律法规或中国证监会的规定作为或不作为而造成的损失等；</w:t>
      </w:r>
    </w:p>
    <w:p w14:paraId="7A39CAEA">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3、基金管理人由于按照基金合同规定的投资原则行使或不行使其投资权而造成的损失等。</w:t>
      </w:r>
    </w:p>
    <w:p w14:paraId="69AC9D2C">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四）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6CC187EB">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37CDD1DD">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六）由于基金管理人、基金托管人不可控制的因素导致业务出现差错，基金管理人和基金托管人虽然已经采取必要、适当、合理的措施进行检查，但是未能发现该错误的，由此造成基金财产或投资人损失，基金管理人和基金托管人免除赔偿责任。但是基金管理人和基金托管人应当积极采取必要的措施减轻或消除由此造成的影响。</w:t>
      </w:r>
    </w:p>
    <w:p w14:paraId="0BC5B379">
      <w:pPr>
        <w:pStyle w:val="2"/>
        <w:spacing w:before="100" w:beforeAutospacing="1" w:after="100" w:afterAutospacing="1"/>
        <w:ind w:left="0"/>
        <w:jc w:val="center"/>
        <w:rPr>
          <w:rFonts w:ascii="Times New Roman" w:hAnsi="Times New Roman" w:eastAsia="宋体" w:cs="Times New Roman"/>
          <w:bCs w:val="0"/>
          <w:color w:val="000000" w:themeColor="text1"/>
          <w:kern w:val="2"/>
          <w:lang w:val="en-US" w:bidi="ar-SA"/>
          <w14:textFill>
            <w14:solidFill>
              <w14:schemeClr w14:val="tx1"/>
            </w14:solidFill>
          </w14:textFill>
        </w:rPr>
      </w:pPr>
      <w:bookmarkStart w:id="34" w:name="_Toc516502503"/>
      <w:bookmarkStart w:id="35" w:name="_Toc30357"/>
      <w:r>
        <w:rPr>
          <w:rFonts w:ascii="Times New Roman" w:hAnsi="Times New Roman" w:eastAsia="宋体" w:cs="Times New Roman"/>
          <w:bCs w:val="0"/>
          <w:color w:val="000000" w:themeColor="text1"/>
          <w:kern w:val="2"/>
          <w:lang w:val="en-US" w:bidi="ar-SA"/>
          <w14:textFill>
            <w14:solidFill>
              <w14:schemeClr w14:val="tx1"/>
            </w14:solidFill>
          </w14:textFill>
        </w:rPr>
        <w:t>十八、争议解决方式</w:t>
      </w:r>
      <w:bookmarkEnd w:id="34"/>
      <w:bookmarkEnd w:id="35"/>
    </w:p>
    <w:p w14:paraId="0B954F84">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因本协议产生或与之相关的争议，双方当事人应通过协商、调解解决，协商、调解不能解决的，任何一方均有权将争议提交上海国际经济贸易仲裁委员会，仲裁地点为上海市，按照上海国际经济贸易仲裁委员会届时有效的仲裁规则进行仲裁。仲裁裁决是终局的，对当事人均有约束力。除非仲裁裁决另有裁定，仲裁费用和律师费用由败诉方承担。</w:t>
      </w:r>
    </w:p>
    <w:p w14:paraId="28FC0C63">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争议处理期间，双方当事人应恪守基金管理人和基金托管人职责，各自继续忠实、勤勉、尽责地履行《基金合同》和本托管协议规定的义务，维护基金份额持有人的合法权益。</w:t>
      </w:r>
    </w:p>
    <w:p w14:paraId="680CD7E2">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本协议受中国法律（为本协议之目的，不包括香港特别行政区、澳门特别行政区和台湾地区法律）管辖</w:t>
      </w:r>
      <w:r>
        <w:rPr>
          <w:rFonts w:hint="eastAsia" w:ascii="Times New Roman" w:hAnsi="Times New Roman"/>
          <w:sz w:val="24"/>
          <w:szCs w:val="24"/>
          <w:lang w:val="en-US"/>
        </w:rPr>
        <w:t>并从其解释</w:t>
      </w:r>
      <w:r>
        <w:rPr>
          <w:rFonts w:hint="eastAsia" w:ascii="Times New Roman" w:hAnsi="Times New Roman"/>
          <w:spacing w:val="0"/>
          <w:sz w:val="24"/>
          <w:szCs w:val="24"/>
        </w:rPr>
        <w:t>。</w:t>
      </w:r>
    </w:p>
    <w:p w14:paraId="0A33BF99">
      <w:pPr>
        <w:pStyle w:val="2"/>
        <w:spacing w:before="100" w:beforeAutospacing="1" w:after="100" w:afterAutospacing="1"/>
        <w:ind w:left="0"/>
        <w:jc w:val="center"/>
        <w:rPr>
          <w:rFonts w:ascii="Times New Roman" w:hAnsi="Times New Roman" w:eastAsia="宋体" w:cs="Times New Roman"/>
          <w:bCs w:val="0"/>
          <w:color w:val="000000" w:themeColor="text1"/>
          <w:kern w:val="2"/>
          <w:lang w:val="en-US" w:bidi="ar-SA"/>
          <w14:textFill>
            <w14:solidFill>
              <w14:schemeClr w14:val="tx1"/>
            </w14:solidFill>
          </w14:textFill>
        </w:rPr>
      </w:pPr>
      <w:bookmarkStart w:id="36" w:name="_Toc30359"/>
      <w:bookmarkStart w:id="37" w:name="_Toc516502504"/>
      <w:r>
        <w:rPr>
          <w:rFonts w:ascii="Times New Roman" w:hAnsi="Times New Roman" w:eastAsia="宋体" w:cs="Times New Roman"/>
          <w:bCs w:val="0"/>
          <w:color w:val="000000" w:themeColor="text1"/>
          <w:kern w:val="2"/>
          <w:lang w:val="en-US" w:bidi="ar-SA"/>
          <w14:textFill>
            <w14:solidFill>
              <w14:schemeClr w14:val="tx1"/>
            </w14:solidFill>
          </w14:textFill>
        </w:rPr>
        <w:t>十九、托管协议的效力</w:t>
      </w:r>
      <w:bookmarkEnd w:id="36"/>
      <w:bookmarkEnd w:id="37"/>
    </w:p>
    <w:p w14:paraId="06FC4F4B">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双方对托管协议的效力约定如下：</w:t>
      </w:r>
    </w:p>
    <w:p w14:paraId="424B55D7">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13143CBD">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（二）托管协议自《基金合同》成立之日起成立，自《基金合同》生效之日起生效。托管协议的有效期自其生效之日起至该基金财产清算报告报中国证监会备案并公告之日止。</w:t>
      </w:r>
    </w:p>
    <w:p w14:paraId="7A7F455C">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（三）托管协议自生效之日对托管协议当事人具有同等的法律约束力。</w:t>
      </w:r>
    </w:p>
    <w:p w14:paraId="0229A58C">
      <w:pPr>
        <w:spacing w:line="360" w:lineRule="auto"/>
        <w:ind w:firstLine="480" w:firstLineChars="200"/>
        <w:jc w:val="both"/>
        <w:rPr>
          <w:rFonts w:ascii="Times New Roman" w:hAnsi="Times New Roman"/>
          <w:spacing w:val="0"/>
          <w:sz w:val="24"/>
          <w:szCs w:val="24"/>
        </w:rPr>
      </w:pPr>
      <w:bookmarkStart w:id="38" w:name="_Toc516502505"/>
      <w:r>
        <w:rPr>
          <w:rFonts w:hint="eastAsia" w:ascii="Times New Roman" w:hAnsi="Times New Roman"/>
          <w:spacing w:val="0"/>
          <w:sz w:val="24"/>
          <w:szCs w:val="24"/>
        </w:rPr>
        <w:t>（四）本协议一式三份，协议双方各持一份，上报有关监管部门一份，每份具有同等法律效力。</w:t>
      </w:r>
    </w:p>
    <w:p w14:paraId="3BBD338C">
      <w:pPr>
        <w:pStyle w:val="2"/>
        <w:spacing w:before="100" w:beforeAutospacing="1" w:after="100" w:afterAutospacing="1"/>
        <w:ind w:left="0"/>
        <w:jc w:val="center"/>
        <w:rPr>
          <w:rFonts w:ascii="Times New Roman" w:hAnsi="Times New Roman" w:eastAsia="宋体" w:cs="Times New Roman"/>
          <w:bCs w:val="0"/>
          <w:color w:val="000000" w:themeColor="text1"/>
          <w:kern w:val="2"/>
          <w:lang w:val="en-US" w:bidi="ar-SA"/>
          <w14:textFill>
            <w14:solidFill>
              <w14:schemeClr w14:val="tx1"/>
            </w14:solidFill>
          </w14:textFill>
        </w:rPr>
      </w:pPr>
      <w:bookmarkStart w:id="39" w:name="_Toc10352"/>
      <w:r>
        <w:rPr>
          <w:rFonts w:ascii="Times New Roman" w:hAnsi="Times New Roman" w:eastAsia="宋体" w:cs="Times New Roman"/>
          <w:bCs w:val="0"/>
          <w:color w:val="000000" w:themeColor="text1"/>
          <w:kern w:val="2"/>
          <w:lang w:val="en-US" w:bidi="ar-SA"/>
          <w14:textFill>
            <w14:solidFill>
              <w14:schemeClr w14:val="tx1"/>
            </w14:solidFill>
          </w14:textFill>
        </w:rPr>
        <w:t>二十、其他事项</w:t>
      </w:r>
      <w:bookmarkEnd w:id="38"/>
      <w:bookmarkEnd w:id="39"/>
    </w:p>
    <w:p w14:paraId="3F3BB92F">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如发生有权司法机关依法冻结基金份额持有人的基金份额时，基金管理人应予以配合，承担司法协助义务。</w:t>
      </w:r>
    </w:p>
    <w:p w14:paraId="3AF80722">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除本协议有明确定义外，本协议的用语定义适用《基金合同》的约定。本协议未尽事宜，当事人依据《基金合同》、有关法律法规等规定协商办理。</w:t>
      </w:r>
    </w:p>
    <w:p w14:paraId="231B0CA4">
      <w:pPr>
        <w:pStyle w:val="2"/>
        <w:spacing w:before="100" w:beforeAutospacing="1" w:after="100" w:afterAutospacing="1"/>
        <w:ind w:left="0"/>
        <w:jc w:val="center"/>
        <w:rPr>
          <w:rFonts w:ascii="Times New Roman" w:hAnsi="Times New Roman" w:eastAsia="宋体" w:cs="Times New Roman"/>
          <w:bCs w:val="0"/>
          <w:color w:val="000000" w:themeColor="text1"/>
          <w:kern w:val="2"/>
          <w:lang w:val="en-US" w:bidi="ar-SA"/>
          <w14:textFill>
            <w14:solidFill>
              <w14:schemeClr w14:val="tx1"/>
            </w14:solidFill>
          </w14:textFill>
        </w:rPr>
      </w:pPr>
      <w:bookmarkStart w:id="40" w:name="_Toc516502506"/>
      <w:bookmarkStart w:id="41" w:name="_Toc14007"/>
      <w:r>
        <w:rPr>
          <w:rFonts w:ascii="Times New Roman" w:hAnsi="Times New Roman" w:eastAsia="宋体" w:cs="Times New Roman"/>
          <w:bCs w:val="0"/>
          <w:color w:val="000000" w:themeColor="text1"/>
          <w:kern w:val="2"/>
          <w:lang w:val="en-US" w:bidi="ar-SA"/>
          <w14:textFill>
            <w14:solidFill>
              <w14:schemeClr w14:val="tx1"/>
            </w14:solidFill>
          </w14:textFill>
        </w:rPr>
        <w:t>二十一、托管协议的签订</w:t>
      </w:r>
      <w:bookmarkEnd w:id="40"/>
      <w:bookmarkEnd w:id="41"/>
    </w:p>
    <w:p w14:paraId="20A20119">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以下无正文，为本协议双方法定代表人或授权代表人签章、签订日。</w:t>
      </w:r>
    </w:p>
    <w:p w14:paraId="6302EF94">
      <w:pPr>
        <w:spacing w:line="276" w:lineRule="auto"/>
        <w:ind w:right="26" w:firstLine="480" w:firstLineChars="200"/>
        <w:jc w:val="both"/>
        <w:rPr>
          <w:rFonts w:ascii="Times New Roman" w:hAnsi="Times New Roman"/>
          <w:color w:val="000000" w:themeColor="text1"/>
          <w:sz w:val="24"/>
          <w14:textFill>
            <w14:solidFill>
              <w14:schemeClr w14:val="tx1"/>
            </w14:solidFill>
          </w14:textFill>
        </w:rPr>
        <w:sectPr>
          <w:pgSz w:w="11910" w:h="16840"/>
          <w:pgMar w:top="1380" w:right="1560" w:bottom="1400" w:left="1680" w:header="737" w:footer="992" w:gutter="0"/>
          <w:cols w:space="720" w:num="1"/>
          <w:docGrid w:linePitch="299" w:charSpace="0"/>
        </w:sectPr>
      </w:pPr>
    </w:p>
    <w:p w14:paraId="176C0CF7">
      <w:pPr>
        <w:spacing w:line="276" w:lineRule="auto"/>
        <w:ind w:right="26" w:firstLine="480" w:firstLineChars="20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本页无正文，为《</w:t>
      </w:r>
      <w:r>
        <w:rPr>
          <w:rFonts w:hint="eastAsia" w:ascii="Times New Roman" w:hAnsi="Times New Roman"/>
          <w:color w:val="000000" w:themeColor="text1"/>
          <w:sz w:val="24"/>
          <w14:textFill>
            <w14:solidFill>
              <w14:schemeClr w14:val="tx1"/>
            </w14:solidFill>
          </w14:textFill>
        </w:rPr>
        <w:t>富国国证通用航空产业交易型开放式指数证券投资基金发起式联接基金</w:t>
      </w:r>
      <w:r>
        <w:rPr>
          <w:rFonts w:ascii="Times New Roman" w:hAnsi="Times New Roman"/>
          <w:color w:val="000000" w:themeColor="text1"/>
          <w:sz w:val="24"/>
          <w14:textFill>
            <w14:solidFill>
              <w14:schemeClr w14:val="tx1"/>
            </w14:solidFill>
          </w14:textFill>
        </w:rPr>
        <w:t>托管协议》</w:t>
      </w:r>
      <w:r>
        <w:rPr>
          <w:rFonts w:hint="eastAsia" w:ascii="Times New Roman" w:hAnsi="Times New Roman"/>
          <w:color w:val="000000" w:themeColor="text1"/>
          <w:sz w:val="24"/>
          <w14:textFill>
            <w14:solidFill>
              <w14:schemeClr w14:val="tx1"/>
            </w14:solidFill>
          </w14:textFill>
        </w:rPr>
        <w:t>签署</w:t>
      </w:r>
      <w:r>
        <w:rPr>
          <w:rFonts w:ascii="Times New Roman" w:hAnsi="Times New Roman"/>
          <w:color w:val="000000" w:themeColor="text1"/>
          <w:sz w:val="24"/>
          <w14:textFill>
            <w14:solidFill>
              <w14:schemeClr w14:val="tx1"/>
            </w14:solidFill>
          </w14:textFill>
        </w:rPr>
        <w:t>页。</w:t>
      </w:r>
    </w:p>
    <w:p w14:paraId="1E0EBC79">
      <w:pPr>
        <w:jc w:val="both"/>
        <w:rPr>
          <w:rFonts w:ascii="Times New Roman" w:hAnsi="Times New Roman"/>
          <w:spacing w:val="0"/>
          <w:sz w:val="24"/>
          <w:szCs w:val="24"/>
        </w:rPr>
      </w:pPr>
    </w:p>
    <w:p w14:paraId="2905BBDF">
      <w:pPr>
        <w:jc w:val="both"/>
        <w:rPr>
          <w:rFonts w:ascii="Times New Roman" w:hAnsi="Times New Roman"/>
          <w:spacing w:val="0"/>
          <w:sz w:val="24"/>
          <w:szCs w:val="24"/>
        </w:rPr>
      </w:pPr>
    </w:p>
    <w:p w14:paraId="0BB02290">
      <w:pPr>
        <w:jc w:val="both"/>
        <w:rPr>
          <w:rFonts w:ascii="Times New Roman" w:hAnsi="Times New Roman"/>
          <w:spacing w:val="0"/>
          <w:sz w:val="24"/>
          <w:szCs w:val="24"/>
        </w:rPr>
      </w:pPr>
    </w:p>
    <w:p w14:paraId="1E1D3250">
      <w:pPr>
        <w:jc w:val="both"/>
        <w:rPr>
          <w:rFonts w:ascii="Times New Roman" w:hAnsi="Times New Roman"/>
          <w:spacing w:val="0"/>
          <w:sz w:val="24"/>
          <w:szCs w:val="24"/>
        </w:rPr>
      </w:pPr>
    </w:p>
    <w:p w14:paraId="750A0D84">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基金管理人：富国基金管理有限公司（盖章）</w:t>
      </w:r>
    </w:p>
    <w:p w14:paraId="0FF88D36">
      <w:pPr>
        <w:spacing w:line="360" w:lineRule="auto"/>
        <w:ind w:firstLine="480" w:firstLineChars="200"/>
        <w:jc w:val="both"/>
        <w:rPr>
          <w:rFonts w:ascii="Times New Roman" w:hAnsi="Times New Roman"/>
          <w:spacing w:val="0"/>
          <w:sz w:val="24"/>
          <w:szCs w:val="24"/>
        </w:rPr>
      </w:pPr>
    </w:p>
    <w:p w14:paraId="64B84D61">
      <w:pPr>
        <w:spacing w:line="360" w:lineRule="auto"/>
        <w:ind w:firstLine="480" w:firstLineChars="200"/>
        <w:jc w:val="both"/>
        <w:rPr>
          <w:rFonts w:ascii="Times New Roman" w:hAnsi="Times New Roman"/>
          <w:spacing w:val="0"/>
          <w:sz w:val="24"/>
          <w:szCs w:val="24"/>
        </w:rPr>
      </w:pPr>
    </w:p>
    <w:p w14:paraId="12C6E3D2">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法定代表人或授权代表</w:t>
      </w:r>
      <w:r>
        <w:rPr>
          <w:bCs/>
          <w:sz w:val="24"/>
        </w:rPr>
        <w:t>（签字</w:t>
      </w:r>
      <w:r>
        <w:rPr>
          <w:rFonts w:hint="eastAsia"/>
          <w:bCs/>
          <w:sz w:val="24"/>
        </w:rPr>
        <w:t>或盖章</w:t>
      </w:r>
      <w:r>
        <w:rPr>
          <w:bCs/>
          <w:sz w:val="24"/>
        </w:rPr>
        <w:t>）</w:t>
      </w:r>
      <w:r>
        <w:rPr>
          <w:rFonts w:hint="eastAsia" w:ascii="Times New Roman" w:hAnsi="Times New Roman"/>
          <w:spacing w:val="0"/>
          <w:sz w:val="24"/>
          <w:szCs w:val="24"/>
        </w:rPr>
        <w:t>：</w:t>
      </w:r>
    </w:p>
    <w:p w14:paraId="7B6AB304">
      <w:pPr>
        <w:spacing w:line="360" w:lineRule="auto"/>
        <w:ind w:firstLine="480" w:firstLineChars="200"/>
        <w:jc w:val="both"/>
        <w:rPr>
          <w:rFonts w:ascii="Times New Roman" w:hAnsi="Times New Roman"/>
          <w:spacing w:val="0"/>
          <w:sz w:val="24"/>
          <w:szCs w:val="24"/>
        </w:rPr>
      </w:pPr>
    </w:p>
    <w:p w14:paraId="09A60CD1">
      <w:pPr>
        <w:spacing w:line="360" w:lineRule="auto"/>
        <w:ind w:firstLine="480" w:firstLineChars="200"/>
        <w:jc w:val="both"/>
        <w:rPr>
          <w:rFonts w:ascii="Times New Roman" w:hAnsi="Times New Roman"/>
          <w:spacing w:val="0"/>
          <w:sz w:val="24"/>
          <w:szCs w:val="24"/>
        </w:rPr>
      </w:pPr>
    </w:p>
    <w:p w14:paraId="7A648E14">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签订日期：</w:t>
      </w:r>
      <w:r>
        <w:rPr>
          <w:rFonts w:ascii="Times New Roman" w:hAnsi="Times New Roman"/>
          <w:spacing w:val="0"/>
          <w:sz w:val="24"/>
          <w:szCs w:val="24"/>
        </w:rPr>
        <w:t xml:space="preserve">  </w:t>
      </w:r>
      <w:r>
        <w:rPr>
          <w:rFonts w:ascii="Times New Roman" w:hAnsi="Times New Roman"/>
          <w:spacing w:val="0"/>
          <w:sz w:val="24"/>
          <w:szCs w:val="24"/>
        </w:rPr>
        <w:tab/>
      </w:r>
      <w:r>
        <w:rPr>
          <w:rFonts w:hint="eastAsia" w:ascii="Times New Roman" w:hAnsi="Times New Roman"/>
          <w:spacing w:val="0"/>
          <w:sz w:val="24"/>
          <w:szCs w:val="24"/>
        </w:rPr>
        <w:t>年</w:t>
      </w:r>
      <w:r>
        <w:rPr>
          <w:rFonts w:ascii="Times New Roman" w:hAnsi="Times New Roman"/>
          <w:spacing w:val="0"/>
          <w:sz w:val="24"/>
          <w:szCs w:val="24"/>
        </w:rPr>
        <w:tab/>
      </w:r>
      <w:r>
        <w:rPr>
          <w:rFonts w:hint="eastAsia" w:ascii="Times New Roman" w:hAnsi="Times New Roman"/>
          <w:spacing w:val="0"/>
          <w:sz w:val="24"/>
          <w:szCs w:val="24"/>
        </w:rPr>
        <w:t>月</w:t>
      </w:r>
      <w:r>
        <w:rPr>
          <w:rFonts w:ascii="Times New Roman" w:hAnsi="Times New Roman"/>
          <w:spacing w:val="0"/>
          <w:sz w:val="24"/>
          <w:szCs w:val="24"/>
        </w:rPr>
        <w:tab/>
      </w:r>
      <w:r>
        <w:rPr>
          <w:rFonts w:hint="eastAsia" w:ascii="Times New Roman" w:hAnsi="Times New Roman"/>
          <w:spacing w:val="0"/>
          <w:sz w:val="24"/>
          <w:szCs w:val="24"/>
        </w:rPr>
        <w:t>日</w:t>
      </w:r>
    </w:p>
    <w:p w14:paraId="3E0581B2">
      <w:pPr>
        <w:spacing w:line="360" w:lineRule="auto"/>
        <w:ind w:firstLine="480" w:firstLineChars="200"/>
        <w:jc w:val="both"/>
        <w:rPr>
          <w:rFonts w:ascii="Times New Roman" w:hAnsi="Times New Roman"/>
          <w:spacing w:val="0"/>
          <w:sz w:val="24"/>
          <w:szCs w:val="24"/>
        </w:rPr>
      </w:pPr>
    </w:p>
    <w:p w14:paraId="3D61F928">
      <w:pPr>
        <w:spacing w:line="360" w:lineRule="auto"/>
        <w:ind w:firstLine="480" w:firstLineChars="200"/>
        <w:jc w:val="both"/>
        <w:rPr>
          <w:rFonts w:ascii="Times New Roman" w:hAnsi="Times New Roman"/>
          <w:spacing w:val="0"/>
          <w:sz w:val="24"/>
          <w:szCs w:val="24"/>
        </w:rPr>
      </w:pPr>
    </w:p>
    <w:p w14:paraId="4AE6C3CD">
      <w:pPr>
        <w:spacing w:line="360" w:lineRule="auto"/>
        <w:ind w:firstLine="480" w:firstLineChars="200"/>
        <w:jc w:val="both"/>
        <w:rPr>
          <w:rFonts w:ascii="Times New Roman" w:hAnsi="Times New Roman"/>
          <w:spacing w:val="0"/>
          <w:sz w:val="24"/>
          <w:szCs w:val="24"/>
        </w:rPr>
      </w:pPr>
    </w:p>
    <w:p w14:paraId="745DB9F8">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基金托管人：广发证券股份有限公司（盖章）</w:t>
      </w:r>
    </w:p>
    <w:p w14:paraId="734A2BB7">
      <w:pPr>
        <w:spacing w:line="360" w:lineRule="auto"/>
        <w:ind w:firstLine="480" w:firstLineChars="200"/>
        <w:jc w:val="both"/>
        <w:rPr>
          <w:rFonts w:ascii="Times New Roman" w:hAnsi="Times New Roman"/>
          <w:spacing w:val="0"/>
          <w:sz w:val="24"/>
          <w:szCs w:val="24"/>
        </w:rPr>
      </w:pPr>
    </w:p>
    <w:p w14:paraId="3386EFFE">
      <w:pPr>
        <w:spacing w:line="360" w:lineRule="auto"/>
        <w:ind w:firstLine="480" w:firstLineChars="200"/>
        <w:jc w:val="both"/>
        <w:rPr>
          <w:rFonts w:ascii="Times New Roman" w:hAnsi="Times New Roman"/>
          <w:spacing w:val="0"/>
          <w:sz w:val="24"/>
          <w:szCs w:val="24"/>
        </w:rPr>
      </w:pPr>
    </w:p>
    <w:p w14:paraId="6F997D53">
      <w:pPr>
        <w:spacing w:line="360" w:lineRule="auto"/>
        <w:ind w:firstLine="480" w:firstLineChars="200"/>
        <w:jc w:val="both"/>
        <w:rPr>
          <w:rFonts w:ascii="Times New Roman" w:hAnsi="Times New Roman"/>
          <w:spacing w:val="0"/>
          <w:sz w:val="24"/>
          <w:szCs w:val="24"/>
        </w:rPr>
      </w:pPr>
      <w:r>
        <w:rPr>
          <w:rFonts w:hint="eastAsia" w:ascii="Times New Roman" w:hAnsi="Times New Roman"/>
          <w:spacing w:val="0"/>
          <w:sz w:val="24"/>
          <w:szCs w:val="24"/>
        </w:rPr>
        <w:t>法定代表人或授权代表</w:t>
      </w:r>
      <w:r>
        <w:rPr>
          <w:bCs/>
          <w:sz w:val="24"/>
        </w:rPr>
        <w:t>（签字</w:t>
      </w:r>
      <w:r>
        <w:rPr>
          <w:rFonts w:hint="eastAsia"/>
          <w:bCs/>
          <w:sz w:val="24"/>
        </w:rPr>
        <w:t>或盖章</w:t>
      </w:r>
      <w:r>
        <w:rPr>
          <w:bCs/>
          <w:sz w:val="24"/>
        </w:rPr>
        <w:t>）</w:t>
      </w:r>
      <w:r>
        <w:rPr>
          <w:rFonts w:hint="eastAsia" w:ascii="Times New Roman" w:hAnsi="Times New Roman"/>
          <w:spacing w:val="0"/>
          <w:sz w:val="24"/>
          <w:szCs w:val="24"/>
        </w:rPr>
        <w:t>：</w:t>
      </w:r>
    </w:p>
    <w:p w14:paraId="743C6AAC">
      <w:pPr>
        <w:spacing w:line="360" w:lineRule="auto"/>
        <w:ind w:firstLine="480" w:firstLineChars="200"/>
        <w:jc w:val="both"/>
        <w:rPr>
          <w:rFonts w:ascii="Times New Roman" w:hAnsi="Times New Roman"/>
          <w:spacing w:val="0"/>
          <w:sz w:val="24"/>
          <w:szCs w:val="24"/>
        </w:rPr>
      </w:pPr>
    </w:p>
    <w:p w14:paraId="72C6BAF4">
      <w:pPr>
        <w:spacing w:line="360" w:lineRule="auto"/>
        <w:ind w:firstLine="480" w:firstLineChars="200"/>
        <w:jc w:val="both"/>
        <w:rPr>
          <w:rFonts w:ascii="Times New Roman" w:hAnsi="Times New Roman"/>
          <w:spacing w:val="0"/>
          <w:sz w:val="24"/>
          <w:szCs w:val="24"/>
        </w:rPr>
      </w:pPr>
    </w:p>
    <w:p w14:paraId="12BC7ED0">
      <w:pPr>
        <w:spacing w:line="360" w:lineRule="auto"/>
        <w:ind w:firstLine="480" w:firstLineChars="200"/>
        <w:jc w:val="both"/>
        <w:rPr>
          <w:rFonts w:ascii="Times New Roman" w:hAnsi="Times New Roman"/>
          <w:spacing w:val="0"/>
          <w:sz w:val="24"/>
          <w:szCs w:val="24"/>
          <w:lang w:val="en-US"/>
        </w:rPr>
      </w:pPr>
      <w:r>
        <w:rPr>
          <w:rFonts w:hint="eastAsia" w:ascii="Times New Roman" w:hAnsi="Times New Roman"/>
          <w:spacing w:val="0"/>
          <w:sz w:val="24"/>
          <w:szCs w:val="24"/>
        </w:rPr>
        <w:t>签订日期：</w:t>
      </w:r>
      <w:r>
        <w:rPr>
          <w:rFonts w:ascii="Times New Roman" w:hAnsi="Times New Roman"/>
          <w:spacing w:val="0"/>
          <w:sz w:val="24"/>
          <w:szCs w:val="24"/>
        </w:rPr>
        <w:tab/>
      </w:r>
      <w:r>
        <w:rPr>
          <w:rFonts w:ascii="Times New Roman" w:hAnsi="Times New Roman"/>
          <w:spacing w:val="0"/>
          <w:sz w:val="24"/>
          <w:szCs w:val="24"/>
        </w:rPr>
        <w:t xml:space="preserve">  </w:t>
      </w:r>
      <w:r>
        <w:rPr>
          <w:rFonts w:ascii="Times New Roman" w:hAnsi="Times New Roman"/>
          <w:spacing w:val="0"/>
          <w:sz w:val="24"/>
          <w:szCs w:val="24"/>
        </w:rPr>
        <w:tab/>
      </w:r>
      <w:r>
        <w:rPr>
          <w:rFonts w:hint="eastAsia" w:ascii="Times New Roman" w:hAnsi="Times New Roman"/>
          <w:spacing w:val="0"/>
          <w:sz w:val="24"/>
          <w:szCs w:val="24"/>
        </w:rPr>
        <w:t>年</w:t>
      </w:r>
      <w:r>
        <w:rPr>
          <w:rFonts w:ascii="Times New Roman" w:hAnsi="Times New Roman"/>
          <w:spacing w:val="0"/>
          <w:sz w:val="24"/>
          <w:szCs w:val="24"/>
        </w:rPr>
        <w:tab/>
      </w:r>
      <w:r>
        <w:rPr>
          <w:rFonts w:hint="eastAsia" w:ascii="Times New Roman" w:hAnsi="Times New Roman"/>
          <w:spacing w:val="0"/>
          <w:sz w:val="24"/>
          <w:szCs w:val="24"/>
        </w:rPr>
        <w:t>月</w:t>
      </w:r>
      <w:r>
        <w:rPr>
          <w:rFonts w:ascii="Times New Roman" w:hAnsi="Times New Roman"/>
          <w:spacing w:val="0"/>
          <w:sz w:val="24"/>
          <w:szCs w:val="24"/>
        </w:rPr>
        <w:tab/>
      </w:r>
      <w:r>
        <w:rPr>
          <w:rFonts w:hint="eastAsia" w:ascii="Times New Roman" w:hAnsi="Times New Roman"/>
          <w:spacing w:val="0"/>
          <w:sz w:val="24"/>
          <w:szCs w:val="24"/>
        </w:rPr>
        <w:t>日</w:t>
      </w:r>
    </w:p>
    <w:sectPr>
      <w:footerReference r:id="rId7" w:type="default"/>
      <w:pgSz w:w="11910" w:h="16840"/>
      <w:pgMar w:top="1380" w:right="1560" w:bottom="1400" w:left="1680" w:header="737" w:footer="992"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0598D">
    <w:pPr>
      <w:pStyle w:val="7"/>
      <w:spacing w:line="14" w:lineRule="auto"/>
      <w:ind w:left="0"/>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3698875</wp:posOffset>
              </wp:positionH>
              <wp:positionV relativeFrom="page">
                <wp:posOffset>9789795</wp:posOffset>
              </wp:positionV>
              <wp:extent cx="167005" cy="152400"/>
              <wp:effectExtent l="0" t="0" r="4445"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wps:spPr>
                    <wps:txbx>
                      <w:txbxContent>
                        <w:p w14:paraId="7A75764A">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1.25pt;margin-top:770.85pt;height:12pt;width:13.15pt;mso-position-horizontal-relative:page;mso-position-vertical-relative:page;z-index:-251657216;mso-width-relative:page;mso-height-relative:page;" filled="f" stroked="f" coordsize="21600,21600" o:gfxdata="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Yf1craAAAADQEAAA8AAAAAAAAAAQAgAAAAIgAAAGRycy9kb3ducmV2&#10;LnhtbFBLAQIUABQAAAAIAIdO4kBT/znT+gEAAAMEAAAOAAAAAAAAAAEAIAAAACkBAABkcnMvZTJv&#10;RG9jLnhtbFBLBQYAAAAABgAGAFkBAACVBQAAAAA=&#10;">
              <v:fill on="f" focussize="0,0"/>
              <v:stroke on="f"/>
              <v:imagedata o:title=""/>
              <o:lock v:ext="edit" aspectratio="f"/>
              <v:textbox inset="0mm,0mm,0mm,0mm">
                <w:txbxContent>
                  <w:p w14:paraId="7A75764A">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53B65">
    <w:pPr>
      <w:pStyle w:val="7"/>
      <w:spacing w:line="14" w:lineRule="auto"/>
      <w:ind w:left="0"/>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5BF34">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E93EC">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E082A">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F2"/>
    <w:rsid w:val="00257169"/>
    <w:rsid w:val="0027352C"/>
    <w:rsid w:val="002F471A"/>
    <w:rsid w:val="005057F9"/>
    <w:rsid w:val="00726EFD"/>
    <w:rsid w:val="009124F2"/>
    <w:rsid w:val="00A358E3"/>
    <w:rsid w:val="00D71208"/>
    <w:rsid w:val="00F46E92"/>
    <w:rsid w:val="0B8348A0"/>
    <w:rsid w:val="13795D2B"/>
    <w:rsid w:val="17C85590"/>
    <w:rsid w:val="22A26560"/>
    <w:rsid w:val="26CE5A18"/>
    <w:rsid w:val="282A1DD8"/>
    <w:rsid w:val="2A685CCE"/>
    <w:rsid w:val="2B7E11B6"/>
    <w:rsid w:val="2C6E39C9"/>
    <w:rsid w:val="2FA41CC2"/>
    <w:rsid w:val="35EB405B"/>
    <w:rsid w:val="373E5541"/>
    <w:rsid w:val="44A03971"/>
    <w:rsid w:val="48600E2A"/>
    <w:rsid w:val="4E8406DF"/>
    <w:rsid w:val="57FE5C2F"/>
    <w:rsid w:val="5D9E7D7E"/>
    <w:rsid w:val="6C562513"/>
    <w:rsid w:val="7F6101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518"/>
      <w:outlineLvl w:val="0"/>
    </w:pPr>
    <w:rPr>
      <w:rFonts w:ascii="微软雅黑" w:hAnsi="微软雅黑" w:eastAsia="微软雅黑" w:cs="微软雅黑"/>
      <w:b/>
      <w:bCs/>
      <w:sz w:val="30"/>
      <w:szCs w:val="30"/>
    </w:rPr>
  </w:style>
  <w:style w:type="paragraph" w:styleId="3">
    <w:name w:val="heading 2"/>
    <w:basedOn w:val="1"/>
    <w:next w:val="1"/>
    <w:link w:val="27"/>
    <w:qFormat/>
    <w:uiPriority w:val="1"/>
    <w:pPr>
      <w:jc w:val="center"/>
      <w:outlineLvl w:val="1"/>
    </w:pPr>
    <w:rPr>
      <w:rFonts w:ascii="微软雅黑" w:hAnsi="微软雅黑" w:eastAsia="微软雅黑" w:cs="微软雅黑"/>
      <w:b/>
      <w:bCs/>
      <w:sz w:val="28"/>
      <w:szCs w:val="28"/>
    </w:rPr>
  </w:style>
  <w:style w:type="paragraph" w:styleId="4">
    <w:name w:val="heading 3"/>
    <w:basedOn w:val="1"/>
    <w:next w:val="1"/>
    <w:link w:val="32"/>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9"/>
    <w:semiHidden/>
    <w:unhideWhenUsed/>
    <w:qFormat/>
    <w:uiPriority w:val="99"/>
    <w:rPr>
      <w:sz w:val="18"/>
      <w:szCs w:val="18"/>
    </w:rPr>
  </w:style>
  <w:style w:type="paragraph" w:styleId="6">
    <w:name w:val="annotation text"/>
    <w:basedOn w:val="1"/>
    <w:link w:val="22"/>
    <w:unhideWhenUsed/>
    <w:qFormat/>
    <w:uiPriority w:val="99"/>
  </w:style>
  <w:style w:type="paragraph" w:styleId="7">
    <w:name w:val="Body Text"/>
    <w:basedOn w:val="1"/>
    <w:qFormat/>
    <w:uiPriority w:val="1"/>
    <w:pPr>
      <w:ind w:left="118"/>
    </w:pPr>
    <w:rPr>
      <w:sz w:val="24"/>
      <w:szCs w:val="24"/>
    </w:rPr>
  </w:style>
  <w:style w:type="paragraph" w:styleId="8">
    <w:name w:val="Balloon Text"/>
    <w:basedOn w:val="1"/>
    <w:link w:val="24"/>
    <w:semiHidden/>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99"/>
      <w:ind w:left="538"/>
    </w:pPr>
    <w:rPr>
      <w:sz w:val="21"/>
      <w:szCs w:val="21"/>
    </w:rPr>
  </w:style>
  <w:style w:type="paragraph" w:styleId="12">
    <w:name w:val="toc 2"/>
    <w:basedOn w:val="1"/>
    <w:next w:val="1"/>
    <w:semiHidden/>
    <w:unhideWhenUsed/>
    <w:qFormat/>
    <w:uiPriority w:val="39"/>
    <w:pPr>
      <w:ind w:left="420" w:leftChars="200"/>
    </w:pPr>
  </w:style>
  <w:style w:type="paragraph" w:styleId="13">
    <w:name w:val="annotation subject"/>
    <w:basedOn w:val="6"/>
    <w:next w:val="6"/>
    <w:link w:val="23"/>
    <w:semiHidden/>
    <w:unhideWhenUsed/>
    <w:qFormat/>
    <w:uiPriority w:val="99"/>
    <w:rPr>
      <w:b/>
      <w:bCs/>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118" w:firstLine="480"/>
    </w:pPr>
  </w:style>
  <w:style w:type="paragraph" w:customStyle="1" w:styleId="20">
    <w:name w:val="Table Paragraph"/>
    <w:basedOn w:val="1"/>
    <w:qFormat/>
    <w:uiPriority w:val="1"/>
  </w:style>
  <w:style w:type="character" w:customStyle="1" w:styleId="21">
    <w:name w:val="nameboxcolor"/>
    <w:basedOn w:val="15"/>
    <w:qFormat/>
    <w:uiPriority w:val="0"/>
  </w:style>
  <w:style w:type="character" w:customStyle="1" w:styleId="22">
    <w:name w:val="批注文字 Char"/>
    <w:basedOn w:val="15"/>
    <w:link w:val="6"/>
    <w:qFormat/>
    <w:uiPriority w:val="99"/>
    <w:rPr>
      <w:rFonts w:ascii="宋体" w:hAnsi="宋体" w:eastAsia="宋体" w:cs="宋体"/>
      <w:lang w:val="zh-CN" w:eastAsia="zh-CN" w:bidi="zh-CN"/>
    </w:rPr>
  </w:style>
  <w:style w:type="character" w:customStyle="1" w:styleId="23">
    <w:name w:val="批注主题 Char"/>
    <w:basedOn w:val="22"/>
    <w:link w:val="13"/>
    <w:semiHidden/>
    <w:qFormat/>
    <w:uiPriority w:val="99"/>
    <w:rPr>
      <w:rFonts w:ascii="宋体" w:hAnsi="宋体" w:eastAsia="宋体" w:cs="宋体"/>
      <w:b/>
      <w:bCs/>
      <w:lang w:val="zh-CN" w:eastAsia="zh-CN" w:bidi="zh-CN"/>
    </w:rPr>
  </w:style>
  <w:style w:type="character" w:customStyle="1" w:styleId="24">
    <w:name w:val="批注框文本 Char"/>
    <w:basedOn w:val="15"/>
    <w:link w:val="8"/>
    <w:semiHidden/>
    <w:qFormat/>
    <w:uiPriority w:val="99"/>
    <w:rPr>
      <w:rFonts w:ascii="宋体" w:hAnsi="宋体" w:eastAsia="宋体" w:cs="宋体"/>
      <w:sz w:val="18"/>
      <w:szCs w:val="18"/>
      <w:lang w:val="zh-CN" w:eastAsia="zh-CN" w:bidi="zh-CN"/>
    </w:rPr>
  </w:style>
  <w:style w:type="character" w:customStyle="1" w:styleId="25">
    <w:name w:val="页眉 Char"/>
    <w:basedOn w:val="15"/>
    <w:link w:val="10"/>
    <w:qFormat/>
    <w:uiPriority w:val="99"/>
    <w:rPr>
      <w:rFonts w:ascii="宋体" w:hAnsi="宋体" w:eastAsia="宋体" w:cs="宋体"/>
      <w:sz w:val="18"/>
      <w:szCs w:val="18"/>
      <w:lang w:val="zh-CN" w:eastAsia="zh-CN" w:bidi="zh-CN"/>
    </w:rPr>
  </w:style>
  <w:style w:type="character" w:customStyle="1" w:styleId="26">
    <w:name w:val="页脚 Char"/>
    <w:basedOn w:val="15"/>
    <w:link w:val="9"/>
    <w:qFormat/>
    <w:uiPriority w:val="99"/>
    <w:rPr>
      <w:rFonts w:ascii="宋体" w:hAnsi="宋体" w:eastAsia="宋体" w:cs="宋体"/>
      <w:sz w:val="18"/>
      <w:szCs w:val="18"/>
      <w:lang w:val="zh-CN" w:eastAsia="zh-CN" w:bidi="zh-CN"/>
    </w:rPr>
  </w:style>
  <w:style w:type="character" w:customStyle="1" w:styleId="27">
    <w:name w:val="标题 2 Char"/>
    <w:basedOn w:val="15"/>
    <w:link w:val="3"/>
    <w:qFormat/>
    <w:uiPriority w:val="0"/>
    <w:rPr>
      <w:rFonts w:ascii="微软雅黑" w:hAnsi="微软雅黑" w:eastAsia="微软雅黑" w:cs="微软雅黑"/>
      <w:b/>
      <w:bCs/>
      <w:sz w:val="28"/>
      <w:szCs w:val="28"/>
      <w:lang w:val="zh-CN" w:eastAsia="zh-CN" w:bidi="zh-CN"/>
    </w:rPr>
  </w:style>
  <w:style w:type="paragraph" w:customStyle="1" w:styleId="28">
    <w:name w:val="TOC 标题1"/>
    <w:basedOn w:val="2"/>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b w:val="0"/>
      <w:bCs w:val="0"/>
      <w:color w:val="376092" w:themeColor="accent1" w:themeShade="BF"/>
      <w:sz w:val="32"/>
      <w:szCs w:val="32"/>
      <w:lang w:val="en-US" w:bidi="ar-SA"/>
    </w:rPr>
  </w:style>
  <w:style w:type="character" w:customStyle="1" w:styleId="29">
    <w:name w:val="文档结构图 Char"/>
    <w:basedOn w:val="15"/>
    <w:link w:val="5"/>
    <w:semiHidden/>
    <w:qFormat/>
    <w:uiPriority w:val="99"/>
    <w:rPr>
      <w:rFonts w:ascii="宋体" w:hAnsi="宋体" w:eastAsia="宋体" w:cs="宋体"/>
      <w:sz w:val="18"/>
      <w:szCs w:val="18"/>
      <w:lang w:val="zh-CN" w:eastAsia="zh-CN" w:bidi="zh-CN"/>
    </w:rPr>
  </w:style>
  <w:style w:type="character" w:customStyle="1" w:styleId="30">
    <w:name w:val="read"/>
    <w:basedOn w:val="15"/>
    <w:qFormat/>
    <w:uiPriority w:val="0"/>
  </w:style>
  <w:style w:type="paragraph" w:customStyle="1" w:styleId="31">
    <w:name w:val="修订1"/>
    <w:hidden/>
    <w:semiHidden/>
    <w:qFormat/>
    <w:uiPriority w:val="99"/>
    <w:rPr>
      <w:rFonts w:ascii="宋体" w:hAnsi="宋体" w:eastAsia="宋体" w:cs="宋体"/>
      <w:sz w:val="22"/>
      <w:szCs w:val="22"/>
      <w:lang w:val="zh-CN" w:eastAsia="zh-CN" w:bidi="zh-CN"/>
    </w:rPr>
  </w:style>
  <w:style w:type="character" w:customStyle="1" w:styleId="32">
    <w:name w:val="标题 3 Char"/>
    <w:basedOn w:val="15"/>
    <w:link w:val="4"/>
    <w:semiHidden/>
    <w:qFormat/>
    <w:uiPriority w:val="9"/>
    <w:rPr>
      <w:rFonts w:ascii="宋体" w:hAnsi="宋体" w:eastAsia="宋体" w:cs="宋体"/>
      <w:b/>
      <w:bCs/>
      <w:sz w:val="32"/>
      <w:szCs w:val="32"/>
      <w:lang w:val="zh-CN" w:eastAsia="zh-CN" w:bidi="zh-CN"/>
    </w:rPr>
  </w:style>
  <w:style w:type="paragraph" w:customStyle="1" w:styleId="33">
    <w:name w:val="修订2"/>
    <w:hidden/>
    <w:semiHidden/>
    <w:qFormat/>
    <w:uiPriority w:val="99"/>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92E1A8-CFF5-4B1A-949C-E44CB22C7222}">
  <ds:schemaRefs/>
</ds:datastoreItem>
</file>

<file path=docProps/app.xml><?xml version="1.0" encoding="utf-8"?>
<Properties xmlns="http://schemas.openxmlformats.org/officeDocument/2006/extended-properties" xmlns:vt="http://schemas.openxmlformats.org/officeDocument/2006/docPropsVTypes">
  <Template>Normal</Template>
  <Company>contoso</Company>
  <Pages>40</Pages>
  <Words>30434</Words>
  <Characters>30739</Characters>
  <Lines>273</Lines>
  <Paragraphs>77</Paragraphs>
  <TotalTime>4</TotalTime>
  <ScaleCrop>false</ScaleCrop>
  <LinksUpToDate>false</LinksUpToDate>
  <CharactersWithSpaces>31805</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2023-06-28T05:47:00Z</dcterms:created>
  <dc:creator>LIUJIAPENG</dc:creator>
  <cp:lastModifiedBy>lixuefei0618</cp:lastModifiedBy>
  <dcterms:modified xsi:type="dcterms:W3CDTF">2025-06-19T02:56:30Z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Creator">
    <vt:lpwstr>Microsoft® Word 2013</vt:lpwstr>
  </property>
  <property fmtid="{D5CDD505-2E9C-101B-9397-08002B2CF9AE}" pid="4" name="LastSaved">
    <vt:filetime>2018-06-08T00:00:00Z</vt:filetime>
  </property>
  <property fmtid="{D5CDD505-2E9C-101B-9397-08002B2CF9AE}" pid="5" name="KSOProductBuildVer">
    <vt:lpwstr>2052-12.8.2.18606</vt:lpwstr>
  </property>
  <property fmtid="{D5CDD505-2E9C-101B-9397-08002B2CF9AE}" pid="6" name="ICV">
    <vt:lpwstr>B53E02569D3542CBA7DF94CC258F0BAB_13</vt:lpwstr>
  </property>
</Properties>
</file>