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易方达恒生港股通创新药交易型开放式指数证券投资基金发起式联接基金（易方达恒生港股通创新药</w:t>
      </w:r>
      <w:r>
        <w:rPr>
          <w:rFonts w:ascii="方正仿宋简体" w:eastAsia="方正仿宋简体" w:hAnsiTheme="minorEastAsia" w:cs="仿宋_GB2312" w:hint="eastAsia"/>
          <w:kern w:val="0"/>
          <w:sz w:val="36"/>
          <w:szCs w:val="36"/>
        </w:rPr>
        <w:t>ETF</w:t>
      </w:r>
      <w:r>
        <w:rPr>
          <w:rFonts w:ascii="方正仿宋简体" w:eastAsia="方正仿宋简体" w:hAnsiTheme="minorEastAsia" w:cs="仿宋_GB2312" w:hint="eastAsia"/>
          <w:kern w:val="0"/>
          <w:sz w:val="36"/>
          <w:szCs w:val="36"/>
        </w:rPr>
        <w:t>联接发起式</w:t>
      </w:r>
      <w:r>
        <w:rPr>
          <w:rFonts w:ascii="方正仿宋简体" w:eastAsia="方正仿宋简体" w:hAnsiTheme="minorEastAsia" w:cs="仿宋_GB2312" w:hint="eastAsia"/>
          <w:kern w:val="0"/>
          <w:sz w:val="36"/>
          <w:szCs w:val="36"/>
        </w:rPr>
        <w:t>A</w:t>
      </w:r>
      <w:r>
        <w:rPr>
          <w:rFonts w:ascii="方正仿宋简体" w:eastAsia="方正仿宋简体" w:hAnsiTheme="minorEastAsia" w:cs="仿宋_GB2312" w:hint="eastAsia"/>
          <w:kern w:val="0"/>
          <w:sz w:val="36"/>
          <w:szCs w:val="36"/>
        </w:rPr>
        <w:t>）基金产品资料概要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2025</w:t>
      </w:r>
      <w:r w:rsidRPr="0086475C">
        <w:rPr>
          <w:rFonts w:ascii="方正仿宋简体" w:eastAsia="方正仿宋简体" w:hAnsi="方正仿宋简体" w:cs="方正仿宋简体" w:hint="eastAsia"/>
          <w:iCs/>
          <w:sz w:val="24"/>
          <w:szCs w:val="24"/>
        </w:rPr>
        <w:t>年</w:t>
      </w:r>
      <w:r>
        <w:rPr>
          <w:rFonts w:ascii="方正仿宋简体" w:eastAsia="方正仿宋简体" w:hAnsi="方正仿宋简体" w:cs="方正仿宋简体"/>
          <w:iCs/>
          <w:sz w:val="24"/>
          <w:szCs w:val="24"/>
        </w:rPr>
        <w:t>5</w:t>
      </w:r>
      <w:r w:rsidRPr="0086475C">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iCs/>
          <w:sz w:val="24"/>
          <w:szCs w:val="24"/>
        </w:rPr>
        <w:t>23</w:t>
      </w:r>
      <w:r w:rsidRPr="0086475C">
        <w:rPr>
          <w:rFonts w:ascii="方正仿宋简体" w:eastAsia="方正仿宋简体" w:hAnsi="方正仿宋简体" w:cs="方正仿宋简体" w:hint="eastAsia"/>
          <w:iCs/>
          <w:sz w:val="24"/>
          <w:szCs w:val="24"/>
        </w:rPr>
        <w:t>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2025</w:t>
      </w:r>
      <w:r>
        <w:rPr>
          <w:rFonts w:ascii="方正仿宋简体" w:eastAsia="方正仿宋简体" w:hAnsi="方正仿宋简体" w:cs="方正仿宋简体" w:hint="eastAsia"/>
          <w:iCs/>
          <w:sz w:val="24"/>
          <w:szCs w:val="24"/>
        </w:rPr>
        <w:t>年</w:t>
      </w:r>
      <w:r>
        <w:rPr>
          <w:rFonts w:ascii="方正仿宋简体" w:eastAsia="方正仿宋简体" w:hAnsi="方正仿宋简体" w:cs="方正仿宋简体"/>
          <w:iCs/>
          <w:sz w:val="24"/>
          <w:szCs w:val="24"/>
        </w:rPr>
        <w:t>5</w:t>
      </w:r>
      <w:r>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iCs/>
          <w:sz w:val="24"/>
          <w:szCs w:val="24"/>
        </w:rPr>
        <w:t>26</w:t>
      </w:r>
      <w:bookmarkStart w:id="0" w:name="_GoBack"/>
      <w:bookmarkEnd w:id="0"/>
      <w:r>
        <w:rPr>
          <w:rFonts w:ascii="方正仿宋简体" w:eastAsia="方正仿宋简体" w:hAnsi="方正仿宋简体" w:cs="方正仿宋简体" w:hint="eastAsia"/>
          <w:iCs/>
          <w:sz w:val="24"/>
          <w:szCs w:val="24"/>
        </w:rPr>
        <w:t>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易方达恒生港股通创新药</w:t>
            </w:r>
            <w:r>
              <w:rPr>
                <w:rFonts w:ascii="方正仿宋简体" w:eastAsia="方正仿宋简体" w:hAnsiTheme="minorEastAsia" w:cs="方正仿宋简体" w:hint="eastAsia"/>
                <w:iCs/>
              </w:rPr>
              <w:t>ETF</w:t>
            </w:r>
            <w:r>
              <w:rPr>
                <w:rFonts w:ascii="方正仿宋简体" w:eastAsia="方正仿宋简体" w:hAnsiTheme="minorEastAsia" w:cs="方正仿宋简体" w:hint="eastAsia"/>
                <w:iCs/>
              </w:rPr>
              <w:t>联接发起式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024328</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易方达恒生港股通创新药</w:t>
            </w:r>
            <w:r>
              <w:rPr>
                <w:rFonts w:ascii="方正仿宋简体" w:eastAsia="方正仿宋简体" w:hAnsiTheme="minorEastAsia" w:cs="方正仿宋简体"/>
                <w:iCs/>
              </w:rPr>
              <w:t>ETF</w:t>
            </w:r>
            <w:r>
              <w:rPr>
                <w:rFonts w:ascii="方正仿宋简体" w:eastAsia="方正仿宋简体" w:hAnsiTheme="minorEastAsia" w:cs="方正仿宋简体"/>
                <w:iCs/>
              </w:rPr>
              <w:t>联接发起式</w:t>
            </w:r>
            <w:r>
              <w:rPr>
                <w:rFonts w:ascii="方正仿宋简体" w:eastAsia="方正仿宋简体" w:hAnsiTheme="minorEastAsia" w:cs="方正仿宋简体"/>
                <w:iCs/>
              </w:rPr>
              <w:t>A</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024328</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招商银行股份有限公司</w:t>
            </w: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基金中基金</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成曦</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2008-07-10</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w:t>
            </w:r>
          </w:p>
        </w:tc>
        <w:tc>
          <w:tcPr>
            <w:tcW w:w="3855" w:type="pct"/>
            <w:gridSpan w:val="3"/>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1</w:t>
            </w:r>
            <w:r>
              <w:rPr>
                <w:rFonts w:ascii="方正仿宋简体" w:eastAsia="方正仿宋简体" w:hAnsiTheme="minorEastAsia" w:cs="方正仿宋简体" w:hint="eastAsia"/>
                <w:iCs/>
              </w:rPr>
              <w:t>、《基金合同》生效之日起三年后的年度对应日，若基金资产净值低于</w:t>
            </w:r>
            <w:r>
              <w:rPr>
                <w:rFonts w:ascii="方正仿宋简体" w:eastAsia="方正仿宋简体" w:hAnsiTheme="minorEastAsia" w:cs="方正仿宋简体" w:hint="eastAsia"/>
                <w:iCs/>
              </w:rPr>
              <w:t>2</w:t>
            </w:r>
            <w:r>
              <w:rPr>
                <w:rFonts w:ascii="方正仿宋简体" w:eastAsia="方正仿宋简体" w:hAnsiTheme="minorEastAsia" w:cs="方正仿宋简体" w:hint="eastAsia"/>
                <w:iCs/>
              </w:rPr>
              <w:t>亿元的，《基金合同》自动终止，不得通过召开基金份额持有人大会的方式延续。</w:t>
            </w:r>
          </w:p>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w:t>
            </w:r>
            <w:r>
              <w:rPr>
                <w:rFonts w:ascii="方正仿宋简体" w:eastAsia="方正仿宋简体" w:hAnsiTheme="minorEastAsia" w:cs="方正仿宋简体" w:hint="eastAsia"/>
                <w:iCs/>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Pr>
                <w:rFonts w:ascii="方正仿宋简体" w:eastAsia="方正仿宋简体" w:hAnsiTheme="minorEastAsia" w:cs="方正仿宋简体" w:hint="eastAsia"/>
                <w:iCs/>
              </w:rPr>
              <w:t>6</w:t>
            </w:r>
            <w:r>
              <w:rPr>
                <w:rFonts w:ascii="方正仿宋简体" w:eastAsia="方正仿宋简体" w:hAnsiTheme="minorEastAsia" w:cs="方正仿宋简体" w:hint="eastAsia"/>
                <w:iCs/>
              </w:rPr>
              <w:t>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w:t>
            </w:r>
            <w:r>
              <w:rPr>
                <w:rFonts w:ascii="方正仿宋简体" w:eastAsia="方正仿宋简体" w:hAnsiTheme="minorEastAsia" w:cs="方正仿宋简体" w:hint="eastAsia"/>
                <w:iCs/>
              </w:rPr>
              <w:t>金份额持有人利益优先原则维持基金投资运作。</w:t>
            </w:r>
          </w:p>
        </w:tc>
      </w:tr>
    </w:tbl>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紧密跟踪业绩比较基准，追求跟踪偏离度和跟踪误差的最小化。</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标的指数成份股及备选成份股（含存托凭证）、除标的指数成份股及备选成份股以外的其他股票（包括港股通标的股票、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w:t>
            </w:r>
            <w:r>
              <w:rPr>
                <w:rFonts w:ascii="方正仿宋简体" w:eastAsia="方正仿宋简体" w:hAnsiTheme="minorEastAsia" w:cs="仿宋_GB2312" w:hint="eastAsia"/>
                <w:kern w:val="0"/>
                <w:szCs w:val="24"/>
              </w:rPr>
              <w:t>规或监管机构以后允许基金投资其他品种，基金管理人在履行适当程序后，本基金可以将其纳入投资范围。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本基金将根据法律法规的规定参与转融通证券出借及融资业务。</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本基金投资于目标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的资产不低于基金资产净值的</w:t>
            </w:r>
            <w:r>
              <w:rPr>
                <w:rFonts w:ascii="方正仿宋简体" w:eastAsia="方正仿宋简体" w:hAnsiTheme="minorEastAsia" w:cs="仿宋_GB2312" w:hint="eastAsia"/>
                <w:kern w:val="0"/>
                <w:szCs w:val="24"/>
              </w:rPr>
              <w:t>90%</w:t>
            </w:r>
            <w:r>
              <w:rPr>
                <w:rFonts w:ascii="方正仿宋简体" w:eastAsia="方正仿宋简体" w:hAnsiTheme="minorEastAsia" w:cs="仿宋_GB2312" w:hint="eastAsia"/>
                <w:kern w:val="0"/>
                <w:szCs w:val="24"/>
              </w:rPr>
              <w:t>，保持不低于基金资产净值</w:t>
            </w:r>
            <w:r>
              <w:rPr>
                <w:rFonts w:ascii="方正仿宋简体" w:eastAsia="方正仿宋简体" w:hAnsiTheme="minorEastAsia" w:cs="仿宋_GB2312" w:hint="eastAsia"/>
                <w:kern w:val="0"/>
                <w:szCs w:val="24"/>
              </w:rPr>
              <w:t>5%</w:t>
            </w:r>
            <w:r>
              <w:rPr>
                <w:rFonts w:ascii="方正仿宋简体" w:eastAsia="方正仿宋简体" w:hAnsiTheme="minorEastAsia" w:cs="仿宋_GB2312" w:hint="eastAsia"/>
                <w:kern w:val="0"/>
                <w:szCs w:val="24"/>
              </w:rPr>
              <w:t>的现金或者到期日在一年以内的政府债券，其中现金不包括结算备付金、存出保证金和应收申购款等。</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本基金的标的指数为恒生港股通创新药指数，及其未来可能发生的变更。</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本基金为易方达恒生港股通创新药</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的联接基金，主要通过投资于易方达恒生港股通创新药</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实现对业绩比</w:t>
            </w:r>
            <w:r>
              <w:rPr>
                <w:rFonts w:ascii="方正仿宋简体" w:eastAsia="方正仿宋简体" w:hAnsiTheme="minorEastAsia" w:cs="仿宋_GB2312" w:hint="eastAsia"/>
                <w:kern w:val="0"/>
                <w:szCs w:val="24"/>
              </w:rPr>
              <w:t>较基准的紧密跟踪，力争将日均跟踪偏离度的绝对值控制在</w:t>
            </w:r>
            <w:r>
              <w:rPr>
                <w:rFonts w:ascii="方正仿宋简体" w:eastAsia="方正仿宋简体" w:hAnsiTheme="minorEastAsia" w:cs="仿宋_GB2312" w:hint="eastAsia"/>
                <w:kern w:val="0"/>
                <w:szCs w:val="24"/>
              </w:rPr>
              <w:t>0.35%</w:t>
            </w:r>
            <w:r>
              <w:rPr>
                <w:rFonts w:ascii="方正仿宋简体" w:eastAsia="方正仿宋简体" w:hAnsiTheme="minorEastAsia" w:cs="仿宋_GB2312" w:hint="eastAsia"/>
                <w:kern w:val="0"/>
                <w:szCs w:val="24"/>
              </w:rPr>
              <w:t>以内，年化跟踪误差控制在</w:t>
            </w:r>
            <w:r>
              <w:rPr>
                <w:rFonts w:ascii="方正仿宋简体" w:eastAsia="方正仿宋简体" w:hAnsiTheme="minorEastAsia" w:cs="仿宋_GB2312" w:hint="eastAsia"/>
                <w:kern w:val="0"/>
                <w:szCs w:val="24"/>
              </w:rPr>
              <w:t>4%</w:t>
            </w:r>
            <w:r>
              <w:rPr>
                <w:rFonts w:ascii="方正仿宋简体" w:eastAsia="方正仿宋简体" w:hAnsiTheme="minorEastAsia" w:cs="仿宋_GB2312" w:hint="eastAsia"/>
                <w:kern w:val="0"/>
                <w:szCs w:val="24"/>
              </w:rPr>
              <w:t>以内，主要投资策略包括目标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投资策略、股票（含存托凭证）投资策略、债券和货币市场工具投资策略、衍生品投资策略、参与转融通证券出借业务策略、融资业务策略等。</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恒生港股通创新药指数收益率（使用估值汇率折算）×</w:t>
            </w:r>
            <w:r>
              <w:rPr>
                <w:rFonts w:ascii="方正仿宋简体" w:eastAsia="方正仿宋简体" w:hAnsiTheme="minorEastAsia" w:cs="仿宋_GB2312" w:hint="eastAsia"/>
                <w:kern w:val="0"/>
                <w:szCs w:val="24"/>
              </w:rPr>
              <w:t>95%+</w:t>
            </w:r>
            <w:r>
              <w:rPr>
                <w:rFonts w:ascii="方正仿宋简体" w:eastAsia="方正仿宋简体" w:hAnsiTheme="minorEastAsia" w:cs="仿宋_GB2312" w:hint="eastAsia"/>
                <w:kern w:val="0"/>
                <w:szCs w:val="24"/>
              </w:rPr>
              <w:t>活期存款利率（税后）×</w:t>
            </w:r>
            <w:r>
              <w:rPr>
                <w:rFonts w:ascii="方正仿宋简体" w:eastAsia="方正仿宋简体" w:hAnsiTheme="minorEastAsia" w:cs="仿宋_GB2312" w:hint="eastAsia"/>
                <w:kern w:val="0"/>
                <w:szCs w:val="24"/>
              </w:rPr>
              <w:t>5%</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联接基金，预期风险与预期收益水平高于混合型基金、债券型基金与货币市场基金。本基金主要通过投资于目标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实现对业绩比较基准的紧密跟踪。因此，本基金的业绩表现与标的指数的表现密切相关。</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AD3A6F" w:rsidRPr="0086475C">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注：投资者可阅读《招募说</w:t>
      </w:r>
      <w:r>
        <w:rPr>
          <w:rFonts w:ascii="方正仿宋简体" w:eastAsia="方正仿宋简体" w:hAnsiTheme="minorEastAsia" w:cs="方正仿宋简体" w:hint="eastAsia"/>
          <w:iCs/>
          <w:szCs w:val="24"/>
        </w:rPr>
        <w:t>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申购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8"/>
        <w:gridCol w:w="1133"/>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w:t>
            </w:r>
            <w:r>
              <w:rPr>
                <w:rFonts w:ascii="方正仿宋简体" w:eastAsia="方正仿宋简体" w:hAnsi="方正仿宋简体" w:cs="方正仿宋简体" w:hint="eastAsia"/>
                <w:b/>
                <w:bCs/>
                <w:iCs/>
                <w:color w:val="000000" w:themeColor="text1"/>
              </w:rPr>
              <w:t>S</w:t>
            </w:r>
            <w:r>
              <w:rPr>
                <w:rFonts w:ascii="方正仿宋简体" w:eastAsia="方正仿宋简体" w:hAnsi="方正仿宋简体" w:cs="方正仿宋简体" w:hint="eastAsia"/>
                <w:b/>
                <w:bCs/>
                <w:iCs/>
                <w:color w:val="000000" w:themeColor="text1"/>
              </w:rPr>
              <w:t>）或金额（</w:t>
            </w:r>
            <w:r>
              <w:rPr>
                <w:rFonts w:ascii="方正仿宋简体" w:eastAsia="方正仿宋简体" w:hAnsi="方正仿宋简体" w:cs="方正仿宋简体" w:hint="eastAsia"/>
                <w:b/>
                <w:bCs/>
                <w:iCs/>
                <w:color w:val="000000" w:themeColor="text1"/>
              </w:rPr>
              <w:t>M</w:t>
            </w:r>
            <w:r>
              <w:rPr>
                <w:rFonts w:ascii="方正仿宋简体" w:eastAsia="方正仿宋简体" w:hAnsi="方正仿宋简体" w:cs="方正仿宋简体" w:hint="eastAsia"/>
                <w:b/>
                <w:bCs/>
                <w:iCs/>
                <w:color w:val="000000" w:themeColor="text1"/>
              </w:rPr>
              <w:t>）</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持有期限（</w:t>
            </w:r>
            <w:r>
              <w:rPr>
                <w:rFonts w:ascii="方正仿宋简体" w:eastAsia="方正仿宋简体" w:hAnsi="方正仿宋简体" w:cs="方正仿宋简体" w:hint="eastAsia"/>
                <w:b/>
                <w:bCs/>
                <w:iCs/>
                <w:color w:val="000000" w:themeColor="text1"/>
              </w:rPr>
              <w:t>N</w:t>
            </w:r>
            <w:r>
              <w:rPr>
                <w:rFonts w:ascii="方正仿宋简体" w:eastAsia="方正仿宋简体" w:hAnsi="方正仿宋简体" w:cs="方正仿宋简体" w:hint="eastAsia"/>
                <w:b/>
                <w:bCs/>
                <w:iCs/>
                <w:color w:val="000000" w:themeColor="text1"/>
              </w:rPr>
              <w:t>）</w:t>
            </w:r>
          </w:p>
        </w:tc>
        <w:tc>
          <w:tcPr>
            <w:tcW w:w="66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w:t>
            </w: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0.10%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通过本公司直销中心认</w:t>
            </w:r>
            <w:r>
              <w:rPr>
                <w:rFonts w:ascii="方正仿宋简体" w:eastAsia="方正仿宋简体" w:hAnsi="方正仿宋简体" w:cs="方正仿宋简体" w:hint="eastAsia"/>
                <w:bCs/>
                <w:iCs/>
              </w:rPr>
              <w:t>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w:t>
            </w:r>
            <w:r>
              <w:rPr>
                <w:rFonts w:ascii="方正仿宋简体" w:eastAsia="方正仿宋简体" w:hAnsi="方正仿宋简体" w:cs="方正仿宋简体" w:hint="eastAsia"/>
                <w:bCs/>
                <w:iCs/>
                <w:color w:val="000000" w:themeColor="text1"/>
              </w:rPr>
              <w:t>万元</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M &lt;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0.06%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M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w:t>
            </w:r>
            <w:r>
              <w:rPr>
                <w:rFonts w:ascii="方正仿宋简体" w:eastAsia="方正仿宋简体" w:hAnsi="方正仿宋简体" w:cs="方正仿宋简体" w:hint="eastAsia"/>
                <w:bCs/>
                <w:iCs/>
                <w:color w:val="000000" w:themeColor="text1"/>
              </w:rPr>
              <w:t>元</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1.00%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w:t>
            </w:r>
            <w:r>
              <w:rPr>
                <w:rFonts w:ascii="方正仿宋简体" w:eastAsia="方正仿宋简体" w:hAnsi="方正仿宋简体" w:cs="方正仿宋简体" w:hint="eastAsia"/>
                <w:bCs/>
                <w:iCs/>
                <w:color w:val="000000" w:themeColor="text1"/>
              </w:rPr>
              <w:t>万元</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M &lt;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0.60%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M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1000</w:t>
            </w:r>
            <w:r>
              <w:rPr>
                <w:rFonts w:ascii="方正仿宋简体" w:eastAsia="方正仿宋简体" w:hAnsi="方正仿宋简体" w:cs="方正仿宋简体" w:hint="eastAsia"/>
                <w:bCs/>
                <w:iCs/>
                <w:color w:val="000000" w:themeColor="text1"/>
              </w:rPr>
              <w:t>元</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0.12%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w:t>
            </w:r>
            <w:r>
              <w:rPr>
                <w:rFonts w:ascii="方正仿宋简体" w:eastAsia="方正仿宋简体" w:hAnsi="方正仿宋简体" w:cs="方正仿宋简体" w:hint="eastAsia"/>
                <w:bCs/>
                <w:iCs/>
                <w:color w:val="000000" w:themeColor="text1"/>
              </w:rPr>
              <w:t>万元</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M &lt;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0.08%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M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w:t>
            </w:r>
            <w:r>
              <w:rPr>
                <w:rFonts w:ascii="方正仿宋简体" w:eastAsia="方正仿宋简体" w:hAnsi="方正仿宋简体" w:cs="方正仿宋简体" w:hint="eastAsia"/>
                <w:bCs/>
                <w:iCs/>
                <w:color w:val="000000" w:themeColor="text1"/>
              </w:rPr>
              <w:t>元</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1.20%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w:t>
            </w:r>
            <w:r>
              <w:rPr>
                <w:rFonts w:ascii="方正仿宋简体" w:eastAsia="方正仿宋简体" w:hAnsi="方正仿宋简体" w:cs="方正仿宋简体" w:hint="eastAsia"/>
                <w:bCs/>
                <w:iCs/>
                <w:color w:val="000000" w:themeColor="text1"/>
              </w:rPr>
              <w:t>万元</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M &lt;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0.80%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M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500</w:t>
            </w:r>
            <w:r>
              <w:rPr>
                <w:rFonts w:ascii="方正仿宋简体" w:eastAsia="方正仿宋简体" w:hAnsi="方正仿宋简体" w:cs="方正仿宋简体" w:hint="eastAsia"/>
                <w:bCs/>
                <w:iCs/>
                <w:color w:val="000000" w:themeColor="text1"/>
              </w:rPr>
              <w:t>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1000</w:t>
            </w:r>
            <w:r>
              <w:rPr>
                <w:rFonts w:ascii="方正仿宋简体" w:eastAsia="方正仿宋简体" w:hAnsi="方正仿宋简体" w:cs="方正仿宋简体" w:hint="eastAsia"/>
                <w:bCs/>
                <w:iCs/>
                <w:color w:val="000000" w:themeColor="text1"/>
              </w:rPr>
              <w:t>元</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0</w:t>
            </w:r>
            <w:r>
              <w:rPr>
                <w:rFonts w:ascii="方正仿宋简体" w:eastAsia="方正仿宋简体" w:hAnsi="方正仿宋简体" w:cs="方正仿宋简体" w:hint="eastAsia"/>
                <w:bCs/>
                <w:iCs/>
                <w:color w:val="000000" w:themeColor="text1"/>
              </w:rPr>
              <w:t>天</w:t>
            </w:r>
            <w:r>
              <w:rPr>
                <w:rFonts w:ascii="方正仿宋简体" w:eastAsia="方正仿宋简体" w:hAnsi="方正仿宋简体" w:cs="方正仿宋简体" w:hint="eastAsia"/>
                <w:bCs/>
                <w:iCs/>
                <w:color w:val="000000" w:themeColor="text1"/>
              </w:rPr>
              <w:t xml:space="preserve"> &lt; N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6</w:t>
            </w:r>
            <w:r>
              <w:rPr>
                <w:rFonts w:ascii="方正仿宋简体" w:eastAsia="方正仿宋简体" w:hAnsi="方正仿宋简体" w:cs="方正仿宋简体" w:hint="eastAsia"/>
                <w:bCs/>
                <w:iCs/>
                <w:color w:val="000000" w:themeColor="text1"/>
              </w:rPr>
              <w:t>天</w:t>
            </w:r>
            <w:r>
              <w:rPr>
                <w:rFonts w:ascii="方正仿宋简体" w:eastAsia="方正仿宋简体" w:hAnsi="方正仿宋简体" w:cs="方正仿宋简体" w:hint="eastAsia"/>
                <w:bCs/>
                <w:iCs/>
                <w:color w:val="000000" w:themeColor="text1"/>
              </w:rPr>
              <w:t xml:space="preserve">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1.50%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N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7</w:t>
            </w:r>
            <w:r>
              <w:rPr>
                <w:rFonts w:ascii="方正仿宋简体" w:eastAsia="方正仿宋简体" w:hAnsi="方正仿宋简体" w:cs="方正仿宋简体" w:hint="eastAsia"/>
                <w:bCs/>
                <w:iCs/>
                <w:color w:val="000000" w:themeColor="text1"/>
              </w:rPr>
              <w:t>天</w:t>
            </w:r>
            <w:r>
              <w:rPr>
                <w:rFonts w:ascii="方正仿宋简体" w:eastAsia="方正仿宋简体" w:hAnsi="方正仿宋简体" w:cs="方正仿宋简体" w:hint="eastAsia"/>
                <w:bCs/>
                <w:iCs/>
                <w:color w:val="000000" w:themeColor="text1"/>
              </w:rPr>
              <w:t xml:space="preserve">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Pr>
          <w:rFonts w:ascii="方正仿宋简体" w:eastAsia="方正仿宋简体" w:hAnsi="方正仿宋简体" w:cs="方正仿宋简体" w:hint="eastAsia"/>
          <w:iCs/>
          <w:color w:val="000000" w:themeColor="text1"/>
        </w:rPr>
        <w:t>注：如果投资者多次认购、申购，认购费、申购费分别适用单笔认购、申购金额所对应的费率。</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年费率</w:t>
            </w:r>
            <w:r>
              <w:rPr>
                <w:rFonts w:ascii="方正仿宋简体" w:eastAsia="方正仿宋简体" w:hAnsi="方正仿宋简体" w:cs="方正仿宋简体" w:hint="eastAsia"/>
                <w:bCs/>
                <w:iCs/>
              </w:rPr>
              <w:t xml:space="preserve">0.50%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年费率</w:t>
            </w:r>
            <w:r>
              <w:rPr>
                <w:rFonts w:ascii="方正仿宋简体" w:eastAsia="方正仿宋简体" w:hAnsiTheme="minorEastAsia" w:cs="方正仿宋简体" w:hint="eastAsia"/>
                <w:bCs/>
                <w:iCs/>
              </w:rPr>
              <w:t xml:space="preserve">0.10%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详见招募说明书的基金费用与税收章节。</w:t>
            </w:r>
            <w:r>
              <w:rPr>
                <w:rFonts w:ascii="方正仿宋简体" w:eastAsia="方正仿宋简体" w:hAnsiTheme="minorEastAsia" w:cs="方正仿宋简体" w:hint="eastAsia"/>
                <w:bCs/>
                <w:iCs/>
              </w:rPr>
              <w:t xml:space="preserve">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sidRPr="003F6076">
        <w:rPr>
          <w:rFonts w:ascii="方正仿宋简体" w:eastAsia="方正仿宋简体" w:hAnsi="方正仿宋简体" w:cs="方正仿宋简体" w:hint="eastAsia"/>
          <w:bCs/>
          <w:iCs/>
        </w:rPr>
        <w:t>注：本基金的管理费按前一日基金资产净值扣除前一日所持有目标</w:t>
      </w:r>
      <w:r w:rsidRPr="003F6076">
        <w:rPr>
          <w:rFonts w:ascii="方正仿宋简体" w:eastAsia="方正仿宋简体" w:hAnsi="方正仿宋简体" w:cs="方正仿宋简体" w:hint="eastAsia"/>
          <w:bCs/>
          <w:iCs/>
        </w:rPr>
        <w:t>ETF</w:t>
      </w:r>
      <w:r w:rsidRPr="003F6076">
        <w:rPr>
          <w:rFonts w:ascii="方正仿宋简体" w:eastAsia="方正仿宋简体" w:hAnsi="方正仿宋简体" w:cs="方正仿宋简体" w:hint="eastAsia"/>
          <w:bCs/>
          <w:iCs/>
        </w:rPr>
        <w:t>公允价值后的余额（若为负数，则取</w:t>
      </w:r>
      <w:r w:rsidRPr="003F6076">
        <w:rPr>
          <w:rFonts w:ascii="方正仿宋简体" w:eastAsia="方正仿宋简体" w:hAnsi="方正仿宋简体" w:cs="方正仿宋简体" w:hint="eastAsia"/>
          <w:bCs/>
          <w:iCs/>
        </w:rPr>
        <w:t>0</w:t>
      </w:r>
      <w:r w:rsidRPr="003F6076">
        <w:rPr>
          <w:rFonts w:ascii="方正仿宋简体" w:eastAsia="方正仿宋简体" w:hAnsi="方正仿宋简体" w:cs="方正仿宋简体" w:hint="eastAsia"/>
          <w:bCs/>
          <w:iCs/>
        </w:rPr>
        <w:t>）的</w:t>
      </w:r>
      <w:r w:rsidRPr="003F6076">
        <w:rPr>
          <w:rFonts w:ascii="方正仿宋简体" w:eastAsia="方正仿宋简体" w:hAnsi="方正仿宋简体" w:cs="方正仿宋简体" w:hint="eastAsia"/>
          <w:bCs/>
          <w:iCs/>
        </w:rPr>
        <w:t>0.50%</w:t>
      </w:r>
      <w:r w:rsidRPr="003F6076">
        <w:rPr>
          <w:rFonts w:ascii="方正仿宋简体" w:eastAsia="方正仿宋简体" w:hAnsi="方正仿宋简体" w:cs="方正仿宋简体" w:hint="eastAsia"/>
          <w:bCs/>
          <w:iCs/>
        </w:rPr>
        <w:t>年费率计提。本基金的托管费按前一日基金资产净值扣除前一日所持有目标</w:t>
      </w:r>
      <w:r w:rsidRPr="003F6076">
        <w:rPr>
          <w:rFonts w:ascii="方正仿宋简体" w:eastAsia="方正仿宋简体" w:hAnsi="方正仿宋简体" w:cs="方正仿宋简体" w:hint="eastAsia"/>
          <w:bCs/>
          <w:iCs/>
        </w:rPr>
        <w:t>ETF</w:t>
      </w:r>
      <w:r w:rsidRPr="003F6076">
        <w:rPr>
          <w:rFonts w:ascii="方正仿宋简体" w:eastAsia="方正仿宋简体" w:hAnsi="方正仿宋简体" w:cs="方正仿宋简体" w:hint="eastAsia"/>
          <w:bCs/>
          <w:iCs/>
        </w:rPr>
        <w:t>公允价值后的余额（若为负数，则取</w:t>
      </w:r>
      <w:r w:rsidRPr="003F6076">
        <w:rPr>
          <w:rFonts w:ascii="方正仿宋简体" w:eastAsia="方正仿宋简体" w:hAnsi="方正仿宋简体" w:cs="方正仿宋简体" w:hint="eastAsia"/>
          <w:bCs/>
          <w:iCs/>
        </w:rPr>
        <w:t>0</w:t>
      </w:r>
      <w:r w:rsidRPr="003F6076">
        <w:rPr>
          <w:rFonts w:ascii="方正仿宋简体" w:eastAsia="方正仿宋简体" w:hAnsi="方正仿宋简体" w:cs="方正仿宋简体" w:hint="eastAsia"/>
          <w:bCs/>
          <w:iCs/>
        </w:rPr>
        <w:t>）的</w:t>
      </w:r>
      <w:r w:rsidRPr="003F6076">
        <w:rPr>
          <w:rFonts w:ascii="方正仿宋简体" w:eastAsia="方正仿宋简体" w:hAnsi="方正仿宋简体" w:cs="方正仿宋简体" w:hint="eastAsia"/>
          <w:bCs/>
          <w:iCs/>
        </w:rPr>
        <w:t>0.10%</w:t>
      </w:r>
      <w:r w:rsidRPr="003F6076">
        <w:rPr>
          <w:rFonts w:ascii="方正仿宋简体" w:eastAsia="方正仿宋简体" w:hAnsi="方正仿宋简体" w:cs="方正仿宋简体" w:hint="eastAsia"/>
          <w:bCs/>
          <w:iCs/>
        </w:rPr>
        <w:t>年费率计提。本基金交易证券、基金等产生的费用和税负，按实际发生额从基金资产扣除。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w:t>
      </w: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）指数化投资的风险，包括标的指数回报与股票市场平均回报偏离的风险、标的指数波动的风险、指数成份股集中于创新药主题公司的风险、部分成份股权重较大的风险、标的指数发布时间较短的风险、成</w:t>
      </w:r>
      <w:r>
        <w:rPr>
          <w:rFonts w:ascii="方正仿宋简体" w:eastAsia="方正仿宋简体" w:hAnsi="方正仿宋简体" w:cs="方正仿宋简体" w:hint="eastAsia"/>
          <w:iCs/>
        </w:rPr>
        <w:t>份股停牌的风险、基金分红特殊安排的风险、基金收益率与业绩比较基准收益率偏离的风险、跟踪误差控制未达约定目标的风险、标的指数值计算出错的风险、标的指数编制方案带来的风险、指数编制机构停止服务的风险；（</w:t>
      </w: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）联接基金的特殊风险，包括可能具有与目标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不同的风险收益特征及净值增长率的风险、目标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面临的风险可能直接或间接成为本基金的风险、由目标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的联接基金变更为直接投资目标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标的指数成份股及备选成份股的指数基金的风险；（</w:t>
      </w: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）通过内地与香港股票市场交易互联互通机制投资于港股通股票的风险；（</w:t>
      </w: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）投资特定品种</w:t>
      </w:r>
      <w:r>
        <w:rPr>
          <w:rFonts w:ascii="方正仿宋简体" w:eastAsia="方正仿宋简体" w:hAnsi="方正仿宋简体" w:cs="方正仿宋简体" w:hint="eastAsia"/>
          <w:iCs/>
        </w:rPr>
        <w:t>（包括股指期货、国债期货、股票期权等金融衍生品、资产支持证券、存托凭证等）的特有风险；（</w:t>
      </w:r>
      <w:r>
        <w:rPr>
          <w:rFonts w:ascii="方正仿宋简体" w:eastAsia="方正仿宋简体" w:hAnsi="方正仿宋简体" w:cs="方正仿宋简体" w:hint="eastAsia"/>
          <w:iCs/>
        </w:rPr>
        <w:t>5</w:t>
      </w:r>
      <w:r>
        <w:rPr>
          <w:rFonts w:ascii="方正仿宋简体" w:eastAsia="方正仿宋简体" w:hAnsi="方正仿宋简体" w:cs="方正仿宋简体" w:hint="eastAsia"/>
          <w:iCs/>
        </w:rPr>
        <w:t>）参与转融通证券出借业务的风险；（</w:t>
      </w:r>
      <w:r>
        <w:rPr>
          <w:rFonts w:ascii="方正仿宋简体" w:eastAsia="方正仿宋简体" w:hAnsi="方正仿宋简体" w:cs="方正仿宋简体" w:hint="eastAsia"/>
          <w:iCs/>
        </w:rPr>
        <w:t>6</w:t>
      </w:r>
      <w:r>
        <w:rPr>
          <w:rFonts w:ascii="方正仿宋简体" w:eastAsia="方正仿宋简体" w:hAnsi="方正仿宋简体" w:cs="方正仿宋简体" w:hint="eastAsia"/>
          <w:iCs/>
        </w:rPr>
        <w:t>）基金合同终止的风险等。本基金的特有风险及一般风险详见招募说明书的“风险揭示”部分。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w:t>
      </w:r>
      <w:r>
        <w:rPr>
          <w:rFonts w:ascii="方正仿宋简体" w:eastAsia="方正仿宋简体" w:hAnsi="方正仿宋简体" w:cs="方正仿宋简体" w:hint="eastAsia"/>
          <w:iCs/>
        </w:rPr>
        <w:t>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t>
      </w:r>
      <w:r>
        <w:rPr>
          <w:rFonts w:ascii="方正仿宋简体" w:eastAsia="方正仿宋简体" w:hAnsi="方正仿宋简体" w:cs="方正仿宋简体" w:hint="eastAsia"/>
          <w:iCs/>
        </w:rPr>
        <w:t>[www.efunds.com.cn][</w:t>
      </w:r>
      <w:r>
        <w:rPr>
          <w:rFonts w:ascii="方正仿宋简体" w:eastAsia="方正仿宋简体" w:hAnsi="方正仿宋简体" w:cs="方正仿宋简体" w:hint="eastAsia"/>
          <w:iCs/>
        </w:rPr>
        <w:t>客服电话</w:t>
      </w: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008818088]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w:t>
      </w:r>
      <w:r>
        <w:rPr>
          <w:rFonts w:ascii="方正仿宋简体" w:eastAsia="方正仿宋简体" w:hAnsi="方正仿宋简体" w:cs="方正仿宋简体" w:hint="eastAsia"/>
          <w:iCs/>
        </w:rPr>
        <w:t>、其他重要资料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6886"/>
    <w:rsid w:val="000E7720"/>
    <w:rsid w:val="000E7A0D"/>
    <w:rsid w:val="000F1A6B"/>
    <w:rsid w:val="000F2324"/>
    <w:rsid w:val="000F35E6"/>
    <w:rsid w:val="000F3A56"/>
    <w:rsid w:val="000F3B8E"/>
    <w:rsid w:val="000F4870"/>
    <w:rsid w:val="000F4ADF"/>
    <w:rsid w:val="000F51C6"/>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878"/>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2CA2"/>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Char"/>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2395F"/>
    <w:rPr>
      <w:sz w:val="18"/>
      <w:szCs w:val="18"/>
    </w:rPr>
  </w:style>
  <w:style w:type="paragraph" w:styleId="Footer">
    <w:name w:val="footer"/>
    <w:basedOn w:val="Normal"/>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2395F"/>
    <w:rPr>
      <w:sz w:val="18"/>
      <w:szCs w:val="18"/>
    </w:rPr>
  </w:style>
  <w:style w:type="paragraph" w:styleId="BalloonText">
    <w:name w:val="Balloon Text"/>
    <w:basedOn w:val="Normal"/>
    <w:link w:val="Char1"/>
    <w:uiPriority w:val="99"/>
    <w:semiHidden/>
    <w:unhideWhenUsed/>
    <w:rsid w:val="000676AA"/>
    <w:rPr>
      <w:sz w:val="18"/>
      <w:szCs w:val="18"/>
    </w:rPr>
  </w:style>
  <w:style w:type="character" w:customStyle="1" w:styleId="Char1">
    <w:name w:val="批注框文本 Char"/>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DefaultParagraphFont"/>
    <w:link w:val="FootnoteText"/>
    <w:qFormat/>
    <w:rsid w:val="00CC22C3"/>
    <w:rPr>
      <w:rFonts w:ascii="Calibri" w:eastAsia="宋体" w:hAnsi="Calibri" w:cs="Times New Roman"/>
      <w:sz w:val="18"/>
      <w:szCs w:val="24"/>
    </w:rPr>
  </w:style>
  <w:style w:type="character" w:customStyle="1" w:styleId="1Char">
    <w:name w:val="标题 1 Char"/>
    <w:basedOn w:val="DefaultParagraphFont"/>
    <w:link w:val="Heading1"/>
    <w:uiPriority w:val="9"/>
    <w:rsid w:val="0006758E"/>
    <w:rPr>
      <w:b/>
      <w:bCs/>
      <w:kern w:val="44"/>
      <w:sz w:val="44"/>
      <w:szCs w:val="44"/>
    </w:rPr>
  </w:style>
  <w:style w:type="paragraph" w:styleId="Revision">
    <w:name w:val="Revision"/>
    <w:hidden/>
    <w:uiPriority w:val="99"/>
    <w:semiHidden/>
    <w:rsid w:val="000E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CF4B-C798-41E5-BCF2-2F6CB2A0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