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93"/>
        <w:jc w:val="center"/>
        <w:outlineLvl w:val="0"/>
        <w:rPr>
          <w:rFonts w:hint="default" w:ascii="Times New Roman" w:hAnsi="Times New Roman" w:eastAsia="宋体" w:cs="Times New Roman"/>
          <w:b/>
          <w:bCs/>
          <w:color w:val="000000"/>
          <w:szCs w:val="18"/>
        </w:rPr>
      </w:pPr>
      <w:r>
        <w:rPr>
          <w:rFonts w:hint="default" w:ascii="Times New Roman" w:hAnsi="Times New Roman" w:eastAsia="宋体" w:cs="Times New Roman"/>
          <w:b/>
          <w:color w:val="000000"/>
          <w:spacing w:val="-17"/>
          <w:kern w:val="30"/>
          <w:szCs w:val="18"/>
        </w:rPr>
        <w:t>广州银行红棉理财现金管理类日添金2号（RTJ902）2025年一季度运作报告</w:t>
      </w:r>
    </w:p>
    <w:p>
      <w:pPr>
        <w:pStyle w:val="7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一、理财产品基本信息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6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产品名称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广州银行红棉理财现金管理类日添金2号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产品代码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RTJ902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银行业理财信息登记系统登记编码</w:t>
            </w:r>
          </w:p>
        </w:tc>
        <w:tc>
          <w:tcPr>
            <w:tcW w:w="6197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C1082721000120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产品运作方式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开放式净值型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产品收益类型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非保本浮动收益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产品类型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固定收益类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发行方式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公募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产品成立日</w:t>
            </w:r>
          </w:p>
        </w:tc>
        <w:tc>
          <w:tcPr>
            <w:tcW w:w="6197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2021年05月21日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产品管理人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Cs w:val="18"/>
              </w:rPr>
              <w:t>广州银行股份有限公司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产品托管人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上海浦东发展银行股份有限公司</w:t>
            </w:r>
          </w:p>
        </w:tc>
      </w:tr>
    </w:tbl>
    <w:p>
      <w:pPr>
        <w:pStyle w:val="3"/>
        <w:widowControl/>
        <w:spacing w:before="120" w:beforeAutospacing="0" w:after="120" w:afterAutospacing="0" w:line="360" w:lineRule="exact"/>
        <w:ind w:left="360" w:leftChars="200" w:firstLine="0" w:firstLineChars="0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</w:rPr>
        <w:t>二、宏观市场分析及产品运作回顾</w:t>
      </w:r>
    </w:p>
    <w:p>
      <w:pPr>
        <w:pStyle w:val="3"/>
        <w:widowControl/>
        <w:spacing w:before="120" w:beforeAutospacing="0" w:after="120" w:afterAutospacing="0" w:line="360" w:lineRule="exact"/>
        <w:ind w:left="360" w:leftChars="200" w:firstLine="0" w:firstLineChars="0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</w:rPr>
        <w:t>（一）宏观市场分析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szCs w:val="18"/>
        </w:rPr>
      </w:pPr>
      <w:r>
        <w:rPr>
          <w:rFonts w:hint="default" w:ascii="Times New Roman" w:hAnsi="Times New Roman" w:eastAsia="宋体" w:cs="Times New Roman"/>
          <w:szCs w:val="18"/>
        </w:rPr>
        <w:t>回顾一季度，债市始于低利率的起点，利率整体呈现波动上行走势。1月，央行暂停国债买卖操作，资金大幅收紧，短端国债收益率快速上行，10年国债收益率也最高上行至1.67%。但市场预期春节后资金面走松，叠加春节期间美国对华加征关税，节后10年国债收益率一度下破1.60%。2月至3月中旬，资金面维持均衡偏紧，叠加Deepseek科技突破引领风险偏好显著抬升，各期限国债收益率均快速上行，10年国债收益率最高上行至1.90%。3月下旬，资金面逐步走松，央行连续公开市场净投放，市场情绪好转，月末10年国债收益率收于1.81%。整体来看，债券收益率曲线呈现熊平走势，国债1年期、3年期、5年期、10年期和30年期分别较2024年末上行45bp、42bp、24bp、14bp和11bp。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szCs w:val="18"/>
        </w:rPr>
      </w:pPr>
      <w:r>
        <w:rPr>
          <w:rFonts w:hint="default" w:ascii="Times New Roman" w:hAnsi="Times New Roman" w:eastAsia="宋体" w:cs="Times New Roman"/>
          <w:szCs w:val="18"/>
        </w:rPr>
        <w:t>展望二季度，债市市场预计将继续围绕基本面修复、政策扰动和机构行为等因素展开交易。基本面上，部分数据显示经济基本面边际好转，但结构有所分化，叠加外部冲击存在不确定性，因此中期来看债市仍有下行空间。政策面上，适度宽松的货币政策的大方向不会改变，积极的财政政策将继续发力，但短期可能仍难以逆转经济形势。对债市而言，当前利率处于历史相对低位，尽管仍有下行空间，但利率波动将会明显增大。因此，二季度投资策略将以优质信用债作为产品底仓，适当搭配低波资产，同时加强交易思维，择机开展波段交易，在控制回撤的基础上增厚产品收益。我行将继续密切关注资金面变化、基本面修复、政策变动及外部市场冲击等扰动因素，积极把握市场调整中可能出现的交易和配置机会。</w:t>
      </w:r>
    </w:p>
    <w:p>
      <w:pPr>
        <w:pStyle w:val="3"/>
        <w:widowControl/>
        <w:spacing w:before="120" w:beforeAutospacing="0" w:after="120" w:afterAutospacing="0" w:line="360" w:lineRule="exact"/>
        <w:ind w:left="360" w:leftChars="200" w:firstLine="0" w:firstLineChars="0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</w:rPr>
        <w:t>（二）产品运作回顾</w:t>
      </w:r>
    </w:p>
    <w:p>
      <w:pPr>
        <w:pStyle w:val="3"/>
        <w:widowControl/>
        <w:spacing w:before="120" w:beforeAutospacing="0" w:after="120" w:afterAutospacing="0" w:line="360" w:lineRule="exact"/>
        <w:ind w:firstLine="360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本产品为现金管理类产品，风险评级为低风险，主要投资于具有良好流动性的同业存单、同业存款、现金及少量高等级信用债等固定收益类资产，运作稳健，力争长期优质投资回报。投资经理结合货币市场政策、债券市场走势以及产品申赎情况，灵活开展投资交易。2025年一季度，本产品采取灵活交易的投资策略，力争提升产品收益率，在资金利率走高的节点逐步配置长期限同业存单，提前锁定高息优质资产，积累资本利得，在充分享受债券市场投资收益的同时保障了产品的良好流动性。</w:t>
      </w:r>
      <w:bookmarkStart w:id="3" w:name="_GoBack"/>
      <w:bookmarkEnd w:id="3"/>
    </w:p>
    <w:p>
      <w:pPr>
        <w:pStyle w:val="7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三、产品表现</w:t>
      </w:r>
    </w:p>
    <w:p>
      <w:pPr>
        <w:pStyle w:val="7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（一）业绩表现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6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325" w:type="dxa"/>
          </w:tcPr>
          <w:p>
            <w:pPr>
              <w:pStyle w:val="8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报告日</w:t>
            </w:r>
          </w:p>
        </w:tc>
        <w:tc>
          <w:tcPr>
            <w:tcW w:w="6197" w:type="dxa"/>
          </w:tcPr>
          <w:p>
            <w:pPr>
              <w:pStyle w:val="8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2025年03月31日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325" w:type="dxa"/>
          </w:tcPr>
          <w:p>
            <w:pPr>
              <w:pStyle w:val="8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存续规模（份额）</w:t>
            </w:r>
          </w:p>
        </w:tc>
        <w:tc>
          <w:tcPr>
            <w:tcW w:w="6197" w:type="dxa"/>
            <w:vAlign w:val="bottom"/>
          </w:tcPr>
          <w:p>
            <w:pPr>
              <w:pStyle w:val="8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1,064,697,983.61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pStyle w:val="8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份额单位净值</w:t>
            </w:r>
          </w:p>
        </w:tc>
        <w:tc>
          <w:tcPr>
            <w:tcW w:w="6197" w:type="dxa"/>
            <w:vAlign w:val="bottom"/>
          </w:tcPr>
          <w:p>
            <w:pPr>
              <w:pStyle w:val="8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pStyle w:val="8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份额累计净值</w:t>
            </w:r>
          </w:p>
        </w:tc>
        <w:tc>
          <w:tcPr>
            <w:tcW w:w="6197" w:type="dxa"/>
            <w:vAlign w:val="bottom"/>
          </w:tcPr>
          <w:p>
            <w:pPr>
              <w:pStyle w:val="8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pStyle w:val="8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期末资产净值</w:t>
            </w:r>
          </w:p>
        </w:tc>
        <w:tc>
          <w:tcPr>
            <w:tcW w:w="6197" w:type="dxa"/>
            <w:vAlign w:val="bottom"/>
          </w:tcPr>
          <w:p>
            <w:pPr>
              <w:pStyle w:val="8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1,064,697,983.61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pStyle w:val="8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近七日年化收益率（%）</w:t>
            </w:r>
          </w:p>
        </w:tc>
        <w:tc>
          <w:tcPr>
            <w:tcW w:w="6197" w:type="dxa"/>
            <w:vAlign w:val="bottom"/>
          </w:tcPr>
          <w:p>
            <w:pPr>
              <w:pStyle w:val="8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1.53</w:t>
            </w:r>
          </w:p>
        </w:tc>
      </w:tr>
    </w:tbl>
    <w:p>
      <w:pPr>
        <w:pStyle w:val="7"/>
        <w:spacing w:line="360" w:lineRule="exact"/>
        <w:ind w:left="0" w:leftChars="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注：报告期末本产品杠杆率为100.10%</w:t>
      </w:r>
    </w:p>
    <w:p>
      <w:pPr>
        <w:pStyle w:val="7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（二）产品投资资产种类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Cs w:val="18"/>
        </w:rPr>
        <w:t>截止2025年3月末，本产品的投资状况如下：</w:t>
      </w:r>
    </w:p>
    <w:tbl>
      <w:tblPr>
        <w:tblStyle w:val="4"/>
        <w:tblW w:w="85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556"/>
        <w:gridCol w:w="1482"/>
        <w:gridCol w:w="1482"/>
        <w:gridCol w:w="1482"/>
        <w:gridCol w:w="14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序号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资产品种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穿透前资产金额</w:t>
            </w:r>
          </w:p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（万元）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占组合总资产</w:t>
            </w:r>
          </w:p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比例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穿透后资产金额</w:t>
            </w:r>
          </w:p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（万元）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占组合总资产</w:t>
            </w:r>
          </w:p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比例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固定收益类资产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106,572.79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100.00%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106,572.79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bidi="ar"/>
              </w:rPr>
              <w:t>其中：债券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95,608.87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89.71%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95,608.87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89.71%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bidi="ar"/>
              </w:rPr>
              <w:t>存款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10,963.92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10.29%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10,963.92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10.29%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bidi="ar"/>
              </w:rPr>
              <w:t>其他债权类资产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买入返售金融资产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公募基金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权益类资产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bidi="ar"/>
              </w:rPr>
              <w:t>其中：股票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bidi="ar"/>
              </w:rPr>
              <w:t>其他股权类资产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资产管理产品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-</w:t>
            </w:r>
          </w:p>
        </w:tc>
      </w:tr>
    </w:tbl>
    <w:p>
      <w:pPr>
        <w:pStyle w:val="7"/>
        <w:spacing w:line="360" w:lineRule="exact"/>
        <w:ind w:left="0" w:leftChars="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注：占比结果保留两位小数，可能存在尾差。</w:t>
      </w:r>
    </w:p>
    <w:p>
      <w:pPr>
        <w:pStyle w:val="7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（三）前十大资产持仓情况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Cs w:val="18"/>
        </w:rPr>
        <w:t>截止2025年3月末，本产品的前十大资产持仓情况如下：</w:t>
      </w:r>
    </w:p>
    <w:tbl>
      <w:tblPr>
        <w:tblStyle w:val="4"/>
        <w:tblW w:w="81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4"/>
        <w:gridCol w:w="3309"/>
        <w:gridCol w:w="1980"/>
        <w:gridCol w:w="18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序号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资产名称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持有金额（万元）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占比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1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恒丰银行股份有限公司存放同业GZ-HF-20240620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10,163.88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9.55%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24成都银行CD101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9,976.51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9.37%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3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24徽商银行CD083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8,978.77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8.43%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4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24东莞农村商业银行CD052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7,976.23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7.49%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5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22江开06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7,706.96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7.24%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6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24深圳农商银行CD133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6,994.84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6.57%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7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24上海农商银行CD026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4,988.16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4.69%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8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24成都农商银行CD038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4,985.50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4.68%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9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24中信银行CD185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4,981.17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4.68%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10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24农业银行CD273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4,928.00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4.63%</w:t>
            </w:r>
          </w:p>
        </w:tc>
      </w:tr>
    </w:tbl>
    <w:p>
      <w:pPr>
        <w:pStyle w:val="7"/>
        <w:spacing w:line="360" w:lineRule="exact"/>
        <w:ind w:left="0" w:leftChars="0"/>
        <w:outlineLvl w:val="9"/>
        <w:rPr>
          <w:rFonts w:hint="default" w:ascii="Times New Roman" w:hAnsi="Times New Roman" w:eastAsia="宋体" w:cs="Times New Roman"/>
          <w:color w:val="000000"/>
        </w:rPr>
      </w:pPr>
      <w:r>
        <w:rPr>
          <w:rFonts w:hint="default" w:ascii="Times New Roman" w:hAnsi="Times New Roman" w:eastAsia="宋体" w:cs="Times New Roman"/>
        </w:rPr>
        <w:t>注：占比结果保留两位小数，可能存在尾差。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  <w:t>）非标资产明细</w:t>
      </w:r>
    </w:p>
    <w:tbl>
      <w:tblPr>
        <w:tblStyle w:val="4"/>
        <w:tblW w:w="922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"/>
        <w:gridCol w:w="1425"/>
        <w:gridCol w:w="2520"/>
        <w:gridCol w:w="1503"/>
        <w:gridCol w:w="1080"/>
        <w:gridCol w:w="1110"/>
        <w:gridCol w:w="10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项目名称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融资客户名称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交易结构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收益率（%)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剩余期限（月）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风险情况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无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</w:tr>
    </w:tbl>
    <w:p>
      <w:pPr>
        <w:pStyle w:val="7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</w:t>
      </w:r>
      <w:r>
        <w:rPr>
          <w:rFonts w:hint="default" w:ascii="Times New Roman" w:hAnsi="Times New Roman" w:eastAsia="宋体" w:cs="Times New Roman"/>
          <w:lang w:eastAsia="zh-CN"/>
        </w:rPr>
        <w:t>五</w:t>
      </w:r>
      <w:r>
        <w:rPr>
          <w:rFonts w:hint="default" w:ascii="Times New Roman" w:hAnsi="Times New Roman" w:eastAsia="宋体" w:cs="Times New Roman"/>
        </w:rPr>
        <w:t>）报告期内关联交易情况</w:t>
      </w:r>
    </w:p>
    <w:p>
      <w:pPr>
        <w:pStyle w:val="7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1.</w:t>
      </w:r>
      <w:bookmarkStart w:id="0" w:name="OLE_LINK2"/>
      <w:bookmarkStart w:id="1" w:name="OLE_LINK5"/>
      <w:bookmarkStart w:id="2" w:name="OLE_LINK4"/>
      <w:r>
        <w:rPr>
          <w:rFonts w:hint="default" w:ascii="Times New Roman" w:hAnsi="Times New Roman" w:eastAsia="宋体" w:cs="Times New Roman"/>
          <w:sz w:val="18"/>
          <w:szCs w:val="18"/>
        </w:rPr>
        <w:t>本产品在报告期内全部关联交易均按照公允价格开展，</w:t>
      </w:r>
      <w:r>
        <w:rPr>
          <w:rFonts w:hint="default" w:ascii="Times New Roman" w:hAnsi="Times New Roman" w:eastAsia="宋体" w:cs="Times New Roman"/>
        </w:rPr>
        <w:t>产品持有关联方发行或承销的证券</w:t>
      </w:r>
      <w:r>
        <w:rPr>
          <w:rFonts w:hint="default" w:ascii="Times New Roman" w:hAnsi="Times New Roman" w:eastAsia="宋体" w:cs="Times New Roman"/>
          <w:lang w:eastAsia="zh-CN"/>
        </w:rPr>
        <w:t>情况如下：</w:t>
      </w:r>
      <w:bookmarkEnd w:id="0"/>
      <w:bookmarkEnd w:id="1"/>
      <w:bookmarkEnd w:id="2"/>
    </w:p>
    <w:tbl>
      <w:tblPr>
        <w:tblStyle w:val="9"/>
        <w:tblW w:w="7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038"/>
        <w:gridCol w:w="1038"/>
        <w:gridCol w:w="1038"/>
        <w:gridCol w:w="1038"/>
        <w:gridCol w:w="122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序号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证券简称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证券类别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持有数量(份)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持有金额（万元）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关联方名称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关联方角色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1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22广州工投MTN002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债券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200,000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2,040.31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广州工业投资控股集团有限公司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eastAsia="zh-CN" w:bidi="ar"/>
              </w:rPr>
              <w:t>发行人</w:t>
            </w:r>
          </w:p>
        </w:tc>
      </w:tr>
    </w:tbl>
    <w:p>
      <w:pPr>
        <w:pStyle w:val="7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2.其他重大关联交易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Cs w:val="18"/>
          <w:lang w:eastAsia="zh-CN"/>
        </w:rPr>
        <w:t>无</w:t>
      </w:r>
      <w:r>
        <w:rPr>
          <w:rFonts w:hint="default" w:ascii="Times New Roman" w:hAnsi="Times New Roman" w:eastAsia="宋体" w:cs="Times New Roman"/>
          <w:color w:val="000000"/>
          <w:szCs w:val="18"/>
        </w:rPr>
        <w:t>。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六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投资账户信息</w:t>
      </w:r>
    </w:p>
    <w:tbl>
      <w:tblPr>
        <w:tblStyle w:val="4"/>
        <w:tblW w:w="985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4"/>
        <w:gridCol w:w="1504"/>
        <w:gridCol w:w="2416"/>
        <w:gridCol w:w="3250"/>
        <w:gridCol w:w="161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账户类型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账户编号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账户名称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开户单位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托管账户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82010078801100005762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广州银行红棉理财现金管理类日添金2号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上海浦东发展银行股份有限公司广州分行</w:t>
            </w:r>
          </w:p>
        </w:tc>
      </w:tr>
    </w:tbl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（七）产品流动性风险分析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本产品流动性风险整体可控。我行根据产品组合存续期限，利用长、短久期资产进行组合配置，视市场行情动态调整组合仓位，有效降低了流动性风险。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</w:rPr>
        <w:t>本产品运作至今，运作平稳。我行承诺以诚实信用、勤勉尽责的原则管理和运用本产品资产，但不保证产品一定盈利。本产品的过往业绩并不代表其未来表现。投资有风险，敬请投资者留意本产品公告。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</w:rPr>
        <w:t>感谢您一直以来对广州银行的支持！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</w:p>
    <w:p>
      <w:pPr>
        <w:pStyle w:val="10"/>
        <w:spacing w:line="360" w:lineRule="exact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广州银行股份有限公司</w:t>
      </w:r>
    </w:p>
    <w:p>
      <w:pPr>
        <w:pStyle w:val="10"/>
        <w:spacing w:line="360" w:lineRule="exact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2025年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18"/>
          <w:szCs w:val="18"/>
        </w:rPr>
        <w:t>月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sz w:val="18"/>
          <w:szCs w:val="18"/>
        </w:rPr>
        <w:t>日</w:t>
      </w:r>
    </w:p>
    <w:p>
      <w:pPr>
        <w:pStyle w:val="10"/>
        <w:outlineLvl w:val="9"/>
        <w:rPr>
          <w:rFonts w:hint="default" w:ascii="Times New Roman" w:hAnsi="Times New Roman" w:eastAsia="宋体" w:cs="Times New Roman"/>
        </w:rPr>
      </w:pPr>
    </w:p>
    <w:p>
      <w:pPr>
        <w:ind w:firstLine="360"/>
        <w:rPr>
          <w:rFonts w:hint="default"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360"/>
      </w:pPr>
      <w:r>
        <w:separator/>
      </w:r>
    </w:p>
  </w:endnote>
  <w:endnote w:type="continuationSeparator" w:id="1">
    <w:p>
      <w:pPr>
        <w:spacing w:line="240" w:lineRule="auto"/>
        <w:ind w:firstLine="3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360"/>
      </w:pPr>
      <w:r>
        <w:separator/>
      </w:r>
    </w:p>
  </w:footnote>
  <w:footnote w:type="continuationSeparator" w:id="1">
    <w:p>
      <w:pPr>
        <w:spacing w:line="300" w:lineRule="auto"/>
        <w:ind w:firstLine="3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YjU4ZjJjY2EzMDM5Zjk5ZGJkMmY4NDliOGM5MmYifQ=="/>
    <w:docVar w:name="KSO_WPS_MARK_KEY" w:val="456123eb-09c3-4634-9b0c-d415478d54ab"/>
  </w:docVars>
  <w:rsids>
    <w:rsidRoot w:val="00F50AC4"/>
    <w:rsid w:val="0076745A"/>
    <w:rsid w:val="00C46B00"/>
    <w:rsid w:val="00F50AC4"/>
    <w:rsid w:val="00FB621A"/>
    <w:rsid w:val="01AE58D5"/>
    <w:rsid w:val="0239189C"/>
    <w:rsid w:val="02E60066"/>
    <w:rsid w:val="03034B2C"/>
    <w:rsid w:val="033E1042"/>
    <w:rsid w:val="0520397D"/>
    <w:rsid w:val="058977F8"/>
    <w:rsid w:val="0F390DF3"/>
    <w:rsid w:val="0F3F1E29"/>
    <w:rsid w:val="0F5C5FC9"/>
    <w:rsid w:val="129C0200"/>
    <w:rsid w:val="156825AE"/>
    <w:rsid w:val="16E61161"/>
    <w:rsid w:val="17BE768B"/>
    <w:rsid w:val="19497EA9"/>
    <w:rsid w:val="1B333985"/>
    <w:rsid w:val="1DC449F9"/>
    <w:rsid w:val="1F0A3D6A"/>
    <w:rsid w:val="1FC43482"/>
    <w:rsid w:val="21B91832"/>
    <w:rsid w:val="25C63D00"/>
    <w:rsid w:val="2AD36B13"/>
    <w:rsid w:val="2DCE5007"/>
    <w:rsid w:val="2EA5279B"/>
    <w:rsid w:val="2F7A4CC8"/>
    <w:rsid w:val="32940287"/>
    <w:rsid w:val="339907CE"/>
    <w:rsid w:val="349A3209"/>
    <w:rsid w:val="34C94D5B"/>
    <w:rsid w:val="3A156715"/>
    <w:rsid w:val="3A38388B"/>
    <w:rsid w:val="3E1511E9"/>
    <w:rsid w:val="3E2648D0"/>
    <w:rsid w:val="42D62C89"/>
    <w:rsid w:val="459D124E"/>
    <w:rsid w:val="47A161FD"/>
    <w:rsid w:val="489402DF"/>
    <w:rsid w:val="4A274F12"/>
    <w:rsid w:val="51634F17"/>
    <w:rsid w:val="53DC30D6"/>
    <w:rsid w:val="54917B3F"/>
    <w:rsid w:val="54AF79BD"/>
    <w:rsid w:val="556F11AB"/>
    <w:rsid w:val="580C6034"/>
    <w:rsid w:val="59AB7E51"/>
    <w:rsid w:val="5A0A422E"/>
    <w:rsid w:val="605E017C"/>
    <w:rsid w:val="628277C2"/>
    <w:rsid w:val="659A46F1"/>
    <w:rsid w:val="65CD5D2C"/>
    <w:rsid w:val="69046F5A"/>
    <w:rsid w:val="76BD0385"/>
    <w:rsid w:val="79805C52"/>
    <w:rsid w:val="7E267674"/>
    <w:rsid w:val="7F96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420" w:firstLineChars="200"/>
      <w:jc w:val="both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6">
    <w:name w:val="标题 1 字符"/>
    <w:link w:val="2"/>
    <w:qFormat/>
    <w:uiPriority w:val="0"/>
    <w:rPr>
      <w:rFonts w:ascii="Calibri" w:hAnsi="Calibri" w:eastAsia="宋体" w:cs="Times New Roman"/>
      <w:b/>
      <w:kern w:val="44"/>
      <w:sz w:val="18"/>
    </w:rPr>
  </w:style>
  <w:style w:type="paragraph" w:customStyle="1" w:styleId="7">
    <w:name w:val="标题（一）"/>
    <w:basedOn w:val="1"/>
    <w:qFormat/>
    <w:uiPriority w:val="0"/>
    <w:pPr>
      <w:widowControl/>
      <w:spacing w:before="120" w:after="120" w:line="360" w:lineRule="atLeast"/>
      <w:ind w:left="420" w:leftChars="200" w:firstLine="0" w:firstLineChars="0"/>
      <w:jc w:val="left"/>
      <w:outlineLvl w:val="0"/>
    </w:pPr>
    <w:rPr>
      <w:rFonts w:hint="eastAsia" w:ascii="宋体" w:hAnsi="宋体"/>
      <w:color w:val="000000" w:themeColor="text1"/>
      <w:kern w:val="0"/>
      <w:szCs w:val="18"/>
      <w14:textFill>
        <w14:solidFill>
          <w14:schemeClr w14:val="tx1"/>
        </w14:solidFill>
      </w14:textFill>
    </w:rPr>
  </w:style>
  <w:style w:type="paragraph" w:customStyle="1" w:styleId="8">
    <w:name w:val="表格"/>
    <w:basedOn w:val="1"/>
    <w:qFormat/>
    <w:uiPriority w:val="0"/>
    <w:pPr>
      <w:ind w:firstLine="0" w:firstLineChars="0"/>
      <w:jc w:val="left"/>
    </w:pPr>
    <w:rPr>
      <w:rFonts w:hint="eastAsia" w:ascii="宋体" w:hAnsi="宋体" w:cs="宋体"/>
      <w:color w:val="000000"/>
      <w:szCs w:val="18"/>
    </w:rPr>
  </w:style>
  <w:style w:type="table" w:customStyle="1" w:styleId="9">
    <w:name w:val="dqbgxx"/>
    <w:basedOn w:val="4"/>
    <w:qFormat/>
    <w:uiPriority w:val="99"/>
    <w:pPr>
      <w:spacing w:line="288" w:lineRule="auto"/>
      <w:jc w:val="center"/>
    </w:pPr>
    <w:rPr>
      <w:rFonts w:eastAsia="黑体"/>
      <w:color w:val="000000"/>
      <w:sz w:val="22"/>
    </w:rPr>
    <w:tblPr>
      <w:tblBorders>
        <w:top w:val="single" w:color="auto" w:sz="4" w:space="0"/>
        <w:bottom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  <w:tblStylePr w:type="firstRow">
      <w:rPr>
        <w:rFonts w:eastAsia="黑体"/>
        <w:b/>
        <w:sz w:val="22"/>
      </w:rPr>
    </w:tblStylePr>
    <w:tblStylePr w:type="firstCol">
      <w:rPr>
        <w:rFonts w:eastAsia="黑体"/>
        <w:b/>
      </w:rPr>
    </w:tblStylePr>
  </w:style>
  <w:style w:type="paragraph" w:customStyle="1" w:styleId="10">
    <w:name w:val="结尾"/>
    <w:basedOn w:val="1"/>
    <w:qFormat/>
    <w:uiPriority w:val="0"/>
    <w:pPr>
      <w:widowControl/>
      <w:spacing w:before="120" w:after="120" w:line="360" w:lineRule="atLeast"/>
      <w:ind w:firstLine="0" w:firstLineChars="0"/>
      <w:jc w:val="center"/>
      <w:outlineLvl w:val="0"/>
    </w:pPr>
    <w:rPr>
      <w:rFonts w:hint="eastAsia" w:ascii="宋体" w:hAnsi="宋体"/>
      <w:kern w:val="0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1102</Words>
  <Characters>1487</Characters>
  <Lines>9</Lines>
  <Paragraphs>2</Paragraphs>
  <TotalTime>1</TotalTime>
  <ScaleCrop>false</ScaleCrop>
  <LinksUpToDate>false</LinksUpToDate>
  <CharactersWithSpaces>1487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w_wangweihua</dc:creator>
  <cp:lastModifiedBy>Echo</cp:lastModifiedBy>
  <dcterms:modified xsi:type="dcterms:W3CDTF">2025-04-11T03:10:34Z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9BDF439C12E24BB4BA889544F83A5C0E_13</vt:lpwstr>
  </property>
</Properties>
</file>