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/>
        <w:jc w:val="center"/>
        <w:outlineLvl w:val="0"/>
        <w:rPr>
          <w:rStyle w:val="5"/>
          <w:rFonts w:hint="default" w:ascii="Times New Roman" w:hAnsi="Times New Roman" w:eastAsia="宋体" w:cs="Times New Roman"/>
          <w:color w:val="000000"/>
          <w:szCs w:val="18"/>
        </w:rPr>
      </w:pPr>
      <w:r>
        <w:rPr>
          <w:rStyle w:val="5"/>
          <w:rFonts w:hint="default" w:ascii="Times New Roman" w:hAnsi="Times New Roman" w:eastAsia="宋体" w:cs="Times New Roman"/>
          <w:color w:val="000000"/>
          <w:szCs w:val="18"/>
        </w:rPr>
        <w:t>广州银行红棉理财·智选系列理财产品（ZX23A01A044）2025年一季度运作报告</w:t>
      </w:r>
    </w:p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一、理财产品基本信息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6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产品名称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广州银行红棉理财·智选系列理财产品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产品代码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ZX23A01A044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银行业理财信息登记系统登记编码</w:t>
            </w:r>
          </w:p>
        </w:tc>
        <w:tc>
          <w:tcPr>
            <w:tcW w:w="6197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C1082723000088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产品运作方式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封闭式净值型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产品收益类型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非保本浮动收益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产品类型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固定收益类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发行方式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公募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业绩比较基准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3.00%-3.70%。业绩比较基准不构成广州银行对理财产品的任何收益承诺，仅作为计提业绩报酬的依据。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产品成立日</w:t>
            </w:r>
          </w:p>
        </w:tc>
        <w:tc>
          <w:tcPr>
            <w:tcW w:w="6197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2024年06月26日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产品到期日</w:t>
            </w:r>
          </w:p>
        </w:tc>
        <w:tc>
          <w:tcPr>
            <w:tcW w:w="6197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2025年07月22日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产品管理人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广州银行股份有限公司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产品托管人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中国工商银行股份有限公司</w:t>
            </w:r>
          </w:p>
        </w:tc>
      </w:tr>
    </w:tbl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二、产品表现</w:t>
      </w:r>
    </w:p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（一）业绩表现</w:t>
      </w:r>
    </w:p>
    <w:tbl>
      <w:tblPr>
        <w:tblStyle w:val="3"/>
        <w:tblW w:w="10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560"/>
        <w:gridCol w:w="1134"/>
        <w:gridCol w:w="1565"/>
        <w:gridCol w:w="1134"/>
        <w:gridCol w:w="1134"/>
        <w:gridCol w:w="1560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12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产品代码</w:t>
            </w:r>
          </w:p>
        </w:tc>
        <w:tc>
          <w:tcPr>
            <w:tcW w:w="156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销售代码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估值日期</w:t>
            </w:r>
          </w:p>
        </w:tc>
        <w:tc>
          <w:tcPr>
            <w:tcW w:w="1565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份额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单位净值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累计净值</w:t>
            </w:r>
          </w:p>
        </w:tc>
        <w:tc>
          <w:tcPr>
            <w:tcW w:w="156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资产净值（元）</w:t>
            </w:r>
          </w:p>
        </w:tc>
        <w:tc>
          <w:tcPr>
            <w:tcW w:w="1347" w:type="dxa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成立以来年化收益率（%）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12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ZX23A01A044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ZX23A01A044A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2025-03-31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7,402,373.00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1.0194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1.0194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7,546,670.07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36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ZX23A01A044B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2025-03-31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28,370,936.00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1.0202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1.0202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28,946,094.86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ZX23A01A044C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2025-03-31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5,465,000.00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1.0202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1.0202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5,575,790.98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center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ZX23A01A044D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2025-03-31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24,173,499.00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1.0194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1.0194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24,644,721.35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2.54</w:t>
            </w:r>
          </w:p>
        </w:tc>
      </w:tr>
    </w:tbl>
    <w:p>
      <w:pPr>
        <w:pStyle w:val="6"/>
        <w:spacing w:line="360" w:lineRule="exact"/>
        <w:ind w:left="0" w:leftChars="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注：报告期末本产品杠杆率为100.22%</w:t>
      </w:r>
    </w:p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（二）产品投资资产种类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Cs w:val="18"/>
        </w:rPr>
        <w:t>截止2025年3月末，本产品的投资状况如下：</w:t>
      </w:r>
    </w:p>
    <w:tbl>
      <w:tblPr>
        <w:tblStyle w:val="3"/>
        <w:tblW w:w="85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556"/>
        <w:gridCol w:w="1482"/>
        <w:gridCol w:w="1482"/>
        <w:gridCol w:w="1482"/>
        <w:gridCol w:w="14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资产品种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穿透前资产金额</w:t>
            </w:r>
          </w:p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（万元）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占组合总资产</w:t>
            </w:r>
          </w:p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比例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穿透后资产金额</w:t>
            </w:r>
          </w:p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（万元）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占组合总资产</w:t>
            </w:r>
          </w:p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固定收益类资产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6,685.77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100.00%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6,685.77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bidi="ar"/>
              </w:rPr>
              <w:t>其中：债券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5,219.56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78.07%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5,219.56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78.07%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bidi="ar"/>
              </w:rPr>
              <w:t>存款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265.27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3.97%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265.27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3.97%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bidi="ar"/>
              </w:rPr>
              <w:t>其他债权类资产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1,200.94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17.96%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1,200.94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17.96%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买入返售金融资产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公募基金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资产管理产品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-</w:t>
            </w:r>
          </w:p>
        </w:tc>
      </w:tr>
    </w:tbl>
    <w:p>
      <w:pPr>
        <w:pStyle w:val="6"/>
        <w:spacing w:line="360" w:lineRule="exact"/>
        <w:ind w:left="0" w:leftChars="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注：占比结果保留两位小数，可能存在尾差。</w:t>
      </w:r>
    </w:p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（三）前十大资产持仓情况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Cs w:val="18"/>
        </w:rPr>
        <w:t>截止2025年3月末，本产品的前十大资产持仓情况如下：</w:t>
      </w:r>
    </w:p>
    <w:tbl>
      <w:tblPr>
        <w:tblStyle w:val="3"/>
        <w:tblW w:w="8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4"/>
        <w:gridCol w:w="3309"/>
        <w:gridCol w:w="1980"/>
        <w:gridCol w:w="18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资产名称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持有金额（万元）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占比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1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马上消费金融股份有限公司同业借款GZ-MS-20240726-2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1,200.94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18.00%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23广东债46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770.56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11.55%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3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23南京生物ABN001优先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630.36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9.45%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4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23太湖科技PPN001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627.68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9.41%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5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23江北建投PPN002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624.89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9.37%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6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23鹤山02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620.55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9.30%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7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23兴川F2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614.30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9.21%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8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21河公01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434.43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6.51%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9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23珠高K1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405.76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6.08%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10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23广汽租赁ABN002优先A2(绿色)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286.62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4.30%</w:t>
            </w:r>
          </w:p>
        </w:tc>
      </w:tr>
    </w:tbl>
    <w:p>
      <w:pPr>
        <w:pStyle w:val="6"/>
        <w:spacing w:line="360" w:lineRule="exact"/>
        <w:ind w:left="0" w:leftChars="0"/>
        <w:outlineLvl w:val="9"/>
        <w:rPr>
          <w:rFonts w:hint="default" w:ascii="Times New Roman" w:hAnsi="Times New Roman" w:eastAsia="宋体" w:cs="Times New Roman"/>
          <w:color w:val="000000"/>
        </w:rPr>
      </w:pPr>
      <w:r>
        <w:rPr>
          <w:rFonts w:hint="default" w:ascii="Times New Roman" w:hAnsi="Times New Roman" w:eastAsia="宋体" w:cs="Times New Roman"/>
        </w:rPr>
        <w:t>注：占比结果保留两位小数，可能存在尾差。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）非标资产明细</w:t>
      </w:r>
    </w:p>
    <w:tbl>
      <w:tblPr>
        <w:tblStyle w:val="3"/>
        <w:tblW w:w="922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1425"/>
        <w:gridCol w:w="2520"/>
        <w:gridCol w:w="1503"/>
        <w:gridCol w:w="1080"/>
        <w:gridCol w:w="1110"/>
        <w:gridCol w:w="10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项目名称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融资客户名称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交易结构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收益率（%)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剩余期限（月）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风险情况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马上消费金融股份有限公司同业借款GZ-MS-20240726-2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马上消费金融股份有限公司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同业借款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3.05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1.67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正常</w:t>
            </w:r>
          </w:p>
        </w:tc>
      </w:tr>
    </w:tbl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</w:t>
      </w:r>
      <w:r>
        <w:rPr>
          <w:rFonts w:hint="default" w:ascii="Times New Roman" w:hAnsi="Times New Roman" w:eastAsia="宋体" w:cs="Times New Roman"/>
          <w:lang w:eastAsia="zh-CN"/>
        </w:rPr>
        <w:t>五</w:t>
      </w:r>
      <w:r>
        <w:rPr>
          <w:rFonts w:hint="default" w:ascii="Times New Roman" w:hAnsi="Times New Roman" w:eastAsia="宋体" w:cs="Times New Roman"/>
        </w:rPr>
        <w:t>）报告期内关联交易情况</w:t>
      </w:r>
    </w:p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1.</w:t>
      </w:r>
      <w:bookmarkStart w:id="0" w:name="OLE_LINK1"/>
      <w:bookmarkStart w:id="1" w:name="OLE_LINK2"/>
      <w:r>
        <w:rPr>
          <w:rFonts w:hint="default" w:ascii="Times New Roman" w:hAnsi="Times New Roman" w:eastAsia="宋体" w:cs="Times New Roman"/>
          <w:sz w:val="18"/>
          <w:szCs w:val="18"/>
        </w:rPr>
        <w:t>本产品在报告期内全部关联交易均按照公允价格开展，</w:t>
      </w:r>
      <w:bookmarkEnd w:id="0"/>
      <w:r>
        <w:rPr>
          <w:rFonts w:hint="default" w:ascii="Times New Roman" w:hAnsi="Times New Roman" w:eastAsia="宋体" w:cs="Times New Roman"/>
        </w:rPr>
        <w:t>产品持有关联方发行或承销的证券</w:t>
      </w:r>
      <w:r>
        <w:rPr>
          <w:rFonts w:hint="default" w:ascii="Times New Roman" w:hAnsi="Times New Roman" w:eastAsia="宋体" w:cs="Times New Roman"/>
          <w:lang w:eastAsia="zh-CN"/>
        </w:rPr>
        <w:t>情况如下：</w:t>
      </w:r>
      <w:bookmarkEnd w:id="1"/>
    </w:p>
    <w:tbl>
      <w:tblPr>
        <w:tblStyle w:val="8"/>
        <w:tblW w:w="7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038"/>
        <w:gridCol w:w="1038"/>
        <w:gridCol w:w="1038"/>
        <w:gridCol w:w="1038"/>
        <w:gridCol w:w="122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证券简称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证券类别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持有数量(份)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持有金额（万元）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关联方名称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关联方角色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1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23广东债46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债券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70,000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770.56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  <w:t>中国工商银行股份有限公司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  <w:t>主承销商工商银行为本产品的托管行</w:t>
            </w:r>
          </w:p>
        </w:tc>
      </w:tr>
    </w:tbl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2.其他重大关联交易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Cs w:val="18"/>
          <w:lang w:eastAsia="zh-CN"/>
        </w:rPr>
        <w:t>无</w:t>
      </w:r>
      <w:r>
        <w:rPr>
          <w:rFonts w:hint="default" w:ascii="Times New Roman" w:hAnsi="Times New Roman" w:eastAsia="宋体" w:cs="Times New Roman"/>
          <w:color w:val="000000"/>
          <w:szCs w:val="18"/>
        </w:rPr>
        <w:t>。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六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投资账户信息</w:t>
      </w:r>
    </w:p>
    <w:tbl>
      <w:tblPr>
        <w:tblStyle w:val="3"/>
        <w:tblW w:w="985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4"/>
        <w:gridCol w:w="1504"/>
        <w:gridCol w:w="2416"/>
        <w:gridCol w:w="3250"/>
        <w:gridCol w:w="16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账户类型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账户编号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账户名称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开户单位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托管账户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8888600000030106265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穗广州银行</w:t>
            </w:r>
            <w:bookmarkStart w:id="2" w:name="_GoBack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ZX23A01A044</w:t>
            </w:r>
            <w:bookmarkEnd w:id="2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ENF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中国工商银行股份有限公司广州南方支行</w:t>
            </w:r>
          </w:p>
        </w:tc>
      </w:tr>
    </w:tbl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（七）产品流动性风险分析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本产品流动性风险整体可控。我行根据产品组合存续期限，利用长、短久期资产进行组合配置，视市场行情动态调整组合仓位，有效降低了流动性风险。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</w:rPr>
        <w:t>本产品运作至今，运作平稳。我行承诺以诚实信用、勤勉尽责的原则管理和运用本产品资产，但不保证产品一定盈利。本产品的过往业绩并不代表其未来表现。投资有风险，敬请投资者留意本产品公告。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</w:rPr>
        <w:t>感谢您一直以来对广州银行的支持！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</w:p>
    <w:p>
      <w:pPr>
        <w:pStyle w:val="9"/>
        <w:spacing w:line="360" w:lineRule="exact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广州银行股份有限公司</w:t>
      </w:r>
    </w:p>
    <w:p>
      <w:pPr>
        <w:pStyle w:val="9"/>
        <w:spacing w:line="360" w:lineRule="exact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2025年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18"/>
          <w:szCs w:val="18"/>
        </w:rPr>
        <w:t>月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sz w:val="18"/>
          <w:szCs w:val="18"/>
        </w:rPr>
        <w:t>日</w:t>
      </w:r>
    </w:p>
    <w:p>
      <w:pPr>
        <w:ind w:firstLine="0" w:firstLineChars="0"/>
        <w:rPr>
          <w:rFonts w:hint="default"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360"/>
      </w:pPr>
      <w:r>
        <w:separator/>
      </w:r>
    </w:p>
  </w:endnote>
  <w:endnote w:type="continuationSeparator" w:id="1">
    <w:p>
      <w:pPr>
        <w:spacing w:line="240" w:lineRule="auto"/>
        <w:ind w:firstLine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360"/>
      </w:pPr>
      <w:r>
        <w:separator/>
      </w:r>
    </w:p>
  </w:footnote>
  <w:footnote w:type="continuationSeparator" w:id="1">
    <w:p>
      <w:pPr>
        <w:spacing w:line="300" w:lineRule="auto"/>
        <w:ind w:firstLine="3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YjU4ZjJjY2EzMDM5Zjk5ZGJkMmY4NDliOGM5MmYifQ=="/>
    <w:docVar w:name="KSO_WPS_MARK_KEY" w:val="74bd572e-2df7-41cc-b467-e21c39468bda"/>
  </w:docVars>
  <w:rsids>
    <w:rsidRoot w:val="00EB3FBE"/>
    <w:rsid w:val="00285E4D"/>
    <w:rsid w:val="00C90252"/>
    <w:rsid w:val="00C938D1"/>
    <w:rsid w:val="00EB3FBE"/>
    <w:rsid w:val="00F773DD"/>
    <w:rsid w:val="02317F64"/>
    <w:rsid w:val="0520397D"/>
    <w:rsid w:val="08AF76A3"/>
    <w:rsid w:val="0BFA2DB1"/>
    <w:rsid w:val="0DE304BF"/>
    <w:rsid w:val="14131CED"/>
    <w:rsid w:val="1620181C"/>
    <w:rsid w:val="16457F16"/>
    <w:rsid w:val="167A7A95"/>
    <w:rsid w:val="16E85BE6"/>
    <w:rsid w:val="177D71FB"/>
    <w:rsid w:val="18867BA1"/>
    <w:rsid w:val="18B96A7C"/>
    <w:rsid w:val="1C7E4CB0"/>
    <w:rsid w:val="1FC43482"/>
    <w:rsid w:val="31EA1881"/>
    <w:rsid w:val="32940287"/>
    <w:rsid w:val="3A156715"/>
    <w:rsid w:val="3B1C7EAD"/>
    <w:rsid w:val="3E7D4EE4"/>
    <w:rsid w:val="40DC4766"/>
    <w:rsid w:val="47E12818"/>
    <w:rsid w:val="4BEF2903"/>
    <w:rsid w:val="4DCD08AD"/>
    <w:rsid w:val="57703809"/>
    <w:rsid w:val="628277C2"/>
    <w:rsid w:val="63AA01DC"/>
    <w:rsid w:val="64D540A2"/>
    <w:rsid w:val="659A46F1"/>
    <w:rsid w:val="65CD5D2C"/>
    <w:rsid w:val="67D8058A"/>
    <w:rsid w:val="6C2F3EF9"/>
    <w:rsid w:val="7325566E"/>
    <w:rsid w:val="79EA6895"/>
    <w:rsid w:val="7D515063"/>
    <w:rsid w:val="7F4461A3"/>
    <w:rsid w:val="7F96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420" w:firstLineChars="200"/>
      <w:jc w:val="both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qFormat/>
    <w:uiPriority w:val="0"/>
    <w:rPr>
      <w:rFonts w:ascii="Calibri" w:hAnsi="Calibri" w:eastAsia="宋体" w:cs="Times New Roman"/>
      <w:b/>
      <w:kern w:val="44"/>
      <w:sz w:val="18"/>
    </w:rPr>
  </w:style>
  <w:style w:type="paragraph" w:customStyle="1" w:styleId="6">
    <w:name w:val="标题（一）"/>
    <w:basedOn w:val="1"/>
    <w:qFormat/>
    <w:uiPriority w:val="0"/>
    <w:pPr>
      <w:widowControl/>
      <w:spacing w:before="120" w:after="120" w:line="360" w:lineRule="atLeast"/>
      <w:ind w:left="420" w:leftChars="200" w:firstLine="0" w:firstLineChars="0"/>
      <w:jc w:val="left"/>
      <w:outlineLvl w:val="0"/>
    </w:pPr>
    <w:rPr>
      <w:rFonts w:hint="eastAsia" w:ascii="宋体" w:hAnsi="宋体"/>
      <w:color w:val="000000" w:themeColor="text1"/>
      <w:kern w:val="0"/>
      <w:szCs w:val="18"/>
      <w14:textFill>
        <w14:solidFill>
          <w14:schemeClr w14:val="tx1"/>
        </w14:solidFill>
      </w14:textFill>
    </w:rPr>
  </w:style>
  <w:style w:type="paragraph" w:customStyle="1" w:styleId="7">
    <w:name w:val="表格"/>
    <w:basedOn w:val="1"/>
    <w:qFormat/>
    <w:uiPriority w:val="0"/>
    <w:pPr>
      <w:ind w:firstLine="0" w:firstLineChars="0"/>
      <w:jc w:val="left"/>
    </w:pPr>
    <w:rPr>
      <w:rFonts w:hint="eastAsia" w:ascii="宋体" w:hAnsi="宋体" w:cs="宋体"/>
      <w:color w:val="000000"/>
      <w:szCs w:val="18"/>
    </w:rPr>
  </w:style>
  <w:style w:type="table" w:customStyle="1" w:styleId="8">
    <w:name w:val="dqbgxx"/>
    <w:basedOn w:val="3"/>
    <w:qFormat/>
    <w:uiPriority w:val="99"/>
    <w:pPr>
      <w:spacing w:line="288" w:lineRule="auto"/>
      <w:jc w:val="center"/>
    </w:pPr>
    <w:rPr>
      <w:rFonts w:eastAsia="黑体"/>
      <w:color w:val="000000"/>
      <w:sz w:val="22"/>
    </w:rPr>
    <w:tblPr>
      <w:tblBorders>
        <w:top w:val="single" w:color="auto" w:sz="4" w:space="0"/>
        <w:bottom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  <w:tblStylePr w:type="firstRow">
      <w:rPr>
        <w:rFonts w:eastAsia="黑体"/>
        <w:b/>
        <w:sz w:val="22"/>
      </w:rPr>
    </w:tblStylePr>
    <w:tblStylePr w:type="firstCol">
      <w:rPr>
        <w:rFonts w:eastAsia="黑体"/>
        <w:b/>
      </w:rPr>
    </w:tblStylePr>
  </w:style>
  <w:style w:type="paragraph" w:customStyle="1" w:styleId="9">
    <w:name w:val="结尾"/>
    <w:basedOn w:val="1"/>
    <w:qFormat/>
    <w:uiPriority w:val="0"/>
    <w:pPr>
      <w:widowControl/>
      <w:spacing w:before="120" w:after="120" w:line="360" w:lineRule="atLeast"/>
      <w:ind w:firstLine="0" w:firstLineChars="0"/>
      <w:jc w:val="center"/>
      <w:outlineLvl w:val="0"/>
    </w:pPr>
    <w:rPr>
      <w:rFonts w:hint="eastAsia" w:ascii="宋体" w:hAnsi="宋体"/>
      <w:kern w:val="0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8BF2D-6C8B-4AF3-99FB-EF6448CFBF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1134</Words>
  <Characters>1745</Characters>
  <Lines>11</Lines>
  <Paragraphs>3</Paragraphs>
  <TotalTime>0</TotalTime>
  <ScaleCrop>false</ScaleCrop>
  <LinksUpToDate>false</LinksUpToDate>
  <CharactersWithSpaces>1745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w_wangweihua</dc:creator>
  <cp:lastModifiedBy>Echo</cp:lastModifiedBy>
  <dcterms:modified xsi:type="dcterms:W3CDTF">2025-04-11T06:32:59Z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1BDA8AE8A96B4E3CAF8281F5FE3AA45D_13</vt:lpwstr>
  </property>
</Properties>
</file>