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76318" w14:textId="77777777" w:rsidR="00D744A5" w:rsidRDefault="00D744A5">
      <w:bookmarkStart w:id="0" w:name="_GoBack"/>
      <w:bookmarkEnd w:id="0"/>
    </w:p>
    <w:p w14:paraId="4581722D" w14:textId="77777777" w:rsidR="00D744A5" w:rsidRDefault="00D744A5"/>
    <w:p w14:paraId="1205F5C0" w14:textId="77777777" w:rsidR="00D744A5" w:rsidRDefault="00D744A5"/>
    <w:p w14:paraId="09B19295" w14:textId="77777777" w:rsidR="00D744A5" w:rsidRDefault="00D744A5"/>
    <w:p w14:paraId="7C510AB5" w14:textId="77777777" w:rsidR="00D744A5" w:rsidRDefault="00D744A5"/>
    <w:p w14:paraId="4C14C4E1" w14:textId="77777777" w:rsidR="00D744A5" w:rsidRDefault="00D744A5"/>
    <w:p w14:paraId="53D1C0C8" w14:textId="77777777" w:rsidR="00D744A5" w:rsidRDefault="00D744A5"/>
    <w:p w14:paraId="30DD98B7" w14:textId="77777777" w:rsidR="00D744A5" w:rsidRDefault="00D744A5"/>
    <w:p w14:paraId="40387913" w14:textId="77777777" w:rsidR="00D744A5" w:rsidRDefault="00D744A5"/>
    <w:p w14:paraId="5189AA83" w14:textId="77777777" w:rsidR="00D744A5" w:rsidRDefault="00D744A5"/>
    <w:p w14:paraId="295F50E9" w14:textId="77777777" w:rsidR="00D744A5" w:rsidRDefault="00D744A5"/>
    <w:p w14:paraId="48AFD502" w14:textId="77777777" w:rsidR="00D744A5" w:rsidRDefault="00D744A5"/>
    <w:p w14:paraId="1C8B89D1" w14:textId="77777777" w:rsidR="00D744A5" w:rsidRDefault="00D744A5"/>
    <w:p w14:paraId="3032D378" w14:textId="3FAB3150" w:rsidR="00D744A5" w:rsidRDefault="000E4967">
      <w:pPr>
        <w:spacing w:line="620" w:lineRule="exact"/>
        <w:jc w:val="center"/>
        <w:outlineLvl w:val="2"/>
        <w:rPr>
          <w:rFonts w:ascii="宋体" w:hAnsi="宋体"/>
          <w:b/>
          <w:sz w:val="44"/>
        </w:rPr>
      </w:pPr>
      <w:r>
        <w:rPr>
          <w:rFonts w:ascii="宋体" w:hAnsi="宋体" w:hint="eastAsia"/>
          <w:b/>
          <w:sz w:val="44"/>
        </w:rPr>
        <w:t>广</w:t>
      </w:r>
      <w:proofErr w:type="gramStart"/>
      <w:r>
        <w:rPr>
          <w:rFonts w:ascii="宋体" w:hAnsi="宋体" w:hint="eastAsia"/>
          <w:b/>
          <w:sz w:val="44"/>
        </w:rPr>
        <w:t>发</w:t>
      </w:r>
      <w:r w:rsidR="00B91853">
        <w:rPr>
          <w:rFonts w:ascii="宋体" w:hAnsi="宋体" w:hint="eastAsia"/>
          <w:b/>
          <w:sz w:val="44"/>
        </w:rPr>
        <w:t>价值</w:t>
      </w:r>
      <w:proofErr w:type="gramEnd"/>
      <w:r w:rsidR="00B91853">
        <w:rPr>
          <w:rFonts w:ascii="宋体" w:hAnsi="宋体" w:hint="eastAsia"/>
          <w:b/>
          <w:sz w:val="44"/>
        </w:rPr>
        <w:t>稳进</w:t>
      </w:r>
      <w:r>
        <w:rPr>
          <w:rFonts w:ascii="宋体" w:hAnsi="宋体" w:hint="eastAsia"/>
          <w:b/>
          <w:sz w:val="44"/>
        </w:rPr>
        <w:t xml:space="preserve">混合型证券投资基金      </w:t>
      </w:r>
    </w:p>
    <w:p w14:paraId="28E77371" w14:textId="2B826C37" w:rsidR="00D744A5" w:rsidRDefault="000E4967">
      <w:pPr>
        <w:spacing w:line="620" w:lineRule="exact"/>
        <w:jc w:val="center"/>
        <w:outlineLvl w:val="2"/>
        <w:rPr>
          <w:rFonts w:ascii="宋体" w:hAnsi="宋体"/>
          <w:b/>
          <w:sz w:val="44"/>
        </w:rPr>
      </w:pPr>
      <w:r>
        <w:rPr>
          <w:rFonts w:ascii="宋体" w:hAnsi="宋体" w:hint="eastAsia"/>
          <w:b/>
          <w:sz w:val="44"/>
        </w:rPr>
        <w:t>托管协议</w:t>
      </w:r>
    </w:p>
    <w:p w14:paraId="52448F84" w14:textId="77777777" w:rsidR="00D744A5" w:rsidRDefault="00D744A5"/>
    <w:p w14:paraId="2B429026" w14:textId="77777777" w:rsidR="00D744A5" w:rsidRDefault="00D744A5"/>
    <w:p w14:paraId="33A0C970" w14:textId="77777777" w:rsidR="00D744A5" w:rsidRDefault="00D744A5"/>
    <w:p w14:paraId="3A5C9A0A" w14:textId="77777777" w:rsidR="00D744A5" w:rsidRDefault="00D744A5"/>
    <w:p w14:paraId="0D8E4EFF" w14:textId="77777777" w:rsidR="00D744A5" w:rsidRDefault="00D744A5"/>
    <w:p w14:paraId="27794C8D" w14:textId="77777777" w:rsidR="00D744A5" w:rsidRDefault="00D744A5"/>
    <w:p w14:paraId="737A94BC" w14:textId="77777777" w:rsidR="00D744A5" w:rsidRDefault="00D744A5"/>
    <w:p w14:paraId="40A8F67E" w14:textId="77777777" w:rsidR="00D744A5" w:rsidRDefault="00D744A5"/>
    <w:p w14:paraId="2D0525E7" w14:textId="77777777" w:rsidR="00D744A5" w:rsidRDefault="00D744A5"/>
    <w:p w14:paraId="398BD880" w14:textId="77777777" w:rsidR="00D744A5" w:rsidRDefault="00D744A5"/>
    <w:p w14:paraId="44FD6836" w14:textId="77777777" w:rsidR="00D744A5" w:rsidRDefault="00D744A5">
      <w:pPr>
        <w:spacing w:line="320" w:lineRule="exact"/>
        <w:ind w:left="360" w:right="26"/>
        <w:jc w:val="center"/>
        <w:rPr>
          <w:rFonts w:ascii="宋体" w:hAnsi="宋体"/>
          <w:b/>
          <w:sz w:val="30"/>
        </w:rPr>
      </w:pPr>
    </w:p>
    <w:p w14:paraId="4893C4EC" w14:textId="77777777" w:rsidR="00D744A5" w:rsidRDefault="000E4967">
      <w:pPr>
        <w:spacing w:line="320" w:lineRule="exact"/>
        <w:ind w:left="479" w:right="26" w:firstLine="1200"/>
        <w:rPr>
          <w:rFonts w:ascii="宋体" w:hAnsi="宋体"/>
          <w:b/>
          <w:sz w:val="28"/>
          <w:szCs w:val="28"/>
        </w:rPr>
      </w:pPr>
      <w:r>
        <w:rPr>
          <w:rFonts w:ascii="宋体" w:hAnsi="宋体" w:hint="eastAsia"/>
          <w:b/>
          <w:sz w:val="28"/>
          <w:szCs w:val="28"/>
        </w:rPr>
        <w:t>基金管理人：广发基金管理有限公司</w:t>
      </w:r>
    </w:p>
    <w:p w14:paraId="67F65B63" w14:textId="77777777" w:rsidR="00D744A5" w:rsidRDefault="00D744A5">
      <w:pPr>
        <w:spacing w:line="320" w:lineRule="exact"/>
        <w:ind w:left="359" w:right="26" w:firstLine="1200"/>
        <w:rPr>
          <w:rFonts w:ascii="宋体" w:hAnsi="宋体"/>
          <w:b/>
          <w:sz w:val="28"/>
          <w:szCs w:val="28"/>
        </w:rPr>
      </w:pPr>
    </w:p>
    <w:p w14:paraId="711CD402" w14:textId="77777777" w:rsidR="00D744A5" w:rsidRDefault="000E4967">
      <w:pPr>
        <w:spacing w:line="320" w:lineRule="exact"/>
        <w:ind w:left="479" w:right="26" w:firstLine="1200"/>
        <w:rPr>
          <w:rFonts w:ascii="宋体" w:hAnsi="宋体"/>
          <w:b/>
          <w:sz w:val="28"/>
          <w:szCs w:val="28"/>
        </w:rPr>
      </w:pPr>
      <w:r>
        <w:rPr>
          <w:rFonts w:ascii="宋体" w:hAnsi="宋体" w:hint="eastAsia"/>
          <w:b/>
          <w:sz w:val="28"/>
          <w:szCs w:val="28"/>
        </w:rPr>
        <w:t>基金托管人：中国银行股份有限公司</w:t>
      </w:r>
    </w:p>
    <w:p w14:paraId="79FE31E8" w14:textId="77777777" w:rsidR="00D744A5" w:rsidRDefault="00D744A5">
      <w:pPr>
        <w:spacing w:line="320" w:lineRule="exact"/>
        <w:ind w:right="26"/>
        <w:rPr>
          <w:rFonts w:ascii="宋体" w:hAnsi="宋体"/>
          <w:sz w:val="28"/>
          <w:szCs w:val="28"/>
        </w:rPr>
      </w:pPr>
    </w:p>
    <w:p w14:paraId="27CD81C0" w14:textId="77777777" w:rsidR="00D744A5" w:rsidRDefault="00D744A5">
      <w:pPr>
        <w:spacing w:line="320" w:lineRule="exact"/>
        <w:ind w:right="26"/>
        <w:rPr>
          <w:rFonts w:ascii="宋体" w:hAnsi="宋体"/>
          <w:sz w:val="28"/>
          <w:szCs w:val="28"/>
        </w:rPr>
      </w:pPr>
    </w:p>
    <w:p w14:paraId="11F76EF5" w14:textId="77777777" w:rsidR="00D744A5" w:rsidRDefault="00D744A5">
      <w:pPr>
        <w:spacing w:line="320" w:lineRule="exact"/>
        <w:ind w:right="26"/>
        <w:jc w:val="center"/>
        <w:rPr>
          <w:rFonts w:ascii="宋体" w:hAnsi="宋体"/>
          <w:sz w:val="28"/>
          <w:szCs w:val="28"/>
        </w:rPr>
      </w:pPr>
    </w:p>
    <w:p w14:paraId="5C685610" w14:textId="77777777" w:rsidR="00D744A5" w:rsidRDefault="00D744A5">
      <w:pPr>
        <w:spacing w:line="320" w:lineRule="exact"/>
        <w:ind w:right="26"/>
        <w:jc w:val="center"/>
        <w:rPr>
          <w:rFonts w:ascii="宋体" w:hAnsi="宋体"/>
          <w:sz w:val="28"/>
          <w:szCs w:val="28"/>
        </w:rPr>
      </w:pPr>
    </w:p>
    <w:p w14:paraId="29BA9255" w14:textId="77777777" w:rsidR="00D744A5" w:rsidRDefault="00D744A5">
      <w:pPr>
        <w:spacing w:line="320" w:lineRule="exact"/>
        <w:ind w:right="26"/>
        <w:jc w:val="center"/>
        <w:rPr>
          <w:rFonts w:ascii="宋体" w:hAnsi="宋体"/>
          <w:sz w:val="28"/>
          <w:szCs w:val="28"/>
        </w:rPr>
      </w:pPr>
    </w:p>
    <w:p w14:paraId="758C9DA5" w14:textId="77777777" w:rsidR="00D744A5" w:rsidRDefault="00D744A5">
      <w:pPr>
        <w:spacing w:line="320" w:lineRule="exact"/>
        <w:ind w:right="26"/>
        <w:jc w:val="center"/>
        <w:rPr>
          <w:rFonts w:ascii="宋体" w:hAnsi="宋体"/>
          <w:sz w:val="28"/>
          <w:szCs w:val="28"/>
        </w:rPr>
      </w:pPr>
    </w:p>
    <w:p w14:paraId="2E88A9D2" w14:textId="77777777" w:rsidR="00D744A5" w:rsidRDefault="00D744A5">
      <w:pPr>
        <w:spacing w:line="320" w:lineRule="exact"/>
        <w:ind w:right="26"/>
        <w:jc w:val="center"/>
        <w:rPr>
          <w:rFonts w:ascii="宋体" w:hAnsi="宋体"/>
          <w:sz w:val="28"/>
          <w:szCs w:val="28"/>
        </w:rPr>
      </w:pPr>
    </w:p>
    <w:p w14:paraId="4BE79FE6" w14:textId="77777777" w:rsidR="00D744A5" w:rsidRDefault="00D744A5">
      <w:pPr>
        <w:pStyle w:val="af5"/>
        <w:spacing w:before="100" w:beforeAutospacing="1" w:after="100" w:afterAutospacing="1" w:line="400" w:lineRule="exact"/>
        <w:ind w:firstLine="549"/>
        <w:rPr>
          <w:rFonts w:hAnsi="宋体"/>
          <w:sz w:val="28"/>
          <w:szCs w:val="28"/>
        </w:rPr>
      </w:pPr>
    </w:p>
    <w:p w14:paraId="0FEE26C1" w14:textId="77777777" w:rsidR="00D744A5" w:rsidRDefault="000E4967">
      <w:pPr>
        <w:pStyle w:val="af5"/>
        <w:spacing w:before="100" w:beforeAutospacing="1" w:after="100" w:afterAutospacing="1" w:line="400" w:lineRule="exact"/>
        <w:ind w:firstLine="549"/>
        <w:rPr>
          <w:rFonts w:hAnsi="宋体"/>
          <w:sz w:val="24"/>
          <w:szCs w:val="24"/>
        </w:rPr>
      </w:pPr>
      <w:r>
        <w:rPr>
          <w:rFonts w:hAnsi="宋体"/>
          <w:b/>
        </w:rPr>
        <w:br w:type="page"/>
      </w:r>
      <w:r>
        <w:rPr>
          <w:rFonts w:hAnsi="宋体" w:hint="eastAsia"/>
          <w:sz w:val="24"/>
          <w:szCs w:val="24"/>
        </w:rPr>
        <w:lastRenderedPageBreak/>
        <w:t>鉴于广发基金管理有限公司是一家依照中国法律合法成立并有效存续的有限责任公司，按照相关法律法规的规定具备担任基金管理人的资格和能力；</w:t>
      </w:r>
    </w:p>
    <w:p w14:paraId="3E5178AE" w14:textId="77777777" w:rsidR="00D744A5" w:rsidRDefault="000E4967">
      <w:pPr>
        <w:pStyle w:val="af5"/>
        <w:spacing w:before="100" w:beforeAutospacing="1" w:after="100" w:afterAutospacing="1" w:line="400" w:lineRule="exact"/>
        <w:ind w:firstLine="549"/>
        <w:rPr>
          <w:rFonts w:hAnsi="宋体"/>
          <w:sz w:val="24"/>
          <w:szCs w:val="24"/>
        </w:rPr>
      </w:pPr>
      <w:r>
        <w:rPr>
          <w:rFonts w:hAnsi="宋体" w:hint="eastAsia"/>
          <w:sz w:val="24"/>
          <w:szCs w:val="24"/>
        </w:rPr>
        <w:t>鉴于中国银行股份有限公司是一家依照中国法律合法成立并有效存续的银行，按照相关法律法规的规定具备担任基金托管人的资格和能力；</w:t>
      </w:r>
    </w:p>
    <w:p w14:paraId="568F7863" w14:textId="13DA37B8" w:rsidR="00D744A5" w:rsidRDefault="000E4967">
      <w:pPr>
        <w:pStyle w:val="af5"/>
        <w:spacing w:before="100" w:beforeAutospacing="1" w:after="100" w:afterAutospacing="1" w:line="400" w:lineRule="exact"/>
        <w:ind w:firstLine="549"/>
        <w:rPr>
          <w:rFonts w:hAnsi="宋体"/>
          <w:sz w:val="24"/>
          <w:szCs w:val="24"/>
        </w:rPr>
      </w:pPr>
      <w:r>
        <w:rPr>
          <w:rFonts w:hAnsi="宋体" w:hint="eastAsia"/>
          <w:sz w:val="24"/>
          <w:szCs w:val="24"/>
        </w:rPr>
        <w:t>鉴于广发基金管理有限公司拟担任广</w:t>
      </w:r>
      <w:proofErr w:type="gramStart"/>
      <w:r>
        <w:rPr>
          <w:rFonts w:hAnsi="宋体" w:hint="eastAsia"/>
          <w:sz w:val="24"/>
          <w:szCs w:val="24"/>
        </w:rPr>
        <w:t>发</w:t>
      </w:r>
      <w:r w:rsidR="00B91853">
        <w:rPr>
          <w:rFonts w:hAnsi="宋体" w:hint="eastAsia"/>
          <w:sz w:val="24"/>
          <w:szCs w:val="24"/>
        </w:rPr>
        <w:t>价值</w:t>
      </w:r>
      <w:proofErr w:type="gramEnd"/>
      <w:r w:rsidR="00B91853">
        <w:rPr>
          <w:rFonts w:hAnsi="宋体" w:hint="eastAsia"/>
          <w:sz w:val="24"/>
          <w:szCs w:val="24"/>
        </w:rPr>
        <w:t>稳进</w:t>
      </w:r>
      <w:r>
        <w:rPr>
          <w:rFonts w:hAnsi="宋体" w:hint="eastAsia"/>
          <w:sz w:val="24"/>
          <w:szCs w:val="24"/>
        </w:rPr>
        <w:t>混合型证券投资基金的基金管理人，中国银行股份有限公司拟担任广</w:t>
      </w:r>
      <w:proofErr w:type="gramStart"/>
      <w:r>
        <w:rPr>
          <w:rFonts w:hAnsi="宋体" w:hint="eastAsia"/>
          <w:sz w:val="24"/>
          <w:szCs w:val="24"/>
        </w:rPr>
        <w:t>发</w:t>
      </w:r>
      <w:r w:rsidR="00B91853">
        <w:rPr>
          <w:rFonts w:hAnsi="宋体" w:hint="eastAsia"/>
          <w:sz w:val="24"/>
          <w:szCs w:val="24"/>
        </w:rPr>
        <w:t>价值</w:t>
      </w:r>
      <w:proofErr w:type="gramEnd"/>
      <w:r w:rsidR="00B91853">
        <w:rPr>
          <w:rFonts w:hAnsi="宋体" w:hint="eastAsia"/>
          <w:sz w:val="24"/>
          <w:szCs w:val="24"/>
        </w:rPr>
        <w:t>稳进</w:t>
      </w:r>
      <w:r>
        <w:rPr>
          <w:rFonts w:hAnsi="宋体" w:hint="eastAsia"/>
          <w:sz w:val="24"/>
          <w:szCs w:val="24"/>
        </w:rPr>
        <w:t>混合型证券投资基金的基金托管人；</w:t>
      </w:r>
    </w:p>
    <w:p w14:paraId="590A4B40" w14:textId="359859AC" w:rsidR="00D744A5" w:rsidRDefault="000E4967">
      <w:pPr>
        <w:pStyle w:val="af5"/>
        <w:spacing w:before="100" w:beforeAutospacing="1" w:after="100" w:afterAutospacing="1" w:line="400" w:lineRule="exact"/>
        <w:ind w:firstLine="549"/>
        <w:rPr>
          <w:rFonts w:hAnsi="宋体"/>
          <w:sz w:val="24"/>
          <w:szCs w:val="24"/>
        </w:rPr>
      </w:pPr>
      <w:r>
        <w:rPr>
          <w:rFonts w:hAnsi="宋体" w:hint="eastAsia"/>
          <w:sz w:val="24"/>
          <w:szCs w:val="24"/>
        </w:rPr>
        <w:t>为</w:t>
      </w:r>
      <w:proofErr w:type="gramStart"/>
      <w:r>
        <w:rPr>
          <w:rFonts w:hAnsi="宋体" w:hint="eastAsia"/>
          <w:sz w:val="24"/>
          <w:szCs w:val="24"/>
        </w:rPr>
        <w:t>明确广发</w:t>
      </w:r>
      <w:r w:rsidR="00B91853">
        <w:rPr>
          <w:rFonts w:hAnsi="宋体" w:hint="eastAsia"/>
          <w:sz w:val="24"/>
          <w:szCs w:val="24"/>
        </w:rPr>
        <w:t>价值</w:t>
      </w:r>
      <w:proofErr w:type="gramEnd"/>
      <w:r w:rsidR="00B91853">
        <w:rPr>
          <w:rFonts w:hAnsi="宋体" w:hint="eastAsia"/>
          <w:sz w:val="24"/>
          <w:szCs w:val="24"/>
        </w:rPr>
        <w:t>稳进</w:t>
      </w:r>
      <w:r>
        <w:rPr>
          <w:rFonts w:hAnsi="宋体" w:hint="eastAsia"/>
          <w:sz w:val="24"/>
          <w:szCs w:val="24"/>
        </w:rPr>
        <w:t>混合型证券投资</w:t>
      </w:r>
      <w:proofErr w:type="gramStart"/>
      <w:r>
        <w:rPr>
          <w:rFonts w:hAnsi="宋体" w:hint="eastAsia"/>
          <w:sz w:val="24"/>
          <w:szCs w:val="24"/>
        </w:rPr>
        <w:t>基金基金</w:t>
      </w:r>
      <w:proofErr w:type="gramEnd"/>
      <w:r>
        <w:rPr>
          <w:rFonts w:hAnsi="宋体" w:hint="eastAsia"/>
          <w:sz w:val="24"/>
          <w:szCs w:val="24"/>
        </w:rPr>
        <w:t>管理人和基金托管人之间的权利义务关系，特制订本协议。</w:t>
      </w:r>
      <w:bookmarkStart w:id="1" w:name="_Toc30230313"/>
    </w:p>
    <w:p w14:paraId="7AF5B58E" w14:textId="77777777" w:rsidR="00D744A5" w:rsidRDefault="00D744A5">
      <w:pPr>
        <w:pStyle w:val="af5"/>
        <w:spacing w:before="100" w:beforeAutospacing="1" w:after="100" w:afterAutospacing="1" w:line="400" w:lineRule="exact"/>
        <w:ind w:firstLine="549"/>
        <w:rPr>
          <w:rFonts w:hAnsi="宋体"/>
          <w:sz w:val="24"/>
          <w:szCs w:val="24"/>
        </w:rPr>
      </w:pPr>
    </w:p>
    <w:p w14:paraId="3F430A96" w14:textId="77777777" w:rsidR="00D744A5" w:rsidRDefault="000E4967">
      <w:pPr>
        <w:pStyle w:val="1"/>
        <w:spacing w:before="100" w:beforeAutospacing="1" w:after="100" w:afterAutospacing="1" w:line="400" w:lineRule="exact"/>
        <w:ind w:firstLine="422"/>
        <w:rPr>
          <w:rFonts w:ascii="宋体" w:hAnsi="宋体"/>
          <w:sz w:val="24"/>
          <w:szCs w:val="24"/>
        </w:rPr>
      </w:pPr>
      <w:bookmarkStart w:id="2" w:name="_Toc116900096"/>
      <w:r>
        <w:rPr>
          <w:rFonts w:ascii="宋体" w:hAnsi="宋体" w:hint="eastAsia"/>
          <w:sz w:val="24"/>
          <w:szCs w:val="24"/>
        </w:rPr>
        <w:t>一、托管协议当事人</w:t>
      </w:r>
      <w:bookmarkEnd w:id="1"/>
      <w:bookmarkEnd w:id="2"/>
    </w:p>
    <w:p w14:paraId="09F9FC08" w14:textId="77777777" w:rsidR="00D744A5" w:rsidRDefault="000E4967">
      <w:pPr>
        <w:pStyle w:val="af5"/>
        <w:spacing w:before="100" w:beforeAutospacing="1" w:after="100" w:afterAutospacing="1" w:line="400" w:lineRule="exact"/>
        <w:ind w:firstLine="403"/>
        <w:rPr>
          <w:rFonts w:hAnsi="宋体"/>
          <w:sz w:val="24"/>
          <w:szCs w:val="24"/>
        </w:rPr>
      </w:pPr>
      <w:r>
        <w:rPr>
          <w:rFonts w:hAnsi="宋体" w:hint="eastAsia"/>
          <w:sz w:val="24"/>
          <w:szCs w:val="24"/>
        </w:rPr>
        <w:t>（一）基金管理人（或简称“管理人”）</w:t>
      </w:r>
    </w:p>
    <w:p w14:paraId="564662B9"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名称：广发基金管理有限公司</w:t>
      </w:r>
    </w:p>
    <w:p w14:paraId="6546264D"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住所：广东省珠海市横琴新区环岛东路3018号2608室</w:t>
      </w:r>
    </w:p>
    <w:p w14:paraId="4F3842AC"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法定代表人: 葛长伟</w:t>
      </w:r>
    </w:p>
    <w:p w14:paraId="3C628D23"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成立时间：</w:t>
      </w:r>
      <w:r>
        <w:rPr>
          <w:rFonts w:ascii="宋体" w:hAnsi="宋体"/>
          <w:bCs/>
          <w:sz w:val="24"/>
        </w:rPr>
        <w:t>2003</w:t>
      </w:r>
      <w:r>
        <w:rPr>
          <w:rFonts w:ascii="宋体" w:hAnsi="宋体" w:hint="eastAsia"/>
          <w:bCs/>
          <w:sz w:val="24"/>
        </w:rPr>
        <w:t>年</w:t>
      </w:r>
      <w:r>
        <w:rPr>
          <w:rFonts w:ascii="宋体" w:hAnsi="宋体"/>
          <w:bCs/>
          <w:sz w:val="24"/>
        </w:rPr>
        <w:t>8</w:t>
      </w:r>
      <w:r>
        <w:rPr>
          <w:rFonts w:ascii="宋体" w:hAnsi="宋体" w:hint="eastAsia"/>
          <w:bCs/>
          <w:sz w:val="24"/>
        </w:rPr>
        <w:t>月</w:t>
      </w:r>
      <w:r>
        <w:rPr>
          <w:rFonts w:ascii="宋体" w:hAnsi="宋体"/>
          <w:bCs/>
          <w:sz w:val="24"/>
        </w:rPr>
        <w:t>5</w:t>
      </w:r>
      <w:r>
        <w:rPr>
          <w:rFonts w:ascii="宋体" w:hAnsi="宋体" w:hint="eastAsia"/>
          <w:bCs/>
          <w:sz w:val="24"/>
        </w:rPr>
        <w:t>日</w:t>
      </w:r>
    </w:p>
    <w:p w14:paraId="2BCD4A96"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批准设立机关：</w:t>
      </w:r>
      <w:r>
        <w:rPr>
          <w:rFonts w:ascii="宋体" w:hAnsi="宋体" w:hint="eastAsia"/>
          <w:bCs/>
          <w:sz w:val="24"/>
        </w:rPr>
        <w:t>中国证券监督管理委员会</w:t>
      </w:r>
    </w:p>
    <w:p w14:paraId="7DB33248"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批准设立文号：</w:t>
      </w:r>
      <w:r>
        <w:rPr>
          <w:rFonts w:ascii="宋体" w:hAnsi="宋体" w:hint="eastAsia"/>
          <w:bCs/>
          <w:sz w:val="24"/>
        </w:rPr>
        <w:t>证</w:t>
      </w:r>
      <w:proofErr w:type="gramStart"/>
      <w:r>
        <w:rPr>
          <w:rFonts w:ascii="宋体" w:hAnsi="宋体" w:hint="eastAsia"/>
          <w:bCs/>
          <w:sz w:val="24"/>
        </w:rPr>
        <w:t>监基金字</w:t>
      </w:r>
      <w:proofErr w:type="gramEnd"/>
      <w:r>
        <w:rPr>
          <w:rFonts w:ascii="宋体" w:hAnsi="宋体"/>
          <w:bCs/>
          <w:sz w:val="24"/>
        </w:rPr>
        <w:t>[2003]91</w:t>
      </w:r>
      <w:r>
        <w:rPr>
          <w:rFonts w:ascii="宋体" w:hAnsi="宋体" w:hint="eastAsia"/>
          <w:bCs/>
          <w:sz w:val="24"/>
        </w:rPr>
        <w:t>号</w:t>
      </w:r>
    </w:p>
    <w:p w14:paraId="5E9CF388"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组织形式：</w:t>
      </w:r>
      <w:r>
        <w:rPr>
          <w:rFonts w:ascii="宋体" w:hAnsi="宋体" w:hint="eastAsia"/>
          <w:sz w:val="24"/>
        </w:rPr>
        <w:tab/>
        <w:t>有限责任公司</w:t>
      </w:r>
    </w:p>
    <w:p w14:paraId="4637A084"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注册资本：人民币14,097.8万元</w:t>
      </w:r>
    </w:p>
    <w:p w14:paraId="5F15C84F" w14:textId="77777777" w:rsidR="00D744A5" w:rsidRDefault="000E4967">
      <w:pPr>
        <w:spacing w:before="100" w:beforeAutospacing="1" w:after="100" w:afterAutospacing="1" w:line="400" w:lineRule="exact"/>
        <w:ind w:right="26" w:firstLine="403"/>
        <w:rPr>
          <w:rFonts w:ascii="宋体" w:hAnsi="宋体"/>
          <w:sz w:val="24"/>
          <w:u w:val="single"/>
        </w:rPr>
      </w:pPr>
      <w:r>
        <w:rPr>
          <w:rFonts w:ascii="宋体" w:hAnsi="宋体" w:hint="eastAsia"/>
          <w:sz w:val="24"/>
        </w:rPr>
        <w:t>经营范围：</w:t>
      </w:r>
      <w:r>
        <w:rPr>
          <w:rFonts w:ascii="宋体" w:hAnsi="宋体" w:hint="eastAsia"/>
          <w:sz w:val="24"/>
        </w:rPr>
        <w:tab/>
        <w:t>基金募集、基金销售、资产管理、中国证监会许可的其他业务</w:t>
      </w:r>
    </w:p>
    <w:p w14:paraId="61B26F2A" w14:textId="77777777" w:rsidR="00D744A5" w:rsidRDefault="000E4967">
      <w:pPr>
        <w:pStyle w:val="af5"/>
        <w:spacing w:before="100" w:beforeAutospacing="1" w:after="100" w:afterAutospacing="1" w:line="400" w:lineRule="exact"/>
        <w:ind w:firstLine="403"/>
        <w:rPr>
          <w:rFonts w:hAnsi="宋体"/>
          <w:sz w:val="24"/>
          <w:szCs w:val="24"/>
        </w:rPr>
      </w:pPr>
      <w:r>
        <w:rPr>
          <w:rFonts w:hAnsi="宋体" w:hint="eastAsia"/>
          <w:sz w:val="24"/>
          <w:szCs w:val="24"/>
        </w:rPr>
        <w:t>存续期间：</w:t>
      </w:r>
      <w:r>
        <w:rPr>
          <w:rFonts w:hAnsi="宋体" w:hint="eastAsia"/>
          <w:sz w:val="24"/>
          <w:szCs w:val="24"/>
        </w:rPr>
        <w:tab/>
        <w:t>持续经营</w:t>
      </w:r>
    </w:p>
    <w:p w14:paraId="155F90C0" w14:textId="77777777" w:rsidR="00D744A5" w:rsidRDefault="000E4967">
      <w:pPr>
        <w:pStyle w:val="af5"/>
        <w:spacing w:before="100" w:beforeAutospacing="1" w:after="100" w:afterAutospacing="1" w:line="400" w:lineRule="exact"/>
        <w:ind w:firstLine="403"/>
        <w:rPr>
          <w:rFonts w:hAnsi="宋体"/>
          <w:sz w:val="24"/>
          <w:szCs w:val="24"/>
        </w:rPr>
      </w:pPr>
      <w:r>
        <w:rPr>
          <w:rFonts w:hAnsi="宋体" w:hint="eastAsia"/>
          <w:sz w:val="24"/>
          <w:szCs w:val="24"/>
        </w:rPr>
        <w:lastRenderedPageBreak/>
        <w:t>（二）基金托管人（或简称“托管人”）</w:t>
      </w:r>
    </w:p>
    <w:p w14:paraId="0E40DE36"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名称：中国银行股份有限公司</w:t>
      </w:r>
    </w:p>
    <w:p w14:paraId="69996387"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住所：北京市西城区复兴门内大街1号</w:t>
      </w:r>
    </w:p>
    <w:p w14:paraId="3C8C2ECD"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法定代表人:</w:t>
      </w:r>
      <w:r>
        <w:rPr>
          <w:rFonts w:hint="eastAsia"/>
        </w:rPr>
        <w:t xml:space="preserve"> </w:t>
      </w:r>
      <w:r>
        <w:rPr>
          <w:rFonts w:ascii="宋体" w:hAnsi="宋体" w:hint="eastAsia"/>
          <w:sz w:val="24"/>
        </w:rPr>
        <w:t>葛海蛟</w:t>
      </w:r>
    </w:p>
    <w:p w14:paraId="68EC3281"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成立时间：1983年10月31日</w:t>
      </w:r>
    </w:p>
    <w:p w14:paraId="485A7C5E"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基金托管业务批准文号：中国证监会</w:t>
      </w:r>
      <w:proofErr w:type="gramStart"/>
      <w:r>
        <w:rPr>
          <w:rFonts w:ascii="宋体" w:hAnsi="宋体" w:hint="eastAsia"/>
          <w:sz w:val="24"/>
        </w:rPr>
        <w:t>证监基字</w:t>
      </w:r>
      <w:proofErr w:type="gramEnd"/>
      <w:r>
        <w:rPr>
          <w:rFonts w:ascii="宋体" w:hAnsi="宋体" w:hint="eastAsia"/>
          <w:sz w:val="24"/>
        </w:rPr>
        <w:t>【1998】24号</w:t>
      </w:r>
    </w:p>
    <w:p w14:paraId="52620581" w14:textId="77777777" w:rsidR="00D744A5" w:rsidRDefault="000E4967">
      <w:pPr>
        <w:tabs>
          <w:tab w:val="left" w:pos="1110"/>
        </w:tabs>
        <w:spacing w:before="100" w:beforeAutospacing="1" w:after="100" w:afterAutospacing="1" w:line="400" w:lineRule="exact"/>
        <w:ind w:firstLine="420"/>
        <w:rPr>
          <w:rFonts w:ascii="宋体" w:hAnsi="宋体"/>
          <w:sz w:val="24"/>
        </w:rPr>
      </w:pPr>
      <w:r>
        <w:rPr>
          <w:rFonts w:ascii="宋体" w:hAnsi="宋体" w:hint="eastAsia"/>
          <w:sz w:val="24"/>
        </w:rPr>
        <w:t>组织形式：股份有限公司</w:t>
      </w:r>
    </w:p>
    <w:p w14:paraId="1579FA29"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注册资本：294,387,791,241元</w:t>
      </w:r>
    </w:p>
    <w:p w14:paraId="037EB7A3" w14:textId="77777777" w:rsidR="00D744A5" w:rsidRDefault="000E4967">
      <w:pPr>
        <w:spacing w:before="100" w:beforeAutospacing="1" w:after="100" w:afterAutospacing="1" w:line="400" w:lineRule="exact"/>
        <w:ind w:left="1674" w:right="26" w:hanging="1271"/>
        <w:rPr>
          <w:rFonts w:ascii="宋体" w:hAnsi="宋体"/>
          <w:sz w:val="24"/>
        </w:rPr>
      </w:pPr>
      <w:r>
        <w:rPr>
          <w:rFonts w:ascii="宋体" w:hAnsi="宋体" w:hint="eastAsia"/>
          <w:sz w:val="24"/>
        </w:rPr>
        <w:t>经营范围：</w:t>
      </w:r>
      <w:r>
        <w:rPr>
          <w:rFonts w:ascii="宋体" w:hAnsi="宋体"/>
          <w:sz w:val="24"/>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2F57994B" w14:textId="77777777" w:rsidR="00D744A5" w:rsidRDefault="000E4967">
      <w:pPr>
        <w:spacing w:before="100" w:beforeAutospacing="1" w:after="100" w:afterAutospacing="1" w:line="400" w:lineRule="exact"/>
        <w:ind w:firstLine="403"/>
        <w:rPr>
          <w:rFonts w:ascii="宋体" w:hAnsi="宋体"/>
          <w:sz w:val="24"/>
        </w:rPr>
      </w:pPr>
      <w:r>
        <w:rPr>
          <w:rFonts w:ascii="宋体" w:hAnsi="宋体" w:hint="eastAsia"/>
          <w:sz w:val="24"/>
        </w:rPr>
        <w:t>存续期间：</w:t>
      </w:r>
      <w:r>
        <w:rPr>
          <w:rFonts w:ascii="宋体" w:hAnsi="宋体" w:hint="eastAsia"/>
          <w:sz w:val="24"/>
        </w:rPr>
        <w:tab/>
        <w:t>持续经营</w:t>
      </w:r>
    </w:p>
    <w:p w14:paraId="4EA0AB1C" w14:textId="77777777" w:rsidR="00D744A5" w:rsidRDefault="00D744A5">
      <w:pPr>
        <w:spacing w:before="100" w:beforeAutospacing="1" w:after="100" w:afterAutospacing="1" w:line="400" w:lineRule="exact"/>
        <w:ind w:firstLine="403"/>
        <w:rPr>
          <w:rFonts w:ascii="宋体" w:hAnsi="宋体"/>
          <w:sz w:val="24"/>
        </w:rPr>
      </w:pPr>
    </w:p>
    <w:p w14:paraId="04D13B59" w14:textId="77777777" w:rsidR="00D744A5" w:rsidRDefault="000E4967">
      <w:pPr>
        <w:pStyle w:val="1"/>
        <w:spacing w:before="100" w:beforeAutospacing="1" w:after="100" w:afterAutospacing="1" w:line="400" w:lineRule="exact"/>
        <w:ind w:firstLine="422"/>
        <w:rPr>
          <w:rFonts w:ascii="宋体" w:hAnsi="宋体"/>
          <w:sz w:val="24"/>
          <w:szCs w:val="24"/>
        </w:rPr>
      </w:pPr>
      <w:bookmarkStart w:id="3" w:name="_Toc116900097"/>
      <w:r>
        <w:rPr>
          <w:rFonts w:ascii="宋体" w:hAnsi="宋体" w:hint="eastAsia"/>
          <w:sz w:val="24"/>
          <w:szCs w:val="24"/>
        </w:rPr>
        <w:t>二、托管协议的依据、目的、原则和解释</w:t>
      </w:r>
      <w:bookmarkEnd w:id="3"/>
    </w:p>
    <w:p w14:paraId="69DE8791" w14:textId="77777777" w:rsidR="00D744A5" w:rsidRDefault="000E4967">
      <w:pPr>
        <w:spacing w:before="100" w:beforeAutospacing="1" w:after="100" w:afterAutospacing="1" w:line="400" w:lineRule="exact"/>
        <w:ind w:firstLine="403"/>
        <w:rPr>
          <w:rFonts w:ascii="宋体" w:hAnsi="宋体"/>
          <w:sz w:val="24"/>
        </w:rPr>
      </w:pPr>
      <w:r>
        <w:rPr>
          <w:rFonts w:ascii="宋体" w:hAnsi="宋体" w:hint="eastAsia"/>
          <w:sz w:val="24"/>
        </w:rPr>
        <w:t>（一）依据</w:t>
      </w:r>
    </w:p>
    <w:p w14:paraId="1903B566" w14:textId="30B4EE6E"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lastRenderedPageBreak/>
        <w:t>本协议依据《中华人民共和国民法典》、《中华人民共和国证券投资基金法》（以下简称“《基金法》”）、《公开募集证券投资基金运作管理办法》（以下简称“《运作办法》”）、《证券投资基金托管业务管理办法》、《公开募集证券投资基金信息披露管理办法》（以下简称“《信息披露办法》”）、</w:t>
      </w:r>
      <w:r>
        <w:rPr>
          <w:rFonts w:ascii="宋体" w:eastAsia="宋体" w:hint="eastAsia"/>
          <w:bCs/>
          <w:color w:val="auto"/>
          <w:sz w:val="24"/>
        </w:rPr>
        <w:t>《公开募集开放式证券投资基金流动性风险管理规定》（以下简称“《流动性风险管理规定》”）</w:t>
      </w:r>
      <w:r>
        <w:rPr>
          <w:rFonts w:ascii="宋体" w:eastAsia="宋体" w:hint="eastAsia"/>
          <w:color w:val="auto"/>
          <w:sz w:val="24"/>
        </w:rPr>
        <w:t>及其他有关法律法规与《广发</w:t>
      </w:r>
      <w:r w:rsidR="00B91853">
        <w:rPr>
          <w:rFonts w:ascii="宋体" w:eastAsia="宋体" w:hint="eastAsia"/>
          <w:color w:val="auto"/>
          <w:sz w:val="24"/>
        </w:rPr>
        <w:t>价值稳进</w:t>
      </w:r>
      <w:r>
        <w:rPr>
          <w:rFonts w:ascii="宋体" w:eastAsia="宋体" w:hint="eastAsia"/>
          <w:color w:val="auto"/>
          <w:sz w:val="24"/>
        </w:rPr>
        <w:t>混合型证券投资基金基金合同》（以下简称“《基金合同》”）订立。</w:t>
      </w:r>
    </w:p>
    <w:p w14:paraId="3E52B6D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（二）目的</w:t>
      </w:r>
    </w:p>
    <w:p w14:paraId="063E0798" w14:textId="33A6641A"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订立本协议的目的是</w:t>
      </w:r>
      <w:proofErr w:type="gramStart"/>
      <w:r>
        <w:rPr>
          <w:rFonts w:ascii="宋体" w:eastAsia="宋体" w:hint="eastAsia"/>
          <w:color w:val="auto"/>
          <w:sz w:val="24"/>
        </w:rPr>
        <w:t>明确广发</w:t>
      </w:r>
      <w:r w:rsidR="00B91853">
        <w:rPr>
          <w:rFonts w:ascii="宋体" w:eastAsia="宋体" w:hint="eastAsia"/>
          <w:color w:val="auto"/>
          <w:sz w:val="24"/>
        </w:rPr>
        <w:t>价值</w:t>
      </w:r>
      <w:proofErr w:type="gramEnd"/>
      <w:r w:rsidR="00B91853">
        <w:rPr>
          <w:rFonts w:ascii="宋体" w:eastAsia="宋体" w:hint="eastAsia"/>
          <w:color w:val="auto"/>
          <w:sz w:val="24"/>
        </w:rPr>
        <w:t>稳进</w:t>
      </w:r>
      <w:r>
        <w:rPr>
          <w:rFonts w:ascii="宋体" w:eastAsia="宋体" w:hint="eastAsia"/>
          <w:color w:val="auto"/>
          <w:sz w:val="24"/>
        </w:rPr>
        <w:t>混合型证券投资</w:t>
      </w:r>
      <w:proofErr w:type="gramStart"/>
      <w:r>
        <w:rPr>
          <w:rFonts w:ascii="宋体" w:eastAsia="宋体" w:hint="eastAsia"/>
          <w:color w:val="auto"/>
          <w:sz w:val="24"/>
        </w:rPr>
        <w:t>基金基金</w:t>
      </w:r>
      <w:proofErr w:type="gramEnd"/>
      <w:r>
        <w:rPr>
          <w:rFonts w:ascii="宋体" w:eastAsia="宋体" w:hint="eastAsia"/>
          <w:color w:val="auto"/>
          <w:sz w:val="24"/>
        </w:rPr>
        <w:t>托管人和广</w:t>
      </w:r>
      <w:proofErr w:type="gramStart"/>
      <w:r>
        <w:rPr>
          <w:rFonts w:ascii="宋体" w:eastAsia="宋体" w:hint="eastAsia"/>
          <w:color w:val="auto"/>
          <w:sz w:val="24"/>
        </w:rPr>
        <w:t>发</w:t>
      </w:r>
      <w:r w:rsidR="00B91853">
        <w:rPr>
          <w:rFonts w:ascii="宋体" w:eastAsia="宋体" w:hint="eastAsia"/>
          <w:color w:val="auto"/>
          <w:sz w:val="24"/>
        </w:rPr>
        <w:t>价值</w:t>
      </w:r>
      <w:proofErr w:type="gramEnd"/>
      <w:r w:rsidR="00B91853">
        <w:rPr>
          <w:rFonts w:ascii="宋体" w:eastAsia="宋体" w:hint="eastAsia"/>
          <w:color w:val="auto"/>
          <w:sz w:val="24"/>
        </w:rPr>
        <w:t>稳进</w:t>
      </w:r>
      <w:r>
        <w:rPr>
          <w:rFonts w:ascii="宋体" w:eastAsia="宋体" w:hint="eastAsia"/>
          <w:color w:val="auto"/>
          <w:sz w:val="24"/>
        </w:rPr>
        <w:t>混合型证券投资</w:t>
      </w:r>
      <w:proofErr w:type="gramStart"/>
      <w:r>
        <w:rPr>
          <w:rFonts w:ascii="宋体" w:eastAsia="宋体" w:hint="eastAsia"/>
          <w:color w:val="auto"/>
          <w:sz w:val="24"/>
        </w:rPr>
        <w:t>基金基金</w:t>
      </w:r>
      <w:proofErr w:type="gramEnd"/>
      <w:r>
        <w:rPr>
          <w:rFonts w:ascii="宋体" w:eastAsia="宋体" w:hint="eastAsia"/>
          <w:color w:val="auto"/>
          <w:sz w:val="24"/>
        </w:rPr>
        <w:t>管理人之间在基金财产的保管、投资运作、净值计算、收益分配、信息披露及相互监督等相关事宜中的权利、义务及职责，确保基金财产的安全，保护基金份额持有人的合法权益。</w:t>
      </w:r>
    </w:p>
    <w:p w14:paraId="14B5F464"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（三）原则</w:t>
      </w:r>
    </w:p>
    <w:p w14:paraId="236D4D3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基金管理人和基金托管人本着平等自愿、诚实信用的原则，经协商一致，签订本协议。</w:t>
      </w:r>
    </w:p>
    <w:p w14:paraId="3337E2E4"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（四）解释</w:t>
      </w:r>
    </w:p>
    <w:p w14:paraId="0208093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除非文义另有所指，本协议的所有术语与</w:t>
      </w:r>
      <w:bookmarkStart w:id="4" w:name="OLE_LINK3"/>
      <w:r>
        <w:rPr>
          <w:rFonts w:ascii="宋体" w:eastAsia="宋体" w:hint="eastAsia"/>
          <w:color w:val="auto"/>
          <w:sz w:val="24"/>
        </w:rPr>
        <w:t>《基金合同》</w:t>
      </w:r>
      <w:bookmarkEnd w:id="4"/>
      <w:r>
        <w:rPr>
          <w:rFonts w:ascii="宋体" w:eastAsia="宋体" w:hint="eastAsia"/>
          <w:color w:val="auto"/>
          <w:sz w:val="24"/>
        </w:rPr>
        <w:t>的相应术语具有相同含义。</w:t>
      </w:r>
    </w:p>
    <w:p w14:paraId="09573CC9" w14:textId="77777777" w:rsidR="00D744A5" w:rsidRDefault="00D744A5">
      <w:pPr>
        <w:pStyle w:val="af4"/>
        <w:spacing w:before="100" w:beforeAutospacing="1" w:after="100" w:afterAutospacing="1"/>
        <w:ind w:firstLine="461"/>
        <w:rPr>
          <w:rFonts w:ascii="宋体" w:eastAsia="宋体"/>
          <w:color w:val="auto"/>
          <w:sz w:val="24"/>
        </w:rPr>
      </w:pPr>
    </w:p>
    <w:p w14:paraId="72C39368" w14:textId="77777777" w:rsidR="00D744A5" w:rsidRDefault="000E4967">
      <w:pPr>
        <w:pStyle w:val="1"/>
        <w:spacing w:before="100" w:beforeAutospacing="1" w:after="100" w:afterAutospacing="1" w:line="400" w:lineRule="exact"/>
        <w:ind w:firstLine="422"/>
        <w:rPr>
          <w:rFonts w:ascii="宋体" w:hAnsi="宋体"/>
          <w:sz w:val="24"/>
          <w:szCs w:val="24"/>
        </w:rPr>
      </w:pPr>
      <w:bookmarkStart w:id="5" w:name="_Toc116900098"/>
      <w:r>
        <w:rPr>
          <w:rFonts w:ascii="宋体" w:hAnsi="宋体" w:hint="eastAsia"/>
          <w:sz w:val="24"/>
          <w:szCs w:val="24"/>
        </w:rPr>
        <w:t>三、基金托管人对基金管理人的业务监督和核查</w:t>
      </w:r>
      <w:bookmarkEnd w:id="5"/>
    </w:p>
    <w:p w14:paraId="53FAE9F1"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（一）基金托管人根据有关法律法规的规定对基金管理人的下列投资运作进行监督：</w:t>
      </w:r>
    </w:p>
    <w:p w14:paraId="5BEDA621"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1、对基金的投资范围、投资对象进行监督。</w:t>
      </w:r>
    </w:p>
    <w:p w14:paraId="545179DA" w14:textId="77777777" w:rsidR="006A3BAB" w:rsidRPr="006A3BAB" w:rsidRDefault="006A3BAB" w:rsidP="006A3BAB">
      <w:pPr>
        <w:snapToGrid w:val="0"/>
        <w:spacing w:before="100" w:beforeAutospacing="1" w:after="100" w:afterAutospacing="1" w:line="400" w:lineRule="exact"/>
        <w:ind w:firstLine="480"/>
        <w:rPr>
          <w:rFonts w:ascii="宋体" w:hAnsi="宋体" w:cs="方正仿宋简体"/>
          <w:sz w:val="24"/>
        </w:rPr>
      </w:pPr>
      <w:r w:rsidRPr="006A3BAB">
        <w:rPr>
          <w:rFonts w:ascii="宋体" w:hAnsi="宋体" w:cs="方正仿宋简体" w:hint="eastAsia"/>
          <w:sz w:val="24"/>
        </w:rPr>
        <w:t>本基金的投资范围为具有良好流动性的金融工具，包括国内依法发行上市的股票（包括创业板、</w:t>
      </w:r>
      <w:proofErr w:type="gramStart"/>
      <w:r w:rsidRPr="006A3BAB">
        <w:rPr>
          <w:rFonts w:ascii="宋体" w:hAnsi="宋体" w:cs="方正仿宋简体" w:hint="eastAsia"/>
          <w:sz w:val="24"/>
        </w:rPr>
        <w:t>科创板</w:t>
      </w:r>
      <w:proofErr w:type="gramEnd"/>
      <w:r w:rsidRPr="006A3BAB">
        <w:rPr>
          <w:rFonts w:ascii="宋体" w:hAnsi="宋体" w:cs="方正仿宋简体" w:hint="eastAsia"/>
          <w:sz w:val="24"/>
        </w:rPr>
        <w:t>及其他依法发行上市的股票、存托凭证）、港股通标的股票、债券（国债、地方政府债、金融债、企业债、公司债、次级债、可转换债券（</w:t>
      </w:r>
      <w:proofErr w:type="gramStart"/>
      <w:r w:rsidRPr="006A3BAB">
        <w:rPr>
          <w:rFonts w:ascii="宋体" w:hAnsi="宋体" w:cs="方正仿宋简体" w:hint="eastAsia"/>
          <w:sz w:val="24"/>
        </w:rPr>
        <w:t>含可分离</w:t>
      </w:r>
      <w:proofErr w:type="gramEnd"/>
      <w:r w:rsidRPr="006A3BAB">
        <w:rPr>
          <w:rFonts w:ascii="宋体" w:hAnsi="宋体" w:cs="方正仿宋简体" w:hint="eastAsia"/>
          <w:sz w:val="24"/>
        </w:rPr>
        <w:t>交易可转债）、可交换债券、央行票据、中期票据、短</w:t>
      </w:r>
      <w:r w:rsidRPr="006A3BAB">
        <w:rPr>
          <w:rFonts w:ascii="宋体" w:hAnsi="宋体" w:cs="方正仿宋简体" w:hint="eastAsia"/>
          <w:sz w:val="24"/>
        </w:rPr>
        <w:lastRenderedPageBreak/>
        <w:t>期融资</w:t>
      </w:r>
      <w:proofErr w:type="gramStart"/>
      <w:r w:rsidRPr="006A3BAB">
        <w:rPr>
          <w:rFonts w:ascii="宋体" w:hAnsi="宋体" w:cs="方正仿宋简体" w:hint="eastAsia"/>
          <w:sz w:val="24"/>
        </w:rPr>
        <w:t>券</w:t>
      </w:r>
      <w:proofErr w:type="gramEnd"/>
      <w:r w:rsidRPr="006A3BAB">
        <w:rPr>
          <w:rFonts w:ascii="宋体" w:hAnsi="宋体" w:cs="方正仿宋简体" w:hint="eastAsia"/>
          <w:sz w:val="24"/>
        </w:rPr>
        <w:t>（包括超短期融资</w:t>
      </w:r>
      <w:proofErr w:type="gramStart"/>
      <w:r w:rsidRPr="006A3BAB">
        <w:rPr>
          <w:rFonts w:ascii="宋体" w:hAnsi="宋体" w:cs="方正仿宋简体" w:hint="eastAsia"/>
          <w:sz w:val="24"/>
        </w:rPr>
        <w:t>券</w:t>
      </w:r>
      <w:proofErr w:type="gramEnd"/>
      <w:r w:rsidRPr="006A3BAB">
        <w:rPr>
          <w:rFonts w:ascii="宋体" w:hAnsi="宋体" w:cs="方正仿宋简体" w:hint="eastAsia"/>
          <w:sz w:val="24"/>
        </w:rPr>
        <w:t>）等）、资产支持证券、债券回购、同业存单、银行存款、货币市场工具、股指期货、国债期货、股票期权以及法律法规或中国证监会允许基金投资的其他金融工具（但须符合中国证监会相关规定）。</w:t>
      </w:r>
    </w:p>
    <w:p w14:paraId="54BC9455" w14:textId="77777777" w:rsidR="006A3BAB" w:rsidRPr="006A3BAB" w:rsidRDefault="006A3BAB" w:rsidP="006A3BAB">
      <w:pPr>
        <w:snapToGrid w:val="0"/>
        <w:spacing w:before="100" w:beforeAutospacing="1" w:after="100" w:afterAutospacing="1" w:line="400" w:lineRule="exact"/>
        <w:ind w:firstLine="480"/>
        <w:rPr>
          <w:rFonts w:ascii="宋体" w:hAnsi="宋体" w:cs="方正仿宋简体"/>
          <w:sz w:val="24"/>
        </w:rPr>
      </w:pPr>
      <w:r w:rsidRPr="006A3BAB">
        <w:rPr>
          <w:rFonts w:ascii="宋体" w:hAnsi="宋体" w:cs="方正仿宋简体" w:hint="eastAsia"/>
          <w:sz w:val="24"/>
        </w:rPr>
        <w:t>如法律法规或监管机构以后允许基金投资其他品种，基金管理人在履行适当程序后，可以将其纳入投资范围，并可依据届时有效的法律法规适时合理地调整投资范围。</w:t>
      </w:r>
    </w:p>
    <w:p w14:paraId="61936F8C" w14:textId="77777777" w:rsidR="006A3BAB" w:rsidRPr="006A3BAB" w:rsidRDefault="006A3BAB" w:rsidP="006A3BAB">
      <w:pPr>
        <w:snapToGrid w:val="0"/>
        <w:spacing w:before="100" w:beforeAutospacing="1" w:after="100" w:afterAutospacing="1" w:line="400" w:lineRule="exact"/>
        <w:ind w:firstLine="480"/>
        <w:rPr>
          <w:rFonts w:ascii="宋体" w:hAnsi="宋体" w:cs="方正仿宋简体"/>
          <w:sz w:val="24"/>
        </w:rPr>
      </w:pPr>
      <w:r w:rsidRPr="006A3BAB">
        <w:rPr>
          <w:rFonts w:ascii="宋体" w:hAnsi="宋体" w:cs="方正仿宋简体" w:hint="eastAsia"/>
          <w:sz w:val="24"/>
        </w:rPr>
        <w:t>本基金为混合型基金，基金的投资组合比例为：股票资产占基金资产的比例为60%-95%，其中投资于港股通标的股票不超过股票资产的50%；每个交易日日终在扣除股指期货合约、国债期货合约、股票期权合约需缴纳的交易保证金后，应当保持现金或者到期日在一年以内的政府债券不低于基金资产净值的5%，其中现金不得包括结算备付金、存出保证金及应收申购款等；股指期货、国债期货、股票期权及其他金融工具的投资比例依照法律法规或监管机构的规定执行。</w:t>
      </w:r>
    </w:p>
    <w:p w14:paraId="112F5133" w14:textId="26BD1B5C" w:rsidR="00D744A5" w:rsidRDefault="006A3BAB">
      <w:pPr>
        <w:snapToGrid w:val="0"/>
        <w:spacing w:before="100" w:beforeAutospacing="1" w:after="100" w:afterAutospacing="1" w:line="400" w:lineRule="exact"/>
        <w:ind w:firstLine="480"/>
        <w:rPr>
          <w:rFonts w:ascii="宋体" w:hAnsi="宋体" w:cs="方正仿宋简体"/>
          <w:sz w:val="24"/>
        </w:rPr>
      </w:pPr>
      <w:r w:rsidRPr="006A3BAB">
        <w:rPr>
          <w:rFonts w:ascii="宋体" w:hAnsi="宋体" w:cs="方正仿宋简体" w:hint="eastAsia"/>
          <w:sz w:val="24"/>
        </w:rPr>
        <w:t>如法律法规或监管机构以后对投资比例要求有变更的，基金管理人在履行适当程序后，可以做出相应调整。</w:t>
      </w:r>
    </w:p>
    <w:p w14:paraId="789EABEF"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基金管理人应将本基金的基金</w:t>
      </w:r>
      <w:proofErr w:type="gramStart"/>
      <w:r>
        <w:rPr>
          <w:rFonts w:ascii="宋体" w:hAnsi="宋体" w:cs="方正仿宋简体" w:hint="eastAsia"/>
          <w:sz w:val="24"/>
        </w:rPr>
        <w:t>禁投库</w:t>
      </w:r>
      <w:proofErr w:type="gramEnd"/>
      <w:r>
        <w:rPr>
          <w:rFonts w:ascii="宋体" w:hAnsi="宋体" w:cs="方正仿宋简体" w:hint="eastAsia"/>
          <w:sz w:val="24"/>
        </w:rPr>
        <w:t>等各投资品种的具体范围及时提供给基金托管人。基金管理人可以根据实际情况的变化，对各投资品种的具体范围予以更新和调整，并及时通知基金托管人。基金托管人根据上述投资范围对基金的投资进行监督。相关基金库提供给托管人的时间应不晚于基金成立后10个交易日。</w:t>
      </w:r>
    </w:p>
    <w:p w14:paraId="7A36F292"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2、对基金投融资比例进行监督；</w:t>
      </w:r>
    </w:p>
    <w:p w14:paraId="2904C9E5"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（1）股票资产占基金资产的比例为60%-95%，其中投资于港股通标的股票不超过股票资产的50%；</w:t>
      </w:r>
    </w:p>
    <w:p w14:paraId="37C21D99"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2）每个交易日日终在扣除股指期货合约、国债期货合约、股票期权合约需缴纳的交易保证金后，应当保持现金或者到期日在一年以内的政府债券不低于基金资产净值的5%，其中现金不得包括结算备付金、存出保证金及应收申购款等；</w:t>
      </w:r>
    </w:p>
    <w:p w14:paraId="2CF65465"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（3）本基金持有一家公司发行的证券，其市值（同一家公司在境内和香港同时上市的A+H股合并计算）不超过基金资产净值的10%；</w:t>
      </w:r>
    </w:p>
    <w:p w14:paraId="01106A0E"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lastRenderedPageBreak/>
        <w:t>（4）本基金管理人管理的且由本基金托管人托管的全部基金持有一家公司发行的证券（同一家公司在境内和香港同时上市的A+H股合并计算），不超过该证券的10%；</w:t>
      </w:r>
    </w:p>
    <w:p w14:paraId="6DC159E0"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（5）本基金投资于同一原始权益人的各类资产支持证券的比例，不得超过基金资产净值的10%；</w:t>
      </w:r>
    </w:p>
    <w:p w14:paraId="2DA1C875"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（6）本基金持有的全部资产支持证券，其市值不得超过基金资产净值的20%；</w:t>
      </w:r>
    </w:p>
    <w:p w14:paraId="32940D0B"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（7）本基金持有的同一（指同一信用级别）资产支持证券的比例，不得超过该资产支持证券规模的10%；</w:t>
      </w:r>
    </w:p>
    <w:p w14:paraId="74C51EFB"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（8）本基金管理人管理的且由本基金托管人托管的全部基金投资于同一原始权益人的各类资产支持证券，不得超过其各类资产支持证券合计规模的10%；</w:t>
      </w:r>
    </w:p>
    <w:p w14:paraId="49428808"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186976B2"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（10）基金财产参与股票发行申购，本基金所申报的金额不超过本基金的总资产，本基金所申报的股票数量不超过拟发行股票公司本次发行股票的总量；</w:t>
      </w:r>
    </w:p>
    <w:p w14:paraId="20FB51B3" w14:textId="65982034"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sz w:val="24"/>
        </w:rPr>
        <w:t>（11）本基金投资股指期货，还需遵守以下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w:t>
      </w:r>
      <w:r w:rsidR="00EA2DF8" w:rsidRPr="00EA2DF8">
        <w:rPr>
          <w:rFonts w:ascii="宋体" w:hAnsi="宋体" w:cs="方正仿宋简体" w:hint="eastAsia"/>
          <w:sz w:val="24"/>
        </w:rPr>
        <w:t>占基金资产的比例为60%-95%</w:t>
      </w:r>
      <w:r>
        <w:rPr>
          <w:rFonts w:ascii="宋体" w:hAnsi="宋体" w:cs="方正仿宋简体"/>
          <w:sz w:val="24"/>
        </w:rPr>
        <w:t>；</w:t>
      </w:r>
    </w:p>
    <w:p w14:paraId="369EE09A" w14:textId="220739AA"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（12）本基金投资国债期货，还需遵守以下限制：在任何交易日日终，持有的买入国债期货合约价值，不得超过基金资产净值的15%；在任何交易日日</w:t>
      </w:r>
      <w:r>
        <w:rPr>
          <w:rFonts w:ascii="宋体" w:hAnsi="宋体" w:cs="方正仿宋简体" w:hint="eastAsia"/>
          <w:sz w:val="24"/>
        </w:rPr>
        <w:lastRenderedPageBreak/>
        <w:t>终，持有的卖出国债期货合约价值不得超过基金持有的债券总市值的30%；在任何交易日内交易（不包括平仓）的国债期货合约的成交金额不得超过上一交易日基金资产净值的30%</w:t>
      </w:r>
      <w:r>
        <w:rPr>
          <w:rFonts w:ascii="宋体" w:hAnsi="宋体" w:cs="方正仿宋简体"/>
          <w:sz w:val="24"/>
        </w:rPr>
        <w:t xml:space="preserve">； </w:t>
      </w:r>
    </w:p>
    <w:p w14:paraId="1BEE1966" w14:textId="103A04BC"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（13）本基金参与股票期权交易的，应当符合下列风险控制指标要求：基金因未平仓的期权合约支付和收取的权利金总额不得超过基金资产净值的10%；</w:t>
      </w:r>
      <w:r>
        <w:rPr>
          <w:rFonts w:ascii="宋体" w:hAnsi="宋体" w:cs="方正仿宋简体"/>
          <w:sz w:val="24"/>
        </w:rPr>
        <w:t>未平仓的期权合约面值不得超过基金资产净值的20%。其中，合约面值按照行权价乘以合约乘数计算；</w:t>
      </w:r>
    </w:p>
    <w:p w14:paraId="185122EB"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14）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BB54212"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3B4AF49" w14:textId="3FCF71BD"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（16）本基金与私募类</w:t>
      </w:r>
      <w:proofErr w:type="gramStart"/>
      <w:r>
        <w:rPr>
          <w:rFonts w:ascii="宋体" w:hAnsi="宋体" w:cs="方正仿宋简体" w:hint="eastAsia"/>
          <w:sz w:val="24"/>
        </w:rPr>
        <w:t>证券资管产品</w:t>
      </w:r>
      <w:proofErr w:type="gramEnd"/>
      <w:r>
        <w:rPr>
          <w:rFonts w:ascii="宋体" w:hAnsi="宋体" w:cs="方正仿宋简体" w:hint="eastAsia"/>
          <w:sz w:val="24"/>
        </w:rPr>
        <w:t>及中国证监会认定的其他主体为交易对手开展逆回购交易的，可接受质押品的资质要求应当与基金合同约定的投资范围保持一致；</w:t>
      </w:r>
    </w:p>
    <w:p w14:paraId="75B5825F"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（17）本</w:t>
      </w:r>
      <w:proofErr w:type="gramStart"/>
      <w:r>
        <w:rPr>
          <w:rFonts w:ascii="宋体" w:hAnsi="宋体" w:cs="方正仿宋简体" w:hint="eastAsia"/>
          <w:sz w:val="24"/>
        </w:rPr>
        <w:t>基金基金</w:t>
      </w:r>
      <w:proofErr w:type="gramEnd"/>
      <w:r>
        <w:rPr>
          <w:rFonts w:ascii="宋体" w:hAnsi="宋体" w:cs="方正仿宋简体" w:hint="eastAsia"/>
          <w:sz w:val="24"/>
        </w:rPr>
        <w:t>总资产不得超过基金净资产的140%；</w:t>
      </w:r>
    </w:p>
    <w:p w14:paraId="4F576448"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（18）本基金投资存托凭证的比例限制依照境内上市交易的股票执行，与境内上市交易的股票合并计算；</w:t>
      </w:r>
    </w:p>
    <w:p w14:paraId="66AEFC0A" w14:textId="1CD456C6"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（19）法律法规及中国证监会规定的</w:t>
      </w:r>
      <w:r>
        <w:rPr>
          <w:rFonts w:ascii="宋体" w:hAnsi="宋体" w:cs="方正仿宋简体"/>
          <w:sz w:val="24"/>
        </w:rPr>
        <w:t>其他投资比例限制。</w:t>
      </w:r>
    </w:p>
    <w:p w14:paraId="6207FC53"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除上述第（2）、（9）、（15）、（16）项规定的情形外，因证券、期货市场波动、上市公司合并、基金规模变动等基金管理人之外的因素致使基金投资比例不符合上述规定投资比例的，基金管理人应当在10个交易日内进行调整，但中国证监会规定的特殊情形除外。</w:t>
      </w:r>
    </w:p>
    <w:p w14:paraId="6767DD2F" w14:textId="144B26EC"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6884A5B"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基金管理人运用基金财产买卖基金管理人、基金托管人及其控股股东、实际控制人或者与其有重大利害关系的公司发行的证券或者承销期内承销的证券，或者从事其他重大关联交易的，应当</w:t>
      </w:r>
      <w:r>
        <w:rPr>
          <w:rFonts w:hint="eastAsia"/>
          <w:bCs/>
          <w:sz w:val="24"/>
        </w:rPr>
        <w:t>符合本基金的投资目标和投资策略，</w:t>
      </w:r>
      <w:r>
        <w:rPr>
          <w:rFonts w:ascii="宋体" w:hAnsi="宋体" w:cs="方正仿宋简体" w:hint="eastAsia"/>
          <w:sz w:val="24"/>
        </w:rPr>
        <w:t>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5993817"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（二）基金托管人应根据有关法律法规的规定及</w:t>
      </w:r>
      <w:r>
        <w:rPr>
          <w:rFonts w:ascii="宋体" w:hAnsi="宋体" w:hint="eastAsia"/>
          <w:sz w:val="24"/>
        </w:rPr>
        <w:t>《基金合同》</w:t>
      </w:r>
      <w:r>
        <w:rPr>
          <w:rFonts w:ascii="宋体" w:hAnsi="宋体" w:cs="方正仿宋简体" w:hint="eastAsia"/>
          <w:sz w:val="24"/>
        </w:rPr>
        <w:t>的约定，对基金资产净值计算、基金份额净值计算、应收资金到账、基金费用开支及收入确定、基金收益分配、相关信息披露中登载基金业绩表现数据等进行复核。</w:t>
      </w:r>
    </w:p>
    <w:p w14:paraId="62097237"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（三）基金托管人在上述第（一）、（二）款的监督和核查中发现基金管理人违反上述</w:t>
      </w:r>
      <w:r>
        <w:rPr>
          <w:rFonts w:ascii="宋体" w:hAnsi="宋体" w:hint="eastAsia"/>
          <w:sz w:val="24"/>
        </w:rPr>
        <w:t>约定</w:t>
      </w:r>
      <w:r>
        <w:rPr>
          <w:rFonts w:ascii="宋体" w:hAnsi="宋体" w:cs="方正仿宋简体" w:hint="eastAsia"/>
          <w:sz w:val="24"/>
        </w:rPr>
        <w:t>，</w:t>
      </w:r>
      <w:r>
        <w:rPr>
          <w:rFonts w:ascii="宋体" w:hAnsi="宋体" w:hint="eastAsia"/>
          <w:sz w:val="24"/>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1F6F9A19"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（四）基金托管人发现基金管理人的投资指令违反法律法规、本协议的规定，</w:t>
      </w:r>
      <w:r>
        <w:rPr>
          <w:rFonts w:ascii="宋体" w:hAnsi="宋体" w:hint="eastAsia"/>
          <w:sz w:val="24"/>
        </w:rPr>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17777D10" w14:textId="77777777" w:rsidR="00D744A5" w:rsidRDefault="000E4967">
      <w:pPr>
        <w:spacing w:before="100" w:beforeAutospacing="1" w:after="100" w:afterAutospacing="1" w:line="400" w:lineRule="exact"/>
        <w:ind w:firstLine="420"/>
        <w:rPr>
          <w:rFonts w:ascii="宋体" w:hAnsi="宋体" w:cs="方正仿宋简体"/>
          <w:sz w:val="24"/>
        </w:rPr>
      </w:pPr>
      <w:r>
        <w:rPr>
          <w:rFonts w:ascii="宋体" w:hAnsi="宋体" w:cs="方正仿宋简体" w:hint="eastAsia"/>
          <w:sz w:val="24"/>
        </w:rPr>
        <w:t>（五）基金管理人应积极配合和协助基金托管人的监督和核查，包括但不限于：在规定时间内答复基金托管人并改正，就基金托管人的疑义进行解释或举证，提供相关数据资料和制度等。</w:t>
      </w:r>
    </w:p>
    <w:p w14:paraId="5E058954" w14:textId="77777777" w:rsidR="00D744A5" w:rsidRDefault="000E4967">
      <w:pPr>
        <w:spacing w:before="100" w:beforeAutospacing="1" w:after="100" w:afterAutospacing="1" w:line="400" w:lineRule="exact"/>
        <w:ind w:firstLine="420"/>
        <w:rPr>
          <w:rFonts w:ascii="宋体" w:hAnsi="宋体" w:cs="方正仿宋简体"/>
          <w:sz w:val="24"/>
        </w:rPr>
      </w:pPr>
      <w:r>
        <w:rPr>
          <w:rFonts w:ascii="宋体" w:hAnsi="宋体" w:cs="方正仿宋简体" w:hint="eastAsia"/>
          <w:sz w:val="24"/>
        </w:rPr>
        <w:t>（六）</w:t>
      </w:r>
      <w:proofErr w:type="gramStart"/>
      <w:r>
        <w:rPr>
          <w:rFonts w:ascii="宋体" w:hAnsi="宋体" w:cs="方正仿宋简体" w:hint="eastAsia"/>
          <w:sz w:val="24"/>
        </w:rPr>
        <w:t>侧袋机制</w:t>
      </w:r>
      <w:proofErr w:type="gramEnd"/>
      <w:r>
        <w:rPr>
          <w:rFonts w:ascii="宋体" w:hAnsi="宋体" w:cs="方正仿宋简体" w:hint="eastAsia"/>
          <w:sz w:val="24"/>
        </w:rPr>
        <w:t>实施期间，本部分约定的投资组合比例、组合限制等约定仅</w:t>
      </w:r>
      <w:proofErr w:type="gramStart"/>
      <w:r>
        <w:rPr>
          <w:rFonts w:ascii="宋体" w:hAnsi="宋体" w:cs="方正仿宋简体" w:hint="eastAsia"/>
          <w:sz w:val="24"/>
        </w:rPr>
        <w:t>适用于主袋账户</w:t>
      </w:r>
      <w:proofErr w:type="gramEnd"/>
      <w:r>
        <w:rPr>
          <w:rFonts w:ascii="宋体" w:hAnsi="宋体" w:cs="方正仿宋简体" w:hint="eastAsia"/>
          <w:sz w:val="24"/>
        </w:rPr>
        <w:t>。</w:t>
      </w:r>
    </w:p>
    <w:p w14:paraId="15725667" w14:textId="77777777" w:rsidR="00D744A5" w:rsidRDefault="00D744A5">
      <w:pPr>
        <w:spacing w:before="100" w:beforeAutospacing="1" w:after="100" w:afterAutospacing="1" w:line="400" w:lineRule="exact"/>
        <w:ind w:firstLine="420"/>
        <w:rPr>
          <w:rFonts w:ascii="宋体" w:hAnsi="宋体" w:cs="方正仿宋简体"/>
          <w:sz w:val="24"/>
        </w:rPr>
      </w:pPr>
    </w:p>
    <w:p w14:paraId="5E695CB2" w14:textId="77777777" w:rsidR="00D744A5" w:rsidRDefault="000E4967">
      <w:pPr>
        <w:pStyle w:val="1"/>
        <w:spacing w:before="100" w:beforeAutospacing="1" w:after="100" w:afterAutospacing="1" w:line="400" w:lineRule="exact"/>
        <w:ind w:firstLine="422"/>
        <w:rPr>
          <w:rFonts w:ascii="宋体" w:hAnsi="宋体"/>
          <w:sz w:val="24"/>
          <w:szCs w:val="24"/>
        </w:rPr>
      </w:pPr>
      <w:r>
        <w:rPr>
          <w:rFonts w:ascii="宋体" w:hAnsi="宋体" w:hint="eastAsia"/>
          <w:sz w:val="24"/>
          <w:szCs w:val="24"/>
        </w:rPr>
        <w:t>四、基金管理人对基金托管人的业务核查</w:t>
      </w:r>
    </w:p>
    <w:p w14:paraId="0B160A1C"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678E87CC"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61FC7CB7"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（三）基金托管人应积极配合基金管理人的核查行为，包括但不限于：提交相关资料以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管理人核查托管财产的完整性和真实性，在规定时间内答复基金管理人并改正。</w:t>
      </w:r>
    </w:p>
    <w:p w14:paraId="2E496FFE" w14:textId="77777777" w:rsidR="00D744A5" w:rsidRDefault="00D744A5">
      <w:pPr>
        <w:snapToGrid w:val="0"/>
        <w:spacing w:before="100" w:beforeAutospacing="1" w:after="100" w:afterAutospacing="1" w:line="400" w:lineRule="exact"/>
        <w:ind w:firstLine="480"/>
        <w:rPr>
          <w:rFonts w:ascii="宋体" w:hAnsi="宋体"/>
          <w:sz w:val="24"/>
        </w:rPr>
      </w:pPr>
    </w:p>
    <w:p w14:paraId="525A323F" w14:textId="77777777" w:rsidR="00D744A5" w:rsidRDefault="000E4967">
      <w:pPr>
        <w:pStyle w:val="1"/>
        <w:spacing w:before="100" w:beforeAutospacing="1" w:after="100" w:afterAutospacing="1" w:line="400" w:lineRule="exact"/>
        <w:ind w:firstLine="422"/>
        <w:rPr>
          <w:rFonts w:ascii="宋体" w:hAnsi="宋体"/>
          <w:sz w:val="24"/>
          <w:szCs w:val="24"/>
        </w:rPr>
      </w:pPr>
      <w:bookmarkStart w:id="6" w:name="_Toc116900099"/>
      <w:r>
        <w:rPr>
          <w:rFonts w:ascii="宋体" w:hAnsi="宋体" w:hint="eastAsia"/>
          <w:sz w:val="24"/>
          <w:szCs w:val="24"/>
        </w:rPr>
        <w:t>五、基金财产的保管</w:t>
      </w:r>
      <w:bookmarkEnd w:id="6"/>
    </w:p>
    <w:p w14:paraId="694685F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（一）基金财产保管的原则</w:t>
      </w:r>
    </w:p>
    <w:p w14:paraId="518DF77F"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1、</w:t>
      </w:r>
      <w:r>
        <w:rPr>
          <w:rFonts w:ascii="宋体" w:hAnsi="宋体" w:cs="方正仿宋简体" w:hint="eastAsia"/>
          <w:sz w:val="24"/>
        </w:rPr>
        <w:t>基金财产应独立于基金管理人、基金托管人的固有财产。</w:t>
      </w:r>
      <w:r>
        <w:rPr>
          <w:rFonts w:hint="eastAsia"/>
          <w:bCs/>
          <w:sz w:val="24"/>
        </w:rPr>
        <w:t>非因基金财产本身承担的债务，不得对基金财产强制执行。</w:t>
      </w:r>
    </w:p>
    <w:p w14:paraId="4E5CA7C4"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2、基金托管人应安全保管基金财产，</w:t>
      </w:r>
      <w:r>
        <w:rPr>
          <w:rFonts w:ascii="宋体" w:hAnsi="宋体" w:hint="eastAsia"/>
          <w:sz w:val="24"/>
        </w:rPr>
        <w:t>未经基金管理人的合法合</w:t>
      </w:r>
      <w:proofErr w:type="gramStart"/>
      <w:r>
        <w:rPr>
          <w:rFonts w:ascii="宋体" w:hAnsi="宋体" w:hint="eastAsia"/>
          <w:sz w:val="24"/>
        </w:rPr>
        <w:t>规</w:t>
      </w:r>
      <w:proofErr w:type="gramEnd"/>
      <w:r>
        <w:rPr>
          <w:rFonts w:ascii="宋体" w:hAnsi="宋体" w:hint="eastAsia"/>
          <w:sz w:val="24"/>
        </w:rPr>
        <w:t>指令或法律法规、《基金合同》及本协议另有规定，不得自行运用、处分、分配基金的任何财产。</w:t>
      </w:r>
    </w:p>
    <w:p w14:paraId="539CE1DE" w14:textId="77777777" w:rsidR="00D744A5" w:rsidRDefault="000E4967">
      <w:pPr>
        <w:snapToGrid w:val="0"/>
        <w:spacing w:before="100" w:beforeAutospacing="1" w:after="100" w:afterAutospacing="1" w:line="400" w:lineRule="exact"/>
        <w:ind w:firstLine="480"/>
        <w:rPr>
          <w:rFonts w:ascii="宋体" w:hAnsi="宋体"/>
          <w:color w:val="FF0000"/>
          <w:sz w:val="24"/>
        </w:rPr>
      </w:pPr>
      <w:r>
        <w:rPr>
          <w:rFonts w:ascii="宋体" w:hAnsi="宋体" w:cs="方正仿宋简体" w:hint="eastAsia"/>
          <w:sz w:val="24"/>
        </w:rPr>
        <w:t>3、基金托管人按照规定开设基金财产的资金账户、证券账户等投资所需账</w:t>
      </w:r>
      <w:r>
        <w:rPr>
          <w:rFonts w:ascii="宋体" w:hAnsi="宋体" w:cs="方正仿宋简体" w:hint="eastAsia"/>
          <w:sz w:val="24"/>
        </w:rPr>
        <w:lastRenderedPageBreak/>
        <w:t>户。</w:t>
      </w:r>
    </w:p>
    <w:p w14:paraId="4491EF6B"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cs="方正仿宋简体" w:hint="eastAsia"/>
          <w:sz w:val="24"/>
        </w:rPr>
        <w:t>4、基金托管人对所托管的不同基金财产分别设置账户，确保基金财产的完整与独立。</w:t>
      </w:r>
    </w:p>
    <w:p w14:paraId="2D9AB9AF"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5、除依据《基金法》、《运作办法》、《基金合同》及其他有关法律法规规定外，基金托管人不得委托第三人托管基金财产。</w:t>
      </w:r>
    </w:p>
    <w:p w14:paraId="23D231F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（二）基金合同生效前募集资金的验资和入账</w:t>
      </w:r>
    </w:p>
    <w:p w14:paraId="51D282FA"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1、基金募集期满或基金管理人宣布停止募集时，</w:t>
      </w:r>
      <w:r>
        <w:rPr>
          <w:rFonts w:ascii="宋体" w:eastAsia="宋体" w:cs="方正仿宋简体" w:hint="eastAsia"/>
          <w:sz w:val="24"/>
        </w:rPr>
        <w:t>募集的基金份额总额、基金募集金额、基金份额持有人人数符合《基金法》、《运作办法》等有关规定的，</w:t>
      </w:r>
      <w:r>
        <w:rPr>
          <w:rFonts w:ascii="宋体" w:eastAsia="宋体" w:hint="eastAsia"/>
          <w:color w:val="auto"/>
          <w:sz w:val="24"/>
        </w:rPr>
        <w:t>由基金管理人在法定期限内聘请符合</w:t>
      </w:r>
      <w:r>
        <w:rPr>
          <w:rFonts w:ascii="宋体" w:eastAsia="宋体"/>
          <w:color w:val="auto"/>
          <w:sz w:val="24"/>
        </w:rPr>
        <w:t>《</w:t>
      </w:r>
      <w:r>
        <w:rPr>
          <w:rFonts w:ascii="宋体" w:eastAsia="宋体" w:hint="eastAsia"/>
          <w:color w:val="auto"/>
          <w:sz w:val="24"/>
        </w:rPr>
        <w:t>中华人民共和国证券法</w:t>
      </w:r>
      <w:r>
        <w:rPr>
          <w:rFonts w:ascii="宋体" w:eastAsia="宋体"/>
          <w:color w:val="auto"/>
          <w:sz w:val="24"/>
        </w:rPr>
        <w:t>》</w:t>
      </w:r>
      <w:r>
        <w:rPr>
          <w:rFonts w:ascii="宋体" w:eastAsia="宋体" w:hint="eastAsia"/>
          <w:color w:val="auto"/>
          <w:sz w:val="24"/>
        </w:rPr>
        <w:t>规定</w:t>
      </w:r>
      <w:r>
        <w:rPr>
          <w:rFonts w:ascii="宋体" w:eastAsia="宋体"/>
          <w:color w:val="auto"/>
          <w:sz w:val="24"/>
        </w:rPr>
        <w:t>的</w:t>
      </w:r>
      <w:r>
        <w:rPr>
          <w:rFonts w:ascii="宋体" w:eastAsia="宋体" w:hint="eastAsia"/>
          <w:color w:val="auto"/>
          <w:sz w:val="24"/>
        </w:rPr>
        <w:t>会计师事务所对基金进行验资，并出具验资报告，出具的验资报告应由参加验资的</w:t>
      </w:r>
      <w:r>
        <w:rPr>
          <w:rFonts w:ascii="宋体" w:eastAsia="宋体"/>
          <w:color w:val="auto"/>
          <w:sz w:val="24"/>
        </w:rPr>
        <w:t>2</w:t>
      </w:r>
      <w:r>
        <w:rPr>
          <w:rFonts w:ascii="宋体" w:eastAsia="宋体" w:hint="eastAsia"/>
          <w:color w:val="auto"/>
          <w:sz w:val="24"/>
        </w:rPr>
        <w:t>名以上（含</w:t>
      </w:r>
      <w:r>
        <w:rPr>
          <w:rFonts w:ascii="宋体" w:eastAsia="宋体"/>
          <w:color w:val="auto"/>
          <w:sz w:val="24"/>
        </w:rPr>
        <w:t>2</w:t>
      </w:r>
      <w:r>
        <w:rPr>
          <w:rFonts w:ascii="宋体" w:eastAsia="宋体" w:hint="eastAsia"/>
          <w:color w:val="auto"/>
          <w:sz w:val="24"/>
        </w:rPr>
        <w:t>名）符合《中华人民共和国证券法》规定的注册会计师签字方为有效。</w:t>
      </w:r>
    </w:p>
    <w:p w14:paraId="13F792E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sz w:val="24"/>
        </w:rPr>
        <w:t>2、基金管理人应将属于本基金财产的全部资金划入在基金托管人处为本基金开立的基金银行账户中，并确保划入的资金与验资确认金额相一致。</w:t>
      </w:r>
    </w:p>
    <w:p w14:paraId="1BCB78D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（三）基金的银行账户的开设和管理</w:t>
      </w:r>
    </w:p>
    <w:p w14:paraId="67E7B08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1、基金托管人应负责本基金的银行账户的开设和管理。</w:t>
      </w:r>
    </w:p>
    <w:p w14:paraId="3E6C6F3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60F30C42"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3、本基金银行账户的开立和使用，限于满足开展本基金业务的需要。基金托管人和基金管理人不得假借本基金的名义开立其他任何银行账户；亦不得使用本基金的银行账户进行本基金业务以外的活动。</w:t>
      </w:r>
    </w:p>
    <w:p w14:paraId="672A2F2B"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4、基金银行账户的管理应符合法律法规的有关规定。</w:t>
      </w:r>
    </w:p>
    <w:p w14:paraId="586073B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（四）基金进行定期存款投资的账户开设和管理</w:t>
      </w:r>
    </w:p>
    <w:p w14:paraId="074501D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基金管理人以本基金名义在基金托管人认可的存款银行的指定营业网点开</w:t>
      </w:r>
      <w:r>
        <w:rPr>
          <w:rFonts w:ascii="宋体" w:eastAsia="宋体" w:hint="eastAsia"/>
          <w:color w:val="auto"/>
          <w:sz w:val="24"/>
        </w:rPr>
        <w:lastRenderedPageBreak/>
        <w:t>立存款账户，基金托管人负责该账户银行预留印鉴的保管和使用。在上述账户开立和账户相关信息变更过程中，基金管理人应提前向基金托管人提供开户或账户变更所需的相关资料。</w:t>
      </w:r>
    </w:p>
    <w:p w14:paraId="7D634E7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（五）基金证券账户、结算备付金账户及其他投资账户的开设和管理</w:t>
      </w:r>
    </w:p>
    <w:p w14:paraId="65C63D7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1、基金托管人应当代表本基金，以基金托管人和本基金联名的方式在中国证券登记结算有限责任公司开设证券账户。</w:t>
      </w:r>
    </w:p>
    <w:p w14:paraId="0131D3D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2、本基金证券账户的开立和使用，限于满足开展本基金业务的需要。基金托管人和基金管理人不得出借或转让本基金的证券账户，亦不得使用本基金的证券账户进行本基金业务以外的活动。</w:t>
      </w:r>
    </w:p>
    <w:p w14:paraId="6F9849AC" w14:textId="77777777" w:rsidR="00D744A5" w:rsidRDefault="000E4967">
      <w:pPr>
        <w:pStyle w:val="af4"/>
        <w:spacing w:before="100" w:beforeAutospacing="1" w:after="100" w:afterAutospacing="1"/>
        <w:ind w:firstLine="461"/>
        <w:rPr>
          <w:rFonts w:ascii="宋体" w:eastAsia="宋体"/>
          <w:sz w:val="24"/>
        </w:rPr>
      </w:pPr>
      <w:r>
        <w:rPr>
          <w:rFonts w:ascii="宋体" w:eastAsia="宋体" w:hint="eastAsia"/>
          <w:sz w:val="24"/>
        </w:rPr>
        <w:t>3、</w:t>
      </w:r>
      <w:r>
        <w:rPr>
          <w:rFonts w:ascii="宋体" w:eastAsia="宋体"/>
          <w:sz w:val="24"/>
        </w:rPr>
        <w:t>基金托管人以自身法人名义在中国证券登记结算</w:t>
      </w:r>
      <w:r>
        <w:rPr>
          <w:rFonts w:ascii="宋体" w:eastAsia="宋体" w:hint="eastAsia"/>
          <w:sz w:val="24"/>
        </w:rPr>
        <w:t>有限责任</w:t>
      </w:r>
      <w:r>
        <w:rPr>
          <w:rFonts w:ascii="宋体" w:eastAsia="宋体"/>
          <w:sz w:val="24"/>
        </w:rPr>
        <w:t>公司开立结算备付金账户，用于办理基金托管人所托管的</w:t>
      </w:r>
      <w:r>
        <w:rPr>
          <w:rFonts w:ascii="宋体" w:eastAsia="宋体" w:hint="eastAsia"/>
          <w:sz w:val="24"/>
        </w:rPr>
        <w:t>包括本基金在内的</w:t>
      </w:r>
      <w:r>
        <w:rPr>
          <w:rFonts w:ascii="宋体" w:eastAsia="宋体"/>
          <w:sz w:val="24"/>
        </w:rPr>
        <w:t>全部基金在证券交易所进行证券投资所涉及的资金结算业务。结算备付金的收取按照中国证券登记结算</w:t>
      </w:r>
      <w:r>
        <w:rPr>
          <w:rFonts w:ascii="宋体" w:eastAsia="宋体" w:hint="eastAsia"/>
          <w:sz w:val="24"/>
        </w:rPr>
        <w:t>有限责任</w:t>
      </w:r>
      <w:r>
        <w:rPr>
          <w:rFonts w:ascii="宋体" w:eastAsia="宋体"/>
          <w:sz w:val="24"/>
        </w:rPr>
        <w:t>公司的规定执行。</w:t>
      </w:r>
    </w:p>
    <w:p w14:paraId="404F4DA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sz w:val="24"/>
        </w:rPr>
        <w:t>4、</w:t>
      </w:r>
      <w:r>
        <w:rPr>
          <w:rFonts w:ascii="宋体" w:eastAsia="宋体" w:hint="eastAsia"/>
          <w:color w:val="auto"/>
          <w:sz w:val="24"/>
        </w:rPr>
        <w:t>在本托管协议生效日之后，本基金被允许从事其他投资品种的投资业务的，涉及相关账户的开设、使用的，若无相关规定，</w:t>
      </w:r>
      <w:proofErr w:type="gramStart"/>
      <w:r>
        <w:rPr>
          <w:rFonts w:ascii="宋体" w:eastAsia="宋体" w:hint="eastAsia"/>
          <w:color w:val="auto"/>
          <w:sz w:val="24"/>
        </w:rPr>
        <w:t>则基金</w:t>
      </w:r>
      <w:proofErr w:type="gramEnd"/>
      <w:r>
        <w:rPr>
          <w:rFonts w:ascii="宋体" w:eastAsia="宋体" w:hint="eastAsia"/>
          <w:color w:val="auto"/>
          <w:sz w:val="24"/>
        </w:rPr>
        <w:t>托管人应当比照并遵守上述关于账户开设、使用的规定。</w:t>
      </w:r>
    </w:p>
    <w:p w14:paraId="3D6238D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（六）债券托管专户的开设和管理</w:t>
      </w:r>
    </w:p>
    <w:p w14:paraId="7C2C372B"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w:t>
      </w:r>
      <w:r>
        <w:rPr>
          <w:rFonts w:ascii="宋体" w:eastAsia="宋体"/>
          <w:color w:val="auto"/>
          <w:sz w:val="24"/>
        </w:rPr>
        <w:t>和资金结算专户</w:t>
      </w:r>
      <w:r>
        <w:rPr>
          <w:rFonts w:ascii="宋体" w:eastAsia="宋体" w:hint="eastAsia"/>
          <w:color w:val="auto"/>
          <w:sz w:val="24"/>
        </w:rPr>
        <w:t>，并代表基金进行银行间债券市场债券和资金的清算。</w:t>
      </w:r>
    </w:p>
    <w:p w14:paraId="474D785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（七）基金财产投资的有关有价凭证的保管</w:t>
      </w:r>
    </w:p>
    <w:p w14:paraId="020F587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基金财产投资的实物证券、银行定期存款存单等有价凭证由基金托管人负责妥善保管。基金托管人对其以外机构实际有效控制的有价凭证不承担责任。</w:t>
      </w:r>
    </w:p>
    <w:p w14:paraId="21C25894"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（八）与基金财产有关的重大合同及有关凭证的保管</w:t>
      </w:r>
    </w:p>
    <w:p w14:paraId="37CCDCD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lastRenderedPageBreak/>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保存期限不低于法律法规规定的最低期限。</w:t>
      </w:r>
    </w:p>
    <w:p w14:paraId="494101F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对于无法取得二份以上的正本的，基金管理人应向基金托管人提供与合同原件核对一致并加盖公章的合同复印件或传真件，未经双方协商一致，合同原件不得转移。</w:t>
      </w:r>
    </w:p>
    <w:p w14:paraId="5DF6379A" w14:textId="77777777" w:rsidR="00D744A5" w:rsidRDefault="000E4967">
      <w:pPr>
        <w:pStyle w:val="1"/>
        <w:spacing w:before="100" w:beforeAutospacing="1" w:after="100" w:afterAutospacing="1" w:line="400" w:lineRule="exact"/>
        <w:ind w:firstLine="422"/>
        <w:rPr>
          <w:rFonts w:ascii="宋体" w:hAnsi="宋体"/>
          <w:sz w:val="24"/>
          <w:szCs w:val="24"/>
        </w:rPr>
      </w:pPr>
      <w:bookmarkStart w:id="7" w:name="_Toc116900100"/>
      <w:r>
        <w:rPr>
          <w:rFonts w:ascii="宋体" w:hAnsi="宋体" w:hint="eastAsia"/>
          <w:sz w:val="24"/>
          <w:szCs w:val="24"/>
        </w:rPr>
        <w:t>六、指令的发送、确认及执行</w:t>
      </w:r>
      <w:bookmarkEnd w:id="7"/>
    </w:p>
    <w:p w14:paraId="49BFEFFA"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基金管理人发送的指令包括电子指令和纸质指令。</w:t>
      </w:r>
    </w:p>
    <w:p w14:paraId="63662C4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电子指令包括基金管理人发送的电子指令（采用深</w:t>
      </w:r>
      <w:proofErr w:type="gramStart"/>
      <w:r>
        <w:rPr>
          <w:rFonts w:ascii="宋体" w:eastAsia="宋体" w:hint="eastAsia"/>
          <w:color w:val="auto"/>
          <w:sz w:val="24"/>
        </w:rPr>
        <w:t>证通金融</w:t>
      </w:r>
      <w:proofErr w:type="gramEnd"/>
      <w:r>
        <w:rPr>
          <w:rFonts w:ascii="宋体" w:eastAsia="宋体" w:hint="eastAsia"/>
          <w:color w:val="auto"/>
          <w:sz w:val="24"/>
        </w:rPr>
        <w:t>数据交换平台发送的电子指令、采用SWIFT电子报文发送的电子指令、通过中国银行</w:t>
      </w:r>
      <w:proofErr w:type="gramStart"/>
      <w:r>
        <w:rPr>
          <w:rFonts w:ascii="宋体" w:eastAsia="宋体" w:hint="eastAsia"/>
          <w:color w:val="auto"/>
          <w:sz w:val="24"/>
        </w:rPr>
        <w:t>托管网</w:t>
      </w:r>
      <w:proofErr w:type="gramEnd"/>
      <w:r>
        <w:rPr>
          <w:rFonts w:ascii="宋体" w:eastAsia="宋体" w:hint="eastAsia"/>
          <w:color w:val="auto"/>
          <w:sz w:val="24"/>
        </w:rPr>
        <w:t>银发送的电子指令）、自动产生的电子指令（基金托管人的全球托管系统根据基金管理人的授权通过预先设定的业务规则自动产生的电子指令）。电子指令一经发出即被视为合法有效指令，纸质指令作为应急方式备用。基金管理人通过深</w:t>
      </w:r>
      <w:proofErr w:type="gramStart"/>
      <w:r>
        <w:rPr>
          <w:rFonts w:ascii="宋体" w:eastAsia="宋体" w:hint="eastAsia"/>
          <w:color w:val="auto"/>
          <w:sz w:val="24"/>
        </w:rPr>
        <w:t>证通金融</w:t>
      </w:r>
      <w:proofErr w:type="gramEnd"/>
      <w:r>
        <w:rPr>
          <w:rFonts w:ascii="宋体" w:eastAsia="宋体" w:hint="eastAsia"/>
          <w:color w:val="auto"/>
          <w:sz w:val="24"/>
        </w:rPr>
        <w:t>数据交换平台发送的电子指令，基金托管人根据USER ID和APP ID唯一识别基金管理人身份，基金管理人应妥善保管USER ID和APP ID，基金托管人身份识别后对于执行该电子指令造成的任何损失基金托管人不承担责任。</w:t>
      </w:r>
    </w:p>
    <w:p w14:paraId="61BD6D31"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纸质指令是指基金管理人无法通过以上电子传送渠道传送到基金托管</w:t>
      </w:r>
      <w:proofErr w:type="gramStart"/>
      <w:r>
        <w:rPr>
          <w:rFonts w:ascii="宋体" w:eastAsia="宋体" w:hint="eastAsia"/>
          <w:color w:val="auto"/>
          <w:sz w:val="24"/>
        </w:rPr>
        <w:t>人全球</w:t>
      </w:r>
      <w:proofErr w:type="gramEnd"/>
      <w:r>
        <w:rPr>
          <w:rFonts w:ascii="宋体" w:eastAsia="宋体" w:hint="eastAsia"/>
          <w:color w:val="auto"/>
          <w:sz w:val="24"/>
        </w:rPr>
        <w:t>托管系统的指令，纸质指令的传送方式为传真、邮件等双方认可的方式。</w:t>
      </w:r>
    </w:p>
    <w:p w14:paraId="3B12E2F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（一）基金管理人对发送纸质指令人员的书面授权</w:t>
      </w:r>
    </w:p>
    <w:p w14:paraId="5E9AFD3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基金管理人应当事先向基金托管人发出书面通知（以下称“授权通知”），载明基金管理人有权发送指令的人员名单（以下称“指令发送人员”）及各个人员的权限范围。基金管理人应向基金托管人提供指令发送人员的人名印鉴的预留印鉴样本和签字样本。</w:t>
      </w:r>
    </w:p>
    <w:p w14:paraId="7AF12A1A"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2、基金管理人向基金托管人发出的授权通知应加盖公章并由法定代表人或</w:t>
      </w:r>
      <w:r>
        <w:rPr>
          <w:rFonts w:ascii="宋体" w:eastAsia="宋体" w:hint="eastAsia"/>
          <w:color w:val="auto"/>
          <w:sz w:val="24"/>
        </w:rPr>
        <w:lastRenderedPageBreak/>
        <w:t>其授权签字人签署，若由授权签字人签署，还应附上法定代表人的授权书。基金管理人向基金托管人以传真的形式发送授权通知后同时电话通知基金托管人。授权通知自基金托管人接到基金管理人的电话确认后于通知载明的生效时间起生效。通知载明的生效时间不得早于电话确认时间。基金管理人在此后3个工作日内将授权通知原件送交基金托管人。</w:t>
      </w:r>
    </w:p>
    <w:p w14:paraId="10E922B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3、基金管理人和基金托管人对授权通知及其更改负有保密义务，其内容不得向指令发送人员及相关操作人员以外的任何人披露、泄露。</w:t>
      </w:r>
    </w:p>
    <w:p w14:paraId="5AE5259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（二）指令的内容</w:t>
      </w:r>
    </w:p>
    <w:p w14:paraId="23DFCF4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指令是基金管理人在运作基金财产时，向基金托管人发出的资金划拨及投资指令。相关登记结算公司向基金托管人发送的结算通知视为基金管理人向基金托管人发出的指令。</w:t>
      </w:r>
    </w:p>
    <w:p w14:paraId="5C206E5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（三）指令的发送、确认和执行</w:t>
      </w:r>
    </w:p>
    <w:p w14:paraId="63364112"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指令由“授权通知”确定的指令发送人员代表基金管理人用传真的方式或其他双方确认的方式向基金托管人发送。对于指令发送人员发出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14:paraId="336B293B"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2、基金管理人应按照《基金法》、《运作办法》、《基金合同》和有关法律法规的规定，在其合法的经营权限和交易权限内，并依据相关业务规则发送指令。指令发出后，基金管理人应及时</w:t>
      </w:r>
      <w:r>
        <w:rPr>
          <w:rFonts w:ascii="宋体" w:eastAsia="宋体"/>
          <w:color w:val="auto"/>
          <w:sz w:val="24"/>
        </w:rPr>
        <w:t>通过电话或者其他双方认可的方式通知基金托管人。</w:t>
      </w:r>
      <w:r>
        <w:rPr>
          <w:rFonts w:ascii="宋体" w:eastAsia="宋体" w:hint="eastAsia"/>
          <w:color w:val="auto"/>
          <w:sz w:val="24"/>
        </w:rPr>
        <w:t xml:space="preserve">   </w:t>
      </w:r>
    </w:p>
    <w:p w14:paraId="3119802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3、基金托管人在接收指令时，应对指令的要素是否齐全、印鉴是否与授权通知相符等进行表面真实性的检查，对合法合</w:t>
      </w:r>
      <w:proofErr w:type="gramStart"/>
      <w:r>
        <w:rPr>
          <w:rFonts w:ascii="宋体" w:eastAsia="宋体" w:hint="eastAsia"/>
          <w:color w:val="auto"/>
          <w:sz w:val="24"/>
        </w:rPr>
        <w:t>规</w:t>
      </w:r>
      <w:proofErr w:type="gramEnd"/>
      <w:r>
        <w:rPr>
          <w:rFonts w:ascii="宋体" w:eastAsia="宋体" w:hint="eastAsia"/>
          <w:color w:val="auto"/>
          <w:sz w:val="24"/>
        </w:rPr>
        <w:t>的指令，基金托管人应在规定期限内执行，不得</w:t>
      </w:r>
      <w:r>
        <w:rPr>
          <w:rFonts w:ascii="宋体" w:eastAsia="宋体" w:hint="eastAsia"/>
          <w:sz w:val="24"/>
        </w:rPr>
        <w:t>不合理</w:t>
      </w:r>
      <w:r>
        <w:rPr>
          <w:rFonts w:ascii="宋体" w:eastAsia="宋体" w:hint="eastAsia"/>
          <w:color w:val="auto"/>
          <w:sz w:val="24"/>
        </w:rPr>
        <w:t>延误。</w:t>
      </w:r>
    </w:p>
    <w:p w14:paraId="3A56D341"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4、对于银行间业务，如需发送银行间成交单的，基金管理人应在交易结束后将银行间同业市场债券交易成交单经有权人员签字并加盖印章后及时发送给基金托管人。如不需采用发送交易成交单的形式，基金管理人应对基金托管人进行书面授权确认。如果银行间簿记系统已经生成的交易需要取消或终止，基金管理人需书面通知基金托管人。</w:t>
      </w:r>
    </w:p>
    <w:p w14:paraId="2FF3321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lastRenderedPageBreak/>
        <w:t>5、基金管理人在发送指令时，应为基金托管人执行指令留出执行指令时所必需的时间。</w:t>
      </w:r>
      <w:bookmarkStart w:id="8" w:name="OLE_LINK1"/>
      <w:bookmarkStart w:id="9" w:name="OLE_LINK2"/>
      <w:r>
        <w:rPr>
          <w:rFonts w:ascii="宋体" w:eastAsia="宋体" w:hint="eastAsia"/>
          <w:color w:val="auto"/>
          <w:sz w:val="24"/>
        </w:rPr>
        <w:t>指令传输不及时未能留出足够的执行时间，致使指令未能及时执行所造成的损失由基金管理人承担。</w:t>
      </w:r>
      <w:bookmarkEnd w:id="8"/>
      <w:bookmarkEnd w:id="9"/>
    </w:p>
    <w:p w14:paraId="1FD56F2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（四）基金管理人发送错误指令的情形和处理程序</w:t>
      </w:r>
    </w:p>
    <w:p w14:paraId="5A15F9F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基金管理人发送错误指令的情形主要包括：指令要素错误、无投资行为的指令、预留印鉴错误等情形。</w:t>
      </w:r>
    </w:p>
    <w:p w14:paraId="1824626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基金托管人发现基金管理人的指令错误时，有权拒绝执行，并及时通知基金管理人改正。对基金管理人更正并重新发送后的指令经基金托管人核对确认后方能执行。</w:t>
      </w:r>
    </w:p>
    <w:p w14:paraId="46E02784"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（五）基金托管人依照法律法规暂缓、拒绝执行指令的情形和处理程序</w:t>
      </w:r>
    </w:p>
    <w:p w14:paraId="2058D6D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基金托管人发现基金管理人的指令违反法律法规规定或者《基金合同》约定，应当不予执行，并及时通知基金管理人要求其变更或撤销相关指令，</w:t>
      </w:r>
      <w:proofErr w:type="gramStart"/>
      <w:r>
        <w:rPr>
          <w:rFonts w:ascii="宋体" w:eastAsia="宋体" w:hint="eastAsia"/>
          <w:color w:val="auto"/>
          <w:sz w:val="24"/>
        </w:rPr>
        <w:t>若基金</w:t>
      </w:r>
      <w:proofErr w:type="gramEnd"/>
      <w:r>
        <w:rPr>
          <w:rFonts w:ascii="宋体" w:eastAsia="宋体" w:hint="eastAsia"/>
          <w:color w:val="auto"/>
          <w:sz w:val="24"/>
        </w:rPr>
        <w:t>管理人在基金托管人发出上述通知后仍未变更或撤销相关指令，基金托管人应当拒绝执行，并向中国证监会报告。</w:t>
      </w:r>
    </w:p>
    <w:p w14:paraId="0B36881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向基金托管人下达指令时，应确保基金的银行存款账户有足够的资金余额，确保基金的证券账户有足够的证券余额。对超头寸的指令，以及超过证券账户证券余额的指令，基金托管人可不予执行，但应及时通知基金管理人，由此造成的损失，由基金管理人承担。</w:t>
      </w:r>
    </w:p>
    <w:p w14:paraId="460FA49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（六）基金托管人未按照基金管理人指令执行的处理方法</w:t>
      </w:r>
    </w:p>
    <w:p w14:paraId="612ACEB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基金托管人因未正确执行基金管理人合法合</w:t>
      </w:r>
      <w:proofErr w:type="gramStart"/>
      <w:r>
        <w:rPr>
          <w:rFonts w:ascii="宋体" w:eastAsia="宋体" w:hint="eastAsia"/>
          <w:color w:val="auto"/>
          <w:sz w:val="24"/>
        </w:rPr>
        <w:t>规</w:t>
      </w:r>
      <w:proofErr w:type="gramEnd"/>
      <w:r>
        <w:rPr>
          <w:rFonts w:ascii="宋体" w:eastAsia="宋体" w:hint="eastAsia"/>
          <w:color w:val="auto"/>
          <w:sz w:val="24"/>
        </w:rPr>
        <w:t>的指令，致使本基金的利益受到损害，基金托管人应承担相应的责任。除此之外，基金托管人对执行基金管理人的合法合</w:t>
      </w:r>
      <w:proofErr w:type="gramStart"/>
      <w:r>
        <w:rPr>
          <w:rFonts w:ascii="宋体" w:eastAsia="宋体" w:hint="eastAsia"/>
          <w:color w:val="auto"/>
          <w:sz w:val="24"/>
        </w:rPr>
        <w:t>规</w:t>
      </w:r>
      <w:proofErr w:type="gramEnd"/>
      <w:r>
        <w:rPr>
          <w:rFonts w:ascii="宋体" w:eastAsia="宋体" w:hint="eastAsia"/>
          <w:color w:val="auto"/>
          <w:sz w:val="24"/>
        </w:rPr>
        <w:t>指令对基金造成的损失不承担任何责任。</w:t>
      </w:r>
    </w:p>
    <w:p w14:paraId="4249E8E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（七）被授权人员及授权权限的变更</w:t>
      </w:r>
      <w:r>
        <w:rPr>
          <w:rFonts w:ascii="宋体" w:eastAsia="宋体"/>
          <w:color w:val="auto"/>
          <w:sz w:val="24"/>
        </w:rPr>
        <w:tab/>
      </w:r>
    </w:p>
    <w:p w14:paraId="2877A66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若对授权通知的内容进行修改（包括但不限于指令发送人员的名单的修改，及/或权限的修改），应当至少提前1个工作日通知基金托管人；修改授权通知的文件应由基金管理人加盖公章并由法定代表人或其授权签字人签署，若由授权签字人签署，还应附上法定代表人的授权书。基金管理人对授</w:t>
      </w:r>
      <w:r>
        <w:rPr>
          <w:rFonts w:ascii="宋体" w:eastAsia="宋体" w:hint="eastAsia"/>
          <w:color w:val="auto"/>
          <w:sz w:val="24"/>
        </w:rPr>
        <w:lastRenderedPageBreak/>
        <w:t>权通知的修改应当以传真的形式发送给基金托管人，同时电话通知基金托管人。基金管理人对授权通知的内容的</w:t>
      </w:r>
      <w:proofErr w:type="gramStart"/>
      <w:r>
        <w:rPr>
          <w:rFonts w:ascii="宋体" w:eastAsia="宋体" w:hint="eastAsia"/>
          <w:color w:val="auto"/>
          <w:sz w:val="24"/>
        </w:rPr>
        <w:t>修改自</w:t>
      </w:r>
      <w:proofErr w:type="gramEnd"/>
      <w:r>
        <w:rPr>
          <w:rFonts w:ascii="宋体" w:eastAsia="宋体" w:hint="eastAsia"/>
          <w:color w:val="auto"/>
          <w:sz w:val="24"/>
        </w:rPr>
        <w:t>基金托管人电话确认后于通知载明的生效时间起生效，通知载明的生效时间不得早于电话确认时间。基金管理人在此后3个工作日内将对授权通知修改的文件原件送交基金托管人。</w:t>
      </w:r>
    </w:p>
    <w:p w14:paraId="11378CC5" w14:textId="77777777" w:rsidR="00D744A5" w:rsidRDefault="00D744A5">
      <w:pPr>
        <w:pStyle w:val="af4"/>
        <w:spacing w:before="100" w:beforeAutospacing="1" w:after="100" w:afterAutospacing="1"/>
        <w:ind w:firstLine="461"/>
        <w:rPr>
          <w:rFonts w:ascii="宋体" w:eastAsia="宋体"/>
          <w:color w:val="auto"/>
          <w:sz w:val="24"/>
        </w:rPr>
      </w:pPr>
    </w:p>
    <w:p w14:paraId="1B2022C2" w14:textId="77777777" w:rsidR="00D744A5" w:rsidRDefault="000E4967">
      <w:pPr>
        <w:pStyle w:val="1"/>
        <w:spacing w:before="100" w:beforeAutospacing="1" w:after="100" w:afterAutospacing="1" w:line="400" w:lineRule="exact"/>
        <w:ind w:firstLine="422"/>
        <w:rPr>
          <w:rFonts w:ascii="宋体" w:hAnsi="宋体"/>
          <w:sz w:val="24"/>
          <w:szCs w:val="24"/>
        </w:rPr>
      </w:pPr>
      <w:bookmarkStart w:id="10" w:name="_Toc116900101"/>
      <w:r>
        <w:rPr>
          <w:rFonts w:ascii="宋体" w:hAnsi="宋体" w:hint="eastAsia"/>
          <w:sz w:val="24"/>
          <w:szCs w:val="24"/>
        </w:rPr>
        <w:t>七、交易及清算交收安排</w:t>
      </w:r>
      <w:bookmarkEnd w:id="10"/>
    </w:p>
    <w:p w14:paraId="3AE22100"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（一）基金管理人负责选择代理本基金证券、期货买卖的证券、期货经营机构。</w:t>
      </w:r>
    </w:p>
    <w:p w14:paraId="1018E381"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1、选择代理证券、期货买卖的证券、期货经营机构的标准：</w:t>
      </w:r>
    </w:p>
    <w:p w14:paraId="25DC91EC"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基金管理人应选择财务状况良好，经营行为规范，研究实力较强的证券、期货公司。</w:t>
      </w:r>
    </w:p>
    <w:p w14:paraId="19D6DE35"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2、选择代理证券买卖的证券经营机构的程序</w:t>
      </w:r>
    </w:p>
    <w:p w14:paraId="63175811"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基金管理人根据以上标准进行考察后确定证券经营机构的选择。基金管理人与被选择的证券经营机构签订委托协议，并按照法律法规的规定向中国证监会报告。基金管理人应将委托协议（或交易单元租用协议）的原件及时送交基金托管人。</w:t>
      </w:r>
    </w:p>
    <w:p w14:paraId="119A6297"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3、相关信息的通知</w:t>
      </w:r>
    </w:p>
    <w:p w14:paraId="6AC4E93C" w14:textId="77777777" w:rsidR="00D744A5" w:rsidRDefault="000E4967">
      <w:pPr>
        <w:pStyle w:val="35"/>
        <w:spacing w:before="100" w:beforeAutospacing="1" w:after="100" w:afterAutospacing="1" w:line="400" w:lineRule="exact"/>
        <w:ind w:left="0" w:firstLine="403"/>
        <w:rPr>
          <w:rFonts w:ascii="宋体" w:eastAsia="宋体" w:hAnsi="宋体"/>
          <w:szCs w:val="24"/>
        </w:rPr>
      </w:pPr>
      <w:r>
        <w:rPr>
          <w:rFonts w:ascii="宋体" w:eastAsia="宋体" w:hAnsi="宋体" w:hint="eastAsia"/>
          <w:szCs w:val="24"/>
        </w:rPr>
        <w:t>基金管理人应及时以书面形式通知基金托管人基金专用交易单元的号码、券商名称、佣金费率等基金基本信息以及变更情况，其中交易单元租用应至少在首次进行交易的10个工作日前通知基金托管人，交易单元</w:t>
      </w:r>
      <w:proofErr w:type="gramStart"/>
      <w:r>
        <w:rPr>
          <w:rFonts w:ascii="宋体" w:eastAsia="宋体" w:hAnsi="宋体" w:hint="eastAsia"/>
          <w:szCs w:val="24"/>
        </w:rPr>
        <w:t>退租应在</w:t>
      </w:r>
      <w:proofErr w:type="gramEnd"/>
      <w:r>
        <w:rPr>
          <w:rFonts w:ascii="宋体" w:eastAsia="宋体" w:hAnsi="宋体" w:hint="eastAsia"/>
          <w:szCs w:val="24"/>
        </w:rPr>
        <w:t>次日内通知到基金托管人。</w:t>
      </w:r>
    </w:p>
    <w:p w14:paraId="1F348D59" w14:textId="77777777" w:rsidR="00D744A5" w:rsidRDefault="000E4967">
      <w:pPr>
        <w:pStyle w:val="35"/>
        <w:spacing w:before="100" w:beforeAutospacing="1" w:after="100" w:afterAutospacing="1" w:line="400" w:lineRule="exact"/>
        <w:ind w:left="0" w:firstLine="480"/>
        <w:rPr>
          <w:rFonts w:ascii="宋体" w:eastAsia="宋体" w:hAnsi="宋体"/>
          <w:szCs w:val="24"/>
        </w:rPr>
      </w:pPr>
      <w:r>
        <w:rPr>
          <w:rFonts w:ascii="宋体" w:eastAsia="宋体" w:hAnsi="宋体" w:hint="eastAsia"/>
          <w:szCs w:val="24"/>
        </w:rPr>
        <w:t>4、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E1F4E3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（二）基金清算交收</w:t>
      </w:r>
    </w:p>
    <w:p w14:paraId="5207BD3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1、因本基金投资于证券发生的所有场内、场外交易的清算交收，由基金托</w:t>
      </w:r>
      <w:r>
        <w:rPr>
          <w:rFonts w:ascii="宋体" w:eastAsia="宋体" w:hint="eastAsia"/>
          <w:color w:val="auto"/>
          <w:sz w:val="24"/>
        </w:rPr>
        <w:lastRenderedPageBreak/>
        <w:t>管人负责根据相关登记结算公司的结算规则办理。</w:t>
      </w:r>
    </w:p>
    <w:p w14:paraId="0DF2B3C9" w14:textId="77777777" w:rsidR="00D744A5" w:rsidRDefault="000E4967">
      <w:pPr>
        <w:pStyle w:val="af4"/>
        <w:spacing w:before="100" w:beforeAutospacing="1" w:after="100" w:afterAutospacing="1"/>
        <w:ind w:firstLine="461"/>
        <w:rPr>
          <w:rFonts w:ascii="宋体" w:eastAsia="宋体"/>
          <w:sz w:val="24"/>
        </w:rPr>
      </w:pPr>
      <w:r>
        <w:rPr>
          <w:rFonts w:ascii="宋体" w:eastAsia="宋体" w:hint="eastAsia"/>
          <w:color w:val="auto"/>
          <w:sz w:val="24"/>
        </w:rPr>
        <w:t>2、由于基金管理人或基金托管</w:t>
      </w:r>
      <w:proofErr w:type="gramStart"/>
      <w:r>
        <w:rPr>
          <w:rFonts w:ascii="宋体" w:eastAsia="宋体" w:hint="eastAsia"/>
          <w:color w:val="auto"/>
          <w:sz w:val="24"/>
        </w:rPr>
        <w:t>人原因</w:t>
      </w:r>
      <w:proofErr w:type="gramEnd"/>
      <w:r>
        <w:rPr>
          <w:rFonts w:ascii="宋体" w:eastAsia="宋体" w:hint="eastAsia"/>
          <w:color w:val="auto"/>
          <w:sz w:val="24"/>
        </w:rPr>
        <w:t>导致基金资金透支、超买或超卖等情形的，由责任方承担相应的责任。基金管理人同意在发生以上情形时，</w:t>
      </w:r>
      <w:r>
        <w:rPr>
          <w:rFonts w:ascii="宋体" w:eastAsia="宋体" w:hint="eastAsia"/>
          <w:sz w:val="24"/>
        </w:rPr>
        <w:t>基金托管人应按照中国证券登记结算有限责任公司的有关规定办理。</w:t>
      </w:r>
    </w:p>
    <w:p w14:paraId="32E7E077" w14:textId="77777777" w:rsidR="00D744A5" w:rsidRDefault="000E4967">
      <w:pPr>
        <w:pStyle w:val="af4"/>
        <w:spacing w:before="100" w:beforeAutospacing="1" w:after="100" w:afterAutospacing="1"/>
        <w:ind w:firstLine="461"/>
        <w:rPr>
          <w:rFonts w:ascii="宋体" w:eastAsia="宋体"/>
          <w:sz w:val="24"/>
        </w:rPr>
      </w:pPr>
      <w:r>
        <w:rPr>
          <w:rFonts w:ascii="宋体" w:eastAsia="宋体" w:hint="eastAsia"/>
          <w:sz w:val="24"/>
        </w:rPr>
        <w:t>3、</w:t>
      </w:r>
      <w:r>
        <w:rPr>
          <w:rFonts w:ascii="宋体" w:eastAsia="宋体" w:hint="eastAsia"/>
          <w:color w:val="auto"/>
          <w:sz w:val="24"/>
        </w:rPr>
        <w:t>由于基金管理人或基金托管</w:t>
      </w:r>
      <w:proofErr w:type="gramStart"/>
      <w:r>
        <w:rPr>
          <w:rFonts w:ascii="宋体" w:eastAsia="宋体" w:hint="eastAsia"/>
          <w:color w:val="auto"/>
          <w:sz w:val="24"/>
        </w:rPr>
        <w:t>人原因</w:t>
      </w:r>
      <w:proofErr w:type="gramEnd"/>
      <w:r>
        <w:rPr>
          <w:rFonts w:ascii="宋体" w:eastAsia="宋体" w:hint="eastAsia"/>
          <w:color w:val="auto"/>
          <w:sz w:val="24"/>
        </w:rPr>
        <w:t>导致</w:t>
      </w:r>
      <w:r>
        <w:rPr>
          <w:rFonts w:ascii="宋体" w:eastAsia="宋体" w:hint="eastAsia"/>
          <w:sz w:val="24"/>
        </w:rPr>
        <w:t>基金无法按时支付</w:t>
      </w:r>
      <w:proofErr w:type="gramStart"/>
      <w:r>
        <w:rPr>
          <w:rFonts w:ascii="宋体" w:eastAsia="宋体" w:hint="eastAsia"/>
          <w:sz w:val="24"/>
        </w:rPr>
        <w:t>清算款</w:t>
      </w:r>
      <w:proofErr w:type="gramEnd"/>
      <w:r>
        <w:rPr>
          <w:rFonts w:ascii="宋体" w:eastAsia="宋体" w:hint="eastAsia"/>
          <w:sz w:val="24"/>
        </w:rPr>
        <w:t>时，责任方应对由此给基金财产造成的损失承担相应的赔偿责任。</w:t>
      </w:r>
    </w:p>
    <w:p w14:paraId="049B02C9" w14:textId="2220D53F" w:rsidR="00D744A5" w:rsidRDefault="000E4967">
      <w:pPr>
        <w:pStyle w:val="af4"/>
        <w:spacing w:before="100" w:beforeAutospacing="1" w:after="100" w:afterAutospacing="1"/>
        <w:ind w:firstLine="461"/>
        <w:rPr>
          <w:rFonts w:ascii="宋体" w:eastAsia="宋体"/>
          <w:sz w:val="24"/>
        </w:rPr>
      </w:pPr>
      <w:r>
        <w:rPr>
          <w:rFonts w:ascii="宋体" w:eastAsia="宋体" w:hint="eastAsia"/>
          <w:sz w:val="24"/>
        </w:rPr>
        <w:t>4、基金管理人应保证在交收日（</w:t>
      </w:r>
      <w:r>
        <w:rPr>
          <w:rFonts w:ascii="宋体" w:eastAsia="宋体"/>
          <w:sz w:val="24"/>
        </w:rPr>
        <w:t>T+1</w:t>
      </w:r>
      <w:r>
        <w:rPr>
          <w:rFonts w:ascii="宋体" w:eastAsia="宋体" w:hint="eastAsia"/>
          <w:sz w:val="24"/>
        </w:rPr>
        <w:t>日）</w:t>
      </w:r>
      <w:r w:rsidR="000B29B0">
        <w:rPr>
          <w:rFonts w:ascii="宋体" w:eastAsia="宋体"/>
          <w:sz w:val="24"/>
        </w:rPr>
        <w:t>11</w:t>
      </w:r>
      <w:r>
        <w:rPr>
          <w:rFonts w:ascii="宋体" w:eastAsia="宋体" w:hint="eastAsia"/>
          <w:sz w:val="24"/>
        </w:rPr>
        <w:t>：</w:t>
      </w:r>
      <w:r>
        <w:rPr>
          <w:rFonts w:ascii="宋体" w:eastAsia="宋体"/>
          <w:sz w:val="24"/>
        </w:rPr>
        <w:t>00</w:t>
      </w:r>
      <w:proofErr w:type="gramStart"/>
      <w:r>
        <w:rPr>
          <w:rFonts w:ascii="宋体" w:eastAsia="宋体" w:hint="eastAsia"/>
          <w:sz w:val="24"/>
        </w:rPr>
        <w:t>前基金</w:t>
      </w:r>
      <w:proofErr w:type="gramEnd"/>
      <w:r>
        <w:rPr>
          <w:rFonts w:ascii="宋体" w:eastAsia="宋体" w:hint="eastAsia"/>
          <w:sz w:val="24"/>
        </w:rPr>
        <w:t>银行账户有足够的资金用于交易所的证券交易资金清算，如基金的资金头寸不足</w:t>
      </w:r>
      <w:proofErr w:type="gramStart"/>
      <w:r>
        <w:rPr>
          <w:rFonts w:ascii="宋体" w:eastAsia="宋体" w:hint="eastAsia"/>
          <w:sz w:val="24"/>
        </w:rPr>
        <w:t>则基金</w:t>
      </w:r>
      <w:proofErr w:type="gramEnd"/>
      <w:r>
        <w:rPr>
          <w:rFonts w:ascii="宋体" w:eastAsia="宋体" w:hint="eastAsia"/>
          <w:sz w:val="24"/>
        </w:rPr>
        <w:t>托管人应按照中国证券登记结算有限责任公司的有关规定办理。</w:t>
      </w:r>
    </w:p>
    <w:p w14:paraId="49C68C6C" w14:textId="77777777" w:rsidR="00D744A5" w:rsidRDefault="000E4967">
      <w:pPr>
        <w:pStyle w:val="af4"/>
        <w:spacing w:before="100" w:beforeAutospacing="1" w:after="100" w:afterAutospacing="1"/>
        <w:ind w:firstLine="461"/>
        <w:rPr>
          <w:rFonts w:ascii="宋体" w:eastAsia="宋体"/>
          <w:sz w:val="24"/>
        </w:rPr>
      </w:pPr>
      <w:r>
        <w:rPr>
          <w:rFonts w:ascii="宋体" w:eastAsia="宋体" w:hint="eastAsia"/>
          <w:sz w:val="24"/>
        </w:rPr>
        <w:t>5、基金管理人应保证基金托管人在执行基金管理人发送的划款指令时，基金银行账户或资金交收账户上有充足的资金。基金的资金头寸不足时，基金托管人有权拒绝基金管理人发送的划款指令但通知到基金管理人，由此造成的损失，由基金管理人负责赔偿。基金管理人在发送划款指令时应充分考虑基金托管人的划款处理时间。对于要求当天到账的指令，应在当天15:00前发送；对于要求当天某一时点到账，则指令需提前2个工作小时发送，并保证相关付款条件已经具备。对于新股申购网下公开发行业务，基金管理人应在网下申购缴款日(T日)的前一工作日下班前将新股申购指令发送给托管人，指令发送时间最迟不应晚于T日上午10：00时。</w:t>
      </w:r>
    </w:p>
    <w:p w14:paraId="6105D5F0" w14:textId="77777777" w:rsidR="00D744A5" w:rsidRDefault="000E4967">
      <w:pPr>
        <w:spacing w:line="360" w:lineRule="auto"/>
        <w:ind w:firstLine="420"/>
        <w:rPr>
          <w:rFonts w:ascii="宋体" w:hAnsi="宋体"/>
          <w:color w:val="000000"/>
          <w:sz w:val="24"/>
        </w:rPr>
      </w:pPr>
      <w:r>
        <w:rPr>
          <w:rFonts w:ascii="宋体" w:hAnsi="宋体" w:hint="eastAsia"/>
          <w:color w:val="000000"/>
          <w:sz w:val="24"/>
        </w:rPr>
        <w:t>对于中国证券登记结算有限责任公司实行T+0非担保交收的业务，基金管理人应在交易日14：00前将划款指令发送至托管人，或在前期授权基金托管人依据中</w:t>
      </w:r>
      <w:proofErr w:type="gramStart"/>
      <w:r>
        <w:rPr>
          <w:rFonts w:ascii="宋体" w:hAnsi="宋体" w:hint="eastAsia"/>
          <w:color w:val="000000"/>
          <w:sz w:val="24"/>
        </w:rPr>
        <w:t>登数据</w:t>
      </w:r>
      <w:proofErr w:type="gramEnd"/>
      <w:r>
        <w:rPr>
          <w:rFonts w:ascii="宋体" w:hAnsi="宋体" w:hint="eastAsia"/>
          <w:color w:val="000000"/>
          <w:sz w:val="24"/>
        </w:rPr>
        <w:t>自行处理相关业务，并且配合基金托管人备足托管资产头寸以完成限时T+0业务的交收。若今后结算规则调整，此条款相应调整。</w:t>
      </w:r>
    </w:p>
    <w:p w14:paraId="37ED35B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sz w:val="24"/>
        </w:rPr>
        <w:t>因基金管理人指令传输不及时，致使资金未能及时划入中国证券登记结算有限责任公司所造成的损失由基金管理人承担，包括赔偿在深圳市场引起其他托管客户交易失败、赔偿因占用中国证券登记结算有限责任公司深圳分公司最低备付金带来的利息损失。在基金资金头寸充足的情况下，基金托管人对基金管理人符合法律法规、《基金合同》、</w:t>
      </w:r>
      <w:r>
        <w:rPr>
          <w:rFonts w:ascii="宋体" w:eastAsia="宋体" w:cs="方正仿宋简体" w:hint="eastAsia"/>
          <w:sz w:val="24"/>
        </w:rPr>
        <w:t>本协议的指令不得</w:t>
      </w:r>
      <w:r>
        <w:rPr>
          <w:rFonts w:ascii="宋体" w:eastAsia="宋体" w:hint="eastAsia"/>
          <w:sz w:val="24"/>
        </w:rPr>
        <w:t>不合理</w:t>
      </w:r>
      <w:r>
        <w:rPr>
          <w:rFonts w:ascii="宋体" w:eastAsia="宋体" w:cs="方正仿宋简体" w:hint="eastAsia"/>
          <w:sz w:val="24"/>
        </w:rPr>
        <w:t>拖延或拒绝执行。</w:t>
      </w:r>
    </w:p>
    <w:p w14:paraId="2231E1E1"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（三）资金、证券账目和交易记录核对</w:t>
      </w:r>
    </w:p>
    <w:p w14:paraId="6EB3440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lastRenderedPageBreak/>
        <w:t>基金管理人和基金托管人应对本基金的资金、证券账目及交易记录进行核对。</w:t>
      </w:r>
    </w:p>
    <w:p w14:paraId="6E4507AB"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（四）申购、赎回和基金转换的资金清算</w:t>
      </w:r>
    </w:p>
    <w:p w14:paraId="69443091" w14:textId="77777777" w:rsidR="00D744A5" w:rsidRDefault="000E4967">
      <w:pPr>
        <w:pStyle w:val="35"/>
        <w:spacing w:before="100" w:beforeAutospacing="1" w:after="100" w:afterAutospacing="1" w:line="400" w:lineRule="exact"/>
        <w:ind w:left="0" w:right="26" w:firstLine="403"/>
        <w:rPr>
          <w:rFonts w:ascii="宋体" w:eastAsia="宋体" w:hAnsi="宋体"/>
          <w:color w:val="000000"/>
          <w:szCs w:val="24"/>
        </w:rPr>
      </w:pPr>
      <w:r>
        <w:rPr>
          <w:rFonts w:ascii="宋体" w:eastAsia="宋体" w:hAnsi="宋体" w:hint="eastAsia"/>
          <w:color w:val="000000"/>
          <w:szCs w:val="24"/>
        </w:rPr>
        <w:t>1、T日，投资者进行基金申购、赎回和转换申请，基金管理人和基金托管人分别计算基金资产净值，并进行核对；基金管理人将双方确认的或基金管理人决定采用的基金份额净值以基金份额净值公告的形式传真至相关信息披露媒介。</w:t>
      </w:r>
    </w:p>
    <w:p w14:paraId="780817D8" w14:textId="77777777" w:rsidR="00D744A5" w:rsidRDefault="000E4967">
      <w:pPr>
        <w:pStyle w:val="35"/>
        <w:spacing w:before="100" w:beforeAutospacing="1" w:after="100" w:afterAutospacing="1" w:line="400" w:lineRule="exact"/>
        <w:ind w:left="0" w:right="26" w:firstLine="403"/>
        <w:rPr>
          <w:rFonts w:ascii="宋体" w:eastAsia="宋体" w:hAnsi="宋体"/>
          <w:color w:val="000000"/>
          <w:szCs w:val="24"/>
        </w:rPr>
      </w:pPr>
      <w:r>
        <w:rPr>
          <w:rFonts w:ascii="宋体" w:eastAsia="宋体" w:hAnsi="宋体" w:hint="eastAsia"/>
          <w:color w:val="000000"/>
          <w:szCs w:val="24"/>
        </w:rPr>
        <w:t>2、T+1日，注册登记机构根据T日基金份额净值计算申购份额、赎回金额及转换份额，更新基金份额持有人数据库；并将确认的申购、赎回及转换数据向基金托管人、基金管理人传送。基金管理人、基金托管人根据确认数据进行账务处理。</w:t>
      </w:r>
    </w:p>
    <w:p w14:paraId="6987AC42" w14:textId="60A19D7D" w:rsidR="00D744A5" w:rsidRDefault="000E4967">
      <w:pPr>
        <w:pStyle w:val="35"/>
        <w:spacing w:before="100" w:beforeAutospacing="1" w:after="100" w:afterAutospacing="1" w:line="400" w:lineRule="exact"/>
        <w:ind w:left="0" w:right="26" w:firstLine="403"/>
        <w:rPr>
          <w:rFonts w:ascii="宋体" w:eastAsia="宋体" w:hAnsi="宋体"/>
          <w:color w:val="000000"/>
          <w:szCs w:val="24"/>
        </w:rPr>
      </w:pPr>
      <w:r>
        <w:rPr>
          <w:rFonts w:ascii="宋体" w:eastAsia="宋体" w:hAnsi="宋体"/>
          <w:color w:val="000000"/>
          <w:szCs w:val="24"/>
        </w:rPr>
        <w:t>3</w:t>
      </w:r>
      <w:r>
        <w:rPr>
          <w:rFonts w:ascii="宋体" w:eastAsia="宋体" w:hAnsi="宋体" w:hint="eastAsia"/>
          <w:color w:val="000000"/>
          <w:szCs w:val="24"/>
        </w:rPr>
        <w:t>、基金托管账户与“基金清算账户”间的资金清算遵循“全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w:t>
      </w:r>
      <w:proofErr w:type="gramStart"/>
      <w:r>
        <w:rPr>
          <w:rFonts w:ascii="宋体" w:eastAsia="宋体" w:hAnsi="宋体" w:hint="eastAsia"/>
          <w:color w:val="000000"/>
          <w:szCs w:val="24"/>
        </w:rPr>
        <w:t>交收日</w:t>
      </w:r>
      <w:proofErr w:type="gramEnd"/>
      <w:r>
        <w:rPr>
          <w:rFonts w:ascii="宋体" w:eastAsia="宋体" w:hAnsi="宋体" w:hint="eastAsia"/>
          <w:color w:val="000000"/>
          <w:szCs w:val="24"/>
        </w:rPr>
        <w:t>16:00前从“基金清算账户”划到基金托管账户；当存在托管账户净应付额时，基金托管人按管理人的划款指令将托管账户净应付额在</w:t>
      </w:r>
      <w:proofErr w:type="gramStart"/>
      <w:r>
        <w:rPr>
          <w:rFonts w:ascii="宋体" w:eastAsia="宋体" w:hAnsi="宋体" w:hint="eastAsia"/>
          <w:color w:val="000000"/>
          <w:szCs w:val="24"/>
        </w:rPr>
        <w:t>交收日</w:t>
      </w:r>
      <w:proofErr w:type="gramEnd"/>
      <w:r>
        <w:rPr>
          <w:rFonts w:ascii="宋体" w:eastAsia="宋体" w:hAnsi="宋体" w:hint="eastAsia"/>
          <w:color w:val="000000"/>
          <w:szCs w:val="24"/>
        </w:rPr>
        <w:t>16:00前划到“基金清算账户”。</w:t>
      </w:r>
    </w:p>
    <w:p w14:paraId="14E8444F"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sz w:val="24"/>
        </w:rPr>
        <w:t>4</w:t>
      </w:r>
      <w:r>
        <w:rPr>
          <w:rFonts w:ascii="宋体" w:eastAsia="宋体" w:hint="eastAsia"/>
          <w:sz w:val="24"/>
        </w:rPr>
        <w:t>、</w:t>
      </w:r>
      <w:r>
        <w:rPr>
          <w:rFonts w:ascii="宋体" w:eastAsia="宋体" w:hint="eastAsia"/>
          <w:color w:val="auto"/>
          <w:sz w:val="24"/>
        </w:rPr>
        <w:t>基金管理人未能按上款约定将托管账户净应收额全额、及时汇至基金托管账户，由此产生的责任应由该基金管理人承担（</w:t>
      </w:r>
      <w:r>
        <w:rPr>
          <w:rFonts w:ascii="宋体" w:eastAsia="宋体"/>
          <w:color w:val="auto"/>
          <w:sz w:val="24"/>
        </w:rPr>
        <w:t>不可抗力或基金</w:t>
      </w:r>
      <w:r>
        <w:rPr>
          <w:rFonts w:ascii="宋体" w:eastAsia="宋体" w:hint="eastAsia"/>
          <w:color w:val="auto"/>
          <w:sz w:val="24"/>
        </w:rPr>
        <w:t>管理人</w:t>
      </w:r>
      <w:r>
        <w:rPr>
          <w:rFonts w:ascii="宋体" w:eastAsia="宋体"/>
          <w:color w:val="auto"/>
          <w:sz w:val="24"/>
        </w:rPr>
        <w:t>无过错的情况除外）</w:t>
      </w:r>
      <w:r>
        <w:rPr>
          <w:rFonts w:ascii="宋体" w:eastAsia="宋体" w:hint="eastAsia"/>
          <w:color w:val="auto"/>
          <w:sz w:val="24"/>
        </w:rPr>
        <w:t>；基金托管人未能按上款约定将托管账户净应付额全额、及时汇至“基金清算账户”，由此产生的责任应由基金托管人承担（</w:t>
      </w:r>
      <w:r>
        <w:rPr>
          <w:rFonts w:ascii="宋体" w:eastAsia="宋体"/>
          <w:color w:val="auto"/>
          <w:sz w:val="24"/>
        </w:rPr>
        <w:t>不可抗力或基金托管人无过错的情况除外）</w:t>
      </w:r>
      <w:r>
        <w:rPr>
          <w:rFonts w:ascii="宋体" w:eastAsia="宋体" w:hint="eastAsia"/>
          <w:color w:val="auto"/>
          <w:sz w:val="24"/>
        </w:rPr>
        <w:t>。</w:t>
      </w:r>
    </w:p>
    <w:p w14:paraId="2D91467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color w:val="auto"/>
          <w:sz w:val="24"/>
        </w:rPr>
        <w:t>5</w:t>
      </w:r>
      <w:r>
        <w:rPr>
          <w:rFonts w:ascii="宋体" w:eastAsia="宋体" w:hint="eastAsia"/>
          <w:color w:val="auto"/>
          <w:sz w:val="24"/>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394A27AA" w14:textId="77777777" w:rsidR="00D744A5" w:rsidRDefault="00D744A5">
      <w:pPr>
        <w:pStyle w:val="35"/>
        <w:spacing w:before="100" w:beforeAutospacing="1" w:after="100" w:afterAutospacing="1" w:line="400" w:lineRule="exact"/>
        <w:ind w:left="0" w:right="26" w:firstLine="485"/>
        <w:rPr>
          <w:rFonts w:ascii="宋体" w:hAnsi="宋体"/>
          <w:color w:val="000000"/>
          <w:szCs w:val="24"/>
        </w:rPr>
      </w:pPr>
    </w:p>
    <w:p w14:paraId="6CE08111" w14:textId="77777777" w:rsidR="00D744A5" w:rsidRDefault="000E4967">
      <w:pPr>
        <w:pStyle w:val="1"/>
        <w:spacing w:before="100" w:beforeAutospacing="1" w:after="100" w:afterAutospacing="1" w:line="400" w:lineRule="exact"/>
        <w:ind w:firstLine="422"/>
        <w:rPr>
          <w:rFonts w:ascii="宋体" w:hAnsi="宋体"/>
          <w:sz w:val="24"/>
          <w:szCs w:val="24"/>
        </w:rPr>
      </w:pPr>
      <w:bookmarkStart w:id="11" w:name="_Toc116900103"/>
      <w:r>
        <w:rPr>
          <w:rFonts w:ascii="宋体" w:hAnsi="宋体" w:hint="eastAsia"/>
          <w:sz w:val="24"/>
          <w:szCs w:val="24"/>
        </w:rPr>
        <w:lastRenderedPageBreak/>
        <w:t>八、基金资产净值计算和会计核算</w:t>
      </w:r>
      <w:bookmarkEnd w:id="11"/>
    </w:p>
    <w:p w14:paraId="7BC460FC"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（一）基金资产净值的计算和复核</w:t>
      </w:r>
    </w:p>
    <w:p w14:paraId="37C98E78" w14:textId="27CF54E0"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1、基金资产净值是指基金资产总值减去负债后的价值。</w:t>
      </w:r>
      <w:r w:rsidR="006A3BAB" w:rsidRPr="006A3BAB">
        <w:rPr>
          <w:rFonts w:ascii="宋体" w:eastAsia="宋体" w:hAnsi="宋体" w:hint="eastAsia"/>
          <w:szCs w:val="24"/>
        </w:rPr>
        <w:t>各类基金份额的</w:t>
      </w:r>
      <w:r>
        <w:rPr>
          <w:rFonts w:ascii="宋体" w:eastAsia="宋体" w:hAnsi="宋体" w:hint="eastAsia"/>
          <w:szCs w:val="24"/>
        </w:rPr>
        <w:t>基金份额净值是指计算日各类基金份额的基金资产净值除以计算日该</w:t>
      </w:r>
      <w:r w:rsidR="006A3BAB">
        <w:rPr>
          <w:rFonts w:ascii="宋体" w:eastAsia="宋体" w:hAnsi="宋体" w:hint="eastAsia"/>
          <w:szCs w:val="24"/>
        </w:rPr>
        <w:t>类</w:t>
      </w:r>
      <w:r>
        <w:rPr>
          <w:rFonts w:ascii="宋体" w:eastAsia="宋体" w:hAnsi="宋体" w:hint="eastAsia"/>
          <w:szCs w:val="24"/>
        </w:rPr>
        <w:t>基金份额余额总数后的价值。</w:t>
      </w:r>
    </w:p>
    <w:p w14:paraId="4A6B733A"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2、基金管理人</w:t>
      </w:r>
      <w:proofErr w:type="gramStart"/>
      <w:r>
        <w:rPr>
          <w:rFonts w:ascii="宋体" w:hAnsi="宋体" w:hint="eastAsia"/>
          <w:sz w:val="24"/>
        </w:rPr>
        <w:t>应每个</w:t>
      </w:r>
      <w:proofErr w:type="gramEnd"/>
      <w:r>
        <w:rPr>
          <w:rFonts w:ascii="宋体" w:hAnsi="宋体" w:hint="eastAsia"/>
          <w:sz w:val="24"/>
        </w:rPr>
        <w:t>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开放日交易结束后计算当日的基金资产净值和各类基金份额的基金份额净值，并以双方约定的方式发送给基金托管人。基金托管人应对净值计算结果进行复核，并以双方约定的方式将复核结果传送给基金管理人，由基金管理人按规定对外公布。月末、年中和年末估值复核与基金会计账目的核对同时进行。</w:t>
      </w:r>
    </w:p>
    <w:p w14:paraId="1730458D"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3、</w:t>
      </w:r>
      <w:proofErr w:type="gramStart"/>
      <w:r>
        <w:rPr>
          <w:rFonts w:ascii="宋体" w:eastAsia="宋体" w:hAnsi="宋体" w:hint="eastAsia"/>
          <w:szCs w:val="24"/>
        </w:rPr>
        <w:t>当</w:t>
      </w:r>
      <w:r>
        <w:rPr>
          <w:rFonts w:ascii="宋体" w:eastAsia="宋体" w:hAnsi="宋体" w:cs="方正仿宋简体" w:hint="eastAsia"/>
          <w:szCs w:val="24"/>
        </w:rPr>
        <w:t>相关</w:t>
      </w:r>
      <w:proofErr w:type="gramEnd"/>
      <w:r>
        <w:rPr>
          <w:rFonts w:ascii="宋体" w:eastAsia="宋体" w:hAnsi="宋体" w:cs="方正仿宋简体" w:hint="eastAsia"/>
          <w:szCs w:val="24"/>
        </w:rPr>
        <w:t>法律法规或《基金合同》规定的估值方法不能客观反映基金财产公允价值时，</w:t>
      </w:r>
      <w:r>
        <w:rPr>
          <w:rFonts w:ascii="宋体" w:eastAsia="宋体" w:hAnsi="宋体" w:hint="eastAsia"/>
          <w:szCs w:val="24"/>
        </w:rPr>
        <w:t>基金管理人可根据具体情况</w:t>
      </w:r>
      <w:r>
        <w:rPr>
          <w:rFonts w:ascii="宋体" w:eastAsia="宋体" w:hAnsi="宋体"/>
          <w:szCs w:val="24"/>
        </w:rPr>
        <w:t>，</w:t>
      </w:r>
      <w:r>
        <w:rPr>
          <w:rFonts w:ascii="宋体" w:eastAsia="宋体" w:hAnsi="宋体" w:hint="eastAsia"/>
          <w:szCs w:val="24"/>
        </w:rPr>
        <w:t>并与基金托管人商定后</w:t>
      </w:r>
      <w:r>
        <w:rPr>
          <w:rFonts w:ascii="宋体" w:eastAsia="宋体" w:hAnsi="宋体"/>
          <w:szCs w:val="24"/>
        </w:rPr>
        <w:t>，</w:t>
      </w:r>
      <w:r>
        <w:rPr>
          <w:rFonts w:ascii="宋体" w:eastAsia="宋体" w:hAnsi="宋体" w:hint="eastAsia"/>
          <w:szCs w:val="24"/>
        </w:rPr>
        <w:t>按最能反映公允价值的价格估值。</w:t>
      </w:r>
    </w:p>
    <w:p w14:paraId="31E8DEA8" w14:textId="77777777" w:rsidR="00D744A5" w:rsidRDefault="000E4967">
      <w:pPr>
        <w:pStyle w:val="35"/>
        <w:spacing w:before="100" w:beforeAutospacing="1" w:after="100" w:afterAutospacing="1" w:line="400" w:lineRule="exact"/>
        <w:ind w:left="0" w:right="26" w:firstLine="403"/>
        <w:rPr>
          <w:rFonts w:ascii="宋体" w:eastAsia="宋体" w:hAnsi="宋体" w:cs="方正仿宋简体"/>
          <w:szCs w:val="24"/>
        </w:rPr>
      </w:pPr>
      <w:r>
        <w:rPr>
          <w:rFonts w:ascii="宋体" w:eastAsia="宋体" w:hAnsi="宋体" w:hint="eastAsia"/>
          <w:szCs w:val="24"/>
        </w:rPr>
        <w:t>4、</w:t>
      </w:r>
      <w:r>
        <w:rPr>
          <w:rFonts w:ascii="宋体" w:eastAsia="宋体" w:hAnsi="宋体" w:cs="方正仿宋简体" w:hint="eastAsia"/>
          <w:szCs w:val="24"/>
        </w:rPr>
        <w:t>基金管理人、基金托管人发现基金估值违反《基金合同》订明的估值方法、程序以及相关法律法规的规定或者未能充分维护基金份额持有人利益时，双方应及时进行协商和纠正。</w:t>
      </w:r>
    </w:p>
    <w:p w14:paraId="4DB2A1DB" w14:textId="77777777" w:rsidR="00D744A5" w:rsidRDefault="000E4967">
      <w:pPr>
        <w:spacing w:before="100" w:beforeAutospacing="1" w:after="100" w:afterAutospacing="1" w:line="400" w:lineRule="exact"/>
        <w:ind w:firstLine="420"/>
        <w:rPr>
          <w:rFonts w:ascii="宋体" w:hAnsi="宋体"/>
          <w:sz w:val="24"/>
        </w:rPr>
      </w:pPr>
      <w:r>
        <w:rPr>
          <w:rFonts w:ascii="宋体" w:hAnsi="宋体" w:cs="方正仿宋简体" w:hint="eastAsia"/>
          <w:sz w:val="24"/>
        </w:rPr>
        <w:t>5、</w:t>
      </w:r>
      <w:r>
        <w:rPr>
          <w:rFonts w:ascii="宋体" w:hAnsi="宋体" w:hint="eastAsia"/>
          <w:sz w:val="24"/>
        </w:rPr>
        <w:t>当基金资产的估值导致任一类基金份额净值小数点后四位内发生差错时，视为该类基金份额净值估值错误。当基金份额净值出现错误时，基金管理人应当立即予以纠正，并采取合理的措施防止损失进一步扩大；当计价错误达到该类基金份额净值的</w:t>
      </w:r>
      <w:r>
        <w:rPr>
          <w:rFonts w:ascii="宋体" w:hAnsi="宋体"/>
          <w:sz w:val="24"/>
        </w:rPr>
        <w:t>0.</w:t>
      </w:r>
      <w:r>
        <w:rPr>
          <w:rFonts w:ascii="宋体" w:hAnsi="宋体" w:hint="eastAsia"/>
          <w:sz w:val="24"/>
        </w:rPr>
        <w:t>2</w:t>
      </w:r>
      <w:r>
        <w:rPr>
          <w:rFonts w:ascii="宋体" w:hAnsi="宋体"/>
          <w:sz w:val="24"/>
        </w:rPr>
        <w:t>5%</w:t>
      </w:r>
      <w:r>
        <w:rPr>
          <w:rFonts w:ascii="宋体" w:hAnsi="宋体" w:hint="eastAsia"/>
          <w:sz w:val="24"/>
        </w:rPr>
        <w:t>时，基金管理人应当通知基金托管人并报中国证监会备案；当计价错误达到该类基金份额净值的</w:t>
      </w:r>
      <w:r>
        <w:rPr>
          <w:rFonts w:ascii="宋体" w:hAnsi="宋体"/>
          <w:sz w:val="24"/>
        </w:rPr>
        <w:t>0.5%</w:t>
      </w:r>
      <w:r>
        <w:rPr>
          <w:rFonts w:ascii="宋体" w:hAnsi="宋体" w:hint="eastAsia"/>
          <w:sz w:val="24"/>
        </w:rPr>
        <w:t>时，基金管理人应当通知基金托管人，在报中国证监会备案的同时并及时进行公告。</w:t>
      </w:r>
      <w:r>
        <w:rPr>
          <w:rFonts w:ascii="宋体" w:hAnsi="宋体"/>
          <w:sz w:val="24"/>
        </w:rPr>
        <w:t>如法律法规或监管机关</w:t>
      </w:r>
      <w:r>
        <w:rPr>
          <w:rFonts w:ascii="宋体" w:hAnsi="宋体" w:hint="eastAsia"/>
          <w:sz w:val="24"/>
        </w:rPr>
        <w:t>对</w:t>
      </w:r>
      <w:r>
        <w:rPr>
          <w:rFonts w:ascii="宋体" w:hAnsi="宋体"/>
          <w:sz w:val="24"/>
        </w:rPr>
        <w:t>前述内容另有规定的，按其规定处理。</w:t>
      </w:r>
    </w:p>
    <w:p w14:paraId="58F82BB1" w14:textId="77777777" w:rsidR="00D744A5" w:rsidRDefault="000E4967">
      <w:pPr>
        <w:pStyle w:val="35"/>
        <w:spacing w:before="100" w:beforeAutospacing="1" w:after="100" w:afterAutospacing="1" w:line="400" w:lineRule="exact"/>
        <w:ind w:left="0" w:right="26" w:firstLine="403"/>
        <w:rPr>
          <w:rFonts w:ascii="宋体" w:eastAsia="宋体" w:hAnsi="宋体" w:cs="方正仿宋简体"/>
          <w:szCs w:val="24"/>
        </w:rPr>
      </w:pPr>
      <w:r>
        <w:rPr>
          <w:rFonts w:ascii="宋体" w:eastAsia="宋体" w:hAnsi="宋体" w:cs="方正仿宋简体" w:hint="eastAsia"/>
          <w:szCs w:val="24"/>
        </w:rPr>
        <w:t>6、</w:t>
      </w:r>
      <w:r>
        <w:rPr>
          <w:rFonts w:ascii="宋体" w:eastAsia="宋体" w:hAnsi="宋体" w:hint="eastAsia"/>
          <w:szCs w:val="24"/>
        </w:rPr>
        <w:t>由于基金管理人对外公布的任何基金净值数据错误，导致该基金财产或基金份额持有人的实际损失，基金管理人应对此承担责任。</w:t>
      </w:r>
      <w:proofErr w:type="gramStart"/>
      <w:r>
        <w:rPr>
          <w:rFonts w:ascii="宋体" w:eastAsia="宋体" w:hAnsi="宋体" w:hint="eastAsia"/>
          <w:szCs w:val="24"/>
        </w:rPr>
        <w:t>若基金</w:t>
      </w:r>
      <w:proofErr w:type="gramEnd"/>
      <w:r>
        <w:rPr>
          <w:rFonts w:ascii="宋体" w:eastAsia="宋体" w:hAnsi="宋体" w:hint="eastAsia"/>
          <w:szCs w:val="24"/>
        </w:rPr>
        <w:t>托管人计算的净值数据正确，</w:t>
      </w:r>
      <w:proofErr w:type="gramStart"/>
      <w:r>
        <w:rPr>
          <w:rFonts w:ascii="宋体" w:eastAsia="宋体" w:hAnsi="宋体" w:hint="eastAsia"/>
          <w:szCs w:val="24"/>
        </w:rPr>
        <w:t>则基金</w:t>
      </w:r>
      <w:proofErr w:type="gramEnd"/>
      <w:r>
        <w:rPr>
          <w:rFonts w:ascii="宋体" w:eastAsia="宋体" w:hAnsi="宋体" w:hint="eastAsia"/>
          <w:szCs w:val="24"/>
        </w:rPr>
        <w:t>托管人对该损失不承担责任；</w:t>
      </w:r>
      <w:proofErr w:type="gramStart"/>
      <w:r>
        <w:rPr>
          <w:rFonts w:ascii="宋体" w:eastAsia="宋体" w:hAnsi="宋体" w:hint="eastAsia"/>
          <w:szCs w:val="24"/>
        </w:rPr>
        <w:t>若基金</w:t>
      </w:r>
      <w:proofErr w:type="gramEnd"/>
      <w:r>
        <w:rPr>
          <w:rFonts w:ascii="宋体" w:eastAsia="宋体" w:hAnsi="宋体" w:hint="eastAsia"/>
          <w:szCs w:val="24"/>
        </w:rPr>
        <w:t>管理人对外公布</w:t>
      </w:r>
      <w:r>
        <w:rPr>
          <w:rFonts w:ascii="宋体" w:eastAsia="宋体" w:hAnsi="宋体" w:hint="eastAsia"/>
          <w:szCs w:val="24"/>
        </w:rPr>
        <w:lastRenderedPageBreak/>
        <w:t>的基金净值经基金托管人复核同意的，</w:t>
      </w:r>
      <w:proofErr w:type="gramStart"/>
      <w:r>
        <w:rPr>
          <w:rFonts w:ascii="宋体" w:eastAsia="宋体" w:hAnsi="宋体" w:hint="eastAsia"/>
          <w:szCs w:val="24"/>
        </w:rPr>
        <w:t>则基金</w:t>
      </w:r>
      <w:proofErr w:type="gramEnd"/>
      <w:r>
        <w:rPr>
          <w:rFonts w:ascii="宋体" w:eastAsia="宋体" w:hAnsi="宋体" w:hint="eastAsia"/>
          <w:szCs w:val="24"/>
        </w:rPr>
        <w:t>托管人也应承担部分未正确履行复核义务的责任，基金托管人不承担基金管理人未接受基金托管人的复核意见进行信息披露产生的责任。如果上述错误造成了基金财产或基金份额持有人的不当得利，</w:t>
      </w:r>
      <w:proofErr w:type="gramStart"/>
      <w:r>
        <w:rPr>
          <w:rFonts w:ascii="宋体" w:eastAsia="宋体" w:hAnsi="宋体" w:hint="eastAsia"/>
          <w:szCs w:val="24"/>
        </w:rPr>
        <w:t>且基金</w:t>
      </w:r>
      <w:proofErr w:type="gramEnd"/>
      <w:r>
        <w:rPr>
          <w:rFonts w:ascii="宋体" w:eastAsia="宋体" w:hAnsi="宋体" w:hint="eastAsia"/>
          <w:szCs w:val="24"/>
        </w:rPr>
        <w:t>管理人及基金托管人已各自承担了赔偿责任，</w:t>
      </w:r>
      <w:proofErr w:type="gramStart"/>
      <w:r>
        <w:rPr>
          <w:rFonts w:ascii="宋体" w:eastAsia="宋体" w:hAnsi="宋体" w:hint="eastAsia"/>
          <w:szCs w:val="24"/>
        </w:rPr>
        <w:t>则基金</w:t>
      </w:r>
      <w:proofErr w:type="gramEnd"/>
      <w:r>
        <w:rPr>
          <w:rFonts w:ascii="宋体" w:eastAsia="宋体" w:hAnsi="宋体" w:hint="eastAsia"/>
          <w:szCs w:val="24"/>
        </w:rPr>
        <w:t>管理人应负责向不当得利之主体主张返还不当得利。如果返还金额不足以弥补基金管理人和基金托管人已承担的赔偿金额，则双方按照各自赔偿金额的比例对返还金额进行分配。</w:t>
      </w:r>
    </w:p>
    <w:p w14:paraId="43B11D09" w14:textId="77777777" w:rsidR="00D744A5" w:rsidRDefault="000E4967">
      <w:pPr>
        <w:pStyle w:val="35"/>
        <w:spacing w:before="100" w:beforeAutospacing="1" w:after="100" w:afterAutospacing="1" w:line="400" w:lineRule="exact"/>
        <w:ind w:left="0" w:right="26" w:firstLine="403"/>
        <w:rPr>
          <w:rFonts w:ascii="宋体" w:eastAsia="宋体" w:hAnsi="宋体" w:cs="方正仿宋简体"/>
          <w:szCs w:val="24"/>
        </w:rPr>
      </w:pPr>
      <w:r>
        <w:rPr>
          <w:rFonts w:ascii="宋体" w:eastAsia="宋体" w:hAnsi="宋体" w:cs="方正仿宋简体" w:hint="eastAsia"/>
          <w:szCs w:val="24"/>
        </w:rPr>
        <w:t>7、由于不可抗力原因，或证券、期货交易所、登记机构及存款银行等第三方机构发送的数据错误，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14:paraId="7CB3C625"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17C57E84"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（二）基金会计核算</w:t>
      </w:r>
    </w:p>
    <w:p w14:paraId="0E935836"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1、基金账册的建立</w:t>
      </w:r>
    </w:p>
    <w:p w14:paraId="45ABC351"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6970E100"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2、会计数据和财务指标的核对</w:t>
      </w:r>
    </w:p>
    <w:p w14:paraId="2A74B064"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基金管理人和基金托管人应定期就会计数据和财务指标进行核对。如发现存在不符，双方应及时查明原因并纠正。</w:t>
      </w:r>
    </w:p>
    <w:p w14:paraId="599FBBAD"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3、基金财务报表和定期报告的编制和复核</w:t>
      </w:r>
    </w:p>
    <w:p w14:paraId="5FEFC366"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基金财务报表由基金管理人和基金托管人每</w:t>
      </w:r>
      <w:proofErr w:type="gramStart"/>
      <w:r>
        <w:rPr>
          <w:rFonts w:ascii="宋体" w:eastAsia="宋体" w:hAnsi="宋体" w:hint="eastAsia"/>
          <w:szCs w:val="24"/>
        </w:rPr>
        <w:t>月分别独立</w:t>
      </w:r>
      <w:proofErr w:type="gramEnd"/>
      <w:r>
        <w:rPr>
          <w:rFonts w:ascii="宋体" w:eastAsia="宋体" w:hAnsi="宋体"/>
          <w:szCs w:val="24"/>
        </w:rPr>
        <w:t>编制。月度报表的编制，应于每月终了后5个工作日内完成；《基金合同》生效后，招募说明书的信息发生重大变更的，基金管理人应当在三个工作日内，更新招募说明书并</w:t>
      </w:r>
      <w:r>
        <w:rPr>
          <w:rFonts w:ascii="宋体" w:eastAsia="宋体" w:hAnsi="宋体"/>
          <w:szCs w:val="24"/>
        </w:rPr>
        <w:lastRenderedPageBreak/>
        <w:t>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w:t>
      </w:r>
      <w:r>
        <w:rPr>
          <w:rFonts w:ascii="宋体" w:eastAsia="宋体" w:hAnsi="宋体" w:hint="eastAsia"/>
          <w:szCs w:val="24"/>
        </w:rPr>
        <w:t>报告提示性公告登载在规定报刊上。基金合同生效不足两个月的，基金管理人可以不编制当期季度报告、中期报告或者年度报告。</w:t>
      </w:r>
    </w:p>
    <w:p w14:paraId="0C27FAF2"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w:t>
      </w:r>
      <w:proofErr w:type="gramStart"/>
      <w:r>
        <w:rPr>
          <w:rFonts w:ascii="宋体" w:eastAsia="宋体" w:hAnsi="宋体" w:hint="eastAsia"/>
          <w:szCs w:val="24"/>
        </w:rPr>
        <w:t>于应当</w:t>
      </w:r>
      <w:proofErr w:type="gramEnd"/>
      <w:r>
        <w:rPr>
          <w:rFonts w:ascii="宋体" w:eastAsia="宋体" w:hAnsi="宋体" w:hint="eastAsia"/>
          <w:szCs w:val="24"/>
        </w:rPr>
        <w:t>发布公告之日之前就相关报表达成一致，基金管理人有权按照其编制的报表对外发布公告，基金托管人有权就相关情况报证监会备案。</w:t>
      </w:r>
    </w:p>
    <w:p w14:paraId="74D2D60D" w14:textId="77777777" w:rsidR="00D744A5" w:rsidRDefault="000E4967">
      <w:pPr>
        <w:pStyle w:val="35"/>
        <w:spacing w:before="100" w:beforeAutospacing="1" w:after="100" w:afterAutospacing="1" w:line="400" w:lineRule="exact"/>
        <w:ind w:right="26" w:firstLine="0"/>
        <w:rPr>
          <w:rFonts w:ascii="宋体" w:eastAsia="宋体" w:hAnsi="宋体"/>
          <w:szCs w:val="24"/>
        </w:rPr>
      </w:pPr>
      <w:r>
        <w:rPr>
          <w:rFonts w:ascii="宋体" w:eastAsia="宋体" w:hAnsi="宋体" w:hint="eastAsia"/>
          <w:szCs w:val="24"/>
        </w:rPr>
        <w:t>（三）实施</w:t>
      </w:r>
      <w:proofErr w:type="gramStart"/>
      <w:r>
        <w:rPr>
          <w:rFonts w:ascii="宋体" w:eastAsia="宋体" w:hAnsi="宋体" w:hint="eastAsia"/>
          <w:szCs w:val="24"/>
        </w:rPr>
        <w:t>侧袋机制</w:t>
      </w:r>
      <w:proofErr w:type="gramEnd"/>
      <w:r>
        <w:rPr>
          <w:rFonts w:ascii="宋体" w:eastAsia="宋体" w:hAnsi="宋体" w:hint="eastAsia"/>
          <w:szCs w:val="24"/>
        </w:rPr>
        <w:t>期间的基金资产估值</w:t>
      </w:r>
    </w:p>
    <w:p w14:paraId="576A9D25"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本基金实施</w:t>
      </w:r>
      <w:proofErr w:type="gramStart"/>
      <w:r>
        <w:rPr>
          <w:rFonts w:ascii="宋体" w:eastAsia="宋体" w:hAnsi="宋体" w:hint="eastAsia"/>
          <w:szCs w:val="24"/>
        </w:rPr>
        <w:t>侧袋机制</w:t>
      </w:r>
      <w:proofErr w:type="gramEnd"/>
      <w:r>
        <w:rPr>
          <w:rFonts w:ascii="宋体" w:eastAsia="宋体" w:hAnsi="宋体" w:hint="eastAsia"/>
          <w:szCs w:val="24"/>
        </w:rPr>
        <w:t>的，应根据本部分的约定</w:t>
      </w:r>
      <w:proofErr w:type="gramStart"/>
      <w:r>
        <w:rPr>
          <w:rFonts w:ascii="宋体" w:eastAsia="宋体" w:hAnsi="宋体" w:hint="eastAsia"/>
          <w:szCs w:val="24"/>
        </w:rPr>
        <w:t>对主袋账户</w:t>
      </w:r>
      <w:proofErr w:type="gramEnd"/>
      <w:r>
        <w:rPr>
          <w:rFonts w:ascii="宋体" w:eastAsia="宋体" w:hAnsi="宋体" w:hint="eastAsia"/>
          <w:szCs w:val="24"/>
        </w:rPr>
        <w:t>资产进行估值并</w:t>
      </w:r>
      <w:proofErr w:type="gramStart"/>
      <w:r>
        <w:rPr>
          <w:rFonts w:ascii="宋体" w:eastAsia="宋体" w:hAnsi="宋体" w:hint="eastAsia"/>
          <w:szCs w:val="24"/>
        </w:rPr>
        <w:t>披露主袋账户</w:t>
      </w:r>
      <w:proofErr w:type="gramEnd"/>
      <w:r>
        <w:rPr>
          <w:rFonts w:ascii="宋体" w:eastAsia="宋体" w:hAnsi="宋体" w:hint="eastAsia"/>
          <w:szCs w:val="24"/>
        </w:rPr>
        <w:t>的基金净值信息，暂停</w:t>
      </w:r>
      <w:proofErr w:type="gramStart"/>
      <w:r>
        <w:rPr>
          <w:rFonts w:ascii="宋体" w:eastAsia="宋体" w:hAnsi="宋体" w:hint="eastAsia"/>
          <w:szCs w:val="24"/>
        </w:rPr>
        <w:t>披露侧袋账户</w:t>
      </w:r>
      <w:proofErr w:type="gramEnd"/>
      <w:r>
        <w:rPr>
          <w:rFonts w:ascii="宋体" w:eastAsia="宋体" w:hAnsi="宋体" w:hint="eastAsia"/>
          <w:szCs w:val="24"/>
        </w:rPr>
        <w:t>份额净值。</w:t>
      </w:r>
    </w:p>
    <w:p w14:paraId="301B67FD" w14:textId="77777777" w:rsidR="00D744A5" w:rsidRDefault="00D744A5">
      <w:pPr>
        <w:pStyle w:val="35"/>
        <w:spacing w:before="100" w:beforeAutospacing="1" w:after="100" w:afterAutospacing="1" w:line="400" w:lineRule="exact"/>
        <w:ind w:left="0" w:right="26" w:firstLine="403"/>
        <w:rPr>
          <w:rFonts w:ascii="宋体" w:eastAsia="宋体" w:hAnsi="宋体"/>
          <w:szCs w:val="24"/>
        </w:rPr>
      </w:pPr>
    </w:p>
    <w:p w14:paraId="26711CB1" w14:textId="77777777" w:rsidR="00D744A5" w:rsidRDefault="000E4967">
      <w:pPr>
        <w:pStyle w:val="1"/>
        <w:spacing w:before="100" w:beforeAutospacing="1" w:after="100" w:afterAutospacing="1" w:line="400" w:lineRule="exact"/>
        <w:ind w:firstLine="422"/>
        <w:rPr>
          <w:rFonts w:ascii="宋体" w:hAnsi="宋体"/>
          <w:sz w:val="24"/>
          <w:szCs w:val="24"/>
        </w:rPr>
      </w:pPr>
      <w:bookmarkStart w:id="12" w:name="_Toc116900104"/>
      <w:r>
        <w:rPr>
          <w:rFonts w:ascii="宋体" w:hAnsi="宋体" w:hint="eastAsia"/>
          <w:sz w:val="24"/>
          <w:szCs w:val="24"/>
        </w:rPr>
        <w:t>九、基金收益分配</w:t>
      </w:r>
      <w:bookmarkEnd w:id="12"/>
    </w:p>
    <w:p w14:paraId="5C668C97"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（一）基金收益分配的依据</w:t>
      </w:r>
    </w:p>
    <w:p w14:paraId="652C51F9"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1、基金收益分配是指将该基金期末可供分配利润根据持有该基金份额的数量按比例向该基金份额持有人进行分配。期末可供分配利润采用期末资产负债表中未分配利润与未分配利润中已实现部分的孰低数。</w:t>
      </w:r>
    </w:p>
    <w:p w14:paraId="7051A47B"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lastRenderedPageBreak/>
        <w:t>2、收益分配应该符合《基金合同》关于收益分配原则的规定。</w:t>
      </w:r>
    </w:p>
    <w:p w14:paraId="071FF986"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（二）基金收益分配的时间和程序</w:t>
      </w:r>
    </w:p>
    <w:p w14:paraId="70B44073"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1、基金收益分配方案由基金管理人根据《基金合同》的相关规定制定。</w:t>
      </w:r>
    </w:p>
    <w:p w14:paraId="4E197383"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2、基金管理人应于收益</w:t>
      </w:r>
      <w:proofErr w:type="gramStart"/>
      <w:r>
        <w:rPr>
          <w:rFonts w:ascii="宋体" w:eastAsia="宋体" w:hAnsi="宋体" w:hint="eastAsia"/>
          <w:szCs w:val="24"/>
        </w:rPr>
        <w:t>分配日</w:t>
      </w:r>
      <w:proofErr w:type="gramEnd"/>
      <w:r>
        <w:rPr>
          <w:rFonts w:ascii="宋体" w:eastAsia="宋体" w:hAnsi="宋体" w:hint="eastAsia"/>
          <w:szCs w:val="24"/>
        </w:rPr>
        <w:t>之前将其制定的收益分配方案提交基金托管人复核，基金托管人应于收到收益分配方案后完成对收益分配方案的复核，并将复核意见书面通知基金管理人，复核通过后基金管理人应当按照《信息披露办法》的有关规定在规定媒介公告；如果基金管理人与基金托管人不能于收益</w:t>
      </w:r>
      <w:proofErr w:type="gramStart"/>
      <w:r>
        <w:rPr>
          <w:rFonts w:ascii="宋体" w:eastAsia="宋体" w:hAnsi="宋体" w:hint="eastAsia"/>
          <w:szCs w:val="24"/>
        </w:rPr>
        <w:t>分配日</w:t>
      </w:r>
      <w:proofErr w:type="gramEnd"/>
      <w:r>
        <w:rPr>
          <w:rFonts w:ascii="宋体" w:eastAsia="宋体" w:hAnsi="宋体" w:hint="eastAsia"/>
          <w:szCs w:val="24"/>
        </w:rPr>
        <w:t>之前就收益分配方案达成一致，基金托管人有义务将收益分配方案及相关情况的说明提交中国证监会备案并书面通知基金管理人，在上述文件提交完毕之日</w:t>
      </w:r>
      <w:proofErr w:type="gramStart"/>
      <w:r>
        <w:rPr>
          <w:rFonts w:ascii="宋体" w:eastAsia="宋体" w:hAnsi="宋体" w:hint="eastAsia"/>
          <w:szCs w:val="24"/>
        </w:rPr>
        <w:t>起基金</w:t>
      </w:r>
      <w:proofErr w:type="gramEnd"/>
      <w:r>
        <w:rPr>
          <w:rFonts w:ascii="宋体" w:eastAsia="宋体" w:hAnsi="宋体" w:hint="eastAsia"/>
          <w:szCs w:val="24"/>
        </w:rPr>
        <w:t>管理人有权利对外公告其拟订的收益分配方案，</w:t>
      </w:r>
      <w:proofErr w:type="gramStart"/>
      <w:r>
        <w:rPr>
          <w:rFonts w:ascii="宋体" w:eastAsia="宋体" w:hAnsi="宋体" w:hint="eastAsia"/>
          <w:szCs w:val="24"/>
        </w:rPr>
        <w:t>且基金</w:t>
      </w:r>
      <w:proofErr w:type="gramEnd"/>
      <w:r>
        <w:rPr>
          <w:rFonts w:ascii="宋体" w:eastAsia="宋体" w:hAnsi="宋体" w:hint="eastAsia"/>
          <w:szCs w:val="24"/>
        </w:rPr>
        <w:t>托管人有义务协助基金管理人实施该收益分配方案，但有证据证明该方案违反法律法规及《基金合同》的除外。</w:t>
      </w:r>
    </w:p>
    <w:p w14:paraId="41714C9F" w14:textId="52AE87FB"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3、本基金的收益分配方式</w:t>
      </w:r>
      <w:r w:rsidR="002528FF">
        <w:rPr>
          <w:rFonts w:ascii="宋体" w:eastAsia="宋体" w:hAnsi="宋体" w:hint="eastAsia"/>
          <w:szCs w:val="24"/>
        </w:rPr>
        <w:t>为</w:t>
      </w:r>
      <w:r>
        <w:rPr>
          <w:rFonts w:ascii="宋体" w:eastAsia="宋体" w:hAnsi="宋体" w:hint="eastAsia"/>
          <w:szCs w:val="24"/>
        </w:rPr>
        <w:t>现金分红。</w:t>
      </w:r>
    </w:p>
    <w:p w14:paraId="3295360C" w14:textId="7A077798"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4、基金托管人根据基金管理人的收益分配方案和提供的现金红利金额的数据，在红利发放日将分红资金划入基金管理人指定账户。</w:t>
      </w:r>
    </w:p>
    <w:p w14:paraId="21472C60" w14:textId="77777777" w:rsidR="00D744A5" w:rsidRDefault="000E4967">
      <w:pPr>
        <w:pStyle w:val="35"/>
        <w:spacing w:before="100" w:beforeAutospacing="1" w:after="100" w:afterAutospacing="1" w:line="400" w:lineRule="exact"/>
        <w:ind w:right="26" w:firstLine="0"/>
        <w:rPr>
          <w:rFonts w:ascii="宋体" w:eastAsia="宋体" w:hAnsi="宋体"/>
          <w:szCs w:val="24"/>
        </w:rPr>
      </w:pPr>
      <w:r>
        <w:rPr>
          <w:rFonts w:ascii="宋体" w:eastAsia="宋体" w:hAnsi="宋体" w:hint="eastAsia"/>
          <w:szCs w:val="24"/>
        </w:rPr>
        <w:t>（三）实施</w:t>
      </w:r>
      <w:proofErr w:type="gramStart"/>
      <w:r>
        <w:rPr>
          <w:rFonts w:ascii="宋体" w:eastAsia="宋体" w:hAnsi="宋体" w:hint="eastAsia"/>
          <w:szCs w:val="24"/>
        </w:rPr>
        <w:t>侧袋机制</w:t>
      </w:r>
      <w:proofErr w:type="gramEnd"/>
      <w:r>
        <w:rPr>
          <w:rFonts w:ascii="宋体" w:eastAsia="宋体" w:hAnsi="宋体" w:hint="eastAsia"/>
          <w:szCs w:val="24"/>
        </w:rPr>
        <w:t>期间的收益分配</w:t>
      </w:r>
    </w:p>
    <w:p w14:paraId="427E1353" w14:textId="77777777" w:rsidR="00D744A5" w:rsidRDefault="000E4967">
      <w:pPr>
        <w:pStyle w:val="35"/>
        <w:spacing w:before="100" w:beforeAutospacing="1" w:after="100" w:afterAutospacing="1" w:line="400" w:lineRule="exact"/>
        <w:ind w:left="0" w:right="26" w:firstLine="403"/>
        <w:rPr>
          <w:rFonts w:ascii="宋体" w:eastAsia="宋体" w:hAnsi="宋体"/>
          <w:szCs w:val="24"/>
        </w:rPr>
      </w:pPr>
      <w:r>
        <w:rPr>
          <w:rFonts w:ascii="宋体" w:eastAsia="宋体" w:hAnsi="宋体" w:hint="eastAsia"/>
          <w:szCs w:val="24"/>
        </w:rPr>
        <w:t>本基金实施</w:t>
      </w:r>
      <w:proofErr w:type="gramStart"/>
      <w:r>
        <w:rPr>
          <w:rFonts w:ascii="宋体" w:eastAsia="宋体" w:hAnsi="宋体" w:hint="eastAsia"/>
          <w:szCs w:val="24"/>
        </w:rPr>
        <w:t>侧袋机制</w:t>
      </w:r>
      <w:proofErr w:type="gramEnd"/>
      <w:r>
        <w:rPr>
          <w:rFonts w:ascii="宋体" w:eastAsia="宋体" w:hAnsi="宋体" w:hint="eastAsia"/>
          <w:szCs w:val="24"/>
        </w:rPr>
        <w:t>的，</w:t>
      </w:r>
      <w:proofErr w:type="gramStart"/>
      <w:r>
        <w:rPr>
          <w:rFonts w:ascii="宋体" w:eastAsia="宋体" w:hAnsi="宋体" w:hint="eastAsia"/>
          <w:szCs w:val="24"/>
        </w:rPr>
        <w:t>侧袋账户</w:t>
      </w:r>
      <w:proofErr w:type="gramEnd"/>
      <w:r>
        <w:rPr>
          <w:rFonts w:ascii="宋体" w:eastAsia="宋体" w:hAnsi="宋体" w:hint="eastAsia"/>
          <w:szCs w:val="24"/>
        </w:rPr>
        <w:t>不进行收益分配，详见招募说明书的规定。</w:t>
      </w:r>
    </w:p>
    <w:p w14:paraId="79B836AF" w14:textId="77777777" w:rsidR="00D744A5" w:rsidRDefault="00D744A5">
      <w:pPr>
        <w:pStyle w:val="35"/>
        <w:spacing w:before="100" w:beforeAutospacing="1" w:after="100" w:afterAutospacing="1" w:line="400" w:lineRule="exact"/>
        <w:ind w:left="0" w:right="26" w:firstLine="403"/>
        <w:rPr>
          <w:rFonts w:ascii="宋体" w:eastAsia="宋体" w:hAnsi="宋体"/>
          <w:szCs w:val="24"/>
        </w:rPr>
      </w:pPr>
    </w:p>
    <w:p w14:paraId="2B16C81E" w14:textId="77777777" w:rsidR="00D744A5" w:rsidRDefault="000E4967">
      <w:pPr>
        <w:pStyle w:val="1"/>
        <w:spacing w:before="100" w:beforeAutospacing="1" w:after="100" w:afterAutospacing="1" w:line="400" w:lineRule="exact"/>
        <w:ind w:firstLine="422"/>
        <w:rPr>
          <w:rFonts w:ascii="宋体" w:hAnsi="宋体"/>
          <w:sz w:val="24"/>
          <w:szCs w:val="24"/>
        </w:rPr>
      </w:pPr>
      <w:bookmarkStart w:id="13" w:name="_Hlt82414846"/>
      <w:bookmarkStart w:id="14" w:name="_Toc116900105"/>
      <w:bookmarkEnd w:id="13"/>
      <w:r>
        <w:rPr>
          <w:rFonts w:ascii="宋体" w:hAnsi="宋体" w:hint="eastAsia"/>
          <w:sz w:val="24"/>
          <w:szCs w:val="24"/>
        </w:rPr>
        <w:t>十、基金信息披露</w:t>
      </w:r>
      <w:bookmarkEnd w:id="14"/>
    </w:p>
    <w:p w14:paraId="2407FA2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（一）保密义务</w:t>
      </w:r>
    </w:p>
    <w:p w14:paraId="61142FB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除按照法律法规中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E7743E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lastRenderedPageBreak/>
        <w:t>1、非因基金管理人和基金托管人的原因导致保密信息被披露、泄露或公开；</w:t>
      </w:r>
    </w:p>
    <w:p w14:paraId="2074557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2、基金管理人和基金托管人为遵守和服从法院判决、仲裁裁决或中国证监会等监管机构的命令、决定所做出的信息披露或公开。</w:t>
      </w:r>
    </w:p>
    <w:p w14:paraId="29FEEB8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3、因审计、法律等专业服务向外部专业顾问提供信息，并要求专业顾问遵守保密义务。</w:t>
      </w:r>
    </w:p>
    <w:p w14:paraId="339E703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（二）基金管理人和基金托管人在信息披露中的职责和信息披露程序</w:t>
      </w:r>
    </w:p>
    <w:p w14:paraId="60439D1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1CEF1EA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本基金信息披露的所有文件，包括《基金合同》和本协议规定的定期报告、临时报告、基金产品资料概要、基金净值信息公告及其他必要的公告文件，由基金管理人和基金托管人按照有关法律法规的规定予以公布。</w:t>
      </w:r>
    </w:p>
    <w:p w14:paraId="1C78B51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3、基金年度报告中的财务会计报告必须</w:t>
      </w:r>
      <w:proofErr w:type="gramStart"/>
      <w:r>
        <w:rPr>
          <w:rFonts w:ascii="宋体" w:eastAsia="宋体" w:hint="eastAsia"/>
          <w:color w:val="auto"/>
          <w:sz w:val="24"/>
        </w:rPr>
        <w:t>经符合</w:t>
      </w:r>
      <w:proofErr w:type="gramEnd"/>
      <w:r>
        <w:rPr>
          <w:rFonts w:ascii="宋体" w:eastAsia="宋体" w:hint="eastAsia"/>
          <w:color w:val="auto"/>
          <w:sz w:val="24"/>
        </w:rPr>
        <w:t>《中华人民共和国证券法》规定的会计师事务所审计。</w:t>
      </w:r>
    </w:p>
    <w:p w14:paraId="5DC79F2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4、本基金的信息披露，应通过符合中国证监会规定条件的全国性报刊（以下简称“规定报刊”）及规定互联网网站（以下简称“规定网站”或“网站”）等媒介进行；基金管理人、基金托管人可以根据需要在其他公共媒介披露信息，但是其他公共媒介不得早于规定报刊和网站披露信息，并且在不同媒介上披露同一信息的内容应当一致。</w:t>
      </w:r>
    </w:p>
    <w:p w14:paraId="4E3066D1"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5、信息文本的存放与备查</w:t>
      </w:r>
    </w:p>
    <w:p w14:paraId="31E531C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依法必须披露的信息发布后，基金管理人、基金托管人应当按照相关法律法规规定将信息置备于公司住所，供社会公众查阅、复制。</w:t>
      </w:r>
    </w:p>
    <w:p w14:paraId="40B253B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基金管理人和基金托管人应保证文本的内容与所公告的内容完全一致。</w:t>
      </w:r>
    </w:p>
    <w:p w14:paraId="14425977"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6、</w:t>
      </w:r>
      <w:r>
        <w:rPr>
          <w:rFonts w:ascii="宋体" w:hAnsi="宋体" w:cs="方正仿宋简体" w:hint="eastAsia"/>
          <w:sz w:val="24"/>
        </w:rPr>
        <w:t>对于因不可抗力等原因导致基金信息的暂停或延迟披露的（如暂停披露基金净值</w:t>
      </w:r>
      <w:r>
        <w:rPr>
          <w:rFonts w:ascii="宋体" w:hAnsi="宋体" w:cs="方正仿宋简体"/>
          <w:sz w:val="24"/>
        </w:rPr>
        <w:t>信息</w:t>
      </w:r>
      <w:r>
        <w:rPr>
          <w:rFonts w:ascii="宋体" w:hAnsi="宋体" w:cs="方正仿宋简体" w:hint="eastAsia"/>
          <w:sz w:val="24"/>
        </w:rPr>
        <w:t>），基金管理人应及时向中国证监会报告，并与基金托管人协商采取补救措施。不可抗力等情形消失后，基金管理人和基金托管人应及时恢复</w:t>
      </w:r>
      <w:r>
        <w:rPr>
          <w:rFonts w:ascii="宋体" w:hAnsi="宋体" w:cs="方正仿宋简体" w:hint="eastAsia"/>
          <w:sz w:val="24"/>
        </w:rPr>
        <w:lastRenderedPageBreak/>
        <w:t>办理信息披露。</w:t>
      </w:r>
    </w:p>
    <w:p w14:paraId="506EF6BB" w14:textId="77777777" w:rsidR="00D744A5" w:rsidRDefault="000E4967">
      <w:pPr>
        <w:pStyle w:val="af4"/>
        <w:spacing w:before="100" w:beforeAutospacing="1" w:after="100" w:afterAutospacing="1"/>
        <w:ind w:firstLine="480"/>
        <w:rPr>
          <w:rFonts w:ascii="宋体" w:eastAsia="宋体" w:cs="方正仿宋简体"/>
          <w:color w:val="auto"/>
          <w:sz w:val="24"/>
        </w:rPr>
      </w:pPr>
      <w:r>
        <w:rPr>
          <w:rFonts w:ascii="宋体" w:eastAsia="宋体" w:cs="方正仿宋简体" w:hint="eastAsia"/>
          <w:color w:val="auto"/>
          <w:sz w:val="24"/>
        </w:rPr>
        <w:t>（三）基金托管人报告</w:t>
      </w:r>
    </w:p>
    <w:p w14:paraId="4BFC4F3B" w14:textId="77777777" w:rsidR="00D744A5" w:rsidRDefault="000E4967">
      <w:pPr>
        <w:pStyle w:val="af4"/>
        <w:spacing w:before="100" w:beforeAutospacing="1" w:after="100" w:afterAutospacing="1"/>
        <w:ind w:firstLine="480"/>
        <w:rPr>
          <w:rFonts w:ascii="宋体" w:eastAsia="宋体" w:cs="方正仿宋简体"/>
          <w:color w:val="auto"/>
          <w:sz w:val="24"/>
        </w:rPr>
      </w:pPr>
      <w:r>
        <w:rPr>
          <w:rFonts w:ascii="宋体" w:eastAsia="宋体" w:cs="方正仿宋简体" w:hint="eastAsia"/>
          <w:color w:val="auto"/>
          <w:sz w:val="24"/>
        </w:rPr>
        <w:t>基金托管人应按《基金法》、《运作办法》、《信息披露办法》和其他有关法律法规的规定于每个上半年度结束后两个月内、每个会计年度结束后三个月</w:t>
      </w:r>
      <w:proofErr w:type="gramStart"/>
      <w:r>
        <w:rPr>
          <w:rFonts w:ascii="宋体" w:eastAsia="宋体" w:cs="方正仿宋简体" w:hint="eastAsia"/>
          <w:color w:val="auto"/>
          <w:sz w:val="24"/>
        </w:rPr>
        <w:t>内在基金</w:t>
      </w:r>
      <w:proofErr w:type="gramEnd"/>
      <w:r>
        <w:rPr>
          <w:rFonts w:ascii="宋体" w:eastAsia="宋体" w:cs="方正仿宋简体" w:hint="eastAsia"/>
          <w:color w:val="auto"/>
          <w:sz w:val="24"/>
        </w:rPr>
        <w:t>中期报告及年度报告中分别出具托管人报告。</w:t>
      </w:r>
    </w:p>
    <w:p w14:paraId="2978687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（四）法律法规或监管部门对信息披露另有规定的，从其规定。</w:t>
      </w:r>
    </w:p>
    <w:p w14:paraId="0B4C9BDD" w14:textId="77777777" w:rsidR="00D744A5" w:rsidRDefault="00D744A5">
      <w:pPr>
        <w:pStyle w:val="af4"/>
        <w:spacing w:before="100" w:beforeAutospacing="1" w:after="100" w:afterAutospacing="1"/>
        <w:ind w:firstLine="461"/>
        <w:rPr>
          <w:rFonts w:ascii="宋体" w:eastAsia="宋体"/>
          <w:color w:val="auto"/>
          <w:sz w:val="24"/>
        </w:rPr>
      </w:pPr>
    </w:p>
    <w:p w14:paraId="15041FB7" w14:textId="77777777" w:rsidR="00D744A5" w:rsidRDefault="000E4967">
      <w:pPr>
        <w:pStyle w:val="1"/>
        <w:spacing w:before="100" w:beforeAutospacing="1" w:after="100" w:afterAutospacing="1" w:line="400" w:lineRule="exact"/>
        <w:ind w:firstLine="422"/>
        <w:rPr>
          <w:rFonts w:ascii="宋体" w:hAnsi="宋体"/>
          <w:sz w:val="24"/>
          <w:szCs w:val="24"/>
        </w:rPr>
      </w:pPr>
      <w:bookmarkStart w:id="15" w:name="_Toc116900106"/>
      <w:r>
        <w:rPr>
          <w:rFonts w:ascii="宋体" w:hAnsi="宋体" w:hint="eastAsia"/>
          <w:sz w:val="24"/>
          <w:szCs w:val="24"/>
        </w:rPr>
        <w:t>十一、基金费用</w:t>
      </w:r>
    </w:p>
    <w:p w14:paraId="5A416C52" w14:textId="77777777" w:rsidR="00D744A5" w:rsidRDefault="000E4967">
      <w:pPr>
        <w:spacing w:before="100" w:beforeAutospacing="1" w:after="100" w:afterAutospacing="1" w:line="400" w:lineRule="exact"/>
        <w:ind w:right="26" w:firstLine="403"/>
        <w:rPr>
          <w:rFonts w:ascii="宋体" w:hAnsi="宋体"/>
          <w:sz w:val="24"/>
        </w:rPr>
      </w:pPr>
      <w:r>
        <w:rPr>
          <w:rFonts w:ascii="宋体" w:hAnsi="宋体" w:hint="eastAsia"/>
          <w:sz w:val="24"/>
        </w:rPr>
        <w:t>（一）基金管理人的管理费</w:t>
      </w:r>
    </w:p>
    <w:p w14:paraId="25FEF459"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本基金根据每笔基金份额的持有期限与持有</w:t>
      </w:r>
      <w:proofErr w:type="gramStart"/>
      <w:r w:rsidRPr="00AE40D4">
        <w:rPr>
          <w:rFonts w:hint="eastAsia"/>
          <w:bCs/>
          <w:kern w:val="2"/>
          <w:sz w:val="24"/>
          <w:szCs w:val="20"/>
          <w14:ligatures w14:val="standardContextual"/>
        </w:rPr>
        <w:t>期间年化收益率</w:t>
      </w:r>
      <w:proofErr w:type="gramEnd"/>
      <w:r w:rsidRPr="00AE40D4">
        <w:rPr>
          <w:rFonts w:hint="eastAsia"/>
          <w:bCs/>
          <w:kern w:val="2"/>
          <w:sz w:val="24"/>
          <w:szCs w:val="20"/>
          <w14:ligatures w14:val="standardContextual"/>
        </w:rPr>
        <w:t>，在赎回、转出基金份额或基金合同终止的情形发生时确定该笔基金份额对应的管理费。当投资者赎回、转出基金份额或基金合同终止的情形发生时，持有期限不足一年（即</w:t>
      </w:r>
      <w:r w:rsidRPr="00AE40D4">
        <w:rPr>
          <w:rFonts w:hint="eastAsia"/>
          <w:bCs/>
          <w:kern w:val="2"/>
          <w:sz w:val="24"/>
          <w:szCs w:val="20"/>
          <w14:ligatures w14:val="standardContextual"/>
        </w:rPr>
        <w:t>365</w:t>
      </w:r>
      <w:r w:rsidRPr="00AE40D4">
        <w:rPr>
          <w:rFonts w:hint="eastAsia"/>
          <w:bCs/>
          <w:kern w:val="2"/>
          <w:sz w:val="24"/>
          <w:szCs w:val="20"/>
          <w14:ligatures w14:val="standardContextual"/>
        </w:rPr>
        <w:t>天，下同），则按</w:t>
      </w:r>
      <w:r w:rsidRPr="00AE40D4">
        <w:rPr>
          <w:rFonts w:hint="eastAsia"/>
          <w:bCs/>
          <w:kern w:val="2"/>
          <w:sz w:val="24"/>
          <w:szCs w:val="20"/>
          <w14:ligatures w14:val="standardContextual"/>
        </w:rPr>
        <w:t>1.20%</w:t>
      </w:r>
      <w:r w:rsidRPr="00AE40D4">
        <w:rPr>
          <w:rFonts w:hint="eastAsia"/>
          <w:bCs/>
          <w:kern w:val="2"/>
          <w:sz w:val="24"/>
          <w:szCs w:val="20"/>
          <w14:ligatures w14:val="standardContextual"/>
        </w:rPr>
        <w:t>年费率收取管理费；持有期限达到一年及以上，则根据持有</w:t>
      </w:r>
      <w:proofErr w:type="gramStart"/>
      <w:r w:rsidRPr="00AE40D4">
        <w:rPr>
          <w:rFonts w:hint="eastAsia"/>
          <w:bCs/>
          <w:kern w:val="2"/>
          <w:sz w:val="24"/>
          <w:szCs w:val="20"/>
          <w14:ligatures w14:val="standardContextual"/>
        </w:rPr>
        <w:t>期间年化收益率</w:t>
      </w:r>
      <w:proofErr w:type="gramEnd"/>
      <w:r w:rsidRPr="00AE40D4">
        <w:rPr>
          <w:rFonts w:hint="eastAsia"/>
          <w:bCs/>
          <w:kern w:val="2"/>
          <w:sz w:val="24"/>
          <w:szCs w:val="20"/>
          <w14:ligatures w14:val="standardContextual"/>
        </w:rPr>
        <w:t>分为以下三种情况，分别确定对应的管理费率档位：</w:t>
      </w:r>
    </w:p>
    <w:p w14:paraId="40F0B7C6"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若持有期间相对业绩比较基准</w:t>
      </w:r>
      <w:proofErr w:type="gramStart"/>
      <w:r w:rsidRPr="00AE40D4">
        <w:rPr>
          <w:rFonts w:hint="eastAsia"/>
          <w:bCs/>
          <w:kern w:val="2"/>
          <w:sz w:val="24"/>
          <w:szCs w:val="20"/>
          <w14:ligatures w14:val="standardContextual"/>
        </w:rPr>
        <w:t>的年化超额</w:t>
      </w:r>
      <w:proofErr w:type="gramEnd"/>
      <w:r w:rsidRPr="00AE40D4">
        <w:rPr>
          <w:rFonts w:hint="eastAsia"/>
          <w:bCs/>
          <w:kern w:val="2"/>
          <w:sz w:val="24"/>
          <w:szCs w:val="20"/>
          <w14:ligatures w14:val="standardContextual"/>
        </w:rPr>
        <w:t>收益率在</w:t>
      </w:r>
      <w:r w:rsidRPr="00AE40D4">
        <w:rPr>
          <w:rFonts w:hint="eastAsia"/>
          <w:bCs/>
          <w:kern w:val="2"/>
          <w:sz w:val="24"/>
          <w:szCs w:val="20"/>
          <w14:ligatures w14:val="standardContextual"/>
        </w:rPr>
        <w:t>-3%</w:t>
      </w:r>
      <w:r w:rsidRPr="00AE40D4">
        <w:rPr>
          <w:rFonts w:hint="eastAsia"/>
          <w:bCs/>
          <w:kern w:val="2"/>
          <w:sz w:val="24"/>
          <w:szCs w:val="20"/>
          <w14:ligatures w14:val="standardContextual"/>
        </w:rPr>
        <w:t>及以下，按</w:t>
      </w:r>
      <w:r w:rsidRPr="00AE40D4">
        <w:rPr>
          <w:rFonts w:hint="eastAsia"/>
          <w:bCs/>
          <w:kern w:val="2"/>
          <w:sz w:val="24"/>
          <w:szCs w:val="20"/>
          <w14:ligatures w14:val="standardContextual"/>
        </w:rPr>
        <w:t>0.60%</w:t>
      </w:r>
      <w:r w:rsidRPr="00AE40D4">
        <w:rPr>
          <w:rFonts w:hint="eastAsia"/>
          <w:bCs/>
          <w:kern w:val="2"/>
          <w:sz w:val="24"/>
          <w:szCs w:val="20"/>
          <w14:ligatures w14:val="standardContextual"/>
        </w:rPr>
        <w:t>年费率确认管理费；若持有期间</w:t>
      </w:r>
      <w:proofErr w:type="gramStart"/>
      <w:r w:rsidRPr="00AE40D4">
        <w:rPr>
          <w:rFonts w:hint="eastAsia"/>
          <w:bCs/>
          <w:kern w:val="2"/>
          <w:sz w:val="24"/>
          <w:szCs w:val="20"/>
          <w14:ligatures w14:val="standardContextual"/>
        </w:rPr>
        <w:t>的年化超额</w:t>
      </w:r>
      <w:proofErr w:type="gramEnd"/>
      <w:r w:rsidRPr="00AE40D4">
        <w:rPr>
          <w:rFonts w:hint="eastAsia"/>
          <w:bCs/>
          <w:kern w:val="2"/>
          <w:sz w:val="24"/>
          <w:szCs w:val="20"/>
          <w14:ligatures w14:val="standardContextual"/>
        </w:rPr>
        <w:t>收益率（扣除超额管理费后）超过</w:t>
      </w:r>
      <w:r w:rsidRPr="00AE40D4">
        <w:rPr>
          <w:rFonts w:hint="eastAsia"/>
          <w:bCs/>
          <w:kern w:val="2"/>
          <w:sz w:val="24"/>
          <w:szCs w:val="20"/>
          <w14:ligatures w14:val="standardContextual"/>
        </w:rPr>
        <w:t>6%</w:t>
      </w:r>
      <w:r w:rsidRPr="00AE40D4">
        <w:rPr>
          <w:rFonts w:hint="eastAsia"/>
          <w:bCs/>
          <w:kern w:val="2"/>
          <w:sz w:val="24"/>
          <w:szCs w:val="20"/>
          <w14:ligatures w14:val="standardContextual"/>
        </w:rPr>
        <w:t>且持有收益率（扣除超额管理费后）为正，按</w:t>
      </w:r>
      <w:r w:rsidRPr="00AE40D4">
        <w:rPr>
          <w:rFonts w:hint="eastAsia"/>
          <w:bCs/>
          <w:kern w:val="2"/>
          <w:sz w:val="24"/>
          <w:szCs w:val="20"/>
          <w14:ligatures w14:val="standardContextual"/>
        </w:rPr>
        <w:t>1.50%</w:t>
      </w:r>
      <w:r w:rsidRPr="00AE40D4">
        <w:rPr>
          <w:rFonts w:hint="eastAsia"/>
          <w:bCs/>
          <w:kern w:val="2"/>
          <w:sz w:val="24"/>
          <w:szCs w:val="20"/>
          <w14:ligatures w14:val="standardContextual"/>
        </w:rPr>
        <w:t>年费率确认管理费；其他情形按</w:t>
      </w:r>
      <w:r w:rsidRPr="00AE40D4">
        <w:rPr>
          <w:rFonts w:hint="eastAsia"/>
          <w:bCs/>
          <w:kern w:val="2"/>
          <w:sz w:val="24"/>
          <w:szCs w:val="20"/>
          <w14:ligatures w14:val="standardContextual"/>
        </w:rPr>
        <w:t>1.20%</w:t>
      </w:r>
      <w:r w:rsidRPr="00AE40D4">
        <w:rPr>
          <w:rFonts w:hint="eastAsia"/>
          <w:bCs/>
          <w:kern w:val="2"/>
          <w:sz w:val="24"/>
          <w:szCs w:val="20"/>
          <w14:ligatures w14:val="standardContextual"/>
        </w:rPr>
        <w:t>年费率确认管理费。</w:t>
      </w:r>
    </w:p>
    <w:tbl>
      <w:tblPr>
        <w:tblStyle w:val="55"/>
        <w:tblW w:w="6658" w:type="dxa"/>
        <w:jc w:val="center"/>
        <w:tblLook w:val="04A0" w:firstRow="1" w:lastRow="0" w:firstColumn="1" w:lastColumn="0" w:noHBand="0" w:noVBand="1"/>
      </w:tblPr>
      <w:tblGrid>
        <w:gridCol w:w="3827"/>
        <w:gridCol w:w="2831"/>
      </w:tblGrid>
      <w:tr w:rsidR="00AE40D4" w:rsidRPr="00AE40D4" w14:paraId="4EED03C3" w14:textId="77777777" w:rsidTr="00880D85">
        <w:trPr>
          <w:trHeight w:val="510"/>
          <w:jc w:val="center"/>
        </w:trPr>
        <w:tc>
          <w:tcPr>
            <w:tcW w:w="3827" w:type="dxa"/>
            <w:vAlign w:val="center"/>
          </w:tcPr>
          <w:p w14:paraId="6DC6FEAB" w14:textId="77777777" w:rsidR="00AE40D4" w:rsidRPr="00AE40D4" w:rsidRDefault="00AE40D4" w:rsidP="00AE40D4">
            <w:pPr>
              <w:spacing w:line="276" w:lineRule="auto"/>
              <w:jc w:val="center"/>
              <w:rPr>
                <w:b/>
                <w:kern w:val="2"/>
                <w:sz w:val="22"/>
                <w:szCs w:val="22"/>
                <w14:ligatures w14:val="standardContextual"/>
              </w:rPr>
            </w:pPr>
            <w:r w:rsidRPr="00AE40D4">
              <w:rPr>
                <w:rFonts w:hint="eastAsia"/>
                <w:b/>
                <w:kern w:val="2"/>
                <w:sz w:val="22"/>
                <w:szCs w:val="22"/>
                <w14:ligatures w14:val="standardContextual"/>
              </w:rPr>
              <w:t>持有</w:t>
            </w:r>
            <w:proofErr w:type="gramStart"/>
            <w:r w:rsidRPr="00AE40D4">
              <w:rPr>
                <w:rFonts w:hint="eastAsia"/>
                <w:b/>
                <w:kern w:val="2"/>
                <w:sz w:val="22"/>
                <w:szCs w:val="22"/>
                <w14:ligatures w14:val="standardContextual"/>
              </w:rPr>
              <w:t>期间年化收益率</w:t>
            </w:r>
            <w:proofErr w:type="gramEnd"/>
            <w:r w:rsidRPr="00AE40D4">
              <w:rPr>
                <w:rFonts w:hint="eastAsia"/>
                <w:b/>
                <w:kern w:val="2"/>
                <w:sz w:val="22"/>
                <w:szCs w:val="22"/>
                <w14:ligatures w14:val="standardContextual"/>
              </w:rPr>
              <w:t>（</w:t>
            </w:r>
            <w:r w:rsidRPr="00AE40D4">
              <w:rPr>
                <w:rFonts w:hint="eastAsia"/>
                <w:b/>
                <w:kern w:val="2"/>
                <w:sz w:val="22"/>
                <w:szCs w:val="22"/>
                <w14:ligatures w14:val="standardContextual"/>
              </w:rPr>
              <w:t>R</w:t>
            </w:r>
            <w:r w:rsidRPr="00AE40D4">
              <w:rPr>
                <w:rFonts w:hint="eastAsia"/>
                <w:b/>
                <w:kern w:val="2"/>
                <w:sz w:val="22"/>
                <w:szCs w:val="22"/>
                <w14:ligatures w14:val="standardContextual"/>
              </w:rPr>
              <w:t>）</w:t>
            </w:r>
          </w:p>
        </w:tc>
        <w:tc>
          <w:tcPr>
            <w:tcW w:w="2831" w:type="dxa"/>
            <w:vAlign w:val="center"/>
          </w:tcPr>
          <w:p w14:paraId="0624DADD" w14:textId="77777777" w:rsidR="00AE40D4" w:rsidRPr="00AE40D4" w:rsidRDefault="00AE40D4" w:rsidP="00AE40D4">
            <w:pPr>
              <w:spacing w:line="276" w:lineRule="auto"/>
              <w:jc w:val="center"/>
              <w:rPr>
                <w:b/>
                <w:kern w:val="2"/>
                <w:sz w:val="22"/>
                <w:szCs w:val="22"/>
                <w14:ligatures w14:val="standardContextual"/>
              </w:rPr>
            </w:pPr>
            <w:r w:rsidRPr="00AE40D4">
              <w:rPr>
                <w:rFonts w:hint="eastAsia"/>
                <w:b/>
                <w:kern w:val="2"/>
                <w:sz w:val="22"/>
                <w:szCs w:val="22"/>
                <w14:ligatures w14:val="standardContextual"/>
              </w:rPr>
              <w:t>管理费率（年费率）</w:t>
            </w:r>
          </w:p>
        </w:tc>
      </w:tr>
      <w:tr w:rsidR="00AE40D4" w:rsidRPr="00AE40D4" w14:paraId="4977A67C" w14:textId="77777777" w:rsidTr="00880D85">
        <w:trPr>
          <w:trHeight w:val="510"/>
          <w:jc w:val="center"/>
        </w:trPr>
        <w:tc>
          <w:tcPr>
            <w:tcW w:w="3827" w:type="dxa"/>
            <w:vAlign w:val="center"/>
          </w:tcPr>
          <w:p w14:paraId="75B62182" w14:textId="77777777" w:rsidR="00AE40D4" w:rsidRPr="00AE40D4" w:rsidRDefault="00AE40D4" w:rsidP="00AE40D4">
            <w:pPr>
              <w:spacing w:line="276" w:lineRule="auto"/>
              <w:jc w:val="center"/>
              <w:rPr>
                <w:bCs/>
                <w:kern w:val="2"/>
                <w:sz w:val="22"/>
                <w:szCs w:val="22"/>
                <w14:ligatures w14:val="standardContextual"/>
              </w:rPr>
            </w:pPr>
            <w:r w:rsidRPr="00AE40D4">
              <w:rPr>
                <w:bCs/>
                <w:kern w:val="2"/>
                <w:sz w:val="22"/>
                <w:szCs w:val="22"/>
              </w:rPr>
              <w:t>R</w:t>
            </w:r>
            <w:r w:rsidRPr="00AE40D4">
              <w:rPr>
                <w:rFonts w:ascii="仿宋" w:eastAsia="仿宋" w:hAnsi="仿宋"/>
                <w:bCs/>
                <w:kern w:val="2"/>
                <w:sz w:val="22"/>
                <w:szCs w:val="22"/>
              </w:rPr>
              <w:t>≤</w:t>
            </w:r>
            <w:r w:rsidRPr="00AE40D4">
              <w:rPr>
                <w:bCs/>
                <w:kern w:val="2"/>
                <w:sz w:val="22"/>
                <w:szCs w:val="22"/>
              </w:rPr>
              <w:t>R</w:t>
            </w:r>
            <w:r w:rsidRPr="00AE40D4">
              <w:rPr>
                <w:rFonts w:ascii="Cambria" w:hAnsi="Cambria"/>
                <w:spacing w:val="-2"/>
                <w:kern w:val="2"/>
                <w:sz w:val="22"/>
                <w:szCs w:val="22"/>
                <w:vertAlign w:val="subscript"/>
              </w:rPr>
              <w:t>b</w:t>
            </w:r>
            <w:r w:rsidRPr="00AE40D4">
              <w:rPr>
                <w:bCs/>
                <w:kern w:val="2"/>
                <w:sz w:val="22"/>
                <w:szCs w:val="22"/>
              </w:rPr>
              <w:t>-3%</w:t>
            </w:r>
          </w:p>
        </w:tc>
        <w:tc>
          <w:tcPr>
            <w:tcW w:w="2831" w:type="dxa"/>
            <w:vAlign w:val="center"/>
          </w:tcPr>
          <w:p w14:paraId="673077FA" w14:textId="77777777" w:rsidR="00AE40D4" w:rsidRPr="00AE40D4" w:rsidRDefault="00AE40D4" w:rsidP="00AE40D4">
            <w:pPr>
              <w:spacing w:line="276" w:lineRule="auto"/>
              <w:jc w:val="center"/>
              <w:rPr>
                <w:rFonts w:ascii="Cambria" w:eastAsia="仿宋" w:hAnsi="Cambria"/>
                <w:sz w:val="22"/>
                <w:szCs w:val="22"/>
                <w14:ligatures w14:val="standardContextual"/>
              </w:rPr>
            </w:pPr>
            <w:r w:rsidRPr="00AE40D4">
              <w:rPr>
                <w:rFonts w:ascii="Cambria" w:eastAsia="仿宋" w:hAnsi="Cambria"/>
                <w:sz w:val="22"/>
                <w:szCs w:val="22"/>
                <w14:ligatures w14:val="standardContextual"/>
              </w:rPr>
              <w:t>0.60%/</w:t>
            </w:r>
            <w:r w:rsidRPr="00AE40D4">
              <w:rPr>
                <w:rFonts w:ascii="宋体" w:hAnsi="宋体"/>
                <w:bCs/>
                <w:sz w:val="22"/>
                <w:szCs w:val="22"/>
                <w14:ligatures w14:val="standardContextual"/>
              </w:rPr>
              <w:t>年</w:t>
            </w:r>
          </w:p>
        </w:tc>
      </w:tr>
      <w:tr w:rsidR="00AE40D4" w:rsidRPr="00AE40D4" w14:paraId="4FA2267E" w14:textId="77777777" w:rsidTr="00880D85">
        <w:trPr>
          <w:trHeight w:val="510"/>
          <w:jc w:val="center"/>
        </w:trPr>
        <w:tc>
          <w:tcPr>
            <w:tcW w:w="3827" w:type="dxa"/>
            <w:vAlign w:val="center"/>
          </w:tcPr>
          <w:p w14:paraId="0E3AB5C5" w14:textId="77777777" w:rsidR="00AE40D4" w:rsidRPr="00AE40D4" w:rsidRDefault="00AE40D4" w:rsidP="00AE40D4">
            <w:pPr>
              <w:spacing w:line="276" w:lineRule="auto"/>
              <w:jc w:val="center"/>
              <w:rPr>
                <w:bCs/>
                <w:kern w:val="2"/>
                <w:sz w:val="22"/>
                <w:szCs w:val="22"/>
                <w14:ligatures w14:val="standardContextual"/>
              </w:rPr>
            </w:pPr>
            <w:r w:rsidRPr="00AE40D4">
              <w:rPr>
                <w:bCs/>
                <w:kern w:val="2"/>
                <w:sz w:val="22"/>
                <w:szCs w:val="22"/>
                <w14:ligatures w14:val="standardContextual"/>
              </w:rPr>
              <w:t>其他情形</w:t>
            </w:r>
          </w:p>
        </w:tc>
        <w:tc>
          <w:tcPr>
            <w:tcW w:w="2831" w:type="dxa"/>
            <w:vAlign w:val="center"/>
          </w:tcPr>
          <w:p w14:paraId="7D5C0E6B" w14:textId="77777777" w:rsidR="00AE40D4" w:rsidRPr="00AE40D4" w:rsidRDefault="00AE40D4" w:rsidP="00AE40D4">
            <w:pPr>
              <w:spacing w:line="276" w:lineRule="auto"/>
              <w:jc w:val="center"/>
              <w:rPr>
                <w:rFonts w:ascii="Cambria" w:eastAsia="仿宋" w:hAnsi="Cambria"/>
                <w:sz w:val="22"/>
                <w:szCs w:val="22"/>
                <w14:ligatures w14:val="standardContextual"/>
              </w:rPr>
            </w:pPr>
            <w:r w:rsidRPr="00AE40D4">
              <w:rPr>
                <w:rFonts w:ascii="Cambria" w:eastAsia="仿宋" w:hAnsi="Cambria"/>
                <w:sz w:val="22"/>
                <w:szCs w:val="22"/>
                <w14:ligatures w14:val="standardContextual"/>
              </w:rPr>
              <w:t>1.20%/</w:t>
            </w:r>
            <w:r w:rsidRPr="00AE40D4">
              <w:rPr>
                <w:rFonts w:ascii="宋体" w:hAnsi="宋体"/>
                <w:bCs/>
                <w:sz w:val="22"/>
                <w:szCs w:val="22"/>
                <w14:ligatures w14:val="standardContextual"/>
              </w:rPr>
              <w:t>年</w:t>
            </w:r>
          </w:p>
        </w:tc>
      </w:tr>
      <w:tr w:rsidR="00AE40D4" w:rsidRPr="00AE40D4" w14:paraId="305786D4" w14:textId="77777777" w:rsidTr="00880D85">
        <w:trPr>
          <w:trHeight w:val="510"/>
          <w:jc w:val="center"/>
        </w:trPr>
        <w:tc>
          <w:tcPr>
            <w:tcW w:w="3827" w:type="dxa"/>
            <w:vAlign w:val="center"/>
          </w:tcPr>
          <w:p w14:paraId="1AAB80EC" w14:textId="77777777" w:rsidR="00AE40D4" w:rsidRPr="00AE40D4" w:rsidRDefault="00AE40D4" w:rsidP="00AE40D4">
            <w:pPr>
              <w:spacing w:line="276" w:lineRule="auto"/>
              <w:jc w:val="center"/>
              <w:rPr>
                <w:bCs/>
                <w:kern w:val="2"/>
                <w:sz w:val="22"/>
                <w:szCs w:val="22"/>
                <w14:ligatures w14:val="standardContextual"/>
              </w:rPr>
            </w:pPr>
            <w:r w:rsidRPr="00AE40D4">
              <w:rPr>
                <w:bCs/>
                <w:kern w:val="2"/>
                <w:sz w:val="22"/>
                <w:szCs w:val="22"/>
              </w:rPr>
              <w:t>R</w:t>
            </w:r>
            <w:r w:rsidRPr="00AE40D4">
              <w:rPr>
                <w:rFonts w:ascii="仿宋" w:eastAsia="仿宋" w:hAnsi="仿宋"/>
                <w:bCs/>
                <w:kern w:val="2"/>
                <w:sz w:val="22"/>
                <w:szCs w:val="22"/>
              </w:rPr>
              <w:t>＞</w:t>
            </w:r>
            <w:r w:rsidRPr="00AE40D4">
              <w:rPr>
                <w:bCs/>
                <w:kern w:val="2"/>
                <w:sz w:val="22"/>
                <w:szCs w:val="22"/>
              </w:rPr>
              <w:t>R</w:t>
            </w:r>
            <w:r w:rsidRPr="00AE40D4">
              <w:rPr>
                <w:rFonts w:ascii="Cambria" w:hAnsi="Cambria"/>
                <w:spacing w:val="-2"/>
                <w:kern w:val="2"/>
                <w:sz w:val="22"/>
                <w:szCs w:val="22"/>
                <w:vertAlign w:val="subscript"/>
              </w:rPr>
              <w:t>b</w:t>
            </w:r>
            <w:r w:rsidRPr="00AE40D4">
              <w:rPr>
                <w:bCs/>
                <w:kern w:val="2"/>
                <w:sz w:val="22"/>
                <w:szCs w:val="22"/>
              </w:rPr>
              <w:t>+6%</w:t>
            </w:r>
            <w:r w:rsidRPr="00AE40D4">
              <w:rPr>
                <w:bCs/>
                <w:kern w:val="2"/>
                <w:sz w:val="22"/>
                <w:szCs w:val="22"/>
              </w:rPr>
              <w:t>，</w:t>
            </w:r>
            <w:r w:rsidRPr="00AE40D4">
              <w:rPr>
                <w:bCs/>
                <w:kern w:val="2"/>
                <w:sz w:val="22"/>
                <w:szCs w:val="22"/>
              </w:rPr>
              <w:t>R</w:t>
            </w:r>
            <w:r w:rsidRPr="00AE40D4">
              <w:rPr>
                <w:rFonts w:ascii="仿宋" w:eastAsia="仿宋" w:hAnsi="仿宋"/>
                <w:bCs/>
                <w:kern w:val="2"/>
                <w:sz w:val="22"/>
                <w:szCs w:val="22"/>
              </w:rPr>
              <w:t>＞</w:t>
            </w:r>
            <w:r w:rsidRPr="00AE40D4">
              <w:rPr>
                <w:bCs/>
                <w:kern w:val="2"/>
                <w:sz w:val="22"/>
                <w:szCs w:val="22"/>
              </w:rPr>
              <w:t>0</w:t>
            </w:r>
          </w:p>
        </w:tc>
        <w:tc>
          <w:tcPr>
            <w:tcW w:w="2831" w:type="dxa"/>
            <w:vAlign w:val="center"/>
          </w:tcPr>
          <w:p w14:paraId="407DACB6" w14:textId="77777777" w:rsidR="00AE40D4" w:rsidRPr="00AE40D4" w:rsidRDefault="00AE40D4" w:rsidP="00AE40D4">
            <w:pPr>
              <w:spacing w:line="276" w:lineRule="auto"/>
              <w:jc w:val="center"/>
              <w:rPr>
                <w:rFonts w:ascii="Cambria" w:eastAsia="仿宋" w:hAnsi="Cambria"/>
                <w:sz w:val="22"/>
                <w:szCs w:val="22"/>
                <w14:ligatures w14:val="standardContextual"/>
              </w:rPr>
            </w:pPr>
            <w:r w:rsidRPr="00AE40D4">
              <w:rPr>
                <w:rFonts w:ascii="Cambria" w:eastAsia="仿宋" w:hAnsi="Cambria"/>
                <w:sz w:val="22"/>
                <w:szCs w:val="22"/>
                <w14:ligatures w14:val="standardContextual"/>
              </w:rPr>
              <w:t>1.50%/</w:t>
            </w:r>
            <w:r w:rsidRPr="00AE40D4">
              <w:rPr>
                <w:rFonts w:ascii="宋体" w:hAnsi="宋体"/>
                <w:bCs/>
                <w:sz w:val="22"/>
                <w:szCs w:val="22"/>
                <w14:ligatures w14:val="standardContextual"/>
              </w:rPr>
              <w:t>年</w:t>
            </w:r>
          </w:p>
        </w:tc>
      </w:tr>
    </w:tbl>
    <w:p w14:paraId="28DC3C26"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rPr>
          <w:bCs/>
          <w:kern w:val="2"/>
          <w:szCs w:val="21"/>
          <w14:ligatures w14:val="standardContextual"/>
        </w:rPr>
      </w:pPr>
      <w:r w:rsidRPr="00AE40D4">
        <w:rPr>
          <w:rFonts w:hint="eastAsia"/>
          <w:bCs/>
          <w:kern w:val="2"/>
          <w:szCs w:val="21"/>
          <w14:ligatures w14:val="standardContextual"/>
        </w:rPr>
        <w:t>注：①</w:t>
      </w:r>
      <w:r w:rsidRPr="00AE40D4">
        <w:rPr>
          <w:bCs/>
          <w:kern w:val="2"/>
          <w:szCs w:val="21"/>
          <w14:ligatures w14:val="standardContextual"/>
        </w:rPr>
        <w:t>R</w:t>
      </w:r>
      <w:r w:rsidRPr="00AE40D4">
        <w:rPr>
          <w:rFonts w:hint="eastAsia"/>
          <w:bCs/>
          <w:kern w:val="2"/>
          <w:szCs w:val="21"/>
          <w14:ligatures w14:val="standardContextual"/>
        </w:rPr>
        <w:t>为该笔基金份额</w:t>
      </w:r>
      <w:proofErr w:type="gramStart"/>
      <w:r w:rsidRPr="00AE40D4">
        <w:rPr>
          <w:rFonts w:hint="eastAsia"/>
          <w:bCs/>
          <w:kern w:val="2"/>
          <w:szCs w:val="21"/>
          <w14:ligatures w14:val="standardContextual"/>
        </w:rPr>
        <w:t>的年化收益率</w:t>
      </w:r>
      <w:proofErr w:type="gramEnd"/>
      <w:r w:rsidRPr="00AE40D4">
        <w:rPr>
          <w:rFonts w:hint="eastAsia"/>
          <w:bCs/>
          <w:kern w:val="2"/>
          <w:szCs w:val="21"/>
          <w14:ligatures w14:val="standardContextual"/>
        </w:rPr>
        <w:t>，</w:t>
      </w:r>
      <w:proofErr w:type="spellStart"/>
      <w:r w:rsidRPr="00AE40D4">
        <w:rPr>
          <w:bCs/>
          <w:kern w:val="2"/>
          <w:szCs w:val="21"/>
          <w14:ligatures w14:val="standardContextual"/>
        </w:rPr>
        <w:t>R</w:t>
      </w:r>
      <w:r w:rsidRPr="00AE40D4">
        <w:rPr>
          <w:bCs/>
          <w:kern w:val="2"/>
          <w:szCs w:val="21"/>
          <w:vertAlign w:val="subscript"/>
          <w14:ligatures w14:val="standardContextual"/>
        </w:rPr>
        <w:t>b</w:t>
      </w:r>
      <w:proofErr w:type="spellEnd"/>
      <w:r w:rsidRPr="00AE40D4">
        <w:rPr>
          <w:rFonts w:hint="eastAsia"/>
          <w:bCs/>
          <w:kern w:val="2"/>
          <w:szCs w:val="21"/>
          <w14:ligatures w14:val="standardContextual"/>
        </w:rPr>
        <w:t>为本基金业绩比较基准</w:t>
      </w:r>
      <w:proofErr w:type="gramStart"/>
      <w:r w:rsidRPr="00AE40D4">
        <w:rPr>
          <w:rFonts w:hint="eastAsia"/>
          <w:bCs/>
          <w:kern w:val="2"/>
          <w:szCs w:val="21"/>
          <w14:ligatures w14:val="standardContextual"/>
        </w:rPr>
        <w:t>同期年化</w:t>
      </w:r>
      <w:proofErr w:type="gramEnd"/>
      <w:r w:rsidRPr="00AE40D4">
        <w:rPr>
          <w:rFonts w:hint="eastAsia"/>
          <w:bCs/>
          <w:kern w:val="2"/>
          <w:szCs w:val="21"/>
          <w14:ligatures w14:val="standardContextual"/>
        </w:rPr>
        <w:t>收益率。</w:t>
      </w:r>
    </w:p>
    <w:p w14:paraId="23FC3C12"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rPr>
          <w:bCs/>
          <w:kern w:val="2"/>
          <w:szCs w:val="21"/>
          <w14:ligatures w14:val="standardContextual"/>
        </w:rPr>
      </w:pPr>
      <w:r w:rsidRPr="00AE40D4">
        <w:rPr>
          <w:rFonts w:hint="eastAsia"/>
          <w:bCs/>
          <w:kern w:val="2"/>
          <w:szCs w:val="21"/>
          <w14:ligatures w14:val="standardContextual"/>
        </w:rPr>
        <w:t>②特别的，当持有期限达到一年及以上，</w:t>
      </w:r>
      <w:r w:rsidRPr="00AE40D4">
        <w:rPr>
          <w:bCs/>
          <w:kern w:val="2"/>
          <w:szCs w:val="21"/>
          <w14:ligatures w14:val="standardContextual"/>
        </w:rPr>
        <w:t>R</w:t>
      </w:r>
      <w:r w:rsidRPr="00AE40D4">
        <w:rPr>
          <w:rFonts w:hint="eastAsia"/>
          <w:bCs/>
          <w:kern w:val="2"/>
          <w:szCs w:val="21"/>
          <w14:ligatures w14:val="standardContextual"/>
        </w:rPr>
        <w:t>＞</w:t>
      </w:r>
      <w:r w:rsidRPr="00AE40D4">
        <w:rPr>
          <w:bCs/>
          <w:kern w:val="2"/>
          <w:szCs w:val="21"/>
          <w14:ligatures w14:val="standardContextual"/>
        </w:rPr>
        <w:t>R</w:t>
      </w:r>
      <w:r w:rsidRPr="00AE40D4">
        <w:rPr>
          <w:bCs/>
          <w:kern w:val="2"/>
          <w:szCs w:val="21"/>
          <w:vertAlign w:val="subscript"/>
          <w14:ligatures w14:val="standardContextual"/>
        </w:rPr>
        <w:t>b</w:t>
      </w:r>
      <w:r w:rsidRPr="00AE40D4">
        <w:rPr>
          <w:bCs/>
          <w:kern w:val="2"/>
          <w:szCs w:val="21"/>
          <w14:ligatures w14:val="standardContextual"/>
        </w:rPr>
        <w:t>+6%</w:t>
      </w:r>
      <w:r w:rsidRPr="00AE40D4">
        <w:rPr>
          <w:rFonts w:hint="eastAsia"/>
          <w:bCs/>
          <w:kern w:val="2"/>
          <w:szCs w:val="21"/>
          <w14:ligatures w14:val="standardContextual"/>
        </w:rPr>
        <w:t>且</w:t>
      </w:r>
      <w:r w:rsidRPr="00AE40D4">
        <w:rPr>
          <w:bCs/>
          <w:kern w:val="2"/>
          <w:szCs w:val="21"/>
          <w14:ligatures w14:val="standardContextual"/>
        </w:rPr>
        <w:t>R</w:t>
      </w:r>
      <w:r w:rsidRPr="00AE40D4">
        <w:rPr>
          <w:rFonts w:hint="eastAsia"/>
          <w:bCs/>
          <w:kern w:val="2"/>
          <w:szCs w:val="21"/>
          <w14:ligatures w14:val="standardContextual"/>
        </w:rPr>
        <w:t>＞</w:t>
      </w:r>
      <w:r w:rsidRPr="00AE40D4">
        <w:rPr>
          <w:bCs/>
          <w:kern w:val="2"/>
          <w:szCs w:val="21"/>
          <w14:ligatures w14:val="standardContextual"/>
        </w:rPr>
        <w:t>0</w:t>
      </w:r>
      <w:r w:rsidRPr="00AE40D4">
        <w:rPr>
          <w:rFonts w:hint="eastAsia"/>
          <w:bCs/>
          <w:kern w:val="2"/>
          <w:szCs w:val="21"/>
          <w14:ligatures w14:val="standardContextual"/>
        </w:rPr>
        <w:t>的情形下，</w:t>
      </w:r>
      <w:proofErr w:type="gramStart"/>
      <w:r w:rsidRPr="00AE40D4">
        <w:rPr>
          <w:rFonts w:hint="eastAsia"/>
          <w:bCs/>
          <w:kern w:val="2"/>
          <w:szCs w:val="21"/>
          <w14:ligatures w14:val="standardContextual"/>
        </w:rPr>
        <w:t>若拟扣除</w:t>
      </w:r>
      <w:proofErr w:type="gramEnd"/>
      <w:r w:rsidRPr="00AE40D4">
        <w:rPr>
          <w:rFonts w:hint="eastAsia"/>
          <w:bCs/>
          <w:kern w:val="2"/>
          <w:szCs w:val="21"/>
          <w14:ligatures w14:val="standardContextual"/>
        </w:rPr>
        <w:t>超额管理费后</w:t>
      </w:r>
      <w:proofErr w:type="gramStart"/>
      <w:r w:rsidRPr="00AE40D4">
        <w:rPr>
          <w:rFonts w:hint="eastAsia"/>
          <w:bCs/>
          <w:kern w:val="2"/>
          <w:szCs w:val="21"/>
          <w14:ligatures w14:val="standardContextual"/>
        </w:rPr>
        <w:t>的年化收益率</w:t>
      </w:r>
      <w:proofErr w:type="gramEnd"/>
      <w:r w:rsidRPr="00AE40D4">
        <w:rPr>
          <w:rFonts w:hint="eastAsia"/>
          <w:bCs/>
          <w:kern w:val="2"/>
          <w:szCs w:val="21"/>
          <w14:ligatures w14:val="standardContextual"/>
        </w:rPr>
        <w:t>小于等于</w:t>
      </w:r>
      <w:r w:rsidRPr="00AE40D4">
        <w:rPr>
          <w:bCs/>
          <w:kern w:val="2"/>
          <w:szCs w:val="21"/>
          <w14:ligatures w14:val="standardContextual"/>
        </w:rPr>
        <w:t>R</w:t>
      </w:r>
      <w:r w:rsidRPr="00AE40D4">
        <w:rPr>
          <w:bCs/>
          <w:kern w:val="2"/>
          <w:szCs w:val="21"/>
          <w:vertAlign w:val="subscript"/>
          <w14:ligatures w14:val="standardContextual"/>
        </w:rPr>
        <w:t>b</w:t>
      </w:r>
      <w:r w:rsidRPr="00AE40D4">
        <w:rPr>
          <w:bCs/>
          <w:kern w:val="2"/>
          <w:szCs w:val="21"/>
          <w14:ligatures w14:val="standardContextual"/>
        </w:rPr>
        <w:t>+6%</w:t>
      </w:r>
      <w:r w:rsidRPr="00AE40D4">
        <w:rPr>
          <w:rFonts w:hint="eastAsia"/>
          <w:bCs/>
          <w:kern w:val="2"/>
          <w:szCs w:val="21"/>
          <w14:ligatures w14:val="standardContextual"/>
        </w:rPr>
        <w:t>，或小于等于</w:t>
      </w:r>
      <w:r w:rsidRPr="00AE40D4">
        <w:rPr>
          <w:bCs/>
          <w:kern w:val="2"/>
          <w:szCs w:val="21"/>
          <w14:ligatures w14:val="standardContextual"/>
        </w:rPr>
        <w:t>0</w:t>
      </w:r>
      <w:r w:rsidRPr="00AE40D4">
        <w:rPr>
          <w:rFonts w:hint="eastAsia"/>
          <w:bCs/>
          <w:kern w:val="2"/>
          <w:szCs w:val="21"/>
          <w14:ligatures w14:val="standardContextual"/>
        </w:rPr>
        <w:t>时，仍按</w:t>
      </w:r>
      <w:r w:rsidRPr="00AE40D4">
        <w:rPr>
          <w:bCs/>
          <w:kern w:val="2"/>
          <w:szCs w:val="21"/>
          <w14:ligatures w14:val="standardContextual"/>
        </w:rPr>
        <w:t>1.20%</w:t>
      </w:r>
      <w:r w:rsidRPr="00AE40D4">
        <w:rPr>
          <w:rFonts w:hint="eastAsia"/>
          <w:bCs/>
          <w:kern w:val="2"/>
          <w:szCs w:val="21"/>
          <w14:ligatures w14:val="standardContextual"/>
        </w:rPr>
        <w:t>年费率收取该笔基金份额的管理费，以使得该笔基金份额在扣除超额管理费后</w:t>
      </w:r>
      <w:proofErr w:type="gramStart"/>
      <w:r w:rsidRPr="00AE40D4">
        <w:rPr>
          <w:rFonts w:hint="eastAsia"/>
          <w:bCs/>
          <w:kern w:val="2"/>
          <w:szCs w:val="21"/>
          <w14:ligatures w14:val="standardContextual"/>
        </w:rPr>
        <w:t>的年化收益率</w:t>
      </w:r>
      <w:proofErr w:type="gramEnd"/>
      <w:r w:rsidRPr="00AE40D4">
        <w:rPr>
          <w:rFonts w:hint="eastAsia"/>
          <w:bCs/>
          <w:kern w:val="2"/>
          <w:szCs w:val="21"/>
          <w14:ligatures w14:val="standardContextual"/>
        </w:rPr>
        <w:t>仍需满足本基金收取</w:t>
      </w:r>
      <w:r w:rsidRPr="00AE40D4">
        <w:rPr>
          <w:rFonts w:hint="eastAsia"/>
          <w:bCs/>
          <w:kern w:val="2"/>
          <w:szCs w:val="21"/>
          <w14:ligatures w14:val="standardContextual"/>
        </w:rPr>
        <w:lastRenderedPageBreak/>
        <w:t>超额管理费的标准。</w:t>
      </w:r>
    </w:p>
    <w:p w14:paraId="1E995635"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rPr>
          <w:bCs/>
          <w:kern w:val="2"/>
          <w:sz w:val="24"/>
          <w:szCs w:val="20"/>
          <w14:ligatures w14:val="standardContextual"/>
        </w:rPr>
      </w:pPr>
    </w:p>
    <w:p w14:paraId="7B8CF6A8"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具体而言，本基金的管理费包含固定管理费、或有管理费和超额管理费，按以下方式计算和确认。</w:t>
      </w:r>
    </w:p>
    <w:p w14:paraId="69DF8F34"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（1）固定管理费</w:t>
      </w:r>
    </w:p>
    <w:p w14:paraId="4085A79D"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固定管理费按前一日基金资产净值的0.60%年费率每日计提。固定管理费的计算方法如下：</w:t>
      </w:r>
    </w:p>
    <w:p w14:paraId="627C1730"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hint="eastAsia"/>
          <w:bCs/>
          <w:kern w:val="2"/>
          <w:sz w:val="24"/>
          <w:szCs w:val="20"/>
          <w14:ligatures w14:val="standardContextual"/>
        </w:rPr>
        <w:t>H</w:t>
      </w:r>
      <w:r w:rsidRPr="00AE40D4">
        <w:rPr>
          <w:rFonts w:hint="eastAsia"/>
          <w:bCs/>
          <w:kern w:val="2"/>
          <w:sz w:val="24"/>
          <w:szCs w:val="20"/>
          <w:vertAlign w:val="subscript"/>
          <w14:ligatures w14:val="standardContextual"/>
        </w:rPr>
        <w:t>1</w:t>
      </w:r>
      <w:r w:rsidRPr="00AE40D4">
        <w:rPr>
          <w:rFonts w:ascii="宋体" w:hAnsi="宋体" w:hint="eastAsia"/>
          <w:kern w:val="2"/>
          <w:sz w:val="24"/>
        </w:rPr>
        <w:t>＝E×0.60%÷当年天数</w:t>
      </w:r>
    </w:p>
    <w:p w14:paraId="4D926E85"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hint="eastAsia"/>
          <w:bCs/>
          <w:kern w:val="2"/>
          <w:sz w:val="24"/>
          <w:szCs w:val="20"/>
          <w14:ligatures w14:val="standardContextual"/>
        </w:rPr>
        <w:t>H</w:t>
      </w:r>
      <w:r w:rsidRPr="00AE40D4">
        <w:rPr>
          <w:rFonts w:hint="eastAsia"/>
          <w:bCs/>
          <w:kern w:val="2"/>
          <w:sz w:val="24"/>
          <w:szCs w:val="20"/>
          <w:vertAlign w:val="subscript"/>
          <w14:ligatures w14:val="standardContextual"/>
        </w:rPr>
        <w:t>1</w:t>
      </w:r>
      <w:r w:rsidRPr="00AE40D4">
        <w:rPr>
          <w:rFonts w:ascii="宋体" w:hAnsi="宋体"/>
          <w:kern w:val="2"/>
          <w:sz w:val="24"/>
        </w:rPr>
        <w:t>为每日应计提的固定管理费</w:t>
      </w:r>
    </w:p>
    <w:p w14:paraId="05A6B53E"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E为前一日的基金资产净值</w:t>
      </w:r>
    </w:p>
    <w:p w14:paraId="6783C597"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固定管理费每日计提，逐日累计至每个月月末，按月支付。由基金托管人根据与基金管理人核对一致的财务数据，自动在次月初五</w:t>
      </w:r>
      <w:proofErr w:type="gramStart"/>
      <w:r w:rsidRPr="00AE40D4">
        <w:rPr>
          <w:rFonts w:ascii="宋体" w:hAnsi="宋体" w:hint="eastAsia"/>
          <w:kern w:val="2"/>
          <w:sz w:val="24"/>
        </w:rPr>
        <w:t>个</w:t>
      </w:r>
      <w:proofErr w:type="gramEnd"/>
      <w:r w:rsidRPr="00AE40D4">
        <w:rPr>
          <w:rFonts w:ascii="宋体" w:hAnsi="宋体" w:hint="eastAsia"/>
          <w:kern w:val="2"/>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540294B"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（2）或有管理费</w:t>
      </w:r>
      <w:r w:rsidRPr="00AE40D4">
        <w:rPr>
          <w:rFonts w:ascii="宋体" w:hAnsi="宋体"/>
          <w:kern w:val="2"/>
          <w:sz w:val="24"/>
        </w:rPr>
        <w:t>和超额管理费</w:t>
      </w:r>
    </w:p>
    <w:p w14:paraId="497CEA40"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或有管理费按前一日基金资产净值的0.60%年费率每日计提。</w:t>
      </w:r>
      <w:r w:rsidRPr="00AE40D4">
        <w:rPr>
          <w:rFonts w:hint="eastAsia"/>
          <w:bCs/>
          <w:kern w:val="2"/>
          <w:sz w:val="24"/>
          <w:szCs w:val="20"/>
          <w14:ligatures w14:val="standardContextual"/>
        </w:rPr>
        <w:t>或有管理费的</w:t>
      </w:r>
      <w:r w:rsidRPr="00AE40D4">
        <w:rPr>
          <w:rFonts w:ascii="宋体" w:hAnsi="宋体" w:hint="eastAsia"/>
          <w:kern w:val="2"/>
          <w:sz w:val="24"/>
        </w:rPr>
        <w:t>计算方法如下：</w:t>
      </w:r>
    </w:p>
    <w:p w14:paraId="58338871"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hint="eastAsia"/>
          <w:bCs/>
          <w:kern w:val="2"/>
          <w:sz w:val="24"/>
          <w:szCs w:val="20"/>
          <w14:ligatures w14:val="standardContextual"/>
        </w:rPr>
        <w:t>H</w:t>
      </w:r>
      <w:r w:rsidRPr="00AE40D4">
        <w:rPr>
          <w:rFonts w:hint="eastAsia"/>
          <w:bCs/>
          <w:kern w:val="2"/>
          <w:sz w:val="24"/>
          <w:szCs w:val="20"/>
          <w:vertAlign w:val="subscript"/>
          <w14:ligatures w14:val="standardContextual"/>
        </w:rPr>
        <w:t>2</w:t>
      </w:r>
      <w:r w:rsidRPr="00AE40D4">
        <w:rPr>
          <w:rFonts w:ascii="宋体" w:hAnsi="宋体" w:hint="eastAsia"/>
          <w:kern w:val="2"/>
          <w:sz w:val="24"/>
        </w:rPr>
        <w:t>＝E×0.60%÷当年天数</w:t>
      </w:r>
    </w:p>
    <w:p w14:paraId="4C06462B"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hint="eastAsia"/>
          <w:bCs/>
          <w:kern w:val="2"/>
          <w:sz w:val="24"/>
          <w:szCs w:val="20"/>
          <w14:ligatures w14:val="standardContextual"/>
        </w:rPr>
        <w:t>H</w:t>
      </w:r>
      <w:r w:rsidRPr="00AE40D4">
        <w:rPr>
          <w:rFonts w:hint="eastAsia"/>
          <w:bCs/>
          <w:kern w:val="2"/>
          <w:sz w:val="24"/>
          <w:szCs w:val="20"/>
          <w:vertAlign w:val="subscript"/>
          <w14:ligatures w14:val="standardContextual"/>
        </w:rPr>
        <w:t>2</w:t>
      </w:r>
      <w:r w:rsidRPr="00AE40D4">
        <w:rPr>
          <w:rFonts w:ascii="宋体" w:hAnsi="宋体" w:hint="eastAsia"/>
          <w:kern w:val="2"/>
          <w:sz w:val="24"/>
        </w:rPr>
        <w:t>为每日应计提的或有管理费</w:t>
      </w:r>
    </w:p>
    <w:p w14:paraId="27BEC7C6"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E为前一日的基金资产净值</w:t>
      </w:r>
    </w:p>
    <w:p w14:paraId="5D02BCD6"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投资者赎回、转出基金份额或基金合同终止的情形发生时，若该笔基金份额持有天数达到或超过</w:t>
      </w:r>
      <w:r w:rsidRPr="00AE40D4">
        <w:rPr>
          <w:rFonts w:hint="eastAsia"/>
          <w:bCs/>
          <w:kern w:val="2"/>
          <w:sz w:val="24"/>
          <w:szCs w:val="20"/>
          <w14:ligatures w14:val="standardContextual"/>
        </w:rPr>
        <w:t>365</w:t>
      </w:r>
      <w:r w:rsidRPr="00AE40D4">
        <w:rPr>
          <w:rFonts w:hint="eastAsia"/>
          <w:bCs/>
          <w:kern w:val="2"/>
          <w:sz w:val="24"/>
          <w:szCs w:val="20"/>
          <w14:ligatures w14:val="standardContextual"/>
        </w:rPr>
        <w:t>天，且该笔基金份额的持有收益率</w:t>
      </w:r>
      <w:r w:rsidRPr="00AE40D4">
        <w:rPr>
          <w:rFonts w:hint="eastAsia"/>
          <w:bCs/>
          <w:kern w:val="2"/>
          <w:sz w:val="24"/>
          <w:szCs w:val="20"/>
          <w14:ligatures w14:val="standardContextual"/>
        </w:rPr>
        <w:t>R</w:t>
      </w:r>
      <w:r w:rsidRPr="00AE40D4">
        <w:rPr>
          <w:rFonts w:hint="eastAsia"/>
          <w:bCs/>
          <w:kern w:val="2"/>
          <w:sz w:val="24"/>
          <w:szCs w:val="20"/>
          <w14:ligatures w14:val="standardContextual"/>
        </w:rPr>
        <w:t>符合下表“情形一”的收取情形，或有管理费为</w:t>
      </w:r>
      <w:r w:rsidRPr="00AE40D4">
        <w:rPr>
          <w:rFonts w:hint="eastAsia"/>
          <w:bCs/>
          <w:kern w:val="2"/>
          <w:sz w:val="24"/>
          <w:szCs w:val="20"/>
          <w14:ligatures w14:val="standardContextual"/>
        </w:rPr>
        <w:t>0</w:t>
      </w:r>
      <w:r w:rsidRPr="00AE40D4">
        <w:rPr>
          <w:rFonts w:hint="eastAsia"/>
          <w:bCs/>
          <w:kern w:val="2"/>
          <w:sz w:val="24"/>
          <w:szCs w:val="20"/>
          <w14:ligatures w14:val="standardContextual"/>
        </w:rPr>
        <w:t>，则该笔基金份额持有期内计提的或有管理费将全额随赎回款（或清算款）一并返还给投资者；在其他情形下，该笔基金份额持有期内计提的或有管理费应确认为应由管理人收取的管理费。</w:t>
      </w:r>
    </w:p>
    <w:p w14:paraId="06CEA990" w14:textId="77777777" w:rsidR="00A46DB2" w:rsidRPr="00A46DB2" w:rsidRDefault="00A46DB2" w:rsidP="00A46DB2">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bCs/>
          <w:kern w:val="2"/>
          <w:sz w:val="24"/>
          <w:szCs w:val="20"/>
          <w14:ligatures w14:val="standardContextual"/>
        </w:rPr>
      </w:pPr>
      <w:r w:rsidRPr="00A46DB2">
        <w:rPr>
          <w:rFonts w:hint="eastAsia"/>
          <w:bCs/>
          <w:kern w:val="2"/>
          <w:sz w:val="24"/>
          <w:szCs w:val="20"/>
          <w14:ligatures w14:val="standardContextual"/>
        </w:rPr>
        <w:t>本基金每日预估计算并记录每笔基金份额的超额管理费，基金超额管理费的预估计算方法如下：</w:t>
      </w:r>
    </w:p>
    <w:p w14:paraId="62B40933" w14:textId="77777777" w:rsidR="00242466" w:rsidRPr="00242466" w:rsidRDefault="00242466" w:rsidP="0024246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242466">
        <w:rPr>
          <w:rFonts w:hint="eastAsia"/>
          <w:bCs/>
          <w:kern w:val="2"/>
          <w:sz w:val="24"/>
          <w:szCs w:val="20"/>
          <w14:ligatures w14:val="standardContextual"/>
        </w:rPr>
        <w:t>H</w:t>
      </w:r>
      <w:r w:rsidRPr="00242466">
        <w:rPr>
          <w:rFonts w:hint="eastAsia"/>
          <w:bCs/>
          <w:kern w:val="2"/>
          <w:sz w:val="24"/>
          <w:szCs w:val="20"/>
          <w:vertAlign w:val="subscript"/>
          <w14:ligatures w14:val="standardContextual"/>
        </w:rPr>
        <w:t>3</w:t>
      </w:r>
      <w:r w:rsidRPr="00242466">
        <w:rPr>
          <w:rFonts w:hint="eastAsia"/>
          <w:bCs/>
          <w:kern w:val="2"/>
          <w:sz w:val="24"/>
          <w:szCs w:val="20"/>
          <w14:ligatures w14:val="standardContextual"/>
        </w:rPr>
        <w:t>＝</w:t>
      </w:r>
      <w:r w:rsidRPr="00242466">
        <w:rPr>
          <w:rFonts w:hint="eastAsia"/>
          <w:bCs/>
          <w:kern w:val="2"/>
          <w:sz w:val="24"/>
          <w:szCs w:val="20"/>
          <w14:ligatures w14:val="standardContextual"/>
        </w:rPr>
        <w:t>E</w:t>
      </w:r>
      <w:r w:rsidRPr="00242466">
        <w:rPr>
          <w:rFonts w:hint="eastAsia"/>
          <w:bCs/>
          <w:kern w:val="2"/>
          <w:sz w:val="24"/>
          <w:szCs w:val="20"/>
          <w14:ligatures w14:val="standardContextual"/>
        </w:rPr>
        <w:t>×</w:t>
      </w:r>
      <w:r w:rsidRPr="00242466">
        <w:rPr>
          <w:rFonts w:hint="eastAsia"/>
          <w:bCs/>
          <w:kern w:val="2"/>
          <w:sz w:val="24"/>
          <w:szCs w:val="20"/>
          <w14:ligatures w14:val="standardContextual"/>
        </w:rPr>
        <w:t>0.30%</w:t>
      </w:r>
      <w:r w:rsidRPr="00242466">
        <w:rPr>
          <w:rFonts w:hint="eastAsia"/>
          <w:bCs/>
          <w:kern w:val="2"/>
          <w:sz w:val="24"/>
          <w:szCs w:val="20"/>
          <w14:ligatures w14:val="standardContextual"/>
        </w:rPr>
        <w:t>÷当年天数</w:t>
      </w:r>
    </w:p>
    <w:p w14:paraId="2FD1C8C3" w14:textId="77777777" w:rsidR="00242466" w:rsidRPr="00242466" w:rsidRDefault="00242466" w:rsidP="0024246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242466">
        <w:rPr>
          <w:rFonts w:hint="eastAsia"/>
          <w:bCs/>
          <w:kern w:val="2"/>
          <w:sz w:val="24"/>
          <w:szCs w:val="20"/>
          <w14:ligatures w14:val="standardContextual"/>
        </w:rPr>
        <w:t>H</w:t>
      </w:r>
      <w:r w:rsidRPr="00242466">
        <w:rPr>
          <w:rFonts w:hint="eastAsia"/>
          <w:bCs/>
          <w:kern w:val="2"/>
          <w:sz w:val="24"/>
          <w:szCs w:val="20"/>
          <w:vertAlign w:val="subscript"/>
          <w14:ligatures w14:val="standardContextual"/>
        </w:rPr>
        <w:t>3</w:t>
      </w:r>
      <w:r w:rsidRPr="00242466">
        <w:rPr>
          <w:rFonts w:hint="eastAsia"/>
          <w:bCs/>
          <w:kern w:val="2"/>
          <w:sz w:val="24"/>
          <w:szCs w:val="20"/>
          <w14:ligatures w14:val="standardContextual"/>
        </w:rPr>
        <w:t>为每日预估计算的基金超额管理费</w:t>
      </w:r>
    </w:p>
    <w:p w14:paraId="27B898AB" w14:textId="77777777" w:rsidR="00A46DB2" w:rsidRPr="00A46DB2" w:rsidRDefault="00A46DB2" w:rsidP="00A46DB2">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bCs/>
          <w:kern w:val="2"/>
          <w:sz w:val="24"/>
          <w:szCs w:val="20"/>
          <w14:ligatures w14:val="standardContextual"/>
        </w:rPr>
      </w:pPr>
      <w:r w:rsidRPr="00A46DB2">
        <w:rPr>
          <w:rFonts w:hint="eastAsia"/>
          <w:bCs/>
          <w:kern w:val="2"/>
          <w:sz w:val="24"/>
          <w:szCs w:val="20"/>
          <w14:ligatures w14:val="standardContextual"/>
        </w:rPr>
        <w:lastRenderedPageBreak/>
        <w:t>E</w:t>
      </w:r>
      <w:r w:rsidRPr="00A46DB2">
        <w:rPr>
          <w:rFonts w:hint="eastAsia"/>
          <w:bCs/>
          <w:kern w:val="2"/>
          <w:sz w:val="24"/>
          <w:szCs w:val="20"/>
          <w14:ligatures w14:val="standardContextual"/>
        </w:rPr>
        <w:t>为前一日的基金资产净值</w:t>
      </w:r>
    </w:p>
    <w:p w14:paraId="3AF22203" w14:textId="6FC5A8D1" w:rsidR="00AE40D4" w:rsidRPr="00AE40D4" w:rsidRDefault="00A46DB2" w:rsidP="00A46DB2">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bCs/>
          <w:kern w:val="2"/>
          <w:sz w:val="24"/>
          <w:szCs w:val="20"/>
          <w14:ligatures w14:val="standardContextual"/>
        </w:rPr>
      </w:pPr>
      <w:r w:rsidRPr="00A46DB2">
        <w:rPr>
          <w:rFonts w:hint="eastAsia"/>
          <w:bCs/>
          <w:kern w:val="2"/>
          <w:sz w:val="24"/>
          <w:szCs w:val="20"/>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sidRPr="00A46DB2">
        <w:rPr>
          <w:rFonts w:hint="eastAsia"/>
          <w:bCs/>
          <w:kern w:val="2"/>
          <w:sz w:val="24"/>
          <w:szCs w:val="20"/>
          <w14:ligatures w14:val="standardContextual"/>
        </w:rPr>
        <w:t>365</w:t>
      </w:r>
      <w:r w:rsidRPr="00A46DB2">
        <w:rPr>
          <w:rFonts w:hint="eastAsia"/>
          <w:bCs/>
          <w:kern w:val="2"/>
          <w:sz w:val="24"/>
          <w:szCs w:val="20"/>
          <w14:ligatures w14:val="standardContextual"/>
        </w:rPr>
        <w:t>天，且该笔基金份额</w:t>
      </w:r>
      <w:proofErr w:type="gramStart"/>
      <w:r w:rsidRPr="00A46DB2">
        <w:rPr>
          <w:rFonts w:hint="eastAsia"/>
          <w:bCs/>
          <w:kern w:val="2"/>
          <w:sz w:val="24"/>
          <w:szCs w:val="20"/>
          <w14:ligatures w14:val="standardContextual"/>
        </w:rPr>
        <w:t>的年化收益率</w:t>
      </w:r>
      <w:proofErr w:type="gramEnd"/>
      <w:r w:rsidRPr="00A46DB2">
        <w:rPr>
          <w:rFonts w:hint="eastAsia"/>
          <w:bCs/>
          <w:kern w:val="2"/>
          <w:sz w:val="24"/>
          <w:szCs w:val="20"/>
          <w14:ligatures w14:val="standardContextual"/>
        </w:rPr>
        <w:t>（</w:t>
      </w:r>
      <w:r w:rsidRPr="00A46DB2">
        <w:rPr>
          <w:rFonts w:hint="eastAsia"/>
          <w:bCs/>
          <w:kern w:val="2"/>
          <w:sz w:val="24"/>
          <w:szCs w:val="20"/>
          <w14:ligatures w14:val="standardContextual"/>
        </w:rPr>
        <w:t>R</w:t>
      </w:r>
      <w:r w:rsidRPr="00A46DB2">
        <w:rPr>
          <w:rFonts w:hint="eastAsia"/>
          <w:bCs/>
          <w:kern w:val="2"/>
          <w:sz w:val="24"/>
          <w:szCs w:val="20"/>
          <w14:ligatures w14:val="standardContextual"/>
        </w:rPr>
        <w:t>）符合下表“情形三”的收取情形，将从该笔基金份额的赎回款（或清算款）中扣除</w:t>
      </w:r>
      <w:r w:rsidRPr="00A46DB2">
        <w:rPr>
          <w:rFonts w:hint="eastAsia"/>
          <w:bCs/>
          <w:kern w:val="2"/>
          <w:sz w:val="24"/>
          <w:szCs w:val="20"/>
          <w14:ligatures w14:val="standardContextual"/>
        </w:rPr>
        <w:t>0.30%</w:t>
      </w:r>
      <w:r w:rsidRPr="00A46DB2">
        <w:rPr>
          <w:rFonts w:hint="eastAsia"/>
          <w:bCs/>
          <w:kern w:val="2"/>
          <w:sz w:val="24"/>
          <w:szCs w:val="20"/>
          <w14:ligatures w14:val="standardContextual"/>
        </w:rPr>
        <w:t>年费率的超额管理费，并随已计提的或有管理费一同确认为应由管理人收取的管理费。</w:t>
      </w:r>
    </w:p>
    <w:p w14:paraId="760FA62D"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当投资者赎回、转出基金份额或基金合同终止的情形发生时，基金份额持有天数达到或超过</w:t>
      </w:r>
      <w:r w:rsidRPr="00AE40D4">
        <w:rPr>
          <w:rFonts w:hint="eastAsia"/>
          <w:bCs/>
          <w:kern w:val="2"/>
          <w:sz w:val="24"/>
          <w:szCs w:val="20"/>
          <w14:ligatures w14:val="standardContextual"/>
        </w:rPr>
        <w:t>365</w:t>
      </w:r>
      <w:r w:rsidRPr="00AE40D4">
        <w:rPr>
          <w:rFonts w:hint="eastAsia"/>
          <w:bCs/>
          <w:kern w:val="2"/>
          <w:sz w:val="24"/>
          <w:szCs w:val="20"/>
          <w14:ligatures w14:val="standardContextual"/>
        </w:rPr>
        <w:t>天，本基金根据以下三种情形确认</w:t>
      </w:r>
      <w:proofErr w:type="gramStart"/>
      <w:r w:rsidRPr="00AE40D4">
        <w:rPr>
          <w:rFonts w:hint="eastAsia"/>
          <w:bCs/>
          <w:kern w:val="2"/>
          <w:sz w:val="24"/>
          <w:szCs w:val="20"/>
          <w14:ligatures w14:val="standardContextual"/>
        </w:rPr>
        <w:t>应实际</w:t>
      </w:r>
      <w:proofErr w:type="gramEnd"/>
      <w:r w:rsidRPr="00AE40D4">
        <w:rPr>
          <w:rFonts w:hint="eastAsia"/>
          <w:bCs/>
          <w:kern w:val="2"/>
          <w:sz w:val="24"/>
          <w:szCs w:val="20"/>
          <w14:ligatures w14:val="standardContextual"/>
        </w:rPr>
        <w:t>收取的或有管理费和超额管理费：</w:t>
      </w:r>
    </w:p>
    <w:tbl>
      <w:tblPr>
        <w:tblStyle w:val="130"/>
        <w:tblW w:w="7582" w:type="dxa"/>
        <w:jc w:val="center"/>
        <w:tblLook w:val="04A0" w:firstRow="1" w:lastRow="0" w:firstColumn="1" w:lastColumn="0" w:noHBand="0" w:noVBand="1"/>
      </w:tblPr>
      <w:tblGrid>
        <w:gridCol w:w="1247"/>
        <w:gridCol w:w="2933"/>
        <w:gridCol w:w="1701"/>
        <w:gridCol w:w="1701"/>
      </w:tblGrid>
      <w:tr w:rsidR="00AE40D4" w:rsidRPr="00AE40D4" w14:paraId="78FE99FE" w14:textId="77777777" w:rsidTr="00880D85">
        <w:trPr>
          <w:trHeight w:val="510"/>
          <w:jc w:val="center"/>
        </w:trPr>
        <w:tc>
          <w:tcPr>
            <w:tcW w:w="1247" w:type="dxa"/>
            <w:vAlign w:val="center"/>
          </w:tcPr>
          <w:p w14:paraId="51670B6D" w14:textId="77777777" w:rsidR="00AE40D4" w:rsidRPr="00AE40D4" w:rsidRDefault="00AE40D4" w:rsidP="00AE40D4">
            <w:pPr>
              <w:jc w:val="center"/>
              <w:rPr>
                <w:rFonts w:ascii="宋体" w:hAnsi="宋体"/>
                <w:b/>
                <w:bCs/>
                <w:sz w:val="22"/>
                <w:szCs w:val="22"/>
              </w:rPr>
            </w:pPr>
            <w:r w:rsidRPr="00AE40D4">
              <w:rPr>
                <w:rFonts w:ascii="宋体" w:hAnsi="宋体" w:hint="eastAsia"/>
                <w:b/>
                <w:bCs/>
                <w:sz w:val="22"/>
                <w:szCs w:val="22"/>
              </w:rPr>
              <w:t>收取情形</w:t>
            </w:r>
          </w:p>
        </w:tc>
        <w:tc>
          <w:tcPr>
            <w:tcW w:w="2933" w:type="dxa"/>
            <w:vAlign w:val="center"/>
          </w:tcPr>
          <w:p w14:paraId="792E30D5" w14:textId="77777777" w:rsidR="00AE40D4" w:rsidRPr="00AE40D4" w:rsidRDefault="00AE40D4" w:rsidP="00AE40D4">
            <w:pPr>
              <w:jc w:val="center"/>
              <w:rPr>
                <w:rFonts w:ascii="宋体" w:hAnsi="宋体"/>
                <w:b/>
                <w:bCs/>
                <w:sz w:val="22"/>
                <w:szCs w:val="22"/>
              </w:rPr>
            </w:pPr>
            <w:proofErr w:type="gramStart"/>
            <w:r w:rsidRPr="00AE40D4">
              <w:rPr>
                <w:rFonts w:ascii="宋体" w:hAnsi="宋体" w:hint="eastAsia"/>
                <w:b/>
                <w:bCs/>
                <w:sz w:val="22"/>
                <w:szCs w:val="22"/>
              </w:rPr>
              <w:t>年化收益率</w:t>
            </w:r>
            <w:proofErr w:type="gramEnd"/>
            <w:r w:rsidRPr="00AE40D4">
              <w:rPr>
                <w:rFonts w:ascii="宋体" w:hAnsi="宋体" w:hint="eastAsia"/>
                <w:b/>
                <w:bCs/>
                <w:sz w:val="22"/>
                <w:szCs w:val="22"/>
              </w:rPr>
              <w:t>（</w:t>
            </w:r>
            <w:r w:rsidRPr="00AE40D4">
              <w:rPr>
                <w:rFonts w:ascii="宋体" w:hAnsi="宋体"/>
                <w:b/>
                <w:bCs/>
                <w:sz w:val="22"/>
                <w:szCs w:val="22"/>
              </w:rPr>
              <w:t>R</w:t>
            </w:r>
            <w:r w:rsidRPr="00AE40D4">
              <w:rPr>
                <w:rFonts w:ascii="宋体" w:hAnsi="宋体" w:hint="eastAsia"/>
                <w:b/>
                <w:bCs/>
                <w:sz w:val="22"/>
                <w:szCs w:val="22"/>
              </w:rPr>
              <w:t>）</w:t>
            </w:r>
          </w:p>
        </w:tc>
        <w:tc>
          <w:tcPr>
            <w:tcW w:w="1701" w:type="dxa"/>
            <w:vAlign w:val="center"/>
          </w:tcPr>
          <w:p w14:paraId="7C144C38" w14:textId="77777777" w:rsidR="00AE40D4" w:rsidRPr="00AE40D4" w:rsidRDefault="00AE40D4" w:rsidP="00AE40D4">
            <w:pPr>
              <w:jc w:val="center"/>
              <w:rPr>
                <w:rFonts w:ascii="宋体" w:hAnsi="宋体"/>
                <w:b/>
                <w:bCs/>
                <w:sz w:val="22"/>
                <w:szCs w:val="22"/>
              </w:rPr>
            </w:pPr>
            <w:r w:rsidRPr="00AE40D4">
              <w:rPr>
                <w:rFonts w:ascii="宋体" w:hAnsi="宋体" w:hint="eastAsia"/>
                <w:b/>
                <w:bCs/>
                <w:sz w:val="22"/>
                <w:szCs w:val="22"/>
              </w:rPr>
              <w:t>或有管理费</w:t>
            </w:r>
          </w:p>
          <w:p w14:paraId="31BCEF77" w14:textId="77777777" w:rsidR="00AE40D4" w:rsidRPr="00AE40D4" w:rsidRDefault="00AE40D4" w:rsidP="00AE40D4">
            <w:pPr>
              <w:jc w:val="center"/>
              <w:rPr>
                <w:rFonts w:ascii="宋体" w:hAnsi="宋体"/>
                <w:b/>
                <w:bCs/>
                <w:sz w:val="22"/>
                <w:szCs w:val="22"/>
              </w:rPr>
            </w:pPr>
            <w:r w:rsidRPr="00AE40D4">
              <w:rPr>
                <w:rFonts w:ascii="宋体" w:hAnsi="宋体" w:hint="eastAsia"/>
                <w:b/>
                <w:bCs/>
                <w:sz w:val="22"/>
                <w:szCs w:val="22"/>
              </w:rPr>
              <w:t>（年费率）</w:t>
            </w:r>
          </w:p>
        </w:tc>
        <w:tc>
          <w:tcPr>
            <w:tcW w:w="1701" w:type="dxa"/>
            <w:vAlign w:val="center"/>
          </w:tcPr>
          <w:p w14:paraId="383B6A18" w14:textId="77777777" w:rsidR="00AE40D4" w:rsidRPr="00AE40D4" w:rsidRDefault="00AE40D4" w:rsidP="00AE40D4">
            <w:pPr>
              <w:jc w:val="center"/>
              <w:rPr>
                <w:rFonts w:ascii="宋体" w:hAnsi="宋体"/>
                <w:b/>
                <w:bCs/>
                <w:sz w:val="22"/>
                <w:szCs w:val="22"/>
              </w:rPr>
            </w:pPr>
            <w:r w:rsidRPr="00AE40D4">
              <w:rPr>
                <w:rFonts w:ascii="宋体" w:hAnsi="宋体" w:hint="eastAsia"/>
                <w:b/>
                <w:bCs/>
                <w:sz w:val="22"/>
                <w:szCs w:val="22"/>
              </w:rPr>
              <w:t>超额管理费</w:t>
            </w:r>
          </w:p>
          <w:p w14:paraId="5A61E798" w14:textId="77777777" w:rsidR="00AE40D4" w:rsidRPr="00AE40D4" w:rsidRDefault="00AE40D4" w:rsidP="00AE40D4">
            <w:pPr>
              <w:jc w:val="center"/>
              <w:rPr>
                <w:rFonts w:ascii="宋体" w:hAnsi="宋体"/>
                <w:b/>
                <w:bCs/>
                <w:sz w:val="22"/>
                <w:szCs w:val="22"/>
              </w:rPr>
            </w:pPr>
            <w:r w:rsidRPr="00AE40D4">
              <w:rPr>
                <w:rFonts w:ascii="宋体" w:hAnsi="宋体" w:hint="eastAsia"/>
                <w:b/>
                <w:bCs/>
                <w:sz w:val="22"/>
                <w:szCs w:val="22"/>
              </w:rPr>
              <w:t>（年费率）</w:t>
            </w:r>
          </w:p>
        </w:tc>
      </w:tr>
      <w:tr w:rsidR="00AE40D4" w:rsidRPr="00AE40D4" w14:paraId="6B5D3F7D" w14:textId="77777777" w:rsidTr="00880D85">
        <w:trPr>
          <w:trHeight w:val="510"/>
          <w:jc w:val="center"/>
        </w:trPr>
        <w:tc>
          <w:tcPr>
            <w:tcW w:w="1247" w:type="dxa"/>
            <w:vAlign w:val="center"/>
          </w:tcPr>
          <w:p w14:paraId="5A669511" w14:textId="77777777" w:rsidR="00AE40D4" w:rsidRPr="00AE40D4" w:rsidRDefault="00AE40D4" w:rsidP="00AE40D4">
            <w:pPr>
              <w:jc w:val="center"/>
              <w:rPr>
                <w:rFonts w:ascii="宋体" w:hAnsi="宋体"/>
                <w:sz w:val="22"/>
                <w:szCs w:val="22"/>
              </w:rPr>
            </w:pPr>
            <w:r w:rsidRPr="00AE40D4">
              <w:rPr>
                <w:rFonts w:ascii="宋体" w:hAnsi="宋体" w:hint="eastAsia"/>
                <w:bCs/>
                <w:sz w:val="22"/>
                <w:szCs w:val="22"/>
              </w:rPr>
              <w:t>情形</w:t>
            </w:r>
            <w:proofErr w:type="gramStart"/>
            <w:r w:rsidRPr="00AE40D4">
              <w:rPr>
                <w:rFonts w:ascii="宋体" w:hAnsi="宋体" w:hint="eastAsia"/>
                <w:sz w:val="22"/>
                <w:szCs w:val="22"/>
              </w:rPr>
              <w:t>一</w:t>
            </w:r>
            <w:proofErr w:type="gramEnd"/>
          </w:p>
        </w:tc>
        <w:tc>
          <w:tcPr>
            <w:tcW w:w="2933" w:type="dxa"/>
            <w:vAlign w:val="center"/>
          </w:tcPr>
          <w:p w14:paraId="2C718751" w14:textId="77777777" w:rsidR="00AE40D4" w:rsidRPr="00AE40D4" w:rsidRDefault="00AE40D4" w:rsidP="00AE40D4">
            <w:pPr>
              <w:jc w:val="center"/>
              <w:rPr>
                <w:rFonts w:ascii="仿宋" w:eastAsia="仿宋" w:hAnsi="仿宋"/>
                <w:i/>
                <w:sz w:val="22"/>
                <w:szCs w:val="22"/>
              </w:rPr>
            </w:pPr>
            <w:r w:rsidRPr="00AE40D4">
              <w:rPr>
                <w:rFonts w:ascii="Cambria Math" w:eastAsia="仿宋" w:hAnsi="Cambria Math"/>
                <w:sz w:val="22"/>
                <w:szCs w:val="22"/>
              </w:rPr>
              <w:t>R</w:t>
            </w:r>
            <w:r w:rsidRPr="00AE40D4">
              <w:rPr>
                <w:rFonts w:ascii="仿宋" w:eastAsia="仿宋" w:hAnsi="仿宋" w:hint="eastAsia"/>
                <w:sz w:val="22"/>
                <w:szCs w:val="22"/>
              </w:rPr>
              <w:t>≤</w:t>
            </w:r>
            <w:r w:rsidRPr="00AE40D4">
              <w:rPr>
                <w:rFonts w:ascii="Cambria Math" w:eastAsia="仿宋" w:hAnsi="Cambria Math"/>
                <w:sz w:val="22"/>
                <w:szCs w:val="22"/>
              </w:rPr>
              <w:t>R</w:t>
            </w:r>
            <w:r w:rsidRPr="00AE40D4">
              <w:rPr>
                <w:rFonts w:ascii="Cambria Math" w:eastAsia="仿宋" w:hAnsi="Cambria Math"/>
                <w:sz w:val="22"/>
                <w:szCs w:val="22"/>
                <w:vertAlign w:val="subscript"/>
              </w:rPr>
              <w:t>b</w:t>
            </w:r>
            <w:r w:rsidRPr="00AE40D4">
              <w:rPr>
                <w:rFonts w:ascii="Cambria Math" w:eastAsia="仿宋" w:hAnsi="Cambria Math" w:hint="eastAsia"/>
                <w:sz w:val="22"/>
                <w:szCs w:val="22"/>
              </w:rPr>
              <w:t>-3%</w:t>
            </w:r>
          </w:p>
        </w:tc>
        <w:tc>
          <w:tcPr>
            <w:tcW w:w="1701" w:type="dxa"/>
            <w:vAlign w:val="center"/>
          </w:tcPr>
          <w:p w14:paraId="1A60F59C" w14:textId="77777777" w:rsidR="00AE40D4" w:rsidRPr="00AE40D4" w:rsidRDefault="00AE40D4" w:rsidP="00AE40D4">
            <w:pPr>
              <w:jc w:val="center"/>
              <w:rPr>
                <w:rFonts w:ascii="Cambria" w:eastAsia="仿宋" w:hAnsi="Cambria"/>
                <w:sz w:val="22"/>
                <w:szCs w:val="22"/>
              </w:rPr>
            </w:pPr>
            <w:r w:rsidRPr="00AE40D4">
              <w:rPr>
                <w:rFonts w:ascii="Cambria" w:eastAsia="仿宋" w:hAnsi="Cambria" w:hint="eastAsia"/>
                <w:sz w:val="22"/>
                <w:szCs w:val="22"/>
              </w:rPr>
              <w:t>0</w:t>
            </w:r>
          </w:p>
        </w:tc>
        <w:tc>
          <w:tcPr>
            <w:tcW w:w="1701" w:type="dxa"/>
            <w:vAlign w:val="center"/>
          </w:tcPr>
          <w:p w14:paraId="14BB2A94" w14:textId="77777777" w:rsidR="00AE40D4" w:rsidRPr="00AE40D4" w:rsidRDefault="00AE40D4" w:rsidP="00AE40D4">
            <w:pPr>
              <w:jc w:val="center"/>
              <w:rPr>
                <w:rFonts w:ascii="Cambria" w:eastAsia="仿宋" w:hAnsi="Cambria"/>
                <w:sz w:val="22"/>
                <w:szCs w:val="22"/>
              </w:rPr>
            </w:pPr>
            <w:r w:rsidRPr="00AE40D4">
              <w:rPr>
                <w:rFonts w:ascii="Cambria" w:eastAsia="仿宋" w:hAnsi="Cambria" w:hint="eastAsia"/>
                <w:sz w:val="22"/>
                <w:szCs w:val="22"/>
              </w:rPr>
              <w:t>0</w:t>
            </w:r>
          </w:p>
        </w:tc>
      </w:tr>
      <w:tr w:rsidR="00AE40D4" w:rsidRPr="00AE40D4" w14:paraId="6AC65F3A" w14:textId="77777777" w:rsidTr="00880D85">
        <w:trPr>
          <w:trHeight w:val="510"/>
          <w:jc w:val="center"/>
        </w:trPr>
        <w:tc>
          <w:tcPr>
            <w:tcW w:w="1247" w:type="dxa"/>
            <w:vAlign w:val="center"/>
          </w:tcPr>
          <w:p w14:paraId="73598270" w14:textId="77777777" w:rsidR="00AE40D4" w:rsidRPr="00AE40D4" w:rsidRDefault="00AE40D4" w:rsidP="00AE40D4">
            <w:pPr>
              <w:jc w:val="center"/>
              <w:rPr>
                <w:rFonts w:ascii="宋体" w:hAnsi="宋体"/>
                <w:sz w:val="22"/>
                <w:szCs w:val="22"/>
              </w:rPr>
            </w:pPr>
            <w:r w:rsidRPr="00AE40D4">
              <w:rPr>
                <w:rFonts w:ascii="宋体" w:hAnsi="宋体" w:hint="eastAsia"/>
                <w:bCs/>
                <w:sz w:val="22"/>
                <w:szCs w:val="22"/>
              </w:rPr>
              <w:t>情形</w:t>
            </w:r>
            <w:r w:rsidRPr="00AE40D4">
              <w:rPr>
                <w:rFonts w:ascii="宋体" w:hAnsi="宋体" w:hint="eastAsia"/>
                <w:sz w:val="22"/>
                <w:szCs w:val="22"/>
              </w:rPr>
              <w:t>二</w:t>
            </w:r>
          </w:p>
        </w:tc>
        <w:tc>
          <w:tcPr>
            <w:tcW w:w="2933" w:type="dxa"/>
            <w:vAlign w:val="center"/>
          </w:tcPr>
          <w:p w14:paraId="4BEDEF68" w14:textId="77777777" w:rsidR="00AE40D4" w:rsidRPr="00AE40D4" w:rsidRDefault="00AE40D4" w:rsidP="00AE40D4">
            <w:pPr>
              <w:jc w:val="center"/>
              <w:rPr>
                <w:rFonts w:ascii="仿宋" w:eastAsia="仿宋" w:hAnsi="仿宋"/>
                <w:sz w:val="22"/>
                <w:szCs w:val="22"/>
              </w:rPr>
            </w:pPr>
            <w:r w:rsidRPr="00AE40D4">
              <w:rPr>
                <w:rFonts w:ascii="宋体" w:hAnsi="宋体"/>
                <w:bCs/>
                <w:sz w:val="22"/>
                <w:szCs w:val="22"/>
              </w:rPr>
              <w:t>其他情形</w:t>
            </w:r>
          </w:p>
        </w:tc>
        <w:tc>
          <w:tcPr>
            <w:tcW w:w="1701" w:type="dxa"/>
            <w:vAlign w:val="center"/>
          </w:tcPr>
          <w:p w14:paraId="02065834" w14:textId="77777777" w:rsidR="00AE40D4" w:rsidRPr="00AE40D4" w:rsidRDefault="00AE40D4" w:rsidP="00AE40D4">
            <w:pPr>
              <w:jc w:val="center"/>
              <w:rPr>
                <w:rFonts w:ascii="Cambria" w:eastAsia="仿宋" w:hAnsi="Cambria"/>
                <w:sz w:val="22"/>
                <w:szCs w:val="22"/>
              </w:rPr>
            </w:pPr>
            <w:r w:rsidRPr="00AE40D4">
              <w:rPr>
                <w:rFonts w:ascii="Cambria" w:eastAsia="仿宋" w:hAnsi="Cambria" w:hint="eastAsia"/>
                <w:sz w:val="22"/>
                <w:szCs w:val="22"/>
              </w:rPr>
              <w:t>0.60%</w:t>
            </w:r>
          </w:p>
        </w:tc>
        <w:tc>
          <w:tcPr>
            <w:tcW w:w="1701" w:type="dxa"/>
            <w:vAlign w:val="center"/>
          </w:tcPr>
          <w:p w14:paraId="48727A30" w14:textId="77777777" w:rsidR="00AE40D4" w:rsidRPr="00AE40D4" w:rsidRDefault="00AE40D4" w:rsidP="00AE40D4">
            <w:pPr>
              <w:jc w:val="center"/>
              <w:rPr>
                <w:rFonts w:ascii="Cambria" w:eastAsia="仿宋" w:hAnsi="Cambria"/>
                <w:sz w:val="22"/>
                <w:szCs w:val="22"/>
              </w:rPr>
            </w:pPr>
            <w:r w:rsidRPr="00AE40D4">
              <w:rPr>
                <w:rFonts w:ascii="Cambria" w:eastAsia="仿宋" w:hAnsi="Cambria" w:hint="eastAsia"/>
                <w:sz w:val="22"/>
                <w:szCs w:val="22"/>
              </w:rPr>
              <w:t>0</w:t>
            </w:r>
          </w:p>
        </w:tc>
      </w:tr>
      <w:tr w:rsidR="00AE40D4" w:rsidRPr="00AE40D4" w14:paraId="2153D5CA" w14:textId="77777777" w:rsidTr="00880D85">
        <w:trPr>
          <w:trHeight w:val="510"/>
          <w:jc w:val="center"/>
        </w:trPr>
        <w:tc>
          <w:tcPr>
            <w:tcW w:w="1247" w:type="dxa"/>
            <w:vAlign w:val="center"/>
          </w:tcPr>
          <w:p w14:paraId="5740121B" w14:textId="77777777" w:rsidR="00AE40D4" w:rsidRPr="00AE40D4" w:rsidRDefault="00AE40D4" w:rsidP="00AE40D4">
            <w:pPr>
              <w:jc w:val="center"/>
              <w:rPr>
                <w:rFonts w:ascii="宋体" w:hAnsi="宋体"/>
                <w:sz w:val="22"/>
                <w:szCs w:val="22"/>
              </w:rPr>
            </w:pPr>
            <w:r w:rsidRPr="00AE40D4">
              <w:rPr>
                <w:rFonts w:ascii="宋体" w:hAnsi="宋体" w:hint="eastAsia"/>
                <w:sz w:val="22"/>
                <w:szCs w:val="22"/>
              </w:rPr>
              <w:t>情形三</w:t>
            </w:r>
          </w:p>
        </w:tc>
        <w:tc>
          <w:tcPr>
            <w:tcW w:w="2933" w:type="dxa"/>
            <w:vAlign w:val="center"/>
          </w:tcPr>
          <w:p w14:paraId="50036E26" w14:textId="77777777" w:rsidR="00AE40D4" w:rsidRPr="00AE40D4" w:rsidRDefault="00AE40D4" w:rsidP="00AE40D4">
            <w:pPr>
              <w:spacing w:line="276" w:lineRule="auto"/>
              <w:jc w:val="center"/>
              <w:rPr>
                <w:rFonts w:ascii="仿宋" w:eastAsia="仿宋" w:hAnsi="仿宋"/>
                <w:b/>
                <w:bCs/>
                <w:sz w:val="22"/>
                <w:szCs w:val="22"/>
              </w:rPr>
            </w:pPr>
            <w:r w:rsidRPr="00AE40D4">
              <w:rPr>
                <w:bCs/>
                <w:kern w:val="2"/>
                <w:sz w:val="22"/>
                <w:szCs w:val="22"/>
              </w:rPr>
              <w:t>R</w:t>
            </w:r>
            <w:r w:rsidRPr="00AE40D4">
              <w:rPr>
                <w:rFonts w:ascii="仿宋" w:eastAsia="仿宋" w:hAnsi="仿宋" w:hint="eastAsia"/>
                <w:bCs/>
                <w:kern w:val="2"/>
                <w:sz w:val="22"/>
                <w:szCs w:val="22"/>
              </w:rPr>
              <w:t>＞</w:t>
            </w:r>
            <w:r w:rsidRPr="00AE40D4">
              <w:rPr>
                <w:bCs/>
                <w:kern w:val="2"/>
                <w:sz w:val="22"/>
                <w:szCs w:val="22"/>
              </w:rPr>
              <w:t>R</w:t>
            </w:r>
            <w:r w:rsidRPr="00AE40D4">
              <w:rPr>
                <w:rFonts w:ascii="等线 Light" w:hAnsi="等线 Light"/>
                <w:spacing w:val="-2"/>
                <w:kern w:val="2"/>
                <w:sz w:val="22"/>
                <w:szCs w:val="22"/>
                <w:vertAlign w:val="subscript"/>
              </w:rPr>
              <w:t>b</w:t>
            </w:r>
            <w:r w:rsidRPr="00AE40D4">
              <w:rPr>
                <w:bCs/>
                <w:kern w:val="2"/>
                <w:sz w:val="22"/>
                <w:szCs w:val="22"/>
              </w:rPr>
              <w:t>+6%</w:t>
            </w:r>
            <w:r w:rsidRPr="00AE40D4">
              <w:rPr>
                <w:bCs/>
                <w:kern w:val="2"/>
                <w:sz w:val="22"/>
                <w:szCs w:val="22"/>
              </w:rPr>
              <w:t>，</w:t>
            </w:r>
            <w:r w:rsidRPr="00AE40D4">
              <w:rPr>
                <w:bCs/>
                <w:kern w:val="2"/>
                <w:sz w:val="22"/>
                <w:szCs w:val="22"/>
              </w:rPr>
              <w:t>R</w:t>
            </w:r>
            <w:r w:rsidRPr="00AE40D4">
              <w:rPr>
                <w:rFonts w:ascii="仿宋" w:eastAsia="仿宋" w:hAnsi="仿宋" w:hint="eastAsia"/>
                <w:bCs/>
                <w:kern w:val="2"/>
                <w:sz w:val="22"/>
                <w:szCs w:val="22"/>
              </w:rPr>
              <w:t>＞</w:t>
            </w:r>
            <w:r w:rsidRPr="00AE40D4">
              <w:rPr>
                <w:bCs/>
                <w:kern w:val="2"/>
                <w:sz w:val="22"/>
                <w:szCs w:val="22"/>
              </w:rPr>
              <w:t>0</w:t>
            </w:r>
          </w:p>
        </w:tc>
        <w:tc>
          <w:tcPr>
            <w:tcW w:w="1701" w:type="dxa"/>
            <w:vAlign w:val="center"/>
          </w:tcPr>
          <w:p w14:paraId="2EA58790" w14:textId="77777777" w:rsidR="00AE40D4" w:rsidRPr="00AE40D4" w:rsidRDefault="00AE40D4" w:rsidP="00AE40D4">
            <w:pPr>
              <w:jc w:val="center"/>
              <w:rPr>
                <w:rFonts w:ascii="Cambria" w:eastAsia="仿宋" w:hAnsi="Cambria"/>
                <w:sz w:val="22"/>
                <w:szCs w:val="22"/>
              </w:rPr>
            </w:pPr>
            <w:r w:rsidRPr="00AE40D4">
              <w:rPr>
                <w:rFonts w:ascii="Cambria" w:eastAsia="仿宋" w:hAnsi="Cambria" w:hint="eastAsia"/>
                <w:sz w:val="22"/>
                <w:szCs w:val="22"/>
              </w:rPr>
              <w:t>0.60%</w:t>
            </w:r>
          </w:p>
        </w:tc>
        <w:tc>
          <w:tcPr>
            <w:tcW w:w="1701" w:type="dxa"/>
            <w:vAlign w:val="center"/>
          </w:tcPr>
          <w:p w14:paraId="1F4E7E66" w14:textId="77777777" w:rsidR="00AE40D4" w:rsidRPr="00AE40D4" w:rsidRDefault="00AE40D4" w:rsidP="00AE40D4">
            <w:pPr>
              <w:jc w:val="center"/>
              <w:rPr>
                <w:rFonts w:ascii="Cambria" w:eastAsia="仿宋" w:hAnsi="Cambria"/>
                <w:sz w:val="22"/>
                <w:szCs w:val="22"/>
              </w:rPr>
            </w:pPr>
            <w:r w:rsidRPr="00AE40D4">
              <w:rPr>
                <w:rFonts w:ascii="Cambria" w:eastAsia="仿宋" w:hAnsi="Cambria" w:hint="eastAsia"/>
                <w:sz w:val="22"/>
                <w:szCs w:val="22"/>
              </w:rPr>
              <w:t>0.30%</w:t>
            </w:r>
          </w:p>
        </w:tc>
      </w:tr>
    </w:tbl>
    <w:p w14:paraId="283D6BD8"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对于“情形三”，</w:t>
      </w:r>
      <w:proofErr w:type="gramStart"/>
      <w:r w:rsidRPr="00AE40D4">
        <w:rPr>
          <w:rFonts w:hint="eastAsia"/>
          <w:bCs/>
          <w:kern w:val="2"/>
          <w:sz w:val="24"/>
          <w:szCs w:val="20"/>
          <w14:ligatures w14:val="standardContextual"/>
        </w:rPr>
        <w:t>若拟扣除</w:t>
      </w:r>
      <w:proofErr w:type="gramEnd"/>
      <w:r w:rsidRPr="00AE40D4">
        <w:rPr>
          <w:rFonts w:hint="eastAsia"/>
          <w:bCs/>
          <w:kern w:val="2"/>
          <w:sz w:val="24"/>
          <w:szCs w:val="20"/>
          <w14:ligatures w14:val="standardContextual"/>
        </w:rPr>
        <w:t>超额管理费后</w:t>
      </w:r>
      <w:proofErr w:type="gramStart"/>
      <w:r w:rsidRPr="00AE40D4">
        <w:rPr>
          <w:rFonts w:hint="eastAsia"/>
          <w:bCs/>
          <w:kern w:val="2"/>
          <w:sz w:val="24"/>
          <w:szCs w:val="20"/>
          <w14:ligatures w14:val="standardContextual"/>
        </w:rPr>
        <w:t>的年化收益率</w:t>
      </w:r>
      <w:proofErr w:type="gramEnd"/>
      <w:r w:rsidRPr="00AE40D4">
        <w:rPr>
          <w:rFonts w:hint="eastAsia"/>
          <w:bCs/>
          <w:kern w:val="2"/>
          <w:sz w:val="24"/>
          <w:szCs w:val="20"/>
          <w14:ligatures w14:val="standardContextual"/>
        </w:rPr>
        <w:t>小于等于</w:t>
      </w:r>
      <w:r w:rsidRPr="00AE40D4">
        <w:rPr>
          <w:bCs/>
          <w:kern w:val="2"/>
          <w:sz w:val="24"/>
          <w:szCs w:val="20"/>
          <w14:ligatures w14:val="standardContextual"/>
        </w:rPr>
        <w:t>R</w:t>
      </w:r>
      <w:r w:rsidRPr="00AE40D4">
        <w:rPr>
          <w:bCs/>
          <w:kern w:val="2"/>
          <w:sz w:val="24"/>
          <w:szCs w:val="20"/>
          <w:vertAlign w:val="subscript"/>
          <w14:ligatures w14:val="standardContextual"/>
        </w:rPr>
        <w:t>b</w:t>
      </w:r>
      <w:r w:rsidRPr="00AE40D4">
        <w:rPr>
          <w:bCs/>
          <w:kern w:val="2"/>
          <w:sz w:val="24"/>
          <w:szCs w:val="20"/>
          <w14:ligatures w14:val="standardContextual"/>
        </w:rPr>
        <w:t>+6%</w:t>
      </w:r>
      <w:r w:rsidRPr="00AE40D4">
        <w:rPr>
          <w:rFonts w:hint="eastAsia"/>
          <w:bCs/>
          <w:kern w:val="2"/>
          <w:sz w:val="24"/>
          <w:szCs w:val="20"/>
          <w14:ligatures w14:val="standardContextual"/>
        </w:rPr>
        <w:t>，或小于等于</w:t>
      </w:r>
      <w:r w:rsidRPr="00AE40D4">
        <w:rPr>
          <w:rFonts w:hint="eastAsia"/>
          <w:bCs/>
          <w:kern w:val="2"/>
          <w:sz w:val="24"/>
          <w:szCs w:val="20"/>
          <w14:ligatures w14:val="standardContextual"/>
        </w:rPr>
        <w:t>0</w:t>
      </w:r>
      <w:r w:rsidRPr="00AE40D4">
        <w:rPr>
          <w:rFonts w:hint="eastAsia"/>
          <w:bCs/>
          <w:kern w:val="2"/>
          <w:sz w:val="24"/>
          <w:szCs w:val="20"/>
          <w14:ligatures w14:val="standardContextual"/>
        </w:rPr>
        <w:t>时，仍按</w:t>
      </w:r>
      <w:r w:rsidRPr="00AE40D4">
        <w:rPr>
          <w:rFonts w:hint="eastAsia"/>
          <w:bCs/>
          <w:kern w:val="2"/>
          <w:sz w:val="24"/>
          <w:szCs w:val="20"/>
          <w14:ligatures w14:val="standardContextual"/>
        </w:rPr>
        <w:t>1.20%</w:t>
      </w:r>
      <w:r w:rsidRPr="00AE40D4">
        <w:rPr>
          <w:rFonts w:hint="eastAsia"/>
          <w:bCs/>
          <w:kern w:val="2"/>
          <w:sz w:val="24"/>
          <w:szCs w:val="20"/>
          <w14:ligatures w14:val="standardContextual"/>
        </w:rPr>
        <w:t>年费率收取该笔基金份额的管理费，以使得该笔基金份额在扣除超额管理费后</w:t>
      </w:r>
      <w:proofErr w:type="gramStart"/>
      <w:r w:rsidRPr="00AE40D4">
        <w:rPr>
          <w:rFonts w:hint="eastAsia"/>
          <w:bCs/>
          <w:kern w:val="2"/>
          <w:sz w:val="24"/>
          <w:szCs w:val="20"/>
          <w14:ligatures w14:val="standardContextual"/>
        </w:rPr>
        <w:t>的年化收益率</w:t>
      </w:r>
      <w:proofErr w:type="gramEnd"/>
      <w:r w:rsidRPr="00AE40D4">
        <w:rPr>
          <w:rFonts w:hint="eastAsia"/>
          <w:bCs/>
          <w:kern w:val="2"/>
          <w:sz w:val="24"/>
          <w:szCs w:val="20"/>
          <w14:ligatures w14:val="standardContextual"/>
        </w:rPr>
        <w:t>仍需满足本基金收取超额管理费的标准。</w:t>
      </w:r>
    </w:p>
    <w:p w14:paraId="575EFF8E"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177" w:firstLine="425"/>
        <w:rPr>
          <w:rFonts w:ascii="宋体" w:hAnsi="宋体"/>
          <w:kern w:val="2"/>
          <w:sz w:val="24"/>
        </w:rPr>
      </w:pPr>
      <w:r w:rsidRPr="00AE40D4">
        <w:rPr>
          <w:rFonts w:ascii="宋体" w:hAnsi="宋体" w:hint="eastAsia"/>
          <w:kern w:val="2"/>
          <w:sz w:val="24"/>
        </w:rPr>
        <w:t>每笔基金份额</w:t>
      </w:r>
      <w:proofErr w:type="gramStart"/>
      <w:r w:rsidRPr="00AE40D4">
        <w:rPr>
          <w:rFonts w:ascii="宋体" w:hAnsi="宋体" w:hint="eastAsia"/>
          <w:kern w:val="2"/>
          <w:sz w:val="24"/>
        </w:rPr>
        <w:t>的年化收益率</w:t>
      </w:r>
      <w:proofErr w:type="gramEnd"/>
      <w:r w:rsidRPr="00AE40D4">
        <w:rPr>
          <w:rFonts w:ascii="宋体" w:hAnsi="宋体" w:hint="eastAsia"/>
          <w:kern w:val="2"/>
          <w:sz w:val="24"/>
        </w:rPr>
        <w:t>（R）计算方法如下：</w:t>
      </w:r>
    </w:p>
    <w:p w14:paraId="727ECC5D"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firstLineChars="129" w:firstLine="361"/>
        <w:jc w:val="center"/>
        <w:rPr>
          <w:rFonts w:ascii="等线" w:eastAsia="等线" w:hAnsi="等线"/>
          <w:kern w:val="2"/>
          <w:sz w:val="24"/>
          <w:szCs w:val="20"/>
        </w:rPr>
      </w:pPr>
      <m:oMath>
        <m:r>
          <m:rPr>
            <m:sty m:val="p"/>
          </m:rPr>
          <w:rPr>
            <w:rFonts w:ascii="Cambria Math" w:hAnsi="Cambria Math"/>
            <w:kern w:val="2"/>
            <w:sz w:val="28"/>
          </w:rPr>
          <m:t>R=</m:t>
        </m:r>
        <m:f>
          <m:fPr>
            <m:ctrlPr>
              <w:rPr>
                <w:rFonts w:ascii="Cambria Math" w:hAnsi="Cambria Math" w:cs="Calibri"/>
                <w:kern w:val="2"/>
                <w:sz w:val="28"/>
              </w:rPr>
            </m:ctrlPr>
          </m:fPr>
          <m:num>
            <m:r>
              <w:rPr>
                <w:rFonts w:ascii="Cambria Math" w:hAnsi="Cambria Math" w:cs="Calibri" w:hint="eastAsia"/>
                <w:kern w:val="2"/>
                <w:sz w:val="28"/>
              </w:rPr>
              <m:t>A</m:t>
            </m:r>
            <m:r>
              <w:rPr>
                <w:rFonts w:ascii="Cambria Math" w:hAnsi="Cambria Math"/>
                <w:kern w:val="2"/>
                <w:sz w:val="28"/>
              </w:rPr>
              <m:t>-</m:t>
            </m:r>
            <m:r>
              <w:rPr>
                <w:rFonts w:ascii="Cambria Math" w:hAnsi="Cambria Math" w:cs="Calibri" w:hint="eastAsia"/>
                <w:kern w:val="2"/>
                <w:sz w:val="28"/>
              </w:rPr>
              <m:t>B</m:t>
            </m:r>
          </m:num>
          <m:den>
            <m:r>
              <w:rPr>
                <w:rFonts w:ascii="Cambria Math" w:hAnsi="Cambria Math" w:cs="Calibri" w:hint="eastAsia"/>
                <w:kern w:val="2"/>
                <w:sz w:val="28"/>
              </w:rPr>
              <m:t>C</m:t>
            </m:r>
          </m:den>
        </m:f>
      </m:oMath>
      <w:r w:rsidRPr="00AE40D4">
        <w:rPr>
          <w:rFonts w:ascii="等线" w:eastAsia="等线" w:hAnsi="等线" w:hint="eastAsia"/>
          <w:kern w:val="2"/>
          <w:sz w:val="32"/>
          <w:szCs w:val="20"/>
        </w:rPr>
        <w:t xml:space="preserve"> </w:t>
      </w:r>
      <w:r w:rsidRPr="00AE40D4">
        <w:rPr>
          <w:rFonts w:ascii="等线" w:eastAsia="等线" w:hAnsi="等线"/>
          <w:kern w:val="2"/>
          <w:sz w:val="24"/>
          <w:szCs w:val="20"/>
        </w:rPr>
        <w:t>×</w:t>
      </w:r>
      <m:oMath>
        <m:f>
          <m:fPr>
            <m:ctrlPr>
              <w:rPr>
                <w:rFonts w:ascii="Cambria Math" w:hAnsi="Cambria Math" w:cs="Calibri"/>
                <w:kern w:val="2"/>
                <w:sz w:val="32"/>
                <w:szCs w:val="20"/>
              </w:rPr>
            </m:ctrlPr>
          </m:fPr>
          <m:num>
            <m:r>
              <w:rPr>
                <w:rFonts w:ascii="Cambria Math" w:hAnsi="Cambria Math"/>
                <w:kern w:val="2"/>
                <w:sz w:val="32"/>
                <w:szCs w:val="20"/>
              </w:rPr>
              <m:t>365</m:t>
            </m:r>
          </m:num>
          <m:den>
            <m:r>
              <w:rPr>
                <w:rFonts w:ascii="Cambria Math" w:hAnsi="Cambria Math" w:cs="Calibri" w:hint="eastAsia"/>
                <w:kern w:val="2"/>
                <w:sz w:val="32"/>
                <w:szCs w:val="20"/>
              </w:rPr>
              <m:t>D</m:t>
            </m:r>
          </m:den>
        </m:f>
      </m:oMath>
      <w:r w:rsidRPr="00AE40D4">
        <w:rPr>
          <w:rFonts w:ascii="等线" w:eastAsia="等线" w:hAnsi="等线"/>
          <w:kern w:val="2"/>
          <w:sz w:val="24"/>
          <w:szCs w:val="20"/>
        </w:rPr>
        <w:t xml:space="preserve"> × 100%</w:t>
      </w:r>
    </w:p>
    <w:p w14:paraId="05730D91"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hint="eastAsia"/>
          <w:bCs/>
          <w:kern w:val="2"/>
          <w:sz w:val="24"/>
          <w:szCs w:val="20"/>
          <w14:ligatures w14:val="standardContextual"/>
        </w:rPr>
        <w:t>拟扣除超额管理费后</w:t>
      </w:r>
      <w:proofErr w:type="gramStart"/>
      <w:r w:rsidRPr="00AE40D4">
        <w:rPr>
          <w:rFonts w:hint="eastAsia"/>
          <w:bCs/>
          <w:kern w:val="2"/>
          <w:sz w:val="24"/>
          <w:szCs w:val="20"/>
          <w14:ligatures w14:val="standardContextual"/>
        </w:rPr>
        <w:t>的年化收益率</w:t>
      </w:r>
      <w:proofErr w:type="gramEnd"/>
      <w:r w:rsidRPr="00AE40D4">
        <w:rPr>
          <w:rFonts w:hint="eastAsia"/>
          <w:bCs/>
          <w:kern w:val="2"/>
          <w:sz w:val="24"/>
          <w:szCs w:val="20"/>
          <w14:ligatures w14:val="standardContextual"/>
        </w:rPr>
        <w:t>（</w:t>
      </w:r>
      <w:r w:rsidRPr="00AE40D4">
        <w:rPr>
          <w:rFonts w:hint="eastAsia"/>
          <w:bCs/>
          <w:kern w:val="2"/>
          <w:sz w:val="24"/>
          <w:szCs w:val="20"/>
          <w14:ligatures w14:val="standardContextual"/>
        </w:rPr>
        <w:t>R*</w:t>
      </w:r>
      <w:r w:rsidRPr="00AE40D4">
        <w:rPr>
          <w:rFonts w:hint="eastAsia"/>
          <w:bCs/>
          <w:kern w:val="2"/>
          <w:sz w:val="24"/>
          <w:szCs w:val="20"/>
          <w14:ligatures w14:val="standardContextual"/>
        </w:rPr>
        <w:t>）的计算方法如下：</w:t>
      </w:r>
    </w:p>
    <w:p w14:paraId="29DC17DE" w14:textId="77777777" w:rsidR="00AE40D4" w:rsidRPr="00AE40D4" w:rsidRDefault="000C0B8C"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center"/>
        <w:rPr>
          <w:bCs/>
          <w:kern w:val="2"/>
          <w:sz w:val="24"/>
          <w:szCs w:val="20"/>
          <w14:ligatures w14:val="standardContextual"/>
        </w:rPr>
      </w:pPr>
      <m:oMathPara>
        <m:oMath>
          <m:sSup>
            <m:sSupPr>
              <m:ctrlPr>
                <w:rPr>
                  <w:rFonts w:ascii="Cambria Math" w:hAnsi="Cambria Math"/>
                  <w:bCs/>
                  <w:kern w:val="2"/>
                  <w:sz w:val="24"/>
                  <w:szCs w:val="20"/>
                  <w14:ligatures w14:val="standardContextual"/>
                </w:rPr>
              </m:ctrlPr>
            </m:sSupPr>
            <m:e>
              <m:r>
                <w:rPr>
                  <w:rFonts w:ascii="Cambria Math" w:hAnsi="Cambria Math"/>
                  <w:kern w:val="2"/>
                  <w:sz w:val="24"/>
                  <w:szCs w:val="20"/>
                  <w14:ligatures w14:val="standardContextual"/>
                </w:rPr>
                <m:t>R</m:t>
              </m:r>
            </m:e>
            <m:sup>
              <m:r>
                <w:rPr>
                  <w:rFonts w:ascii="Cambria Math" w:hAnsi="Cambria Math"/>
                  <w:kern w:val="2"/>
                  <w:sz w:val="24"/>
                  <w:szCs w:val="20"/>
                  <w14:ligatures w14:val="standardContextual"/>
                </w:rPr>
                <m:t>*</m:t>
              </m:r>
            </m:sup>
          </m:sSup>
          <m:r>
            <w:rPr>
              <w:rFonts w:ascii="Cambria Math" w:hAnsi="Cambria Math"/>
              <w:kern w:val="2"/>
              <w:sz w:val="24"/>
              <w:szCs w:val="20"/>
              <w14:ligatures w14:val="standardContextual"/>
            </w:rPr>
            <m:t>=</m:t>
          </m:r>
          <m:f>
            <m:fPr>
              <m:ctrlPr>
                <w:rPr>
                  <w:rFonts w:ascii="Cambria Math" w:hAnsi="Cambria Math"/>
                  <w:bCs/>
                  <w:i/>
                  <w:kern w:val="2"/>
                  <w:sz w:val="24"/>
                  <w:szCs w:val="20"/>
                  <w14:ligatures w14:val="standardContextual"/>
                </w:rPr>
              </m:ctrlPr>
            </m:fPr>
            <m:num>
              <m:r>
                <w:rPr>
                  <w:rFonts w:ascii="Cambria Math" w:hAnsi="Cambria Math"/>
                  <w:kern w:val="2"/>
                  <w:sz w:val="24"/>
                  <w:szCs w:val="20"/>
                  <w14:ligatures w14:val="standardContextual"/>
                </w:rPr>
                <m:t>F×</m:t>
              </m:r>
              <m:d>
                <m:dPr>
                  <m:ctrlPr>
                    <w:rPr>
                      <w:rFonts w:ascii="Cambria Math" w:hAnsi="Cambria Math"/>
                      <w:bCs/>
                      <w:i/>
                      <w:kern w:val="2"/>
                      <w:sz w:val="24"/>
                      <w:szCs w:val="20"/>
                      <w14:ligatures w14:val="standardContextual"/>
                    </w:rPr>
                  </m:ctrlPr>
                </m:dPr>
                <m:e>
                  <m:r>
                    <w:rPr>
                      <w:rFonts w:ascii="Cambria Math" w:hAnsi="Cambria Math"/>
                      <w:kern w:val="2"/>
                      <w:sz w:val="24"/>
                      <w:szCs w:val="20"/>
                      <w14:ligatures w14:val="standardContextual"/>
                    </w:rPr>
                    <m:t>A-B</m:t>
                  </m:r>
                </m:e>
              </m:d>
              <m:r>
                <w:rPr>
                  <w:rFonts w:ascii="Cambria Math" w:hAnsi="Cambria Math"/>
                  <w:kern w:val="2"/>
                  <w:sz w:val="24"/>
                  <w:szCs w:val="20"/>
                  <w14:ligatures w14:val="standardContextual"/>
                </w:rPr>
                <m:t>-</m:t>
              </m:r>
              <m:sSub>
                <m:sSubPr>
                  <m:ctrlPr>
                    <w:rPr>
                      <w:rFonts w:ascii="Cambria Math" w:hAnsi="Cambria Math"/>
                      <w:bCs/>
                      <w:i/>
                      <w:kern w:val="2"/>
                      <w:sz w:val="24"/>
                      <w:szCs w:val="20"/>
                      <w14:ligatures w14:val="standardContextual"/>
                    </w:rPr>
                  </m:ctrlPr>
                </m:sSubPr>
                <m:e>
                  <m:r>
                    <w:rPr>
                      <w:rFonts w:ascii="Cambria Math" w:hAnsi="Cambria Math"/>
                      <w:kern w:val="2"/>
                      <w:sz w:val="24"/>
                      <w:szCs w:val="20"/>
                      <w14:ligatures w14:val="standardContextual"/>
                    </w:rPr>
                    <m:t>M</m:t>
                  </m:r>
                </m:e>
                <m:sub>
                  <m:r>
                    <w:rPr>
                      <w:rFonts w:ascii="Cambria Math" w:hAnsi="Cambria Math"/>
                      <w:kern w:val="2"/>
                      <w:sz w:val="24"/>
                      <w:szCs w:val="20"/>
                      <w14:ligatures w14:val="standardContextual"/>
                    </w:rPr>
                    <m:t>C</m:t>
                  </m:r>
                </m:sub>
              </m:sSub>
            </m:num>
            <m:den>
              <m:r>
                <w:rPr>
                  <w:rFonts w:ascii="Cambria Math" w:hAnsi="Cambria Math"/>
                  <w:kern w:val="2"/>
                  <w:sz w:val="24"/>
                  <w:szCs w:val="20"/>
                  <w14:ligatures w14:val="standardContextual"/>
                </w:rPr>
                <m:t>F×C</m:t>
              </m:r>
            </m:den>
          </m:f>
          <m:r>
            <w:rPr>
              <w:rFonts w:ascii="Cambria Math" w:hAnsi="Cambria Math"/>
              <w:kern w:val="2"/>
              <w:sz w:val="24"/>
              <w:szCs w:val="20"/>
              <w14:ligatures w14:val="standardContextual"/>
            </w:rPr>
            <m:t>×</m:t>
          </m:r>
          <m:f>
            <m:fPr>
              <m:ctrlPr>
                <w:rPr>
                  <w:rFonts w:ascii="Cambria Math" w:hAnsi="Cambria Math"/>
                  <w:bCs/>
                  <w:i/>
                  <w:kern w:val="2"/>
                  <w:sz w:val="24"/>
                  <w:szCs w:val="20"/>
                  <w14:ligatures w14:val="standardContextual"/>
                </w:rPr>
              </m:ctrlPr>
            </m:fPr>
            <m:num>
              <m:r>
                <w:rPr>
                  <w:rFonts w:ascii="Cambria Math" w:hAnsi="Cambria Math"/>
                  <w:kern w:val="2"/>
                  <w:sz w:val="24"/>
                  <w:szCs w:val="20"/>
                  <w14:ligatures w14:val="standardContextual"/>
                </w:rPr>
                <m:t>365</m:t>
              </m:r>
            </m:num>
            <m:den>
              <m:r>
                <w:rPr>
                  <w:rFonts w:ascii="Cambria Math" w:hAnsi="Cambria Math"/>
                  <w:kern w:val="2"/>
                  <w:sz w:val="24"/>
                  <w:szCs w:val="20"/>
                  <w14:ligatures w14:val="standardContextual"/>
                </w:rPr>
                <m:t>D</m:t>
              </m:r>
            </m:den>
          </m:f>
          <m:r>
            <w:rPr>
              <w:rFonts w:ascii="Cambria Math" w:eastAsia="仿宋" w:hAnsi="Cambria Math" w:cs="TimesNewRomanPSMT"/>
              <w:kern w:val="2"/>
              <w:sz w:val="24"/>
              <w:szCs w:val="20"/>
              <w14:ligatures w14:val="standardContextual"/>
            </w:rPr>
            <m:t>×100%</m:t>
          </m:r>
        </m:oMath>
      </m:oMathPara>
    </w:p>
    <w:p w14:paraId="7B8C6F38"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R为该笔基金份额</w:t>
      </w:r>
      <w:proofErr w:type="gramStart"/>
      <w:r w:rsidRPr="00AE40D4">
        <w:rPr>
          <w:rFonts w:ascii="宋体" w:hAnsi="宋体" w:hint="eastAsia"/>
          <w:kern w:val="2"/>
          <w:sz w:val="24"/>
        </w:rPr>
        <w:t>的年化收益率</w:t>
      </w:r>
      <w:proofErr w:type="gramEnd"/>
      <w:r w:rsidRPr="00AE40D4">
        <w:rPr>
          <w:rFonts w:ascii="宋体" w:hAnsi="宋体" w:hint="eastAsia"/>
          <w:kern w:val="2"/>
          <w:sz w:val="24"/>
        </w:rPr>
        <w:t>；</w:t>
      </w:r>
      <w:proofErr w:type="spellStart"/>
      <w:r w:rsidRPr="00AE40D4">
        <w:rPr>
          <w:bCs/>
          <w:kern w:val="2"/>
          <w:sz w:val="24"/>
          <w:szCs w:val="20"/>
          <w14:ligatures w14:val="standardContextual"/>
        </w:rPr>
        <w:t>R</w:t>
      </w:r>
      <w:r w:rsidRPr="00AE40D4">
        <w:rPr>
          <w:bCs/>
          <w:kern w:val="2"/>
          <w:sz w:val="24"/>
          <w:szCs w:val="20"/>
          <w:vertAlign w:val="subscript"/>
          <w14:ligatures w14:val="standardContextual"/>
        </w:rPr>
        <w:t>b</w:t>
      </w:r>
      <w:proofErr w:type="spellEnd"/>
      <w:r w:rsidRPr="00AE40D4">
        <w:rPr>
          <w:rFonts w:ascii="宋体" w:hAnsi="宋体" w:hint="eastAsia"/>
          <w:kern w:val="2"/>
          <w:sz w:val="24"/>
        </w:rPr>
        <w:t>为本基金业绩比较基准</w:t>
      </w:r>
      <w:proofErr w:type="gramStart"/>
      <w:r w:rsidRPr="00AE40D4">
        <w:rPr>
          <w:rFonts w:ascii="宋体" w:hAnsi="宋体" w:hint="eastAsia"/>
          <w:kern w:val="2"/>
          <w:sz w:val="24"/>
        </w:rPr>
        <w:t>同期年化</w:t>
      </w:r>
      <w:proofErr w:type="gramEnd"/>
      <w:r w:rsidRPr="00AE40D4">
        <w:rPr>
          <w:rFonts w:ascii="宋体" w:hAnsi="宋体" w:hint="eastAsia"/>
          <w:kern w:val="2"/>
          <w:sz w:val="24"/>
        </w:rPr>
        <w:t>收益率；</w:t>
      </w:r>
    </w:p>
    <w:p w14:paraId="5593B3CC" w14:textId="17CCA996"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A为该笔基金份额赎回日、转换转出日或基金合同终止情形发生日的基金份额累计净值；</w:t>
      </w:r>
    </w:p>
    <w:p w14:paraId="1E658E13"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B为该笔基金份额认购/申购/转换转入日的基金份额累计净值，其中份额认购日的基金份额（累计）净值为1.00元；</w:t>
      </w:r>
    </w:p>
    <w:p w14:paraId="39083722"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C为该笔基金份额认购/申购/转换转入日的基金份额净值，</w:t>
      </w:r>
      <w:r w:rsidRPr="00AE40D4">
        <w:rPr>
          <w:rFonts w:hint="eastAsia"/>
          <w:bCs/>
          <w:kern w:val="2"/>
          <w:sz w:val="24"/>
          <w:szCs w:val="20"/>
          <w14:ligatures w14:val="standardContextual"/>
        </w:rPr>
        <w:t>其中</w:t>
      </w:r>
      <w:r w:rsidRPr="00AE40D4">
        <w:rPr>
          <w:bCs/>
          <w:kern w:val="2"/>
          <w:sz w:val="24"/>
          <w:szCs w:val="20"/>
          <w14:ligatures w14:val="standardContextual"/>
        </w:rPr>
        <w:t>份额认购</w:t>
      </w:r>
      <w:r w:rsidRPr="00AE40D4">
        <w:rPr>
          <w:bCs/>
          <w:kern w:val="2"/>
          <w:sz w:val="24"/>
          <w:szCs w:val="20"/>
          <w14:ligatures w14:val="standardContextual"/>
        </w:rPr>
        <w:lastRenderedPageBreak/>
        <w:t>日的基金份额净值为</w:t>
      </w:r>
      <w:r w:rsidRPr="00AE40D4">
        <w:rPr>
          <w:rFonts w:hint="eastAsia"/>
          <w:bCs/>
          <w:kern w:val="2"/>
          <w:sz w:val="24"/>
          <w:szCs w:val="20"/>
          <w14:ligatures w14:val="standardContextual"/>
        </w:rPr>
        <w:t>1</w:t>
      </w:r>
      <w:r w:rsidRPr="00AE40D4">
        <w:rPr>
          <w:bCs/>
          <w:kern w:val="2"/>
          <w:sz w:val="24"/>
          <w:szCs w:val="20"/>
          <w14:ligatures w14:val="standardContextual"/>
        </w:rPr>
        <w:t>.00</w:t>
      </w:r>
      <w:r w:rsidRPr="00AE40D4">
        <w:rPr>
          <w:bCs/>
          <w:kern w:val="2"/>
          <w:sz w:val="24"/>
          <w:szCs w:val="20"/>
          <w14:ligatures w14:val="standardContextual"/>
        </w:rPr>
        <w:t>元</w:t>
      </w:r>
      <w:r w:rsidRPr="00AE40D4">
        <w:rPr>
          <w:rFonts w:ascii="宋体" w:hAnsi="宋体" w:hint="eastAsia"/>
          <w:kern w:val="2"/>
          <w:sz w:val="24"/>
        </w:rPr>
        <w:t>；</w:t>
      </w:r>
    </w:p>
    <w:p w14:paraId="0B37F117" w14:textId="32664F56"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rFonts w:ascii="宋体" w:hAnsi="宋体"/>
          <w:kern w:val="2"/>
          <w:sz w:val="24"/>
        </w:rPr>
      </w:pPr>
      <w:r w:rsidRPr="00AE40D4">
        <w:rPr>
          <w:rFonts w:ascii="宋体" w:hAnsi="宋体" w:hint="eastAsia"/>
          <w:kern w:val="2"/>
          <w:sz w:val="24"/>
        </w:rPr>
        <w:t>D为基金合同生效日（针对募集期内认购的基金份额）或该笔基金份额申购/转换转入确认日与赎回确认日、转换转出确认日或基金合同终止情形发生日下</w:t>
      </w:r>
      <w:proofErr w:type="gramStart"/>
      <w:r w:rsidRPr="00AE40D4">
        <w:rPr>
          <w:rFonts w:ascii="宋体" w:hAnsi="宋体" w:hint="eastAsia"/>
          <w:kern w:val="2"/>
          <w:sz w:val="24"/>
        </w:rPr>
        <w:t>一</w:t>
      </w:r>
      <w:proofErr w:type="gramEnd"/>
      <w:r w:rsidRPr="00AE40D4">
        <w:rPr>
          <w:rFonts w:ascii="宋体" w:hAnsi="宋体" w:hint="eastAsia"/>
          <w:kern w:val="2"/>
          <w:sz w:val="24"/>
        </w:rPr>
        <w:t>工作日的间隔天数；</w:t>
      </w:r>
    </w:p>
    <w:p w14:paraId="7C28BBBF"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ind w:left="60" w:firstLine="420"/>
        <w:rPr>
          <w:bCs/>
          <w:kern w:val="2"/>
          <w:sz w:val="24"/>
          <w:szCs w:val="20"/>
          <w14:ligatures w14:val="standardContextual"/>
        </w:rPr>
      </w:pPr>
      <w:r w:rsidRPr="00AE40D4">
        <w:rPr>
          <w:rFonts w:hint="eastAsia"/>
          <w:bCs/>
          <w:kern w:val="2"/>
          <w:sz w:val="24"/>
          <w:szCs w:val="20"/>
          <w14:ligatures w14:val="standardContextual"/>
        </w:rPr>
        <w:t>F</w:t>
      </w:r>
      <w:r w:rsidRPr="00AE40D4">
        <w:rPr>
          <w:rFonts w:hint="eastAsia"/>
          <w:bCs/>
          <w:kern w:val="2"/>
          <w:sz w:val="24"/>
          <w:szCs w:val="20"/>
          <w14:ligatures w14:val="standardContextual"/>
        </w:rPr>
        <w:t>为该笔基金份额的份额数；</w:t>
      </w:r>
    </w:p>
    <w:p w14:paraId="41B777A9" w14:textId="77777777" w:rsidR="00AE40D4" w:rsidRPr="00AE40D4" w:rsidRDefault="00AE40D4"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AE40D4">
        <w:rPr>
          <w:rFonts w:ascii="Cambria Math" w:hAnsi="Cambria Math" w:cs="Cambria Math"/>
          <w:bCs/>
          <w:kern w:val="2"/>
          <w:sz w:val="24"/>
          <w:szCs w:val="20"/>
          <w14:ligatures w14:val="standardContextual"/>
        </w:rPr>
        <w:t>𝑀𝑐</w:t>
      </w:r>
      <w:r w:rsidRPr="00AE40D4">
        <w:rPr>
          <w:rFonts w:hint="eastAsia"/>
          <w:bCs/>
          <w:kern w:val="2"/>
          <w:sz w:val="24"/>
          <w:szCs w:val="20"/>
          <w14:ligatures w14:val="standardContextual"/>
        </w:rPr>
        <w:t>为该笔基金份额持有期内累计计算的超额管理费。</w:t>
      </w:r>
    </w:p>
    <w:p w14:paraId="3676702D" w14:textId="11B64890" w:rsidR="00AE40D4" w:rsidRPr="00AE40D4" w:rsidRDefault="0047573C" w:rsidP="00AE40D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47573C">
        <w:rPr>
          <w:rFonts w:hint="eastAsia"/>
          <w:bCs/>
          <w:kern w:val="2"/>
          <w:sz w:val="24"/>
          <w:szCs w:val="20"/>
          <w14:ligatures w14:val="standardContextual"/>
        </w:rPr>
        <w:t>对于已经确认为管理人收入的或有管理费，由基金托管人根据与基金管理人核对一致的财务数据，自动在次月初五</w:t>
      </w:r>
      <w:proofErr w:type="gramStart"/>
      <w:r w:rsidRPr="0047573C">
        <w:rPr>
          <w:rFonts w:hint="eastAsia"/>
          <w:bCs/>
          <w:kern w:val="2"/>
          <w:sz w:val="24"/>
          <w:szCs w:val="20"/>
          <w14:ligatures w14:val="standardContextual"/>
        </w:rPr>
        <w:t>个</w:t>
      </w:r>
      <w:proofErr w:type="gramEnd"/>
      <w:r w:rsidRPr="0047573C">
        <w:rPr>
          <w:rFonts w:hint="eastAsia"/>
          <w:bCs/>
          <w:kern w:val="2"/>
          <w:sz w:val="24"/>
          <w:szCs w:val="20"/>
          <w14:ligatures w14:val="standardContextual"/>
        </w:rPr>
        <w:t>工作日内、按照指定的账户路径进行资金支付，基金管理人无需再出具资金划拨指令。对于已经确认为管理人收入的超额管理费，基金托管人将按照与基金管理人双方协商一致的方式支付给基金管理人。若遇法定节假日、休息日或不可抗力致使无法按时支付的，支付日期顺延。费用自动扣划后，基金管理人应进行核对，如发现数据不符，及时联系基金托管人协商解决</w:t>
      </w:r>
      <w:r w:rsidR="00AE40D4" w:rsidRPr="00AE40D4">
        <w:rPr>
          <w:rFonts w:hint="eastAsia"/>
          <w:bCs/>
          <w:kern w:val="2"/>
          <w:sz w:val="24"/>
          <w:szCs w:val="20"/>
          <w14:ligatures w14:val="standardContextual"/>
        </w:rPr>
        <w:t>。</w:t>
      </w:r>
    </w:p>
    <w:p w14:paraId="13024D63" w14:textId="77777777" w:rsidR="00C51E7B" w:rsidRDefault="00AE40D4" w:rsidP="00C51E7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bCs/>
          <w:kern w:val="2"/>
          <w:sz w:val="24"/>
          <w:szCs w:val="20"/>
          <w14:ligatures w14:val="standardContextual"/>
        </w:rPr>
      </w:pPr>
      <w:r w:rsidRPr="00973B27">
        <w:rPr>
          <w:rFonts w:hint="eastAsia"/>
          <w:bCs/>
          <w:kern w:val="2"/>
          <w:sz w:val="24"/>
          <w:szCs w:val="20"/>
          <w14:ligatures w14:val="standardContextual"/>
        </w:rPr>
        <w:t>在不违反法律法规、基金合同的约定的情况下，基金管理人可根据基金实际运作情况和市场环境变化，经履行适当程序后，对本基金的管理费（</w:t>
      </w:r>
      <w:proofErr w:type="gramStart"/>
      <w:r w:rsidRPr="00973B27">
        <w:rPr>
          <w:rFonts w:hint="eastAsia"/>
          <w:bCs/>
          <w:kern w:val="2"/>
          <w:sz w:val="24"/>
          <w:szCs w:val="20"/>
          <w14:ligatures w14:val="standardContextual"/>
        </w:rPr>
        <w:t>含固定</w:t>
      </w:r>
      <w:proofErr w:type="gramEnd"/>
      <w:r w:rsidRPr="00973B27">
        <w:rPr>
          <w:rFonts w:hint="eastAsia"/>
          <w:bCs/>
          <w:kern w:val="2"/>
          <w:sz w:val="24"/>
          <w:szCs w:val="20"/>
          <w14:ligatures w14:val="standardContextual"/>
        </w:rPr>
        <w:t>管理费、或有管理费和超额管理费）计提标准或收取方式进行调整。</w:t>
      </w:r>
    </w:p>
    <w:p w14:paraId="494DFF5E" w14:textId="5A5F9A7E" w:rsidR="00D744A5" w:rsidRDefault="000E4967" w:rsidP="00973B27">
      <w:pPr>
        <w:pStyle w:val="af4"/>
        <w:spacing w:before="100" w:beforeAutospacing="1" w:after="100" w:afterAutospacing="1" w:line="360" w:lineRule="auto"/>
        <w:ind w:firstLine="461"/>
        <w:rPr>
          <w:rFonts w:ascii="宋体" w:eastAsia="宋体"/>
          <w:color w:val="auto"/>
          <w:sz w:val="24"/>
        </w:rPr>
      </w:pPr>
      <w:r>
        <w:rPr>
          <w:rFonts w:ascii="宋体" w:eastAsia="宋体" w:hint="eastAsia"/>
          <w:color w:val="auto"/>
          <w:sz w:val="24"/>
        </w:rPr>
        <w:t>（二）基金托管人的托管费</w:t>
      </w:r>
    </w:p>
    <w:p w14:paraId="504AA618" w14:textId="38EE58C4" w:rsidR="00D744A5" w:rsidRDefault="000E4967">
      <w:pPr>
        <w:pStyle w:val="af4"/>
        <w:spacing w:before="100" w:beforeAutospacing="1" w:after="100" w:afterAutospacing="1"/>
        <w:ind w:firstLine="461"/>
        <w:rPr>
          <w:rFonts w:ascii="Times New Roman" w:eastAsia="宋体" w:hAnsi="Times New Roman"/>
          <w:bCs/>
          <w:color w:val="auto"/>
          <w:sz w:val="24"/>
        </w:rPr>
      </w:pPr>
      <w:r>
        <w:rPr>
          <w:rFonts w:ascii="Times New Roman" w:eastAsia="宋体" w:hAnsi="Times New Roman" w:hint="eastAsia"/>
          <w:bCs/>
          <w:color w:val="auto"/>
          <w:sz w:val="24"/>
        </w:rPr>
        <w:t>本基金的托管费按前一日基金资产净值的</w:t>
      </w:r>
      <w:r>
        <w:rPr>
          <w:rFonts w:ascii="Times New Roman" w:eastAsia="宋体" w:hAnsi="Times New Roman" w:hint="eastAsia"/>
          <w:bCs/>
          <w:color w:val="auto"/>
          <w:sz w:val="24"/>
        </w:rPr>
        <w:t>0.</w:t>
      </w:r>
      <w:r>
        <w:rPr>
          <w:rFonts w:ascii="Times New Roman" w:eastAsia="宋体" w:hAnsi="Times New Roman"/>
          <w:bCs/>
          <w:color w:val="auto"/>
          <w:sz w:val="24"/>
        </w:rPr>
        <w:t>20</w:t>
      </w:r>
      <w:r>
        <w:rPr>
          <w:rFonts w:ascii="Times New Roman" w:eastAsia="宋体" w:hAnsi="Times New Roman" w:hint="eastAsia"/>
          <w:bCs/>
          <w:color w:val="auto"/>
          <w:sz w:val="24"/>
        </w:rPr>
        <w:t>%</w:t>
      </w:r>
      <w:r>
        <w:rPr>
          <w:rFonts w:ascii="Times New Roman" w:eastAsia="宋体" w:hAnsi="Times New Roman" w:hint="eastAsia"/>
          <w:bCs/>
          <w:color w:val="auto"/>
          <w:sz w:val="24"/>
        </w:rPr>
        <w:t>的年费率计提。托管费的计算方法如下：</w:t>
      </w:r>
    </w:p>
    <w:p w14:paraId="5AD2C49A" w14:textId="2AD0202F" w:rsidR="00D744A5" w:rsidRDefault="000E4967">
      <w:pPr>
        <w:pStyle w:val="af4"/>
        <w:spacing w:before="100" w:beforeAutospacing="1" w:after="100" w:afterAutospacing="1"/>
        <w:ind w:firstLine="461"/>
        <w:rPr>
          <w:rFonts w:ascii="Times New Roman" w:eastAsia="宋体" w:hAnsi="Times New Roman"/>
          <w:bCs/>
          <w:color w:val="auto"/>
          <w:sz w:val="24"/>
        </w:rPr>
      </w:pPr>
      <w:r>
        <w:rPr>
          <w:rFonts w:ascii="Times New Roman" w:eastAsia="宋体" w:hAnsi="Times New Roman" w:hint="eastAsia"/>
          <w:bCs/>
          <w:color w:val="auto"/>
          <w:sz w:val="24"/>
        </w:rPr>
        <w:t>H</w:t>
      </w:r>
      <w:r>
        <w:rPr>
          <w:rFonts w:ascii="Times New Roman" w:eastAsia="宋体" w:hAnsi="Times New Roman" w:hint="eastAsia"/>
          <w:bCs/>
          <w:color w:val="auto"/>
          <w:sz w:val="24"/>
        </w:rPr>
        <w:t>＝</w:t>
      </w:r>
      <w:r>
        <w:rPr>
          <w:rFonts w:ascii="Times New Roman" w:eastAsia="宋体" w:hAnsi="Times New Roman" w:hint="eastAsia"/>
          <w:bCs/>
          <w:color w:val="auto"/>
          <w:sz w:val="24"/>
        </w:rPr>
        <w:t>E</w:t>
      </w:r>
      <w:r>
        <w:rPr>
          <w:rFonts w:ascii="Times New Roman" w:eastAsia="宋体" w:hAnsi="Times New Roman" w:hint="eastAsia"/>
          <w:bCs/>
          <w:color w:val="auto"/>
          <w:sz w:val="24"/>
        </w:rPr>
        <w:t>×</w:t>
      </w:r>
      <w:r>
        <w:rPr>
          <w:rFonts w:ascii="Times New Roman" w:eastAsia="宋体" w:hAnsi="Times New Roman" w:hint="eastAsia"/>
          <w:bCs/>
          <w:color w:val="auto"/>
          <w:sz w:val="24"/>
        </w:rPr>
        <w:t>0.</w:t>
      </w:r>
      <w:r>
        <w:rPr>
          <w:rFonts w:ascii="Times New Roman" w:eastAsia="宋体" w:hAnsi="Times New Roman"/>
          <w:bCs/>
          <w:color w:val="auto"/>
          <w:sz w:val="24"/>
        </w:rPr>
        <w:t>20</w:t>
      </w:r>
      <w:r>
        <w:rPr>
          <w:rFonts w:ascii="Times New Roman" w:eastAsia="宋体" w:hAnsi="Times New Roman" w:hint="eastAsia"/>
          <w:bCs/>
          <w:color w:val="auto"/>
          <w:sz w:val="24"/>
        </w:rPr>
        <w:t>%</w:t>
      </w:r>
      <w:r>
        <w:rPr>
          <w:rFonts w:ascii="Times New Roman" w:eastAsia="宋体" w:hAnsi="Times New Roman" w:hint="eastAsia"/>
          <w:bCs/>
          <w:color w:val="auto"/>
          <w:sz w:val="24"/>
        </w:rPr>
        <w:t>÷当年天数</w:t>
      </w:r>
    </w:p>
    <w:p w14:paraId="62CD38A3" w14:textId="77777777" w:rsidR="00D744A5" w:rsidRDefault="000E4967">
      <w:pPr>
        <w:pStyle w:val="af4"/>
        <w:spacing w:before="100" w:beforeAutospacing="1" w:after="100" w:afterAutospacing="1"/>
        <w:ind w:firstLine="461"/>
        <w:rPr>
          <w:rFonts w:ascii="Times New Roman" w:eastAsia="宋体" w:hAnsi="Times New Roman"/>
          <w:bCs/>
          <w:color w:val="auto"/>
          <w:sz w:val="24"/>
        </w:rPr>
      </w:pPr>
      <w:r>
        <w:rPr>
          <w:rFonts w:ascii="Times New Roman" w:eastAsia="宋体" w:hAnsi="Times New Roman" w:hint="eastAsia"/>
          <w:bCs/>
          <w:color w:val="auto"/>
          <w:sz w:val="24"/>
        </w:rPr>
        <w:t>H</w:t>
      </w:r>
      <w:r>
        <w:rPr>
          <w:rFonts w:ascii="Times New Roman" w:eastAsia="宋体" w:hAnsi="Times New Roman" w:hint="eastAsia"/>
          <w:bCs/>
          <w:color w:val="auto"/>
          <w:sz w:val="24"/>
        </w:rPr>
        <w:t>为每日应计提的基金托管费</w:t>
      </w:r>
    </w:p>
    <w:p w14:paraId="7602A63E" w14:textId="77777777" w:rsidR="00D744A5" w:rsidRDefault="000E4967">
      <w:pPr>
        <w:pStyle w:val="af4"/>
        <w:spacing w:before="100" w:beforeAutospacing="1" w:after="100" w:afterAutospacing="1"/>
        <w:ind w:firstLine="461"/>
        <w:rPr>
          <w:rFonts w:ascii="Times New Roman" w:eastAsia="宋体" w:hAnsi="Times New Roman"/>
          <w:bCs/>
          <w:color w:val="auto"/>
          <w:sz w:val="24"/>
        </w:rPr>
      </w:pPr>
      <w:r>
        <w:rPr>
          <w:rFonts w:ascii="Times New Roman" w:eastAsia="宋体" w:hAnsi="Times New Roman" w:hint="eastAsia"/>
          <w:bCs/>
          <w:color w:val="auto"/>
          <w:sz w:val="24"/>
        </w:rPr>
        <w:t>E</w:t>
      </w:r>
      <w:r>
        <w:rPr>
          <w:rFonts w:ascii="Times New Roman" w:eastAsia="宋体" w:hAnsi="Times New Roman" w:hint="eastAsia"/>
          <w:bCs/>
          <w:color w:val="auto"/>
          <w:sz w:val="24"/>
        </w:rPr>
        <w:t>为前一日的基金资产净值</w:t>
      </w:r>
    </w:p>
    <w:p w14:paraId="5EB0A157" w14:textId="77777777" w:rsidR="00D744A5" w:rsidRDefault="000E4967">
      <w:pPr>
        <w:spacing w:before="100" w:beforeAutospacing="1" w:after="100" w:afterAutospacing="1" w:line="400" w:lineRule="exact"/>
        <w:ind w:firstLine="420"/>
        <w:rPr>
          <w:rFonts w:ascii="宋体" w:hAnsi="宋体"/>
          <w:sz w:val="24"/>
        </w:rPr>
      </w:pPr>
      <w:r>
        <w:rPr>
          <w:rFonts w:hint="eastAsia"/>
          <w:bCs/>
          <w:sz w:val="24"/>
        </w:rPr>
        <w:t>基金托管费每日计提，逐日累计至每月月末，按月支付。由基金托管人根据与基金管理人核对一致的财务数据，按照与基金管理人协商一致的方式在月初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工作日内、按照指定的账户路径进行资金支付。若遇法定节假日、休息日等，支付日期顺延。</w:t>
      </w:r>
    </w:p>
    <w:p w14:paraId="392A7A85"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w:t>
      </w:r>
      <w:r>
        <w:rPr>
          <w:rFonts w:ascii="宋体" w:hAnsi="宋体"/>
          <w:sz w:val="24"/>
        </w:rPr>
        <w:t>三）</w:t>
      </w:r>
      <w:r>
        <w:rPr>
          <w:rFonts w:ascii="宋体" w:hAnsi="宋体" w:hint="eastAsia"/>
          <w:sz w:val="24"/>
        </w:rPr>
        <w:t>销售服务费</w:t>
      </w:r>
    </w:p>
    <w:p w14:paraId="2DAB1A15" w14:textId="09D21C1D" w:rsidR="00D744A5" w:rsidRDefault="000E4967">
      <w:pPr>
        <w:spacing w:before="100" w:beforeAutospacing="1" w:after="100" w:afterAutospacing="1" w:line="400" w:lineRule="exact"/>
        <w:ind w:right="26" w:firstLine="403"/>
        <w:rPr>
          <w:bCs/>
          <w:sz w:val="24"/>
        </w:rPr>
      </w:pPr>
      <w:r>
        <w:rPr>
          <w:rFonts w:hint="eastAsia"/>
          <w:bCs/>
          <w:sz w:val="24"/>
        </w:rPr>
        <w:lastRenderedPageBreak/>
        <w:t>本基金</w:t>
      </w:r>
      <w:r>
        <w:rPr>
          <w:rFonts w:hint="eastAsia"/>
          <w:bCs/>
          <w:sz w:val="24"/>
        </w:rPr>
        <w:t xml:space="preserve"> 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类基金份额资产净值的</w:t>
      </w:r>
      <w:r>
        <w:rPr>
          <w:rFonts w:hint="eastAsia"/>
          <w:bCs/>
          <w:sz w:val="24"/>
        </w:rPr>
        <w:t>0.</w:t>
      </w:r>
      <w:r>
        <w:rPr>
          <w:bCs/>
          <w:sz w:val="24"/>
        </w:rPr>
        <w:t>50</w:t>
      </w:r>
      <w:r>
        <w:rPr>
          <w:rFonts w:hint="eastAsia"/>
          <w:bCs/>
          <w:sz w:val="24"/>
        </w:rPr>
        <w:t>%</w:t>
      </w:r>
      <w:r>
        <w:rPr>
          <w:rFonts w:hint="eastAsia"/>
          <w:bCs/>
          <w:sz w:val="24"/>
        </w:rPr>
        <w:t>年费率计提。计算方法如下：</w:t>
      </w:r>
    </w:p>
    <w:p w14:paraId="18146256" w14:textId="338A7BA8" w:rsidR="00D744A5" w:rsidRDefault="000E4967">
      <w:pPr>
        <w:spacing w:before="100" w:beforeAutospacing="1" w:after="100" w:afterAutospacing="1" w:line="400" w:lineRule="exact"/>
        <w:ind w:right="26" w:firstLine="403"/>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50</w:t>
      </w:r>
      <w:r>
        <w:rPr>
          <w:rFonts w:hint="eastAsia"/>
          <w:bCs/>
          <w:sz w:val="24"/>
        </w:rPr>
        <w:t>%</w:t>
      </w:r>
      <w:r>
        <w:rPr>
          <w:rFonts w:hint="eastAsia"/>
          <w:bCs/>
          <w:sz w:val="24"/>
        </w:rPr>
        <w:t>÷当年天数</w:t>
      </w:r>
    </w:p>
    <w:p w14:paraId="610D3463" w14:textId="77777777" w:rsidR="00D744A5" w:rsidRDefault="000E4967">
      <w:pPr>
        <w:spacing w:before="100" w:beforeAutospacing="1" w:after="100" w:afterAutospacing="1" w:line="400" w:lineRule="exact"/>
        <w:ind w:right="26" w:firstLine="403"/>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29FAE2E" w14:textId="77777777" w:rsidR="00D744A5" w:rsidRDefault="000E4967">
      <w:pPr>
        <w:spacing w:before="100" w:beforeAutospacing="1" w:after="100" w:afterAutospacing="1" w:line="400" w:lineRule="exact"/>
        <w:ind w:right="26" w:firstLine="403"/>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52E9E9FC"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基金销售服务费每日计提，逐日累计至每个月月末，按月支付。由基金托管人根据与基金管理人核对一致的财务数据，按照与基金管理人协商一致的方式在次月初5</w:t>
      </w:r>
      <w:proofErr w:type="gramStart"/>
      <w:r>
        <w:rPr>
          <w:rFonts w:ascii="宋体" w:hAnsi="宋体" w:hint="eastAsia"/>
          <w:sz w:val="24"/>
        </w:rPr>
        <w:t>个</w:t>
      </w:r>
      <w:proofErr w:type="gramEnd"/>
      <w:r>
        <w:rPr>
          <w:rFonts w:ascii="宋体" w:hAnsi="宋体" w:hint="eastAsia"/>
          <w:sz w:val="24"/>
        </w:rPr>
        <w:t>工作日内、按照指定的账户路径进行资金支付。</w:t>
      </w:r>
    </w:p>
    <w:p w14:paraId="72C24920"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销售服务费由注册登记机构代收，注册登记机构收到后按相关合同规定支付给基金销售机构。若遇法定节假日、休息日等，支付日期顺延。</w:t>
      </w:r>
    </w:p>
    <w:p w14:paraId="16FBFDC4" w14:textId="016AF7AA"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w:t>
      </w:r>
      <w:r w:rsidR="00031483">
        <w:rPr>
          <w:rFonts w:ascii="宋体" w:eastAsia="宋体" w:hint="eastAsia"/>
          <w:color w:val="auto"/>
          <w:sz w:val="24"/>
        </w:rPr>
        <w:t>四</w:t>
      </w:r>
      <w:r>
        <w:rPr>
          <w:rFonts w:ascii="宋体" w:eastAsia="宋体" w:hint="eastAsia"/>
          <w:color w:val="auto"/>
          <w:sz w:val="24"/>
        </w:rPr>
        <w:t>）从基金财产中列支基金管理人的管理费、基金托管人的托管费</w:t>
      </w:r>
      <w:r w:rsidR="00ED6B90">
        <w:rPr>
          <w:rFonts w:ascii="宋体" w:eastAsia="宋体" w:hint="eastAsia"/>
          <w:color w:val="auto"/>
          <w:sz w:val="24"/>
        </w:rPr>
        <w:t>、销售服务费</w:t>
      </w:r>
      <w:r>
        <w:rPr>
          <w:rFonts w:ascii="宋体" w:eastAsia="宋体" w:hint="eastAsia"/>
          <w:color w:val="auto"/>
          <w:sz w:val="24"/>
        </w:rPr>
        <w:t>之外的其他基金费用，应当依据有关法律法规、《基金合同》的规定执行。</w:t>
      </w:r>
    </w:p>
    <w:p w14:paraId="5C4311C8" w14:textId="7FABD8DF"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w:t>
      </w:r>
      <w:r w:rsidR="00031483">
        <w:rPr>
          <w:rFonts w:ascii="宋体" w:eastAsia="宋体" w:hint="eastAsia"/>
          <w:color w:val="auto"/>
          <w:sz w:val="24"/>
        </w:rPr>
        <w:t>五</w:t>
      </w:r>
      <w:r>
        <w:rPr>
          <w:rFonts w:ascii="宋体" w:eastAsia="宋体" w:hint="eastAsia"/>
          <w:color w:val="auto"/>
          <w:sz w:val="24"/>
        </w:rPr>
        <w:t>）本基金实施</w:t>
      </w:r>
      <w:proofErr w:type="gramStart"/>
      <w:r>
        <w:rPr>
          <w:rFonts w:ascii="宋体" w:eastAsia="宋体" w:hint="eastAsia"/>
          <w:color w:val="auto"/>
          <w:sz w:val="24"/>
        </w:rPr>
        <w:t>侧袋机制</w:t>
      </w:r>
      <w:proofErr w:type="gramEnd"/>
      <w:r>
        <w:rPr>
          <w:rFonts w:ascii="宋体" w:eastAsia="宋体" w:hint="eastAsia"/>
          <w:color w:val="auto"/>
          <w:sz w:val="24"/>
        </w:rPr>
        <w:t>的，</w:t>
      </w:r>
      <w:proofErr w:type="gramStart"/>
      <w:r>
        <w:rPr>
          <w:rFonts w:ascii="宋体" w:eastAsia="宋体" w:hint="eastAsia"/>
          <w:color w:val="auto"/>
          <w:sz w:val="24"/>
        </w:rPr>
        <w:t>与侧袋账户</w:t>
      </w:r>
      <w:proofErr w:type="gramEnd"/>
      <w:r>
        <w:rPr>
          <w:rFonts w:ascii="宋体" w:eastAsia="宋体" w:hint="eastAsia"/>
          <w:color w:val="auto"/>
          <w:sz w:val="24"/>
        </w:rPr>
        <w:t>有关的费用可以</w:t>
      </w:r>
      <w:proofErr w:type="gramStart"/>
      <w:r>
        <w:rPr>
          <w:rFonts w:ascii="宋体" w:eastAsia="宋体" w:hint="eastAsia"/>
          <w:color w:val="auto"/>
          <w:sz w:val="24"/>
        </w:rPr>
        <w:t>从侧袋账户</w:t>
      </w:r>
      <w:proofErr w:type="gramEnd"/>
      <w:r>
        <w:rPr>
          <w:rFonts w:ascii="宋体" w:eastAsia="宋体" w:hint="eastAsia"/>
          <w:color w:val="auto"/>
          <w:sz w:val="24"/>
        </w:rPr>
        <w:t>中列支，但应</w:t>
      </w:r>
      <w:proofErr w:type="gramStart"/>
      <w:r>
        <w:rPr>
          <w:rFonts w:ascii="宋体" w:eastAsia="宋体" w:hint="eastAsia"/>
          <w:color w:val="auto"/>
          <w:sz w:val="24"/>
        </w:rPr>
        <w:t>待侧袋</w:t>
      </w:r>
      <w:proofErr w:type="gramEnd"/>
      <w:r>
        <w:rPr>
          <w:rFonts w:ascii="宋体" w:eastAsia="宋体" w:hint="eastAsia"/>
          <w:color w:val="auto"/>
          <w:sz w:val="24"/>
        </w:rPr>
        <w:t>账户资产变现后方可列支，有关费用可酌情收取或减免，但基金管理人不得</w:t>
      </w:r>
      <w:proofErr w:type="gramStart"/>
      <w:r>
        <w:rPr>
          <w:rFonts w:ascii="宋体" w:eastAsia="宋体" w:hint="eastAsia"/>
          <w:color w:val="auto"/>
          <w:sz w:val="24"/>
        </w:rPr>
        <w:t>就侧袋账户</w:t>
      </w:r>
      <w:proofErr w:type="gramEnd"/>
      <w:r>
        <w:rPr>
          <w:rFonts w:ascii="宋体" w:eastAsia="宋体" w:hint="eastAsia"/>
          <w:color w:val="auto"/>
          <w:sz w:val="24"/>
        </w:rPr>
        <w:t>资产收取管理费。</w:t>
      </w:r>
    </w:p>
    <w:p w14:paraId="140E0DBC" w14:textId="7EABD1FA"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w:t>
      </w:r>
      <w:r w:rsidR="00031483">
        <w:rPr>
          <w:rFonts w:ascii="宋体" w:eastAsia="宋体" w:hint="eastAsia"/>
          <w:color w:val="auto"/>
          <w:sz w:val="24"/>
        </w:rPr>
        <w:t>六</w:t>
      </w:r>
      <w:r>
        <w:rPr>
          <w:rFonts w:ascii="宋体" w:eastAsia="宋体" w:hint="eastAsia"/>
          <w:color w:val="auto"/>
          <w:sz w:val="24"/>
        </w:rPr>
        <w:t>）对于</w:t>
      </w:r>
      <w:r>
        <w:rPr>
          <w:rFonts w:ascii="宋体" w:eastAsia="宋体" w:cs="方正仿宋简体" w:hint="eastAsia"/>
          <w:sz w:val="24"/>
        </w:rPr>
        <w:t>违反法律法规、</w:t>
      </w:r>
      <w:r>
        <w:rPr>
          <w:rFonts w:ascii="宋体" w:eastAsia="宋体" w:hint="eastAsia"/>
          <w:color w:val="auto"/>
          <w:sz w:val="24"/>
        </w:rPr>
        <w:t>《基金合同》</w:t>
      </w:r>
      <w:r>
        <w:rPr>
          <w:rFonts w:ascii="宋体" w:eastAsia="宋体" w:cs="方正仿宋简体" w:hint="eastAsia"/>
          <w:sz w:val="24"/>
        </w:rPr>
        <w:t>、本协议及其他有关规定</w:t>
      </w:r>
      <w:r>
        <w:rPr>
          <w:rFonts w:ascii="宋体" w:eastAsia="宋体" w:hint="eastAsia"/>
          <w:color w:val="auto"/>
          <w:sz w:val="24"/>
        </w:rPr>
        <w:t>（包括基金费用的计提方法、计提标准、支付方式等）的基金费用，不得从任何基金财产中列支。</w:t>
      </w:r>
    </w:p>
    <w:p w14:paraId="7A31A43C" w14:textId="20A37003"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w:t>
      </w:r>
      <w:r w:rsidR="00031483">
        <w:rPr>
          <w:rFonts w:ascii="宋体" w:eastAsia="宋体" w:hint="eastAsia"/>
          <w:color w:val="auto"/>
          <w:sz w:val="24"/>
        </w:rPr>
        <w:t>七</w:t>
      </w:r>
      <w:r>
        <w:rPr>
          <w:rFonts w:ascii="宋体" w:eastAsia="宋体" w:hint="eastAsia"/>
          <w:color w:val="auto"/>
          <w:sz w:val="24"/>
        </w:rPr>
        <w:t>）本基金支付给基金管理人、基金托管人的各项费用均为含税价格，具体税率适用中国税务机关的相关规定。</w:t>
      </w:r>
    </w:p>
    <w:p w14:paraId="5D7681D0" w14:textId="77777777" w:rsidR="00D744A5" w:rsidRDefault="00D744A5">
      <w:pPr>
        <w:pStyle w:val="af4"/>
        <w:spacing w:before="100" w:beforeAutospacing="1" w:after="100" w:afterAutospacing="1"/>
        <w:ind w:firstLine="461"/>
        <w:rPr>
          <w:rFonts w:ascii="宋体" w:eastAsia="宋体"/>
          <w:color w:val="auto"/>
          <w:sz w:val="24"/>
        </w:rPr>
      </w:pPr>
    </w:p>
    <w:p w14:paraId="265EF7AF" w14:textId="77777777" w:rsidR="00D744A5" w:rsidRDefault="000E4967">
      <w:pPr>
        <w:pStyle w:val="1"/>
        <w:spacing w:before="100" w:beforeAutospacing="1" w:after="100" w:afterAutospacing="1" w:line="400" w:lineRule="exact"/>
        <w:ind w:firstLine="422"/>
        <w:rPr>
          <w:rFonts w:ascii="宋体" w:hAnsi="宋体"/>
          <w:sz w:val="24"/>
          <w:szCs w:val="24"/>
          <w:highlight w:val="lightGray"/>
        </w:rPr>
      </w:pPr>
      <w:bookmarkStart w:id="16" w:name="_Toc116900107"/>
      <w:bookmarkEnd w:id="15"/>
      <w:r>
        <w:rPr>
          <w:rFonts w:ascii="宋体" w:hAnsi="宋体" w:hint="eastAsia"/>
          <w:sz w:val="24"/>
          <w:szCs w:val="24"/>
        </w:rPr>
        <w:t>十二、基金份额持有人名册的保管</w:t>
      </w:r>
    </w:p>
    <w:p w14:paraId="2450B65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w:t>
      </w:r>
      <w:r>
        <w:rPr>
          <w:rFonts w:ascii="宋体" w:eastAsia="宋体" w:hint="eastAsia"/>
          <w:color w:val="auto"/>
          <w:sz w:val="24"/>
        </w:rPr>
        <w:lastRenderedPageBreak/>
        <w:t>期不少于法律法规规定的最低期限，法律法规另有规定或有权机关另有要求的除外。如不能妥善保管，则按相关法规承担责任。</w:t>
      </w:r>
    </w:p>
    <w:p w14:paraId="4770D3B1"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E761932" w14:textId="77777777" w:rsidR="00D744A5" w:rsidRDefault="00D744A5">
      <w:pPr>
        <w:pStyle w:val="af4"/>
        <w:spacing w:before="100" w:beforeAutospacing="1" w:after="100" w:afterAutospacing="1"/>
        <w:ind w:firstLine="461"/>
        <w:rPr>
          <w:rFonts w:ascii="宋体" w:eastAsia="宋体"/>
          <w:color w:val="auto"/>
          <w:sz w:val="24"/>
        </w:rPr>
      </w:pPr>
    </w:p>
    <w:p w14:paraId="23B18296" w14:textId="77777777" w:rsidR="00D744A5" w:rsidRDefault="000E4967">
      <w:pPr>
        <w:pStyle w:val="1"/>
        <w:spacing w:before="100" w:beforeAutospacing="1" w:after="100" w:afterAutospacing="1" w:line="400" w:lineRule="exact"/>
        <w:ind w:firstLine="422"/>
        <w:rPr>
          <w:rFonts w:ascii="宋体" w:hAnsi="宋体"/>
          <w:sz w:val="24"/>
          <w:szCs w:val="24"/>
        </w:rPr>
      </w:pPr>
      <w:r>
        <w:rPr>
          <w:rFonts w:ascii="宋体" w:hAnsi="宋体" w:hint="eastAsia"/>
          <w:sz w:val="24"/>
          <w:szCs w:val="24"/>
        </w:rPr>
        <w:t>十三、基金有关文件档案的保存</w:t>
      </w:r>
    </w:p>
    <w:p w14:paraId="6BEB6BC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（一）</w:t>
      </w:r>
      <w:r>
        <w:rPr>
          <w:rFonts w:ascii="宋体" w:eastAsia="宋体" w:cs="方正仿宋简体" w:hint="eastAsia"/>
          <w:sz w:val="24"/>
        </w:rPr>
        <w:t>基金管理人应保存基金财产管理业务活动的记录、账册、报表和其他相关资料，基金托管人应保存基金托管业务活动的记录、账册、报表和其他相关资料，保存期限不少于法律法规规定的最低期限。</w:t>
      </w:r>
    </w:p>
    <w:p w14:paraId="4193002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（二）基金管理人和基金托管人应按本协议第十条的约定对各自保存的文件和档案履行保密义务。</w:t>
      </w:r>
    </w:p>
    <w:p w14:paraId="3F7A5F17" w14:textId="77777777" w:rsidR="00D744A5" w:rsidRDefault="00D744A5">
      <w:pPr>
        <w:spacing w:before="100" w:beforeAutospacing="1" w:after="100" w:afterAutospacing="1" w:line="400" w:lineRule="exact"/>
        <w:rPr>
          <w:rFonts w:ascii="宋体" w:hAnsi="宋体"/>
          <w:sz w:val="24"/>
        </w:rPr>
      </w:pPr>
    </w:p>
    <w:p w14:paraId="549EDDA8" w14:textId="77777777" w:rsidR="00D744A5" w:rsidRDefault="000E4967">
      <w:pPr>
        <w:pStyle w:val="1"/>
        <w:spacing w:before="100" w:beforeAutospacing="1" w:after="100" w:afterAutospacing="1" w:line="400" w:lineRule="exact"/>
        <w:ind w:firstLine="422"/>
        <w:rPr>
          <w:rFonts w:ascii="宋体" w:hAnsi="宋体"/>
          <w:sz w:val="24"/>
          <w:szCs w:val="24"/>
        </w:rPr>
      </w:pPr>
      <w:r>
        <w:rPr>
          <w:rFonts w:ascii="宋体" w:hAnsi="宋体" w:hint="eastAsia"/>
          <w:sz w:val="24"/>
          <w:szCs w:val="24"/>
        </w:rPr>
        <w:t>十四、</w:t>
      </w:r>
      <w:bookmarkStart w:id="17" w:name="_Toc116900108"/>
      <w:bookmarkEnd w:id="16"/>
      <w:r>
        <w:rPr>
          <w:rFonts w:ascii="宋体" w:hAnsi="宋体" w:hint="eastAsia"/>
          <w:sz w:val="24"/>
          <w:szCs w:val="24"/>
        </w:rPr>
        <w:t>基金托管人和基金管理人的更换</w:t>
      </w:r>
      <w:bookmarkEnd w:id="17"/>
      <w:r>
        <w:rPr>
          <w:rFonts w:ascii="宋体" w:hAnsi="宋体" w:hint="eastAsia"/>
          <w:sz w:val="24"/>
          <w:szCs w:val="24"/>
        </w:rPr>
        <w:t xml:space="preserve"> </w:t>
      </w:r>
    </w:p>
    <w:p w14:paraId="6DAA49E0"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（一）</w:t>
      </w:r>
      <w:r>
        <w:rPr>
          <w:rFonts w:ascii="宋体" w:hAnsi="宋体"/>
          <w:sz w:val="24"/>
        </w:rPr>
        <w:t>基金管理人职责终止</w:t>
      </w:r>
      <w:r>
        <w:rPr>
          <w:rFonts w:ascii="宋体" w:hAnsi="宋体" w:hint="eastAsia"/>
          <w:sz w:val="24"/>
        </w:rPr>
        <w:t>后</w:t>
      </w:r>
      <w:r>
        <w:rPr>
          <w:rFonts w:ascii="宋体" w:hAnsi="宋体"/>
          <w:sz w:val="24"/>
        </w:rPr>
        <w:t>，</w:t>
      </w:r>
      <w:r>
        <w:rPr>
          <w:rFonts w:ascii="宋体" w:hAnsi="宋体" w:hint="eastAsia"/>
          <w:sz w:val="24"/>
        </w:rPr>
        <w:t>仍</w:t>
      </w:r>
      <w:r>
        <w:rPr>
          <w:rFonts w:ascii="宋体" w:hAnsi="宋体"/>
          <w:sz w:val="24"/>
        </w:rPr>
        <w:t>应妥善保管基金管理业务资料，</w:t>
      </w:r>
      <w:r>
        <w:rPr>
          <w:rFonts w:ascii="宋体" w:hAnsi="宋体" w:hint="eastAsia"/>
          <w:sz w:val="24"/>
        </w:rPr>
        <w:t>并与</w:t>
      </w:r>
      <w:proofErr w:type="gramStart"/>
      <w:r>
        <w:rPr>
          <w:rFonts w:ascii="宋体" w:hAnsi="宋体" w:hint="eastAsia"/>
          <w:sz w:val="24"/>
        </w:rPr>
        <w:t>新任基金</w:t>
      </w:r>
      <w:proofErr w:type="gramEnd"/>
      <w:r>
        <w:rPr>
          <w:rFonts w:ascii="宋体" w:hAnsi="宋体" w:hint="eastAsia"/>
          <w:sz w:val="24"/>
        </w:rPr>
        <w:t>管理人或临时基金管理人</w:t>
      </w:r>
      <w:r>
        <w:rPr>
          <w:rFonts w:ascii="宋体" w:hAnsi="宋体"/>
          <w:sz w:val="24"/>
        </w:rPr>
        <w:t>及时办理基金管理业务的移交手续。</w:t>
      </w:r>
      <w:r>
        <w:rPr>
          <w:rFonts w:ascii="宋体" w:hAnsi="宋体" w:hint="eastAsia"/>
          <w:sz w:val="24"/>
        </w:rPr>
        <w:t>基金托管人应给予积极配合，并与</w:t>
      </w:r>
      <w:proofErr w:type="gramStart"/>
      <w:r>
        <w:rPr>
          <w:rFonts w:ascii="宋体" w:hAnsi="宋体" w:hint="eastAsia"/>
          <w:sz w:val="24"/>
        </w:rPr>
        <w:t>新任基金</w:t>
      </w:r>
      <w:proofErr w:type="gramEnd"/>
      <w:r>
        <w:rPr>
          <w:rFonts w:ascii="宋体" w:hAnsi="宋体" w:hint="eastAsia"/>
          <w:sz w:val="24"/>
        </w:rPr>
        <w:t>管理人或临时基金管理人核对基金资产总值和净值。</w:t>
      </w:r>
    </w:p>
    <w:p w14:paraId="38E0FA08" w14:textId="77777777" w:rsidR="00D744A5" w:rsidRDefault="000E4967">
      <w:pPr>
        <w:spacing w:before="100" w:beforeAutospacing="1" w:after="100" w:afterAutospacing="1" w:line="400" w:lineRule="exact"/>
        <w:ind w:firstLine="420"/>
        <w:rPr>
          <w:rFonts w:ascii="宋体" w:hAnsi="宋体"/>
          <w:sz w:val="24"/>
        </w:rPr>
      </w:pPr>
      <w:r>
        <w:rPr>
          <w:rFonts w:ascii="宋体" w:hAnsi="宋体" w:hint="eastAsia"/>
          <w:sz w:val="24"/>
        </w:rPr>
        <w:t>（二）</w:t>
      </w:r>
      <w:r>
        <w:rPr>
          <w:rFonts w:ascii="宋体" w:hAnsi="宋体"/>
          <w:sz w:val="24"/>
        </w:rPr>
        <w:t>基金托管人职责终止</w:t>
      </w:r>
      <w:r>
        <w:rPr>
          <w:rFonts w:ascii="宋体" w:hAnsi="宋体" w:hint="eastAsia"/>
          <w:sz w:val="24"/>
        </w:rPr>
        <w:t>后</w:t>
      </w:r>
      <w:r>
        <w:rPr>
          <w:rFonts w:ascii="宋体" w:hAnsi="宋体"/>
          <w:sz w:val="24"/>
        </w:rPr>
        <w:t>，</w:t>
      </w:r>
      <w:r>
        <w:rPr>
          <w:rFonts w:ascii="宋体" w:hAnsi="宋体" w:hint="eastAsia"/>
          <w:sz w:val="24"/>
        </w:rPr>
        <w:t>仍</w:t>
      </w:r>
      <w:r>
        <w:rPr>
          <w:rFonts w:ascii="宋体" w:hAnsi="宋体"/>
          <w:sz w:val="24"/>
        </w:rPr>
        <w:t>应妥善保管基金财产和基金托管业务资料，</w:t>
      </w:r>
      <w:r>
        <w:rPr>
          <w:rFonts w:ascii="宋体" w:hAnsi="宋体" w:hint="eastAsia"/>
          <w:sz w:val="24"/>
        </w:rPr>
        <w:t>并与</w:t>
      </w:r>
      <w:proofErr w:type="gramStart"/>
      <w:r>
        <w:rPr>
          <w:rFonts w:ascii="宋体" w:hAnsi="宋体" w:hint="eastAsia"/>
          <w:sz w:val="24"/>
        </w:rPr>
        <w:t>新任基金</w:t>
      </w:r>
      <w:proofErr w:type="gramEnd"/>
      <w:r>
        <w:rPr>
          <w:rFonts w:ascii="宋体" w:hAnsi="宋体" w:hint="eastAsia"/>
          <w:sz w:val="24"/>
        </w:rPr>
        <w:t>托管人或临时基金托管人</w:t>
      </w:r>
      <w:r>
        <w:rPr>
          <w:rFonts w:ascii="宋体" w:hAnsi="宋体"/>
          <w:sz w:val="24"/>
        </w:rPr>
        <w:t>及时办理基金财产和基金托管业务的移交手续。</w:t>
      </w:r>
      <w:r>
        <w:rPr>
          <w:rFonts w:ascii="宋体" w:hAnsi="宋体" w:hint="eastAsia"/>
          <w:sz w:val="24"/>
        </w:rPr>
        <w:t>基金管理人应给予积极配合，并与</w:t>
      </w:r>
      <w:proofErr w:type="gramStart"/>
      <w:r>
        <w:rPr>
          <w:rFonts w:ascii="宋体" w:hAnsi="宋体" w:hint="eastAsia"/>
          <w:sz w:val="24"/>
        </w:rPr>
        <w:t>新任基金</w:t>
      </w:r>
      <w:proofErr w:type="gramEnd"/>
      <w:r>
        <w:rPr>
          <w:rFonts w:ascii="宋体" w:hAnsi="宋体" w:hint="eastAsia"/>
          <w:sz w:val="24"/>
        </w:rPr>
        <w:t>托管人或临时基金托管人核对基金资产总值和净值。</w:t>
      </w:r>
    </w:p>
    <w:p w14:paraId="29E4CEDD" w14:textId="77777777" w:rsidR="00D744A5" w:rsidRDefault="000E4967">
      <w:pPr>
        <w:spacing w:before="100" w:beforeAutospacing="1" w:after="100" w:afterAutospacing="1" w:line="400" w:lineRule="exact"/>
        <w:ind w:firstLine="480"/>
        <w:rPr>
          <w:rFonts w:ascii="宋体" w:hAnsi="宋体"/>
          <w:sz w:val="24"/>
        </w:rPr>
      </w:pPr>
      <w:r>
        <w:rPr>
          <w:rFonts w:ascii="宋体" w:hAnsi="宋体" w:hint="eastAsia"/>
          <w:sz w:val="24"/>
        </w:rPr>
        <w:t>（三）其他事宜见《基金合同》的相关约定。</w:t>
      </w:r>
    </w:p>
    <w:p w14:paraId="49E0B27A" w14:textId="77777777" w:rsidR="00D744A5" w:rsidRDefault="00D744A5">
      <w:pPr>
        <w:spacing w:before="100" w:beforeAutospacing="1" w:after="100" w:afterAutospacing="1" w:line="400" w:lineRule="exact"/>
        <w:ind w:firstLine="540"/>
        <w:rPr>
          <w:rFonts w:ascii="宋体" w:hAnsi="宋体"/>
          <w:sz w:val="24"/>
        </w:rPr>
      </w:pPr>
    </w:p>
    <w:p w14:paraId="4C2BC305" w14:textId="77777777" w:rsidR="00D744A5" w:rsidRDefault="000E4967">
      <w:pPr>
        <w:pStyle w:val="1"/>
        <w:spacing w:before="100" w:beforeAutospacing="1" w:after="100" w:afterAutospacing="1" w:line="400" w:lineRule="exact"/>
        <w:ind w:firstLine="422"/>
        <w:rPr>
          <w:rFonts w:ascii="宋体" w:hAnsi="宋体"/>
          <w:sz w:val="24"/>
          <w:szCs w:val="24"/>
        </w:rPr>
      </w:pPr>
      <w:bookmarkStart w:id="18" w:name="_Toc116900110"/>
      <w:r>
        <w:rPr>
          <w:rFonts w:ascii="宋体" w:hAnsi="宋体" w:hint="eastAsia"/>
          <w:sz w:val="24"/>
          <w:szCs w:val="24"/>
        </w:rPr>
        <w:lastRenderedPageBreak/>
        <w:t>十五、禁止行为</w:t>
      </w:r>
      <w:bookmarkEnd w:id="18"/>
    </w:p>
    <w:p w14:paraId="45E56258"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（一）</w:t>
      </w:r>
      <w:r>
        <w:rPr>
          <w:rFonts w:ascii="宋体" w:hAnsi="宋体" w:cs="方正仿宋简体" w:hint="eastAsia"/>
          <w:sz w:val="24"/>
        </w:rPr>
        <w:t>《基金法》第二十条、第三十八条禁止的行为。</w:t>
      </w:r>
    </w:p>
    <w:p w14:paraId="0BFAA768"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（二）《基金法》第七十三条禁止的投资或活动。</w:t>
      </w:r>
    </w:p>
    <w:p w14:paraId="29F507AA"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（三）除根据基金管理人的指令或《基金合同》、本协议另有规定外，基金托管人不得动用或处分基金财产。</w:t>
      </w:r>
    </w:p>
    <w:p w14:paraId="3833D827"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（四）基金管理人、基金托管人的高级管理人员和其他从业人员不得相互兼职。</w:t>
      </w:r>
    </w:p>
    <w:p w14:paraId="37F8306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（五）法律法规、《基金合同》和本协议禁止的其他行为。</w:t>
      </w:r>
    </w:p>
    <w:p w14:paraId="4764B568"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法律法规或监管部门调整上述限制的，本基金从其规定。</w:t>
      </w:r>
    </w:p>
    <w:p w14:paraId="7D902B26" w14:textId="77777777" w:rsidR="00D744A5" w:rsidRDefault="00D744A5">
      <w:pPr>
        <w:pStyle w:val="af4"/>
        <w:spacing w:before="100" w:beforeAutospacing="1" w:after="100" w:afterAutospacing="1"/>
        <w:ind w:firstLine="461"/>
        <w:rPr>
          <w:rFonts w:ascii="宋体" w:eastAsia="宋体"/>
          <w:color w:val="auto"/>
          <w:sz w:val="24"/>
        </w:rPr>
      </w:pPr>
    </w:p>
    <w:p w14:paraId="1ED43EE0" w14:textId="77777777" w:rsidR="00D744A5" w:rsidRDefault="000E4967">
      <w:pPr>
        <w:pStyle w:val="1"/>
        <w:spacing w:before="100" w:beforeAutospacing="1" w:after="100" w:afterAutospacing="1" w:line="400" w:lineRule="exact"/>
        <w:ind w:firstLine="422"/>
        <w:rPr>
          <w:rFonts w:ascii="宋体" w:hAnsi="宋体"/>
          <w:sz w:val="24"/>
          <w:szCs w:val="24"/>
        </w:rPr>
      </w:pPr>
      <w:bookmarkStart w:id="19" w:name="_Toc116900111"/>
      <w:r>
        <w:rPr>
          <w:rFonts w:ascii="宋体" w:hAnsi="宋体" w:hint="eastAsia"/>
          <w:sz w:val="24"/>
          <w:szCs w:val="24"/>
        </w:rPr>
        <w:t>十六、托管协议的变更、终止与基金财产的清算</w:t>
      </w:r>
    </w:p>
    <w:p w14:paraId="4F7CEAC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（一）托管协议的变更</w:t>
      </w:r>
    </w:p>
    <w:p w14:paraId="064767C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本协议双方当事人经协商一致，可以对协议进行变更。变更后的新协议，其内容不得与《基金合同》的规定有任何冲突。</w:t>
      </w:r>
    </w:p>
    <w:p w14:paraId="7C64F975"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（二）托管协议的终止</w:t>
      </w:r>
    </w:p>
    <w:p w14:paraId="48C2F83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发生以下情况，本托管协议应当终止：</w:t>
      </w:r>
    </w:p>
    <w:p w14:paraId="7ABA040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1、《基金合同》终止；</w:t>
      </w:r>
    </w:p>
    <w:p w14:paraId="4D38EEB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2、本基金更换基金托管人；</w:t>
      </w:r>
    </w:p>
    <w:p w14:paraId="1C2A8D44"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3、本基金更换基金管理人；</w:t>
      </w:r>
    </w:p>
    <w:p w14:paraId="277A38AE"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4、发生《基金法》、《运作办法》或其他法律法规规定的终止事项。</w:t>
      </w:r>
    </w:p>
    <w:p w14:paraId="16DD2FE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（三）基金财产的清算</w:t>
      </w:r>
    </w:p>
    <w:p w14:paraId="3E8439DD" w14:textId="77777777" w:rsidR="00D744A5" w:rsidRDefault="000E4967">
      <w:pPr>
        <w:spacing w:before="100" w:beforeAutospacing="1" w:after="100" w:afterAutospacing="1" w:line="400" w:lineRule="exact"/>
        <w:ind w:firstLine="420"/>
        <w:rPr>
          <w:rFonts w:ascii="宋体" w:hAnsi="宋体"/>
          <w:color w:val="000000"/>
          <w:sz w:val="24"/>
        </w:rPr>
      </w:pPr>
      <w:r>
        <w:rPr>
          <w:rFonts w:ascii="宋体" w:hAnsi="宋体" w:hint="eastAsia"/>
          <w:color w:val="000000"/>
          <w:sz w:val="24"/>
        </w:rPr>
        <w:t>基金管理人和基金托管人应按照《基金合同》及有关法律法规的规定对本</w:t>
      </w:r>
      <w:r>
        <w:rPr>
          <w:rFonts w:ascii="宋体" w:hAnsi="宋体" w:hint="eastAsia"/>
          <w:color w:val="000000"/>
          <w:sz w:val="24"/>
        </w:rPr>
        <w:lastRenderedPageBreak/>
        <w:t>基金的财产进行清算。</w:t>
      </w:r>
    </w:p>
    <w:p w14:paraId="71ACB7E9" w14:textId="77777777" w:rsidR="00D744A5" w:rsidRDefault="00D744A5">
      <w:pPr>
        <w:spacing w:before="100" w:beforeAutospacing="1" w:after="100" w:afterAutospacing="1" w:line="400" w:lineRule="exact"/>
        <w:ind w:firstLine="514"/>
        <w:rPr>
          <w:rFonts w:ascii="宋体" w:hAnsi="宋体"/>
          <w:sz w:val="24"/>
        </w:rPr>
      </w:pPr>
    </w:p>
    <w:p w14:paraId="0A1863AD" w14:textId="77777777" w:rsidR="00D744A5" w:rsidRDefault="000E4967">
      <w:pPr>
        <w:pStyle w:val="1"/>
        <w:spacing w:before="100" w:beforeAutospacing="1" w:after="100" w:afterAutospacing="1" w:line="400" w:lineRule="exact"/>
        <w:ind w:firstLine="422"/>
        <w:rPr>
          <w:rFonts w:ascii="宋体" w:hAnsi="宋体"/>
          <w:sz w:val="24"/>
          <w:szCs w:val="24"/>
        </w:rPr>
      </w:pPr>
      <w:bookmarkStart w:id="20" w:name="_Toc116900112"/>
      <w:bookmarkEnd w:id="19"/>
      <w:r>
        <w:rPr>
          <w:rFonts w:ascii="宋体" w:hAnsi="宋体" w:hint="eastAsia"/>
          <w:sz w:val="24"/>
          <w:szCs w:val="24"/>
        </w:rPr>
        <w:t>十七、违约责任和责任划分</w:t>
      </w:r>
    </w:p>
    <w:p w14:paraId="64B4AB67"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（一）</w:t>
      </w:r>
      <w:r>
        <w:rPr>
          <w:rFonts w:ascii="宋体" w:hAnsi="宋体" w:cs="方正仿宋简体" w:hint="eastAsia"/>
          <w:sz w:val="24"/>
        </w:rPr>
        <w:t>本协议当事人不履行本协议或履行本协议不符合约定的，应当承担违约责任。</w:t>
      </w:r>
    </w:p>
    <w:p w14:paraId="02207A2B"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（二）因本协议当事人违约给基金财产或者基金份额持有人造成损害的，应当分别对各自的行为依法承担赔偿责任，因共同行为给基金财产或者基金份额持有人造成损害的，应当承担连带赔偿责任。</w:t>
      </w:r>
      <w:r>
        <w:rPr>
          <w:rFonts w:ascii="宋体" w:hAnsi="宋体" w:cs="方正仿宋简体"/>
          <w:sz w:val="24"/>
        </w:rPr>
        <w:t>对损失的赔偿，仅限于直接损失。</w:t>
      </w:r>
      <w:r>
        <w:rPr>
          <w:rFonts w:ascii="宋体" w:hAnsi="宋体" w:cs="方正仿宋简体" w:hint="eastAsia"/>
          <w:sz w:val="24"/>
        </w:rPr>
        <w:t>但是发生下列情况之一的，当事人可以免责：</w:t>
      </w:r>
    </w:p>
    <w:p w14:paraId="32FB7EBE"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1、基金管理人及基金托管人按照当时有效的法律法规或中国证监会的规定作为或不作为而造成的损失等；</w:t>
      </w:r>
    </w:p>
    <w:p w14:paraId="7539FE90"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2、基金管理人由于按照《基金合同》规定的投资原则而行使或不行使其投资权而造成的损失等；</w:t>
      </w:r>
    </w:p>
    <w:p w14:paraId="4CE7CC5A"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3、不可抗力；</w:t>
      </w:r>
    </w:p>
    <w:p w14:paraId="73978437"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4、基金托管人对存放或存管在基金托管人以外机构的基金资产，或交由证券公司等其他机构负责清算交收的基金资产及其收益不承担任何责任；</w:t>
      </w:r>
    </w:p>
    <w:p w14:paraId="16B824EC" w14:textId="77777777" w:rsidR="00D744A5" w:rsidRDefault="000E4967">
      <w:pPr>
        <w:snapToGrid w:val="0"/>
        <w:spacing w:before="100" w:beforeAutospacing="1" w:after="100" w:afterAutospacing="1" w:line="400" w:lineRule="exact"/>
        <w:ind w:firstLine="480"/>
        <w:rPr>
          <w:rFonts w:ascii="宋体" w:hAnsi="宋体" w:cs="方正仿宋简体"/>
          <w:sz w:val="24"/>
        </w:rPr>
      </w:pPr>
      <w:r>
        <w:rPr>
          <w:rFonts w:ascii="宋体" w:hAnsi="宋体" w:cs="方正仿宋简体" w:hint="eastAsia"/>
          <w:sz w:val="24"/>
        </w:rPr>
        <w:t>5、计算机系统故障、网络故障、通讯故障、电力故障、计算机病毒攻击及其它</w:t>
      </w:r>
      <w:proofErr w:type="gramStart"/>
      <w:r>
        <w:rPr>
          <w:rFonts w:ascii="宋体" w:hAnsi="宋体" w:cs="方正仿宋简体" w:hint="eastAsia"/>
          <w:sz w:val="24"/>
        </w:rPr>
        <w:t>非基金</w:t>
      </w:r>
      <w:proofErr w:type="gramEnd"/>
      <w:r>
        <w:rPr>
          <w:rFonts w:ascii="宋体" w:hAnsi="宋体" w:cs="方正仿宋简体" w:hint="eastAsia"/>
          <w:sz w:val="24"/>
        </w:rPr>
        <w:t>管理人、基金托管人过错造成的意外事故。</w:t>
      </w:r>
    </w:p>
    <w:p w14:paraId="316D3DCA"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（三）一方当事人违反本协议，给另一方当事人造成损失的，应承担赔偿责任。</w:t>
      </w:r>
    </w:p>
    <w:p w14:paraId="46E82FDF"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hint="eastAsia"/>
          <w:sz w:val="24"/>
        </w:rPr>
        <w:t>（四）因不可抗力不能履行本协议的，根据不可抗力的影响，违约方部分或全部免除责任，但法律另有规定的除外。当事人迟延履行后发生不可抗力的，不能免除责任。</w:t>
      </w:r>
    </w:p>
    <w:p w14:paraId="54814E6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（五）当事人一方违约，另一方在职责范围内有义务及时采取必要的措施，尽力防止损失的扩大。</w:t>
      </w:r>
    </w:p>
    <w:p w14:paraId="7FA9E82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lastRenderedPageBreak/>
        <w:t>（六）违约行为虽已发生，但本协议能够继续履行的，在最大限度地保护基金份额持有人利益的前提下，基金管理人和基金托管人应当继续履行本协议。</w:t>
      </w:r>
    </w:p>
    <w:p w14:paraId="343C5AD1"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（七）为明确责任，在不影响本协议本条其他规定的普遍适用性的前提下，基金管理人和基金托管人对由于如下行为造成的损失的责任承担问题，明确如下：</w:t>
      </w:r>
    </w:p>
    <w:p w14:paraId="0A74C96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1、由于下达违法、违规的指令所导致的责任，由基金管理人承担；</w:t>
      </w:r>
    </w:p>
    <w:p w14:paraId="3D5E9D0D"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 xml:space="preserve">2、指令下达人员在授权通知载明的权限范围内下达的指令所导致的责任，由基金管理人承担，即使该人员下达指令并没有获得基金管理人的实际授权（例如基金管理人在撤销或变更授权权限后未能及时通知基金托管人）； </w:t>
      </w:r>
    </w:p>
    <w:p w14:paraId="71BBDD8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3、基金托管人未对指令上签名和印鉴与预留签字样本和预留印鉴进行表面真实性审核，导致基金托管人执行了应当无效的指令，基金管理人与基金托管人应根据各自过错程度承担责任；</w:t>
      </w:r>
    </w:p>
    <w:p w14:paraId="4F2D7946"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4、属于基金托管人实际有效控制下的基金财产（包括实物证券）在基金托管人保管期间的损坏、灭失，由此产生的责任应由该基金托管人承担；</w:t>
      </w:r>
    </w:p>
    <w:p w14:paraId="1E92635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5、基金管理人应承担对其应收取的管理费数额计算错误的责任。如果基金托管人复核后同意基金管理人的计算结果，</w:t>
      </w:r>
      <w:proofErr w:type="gramStart"/>
      <w:r>
        <w:rPr>
          <w:rFonts w:ascii="宋体" w:eastAsia="宋体" w:hint="eastAsia"/>
          <w:color w:val="auto"/>
          <w:sz w:val="24"/>
        </w:rPr>
        <w:t>则基金</w:t>
      </w:r>
      <w:proofErr w:type="gramEnd"/>
      <w:r>
        <w:rPr>
          <w:rFonts w:ascii="宋体" w:eastAsia="宋体" w:hint="eastAsia"/>
          <w:color w:val="auto"/>
          <w:sz w:val="24"/>
        </w:rPr>
        <w:t>托管人也应承担未正确履行复核义务的相应责任；</w:t>
      </w:r>
    </w:p>
    <w:p w14:paraId="70FA1CE7"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6、基金管理人应承担对基金托管人应收取的托管费数额计算错误的责任。如果基金托管人复核后同意基金管理人的计算结果，</w:t>
      </w:r>
      <w:proofErr w:type="gramStart"/>
      <w:r>
        <w:rPr>
          <w:rFonts w:ascii="宋体" w:eastAsia="宋体" w:hint="eastAsia"/>
          <w:color w:val="auto"/>
          <w:sz w:val="24"/>
        </w:rPr>
        <w:t>则基金</w:t>
      </w:r>
      <w:proofErr w:type="gramEnd"/>
      <w:r>
        <w:rPr>
          <w:rFonts w:ascii="宋体" w:eastAsia="宋体" w:hint="eastAsia"/>
          <w:color w:val="auto"/>
          <w:sz w:val="24"/>
        </w:rPr>
        <w:t>托管人也应承担未正确履行复核义务的相应责任；</w:t>
      </w:r>
    </w:p>
    <w:p w14:paraId="4633C660"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7、由于基金管理人或托管</w:t>
      </w:r>
      <w:proofErr w:type="gramStart"/>
      <w:r>
        <w:rPr>
          <w:rFonts w:ascii="宋体" w:eastAsia="宋体" w:hint="eastAsia"/>
          <w:color w:val="auto"/>
          <w:sz w:val="24"/>
        </w:rPr>
        <w:t>人原因</w:t>
      </w:r>
      <w:proofErr w:type="gramEnd"/>
      <w:r>
        <w:rPr>
          <w:rFonts w:ascii="宋体" w:eastAsia="宋体" w:hint="eastAsia"/>
          <w:color w:val="auto"/>
          <w:sz w:val="24"/>
        </w:rPr>
        <w:t>导致本基金不能依据中国证券登记结算有限责任公司的业务规则及时清算的，由责任方承担由此给基金财产、基金份额持有人及受损害方造成的直接损失，若由于双方原因导致本基金不能依据中国证券登记结算有限责任公司的业务规则及时清算的，双方应按照各自的过错程度对造成的直接损失合理分担责任；</w:t>
      </w:r>
    </w:p>
    <w:p w14:paraId="4B4E1F79"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8、</w:t>
      </w:r>
      <w:r>
        <w:rPr>
          <w:rFonts w:ascii="宋体" w:eastAsia="宋体"/>
          <w:color w:val="auto"/>
          <w:sz w:val="24"/>
        </w:rPr>
        <w:t>在资金交收日，基金资金账户资金首先用于除新股申购以外的其他资金交收义务，交</w:t>
      </w:r>
      <w:proofErr w:type="gramStart"/>
      <w:r>
        <w:rPr>
          <w:rFonts w:ascii="宋体" w:eastAsia="宋体"/>
          <w:color w:val="auto"/>
          <w:sz w:val="24"/>
        </w:rPr>
        <w:t>收完成</w:t>
      </w:r>
      <w:proofErr w:type="gramEnd"/>
      <w:r>
        <w:rPr>
          <w:rFonts w:ascii="宋体" w:eastAsia="宋体"/>
          <w:color w:val="auto"/>
          <w:sz w:val="24"/>
        </w:rPr>
        <w:t>后资金余额方可用于新股申购。如果因此资金不足造成新</w:t>
      </w:r>
      <w:r>
        <w:rPr>
          <w:rFonts w:ascii="宋体" w:eastAsia="宋体"/>
          <w:color w:val="auto"/>
          <w:sz w:val="24"/>
        </w:rPr>
        <w:lastRenderedPageBreak/>
        <w:t>股申购失败或者新股申购不足，基金托管人不承担任何责任。如基金份额持有人因此提出赔偿要求，相关法律责任和</w:t>
      </w:r>
      <w:r>
        <w:rPr>
          <w:rFonts w:ascii="宋体" w:eastAsia="宋体" w:hint="eastAsia"/>
          <w:color w:val="auto"/>
          <w:sz w:val="24"/>
        </w:rPr>
        <w:t>直接</w:t>
      </w:r>
      <w:r>
        <w:rPr>
          <w:rFonts w:ascii="宋体" w:eastAsia="宋体"/>
          <w:color w:val="auto"/>
          <w:sz w:val="24"/>
        </w:rPr>
        <w:t>损失由基金管理人承担。</w:t>
      </w:r>
      <w:r>
        <w:rPr>
          <w:rFonts w:ascii="宋体" w:eastAsia="宋体" w:hint="eastAsia"/>
          <w:color w:val="auto"/>
          <w:sz w:val="24"/>
        </w:rPr>
        <w:t xml:space="preserve">  </w:t>
      </w:r>
    </w:p>
    <w:p w14:paraId="0F1A538E" w14:textId="77777777" w:rsidR="00D744A5" w:rsidRDefault="00D744A5">
      <w:pPr>
        <w:pStyle w:val="af4"/>
        <w:spacing w:before="100" w:beforeAutospacing="1" w:after="100" w:afterAutospacing="1"/>
        <w:ind w:firstLine="461"/>
        <w:rPr>
          <w:rFonts w:ascii="宋体" w:eastAsia="宋体"/>
          <w:color w:val="auto"/>
          <w:sz w:val="24"/>
        </w:rPr>
      </w:pPr>
    </w:p>
    <w:p w14:paraId="000425F6" w14:textId="77777777" w:rsidR="00D744A5" w:rsidRDefault="000E4967">
      <w:pPr>
        <w:pStyle w:val="1"/>
        <w:spacing w:before="100" w:beforeAutospacing="1" w:after="100" w:afterAutospacing="1" w:line="400" w:lineRule="exact"/>
        <w:ind w:firstLine="422"/>
        <w:rPr>
          <w:rFonts w:ascii="宋体" w:hAnsi="宋体"/>
          <w:sz w:val="24"/>
          <w:szCs w:val="24"/>
        </w:rPr>
      </w:pPr>
      <w:r>
        <w:rPr>
          <w:rFonts w:ascii="宋体" w:hAnsi="宋体" w:hint="eastAsia"/>
          <w:sz w:val="24"/>
          <w:szCs w:val="24"/>
        </w:rPr>
        <w:t>十八、适用法律与争议解决</w:t>
      </w:r>
      <w:bookmarkEnd w:id="20"/>
      <w:r>
        <w:rPr>
          <w:rFonts w:ascii="宋体" w:hAnsi="宋体" w:hint="eastAsia"/>
          <w:sz w:val="24"/>
          <w:szCs w:val="24"/>
        </w:rPr>
        <w:t>方式</w:t>
      </w:r>
    </w:p>
    <w:p w14:paraId="3A310AC3"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（一）本协议适用中华人民共和国法律（仅为本协议之目的，不包括香港特别行政区、澳门特别行政区和台湾地区法律）并从其解释。</w:t>
      </w:r>
    </w:p>
    <w:p w14:paraId="06769DC2"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二）基金管理人与基金托管人之间因本协议产生的或与本协议有关的争议可通过友好协商解决。但若自一方书面提出协商解决争议之日起60日内争议未能以协商方式解决的，则任何一方有权将争议提交位于广州市的广州仲裁委员会，并按其时有效的仲裁规则进行仲裁。仲裁裁决是终局的，对仲裁各方当事人均具有约束力。除非仲裁裁决另有规定，仲裁费由败诉方承担。</w:t>
      </w:r>
    </w:p>
    <w:p w14:paraId="0F8EBE52"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hint="eastAsia"/>
          <w:color w:val="auto"/>
          <w:sz w:val="24"/>
        </w:rPr>
        <w:t>（三）除争议所涉的内容之外，本协议的当事人仍应履行本协议的其他规定。</w:t>
      </w:r>
    </w:p>
    <w:p w14:paraId="72281505" w14:textId="77777777" w:rsidR="00D744A5" w:rsidRDefault="00D744A5">
      <w:pPr>
        <w:pStyle w:val="af4"/>
        <w:spacing w:before="100" w:beforeAutospacing="1" w:after="100" w:afterAutospacing="1"/>
        <w:ind w:firstLine="461"/>
        <w:rPr>
          <w:rFonts w:ascii="宋体" w:eastAsia="宋体"/>
          <w:color w:val="auto"/>
          <w:sz w:val="24"/>
        </w:rPr>
      </w:pPr>
    </w:p>
    <w:p w14:paraId="06BB5ABB" w14:textId="77777777" w:rsidR="00D744A5" w:rsidRDefault="000E4967">
      <w:pPr>
        <w:pStyle w:val="1"/>
        <w:spacing w:before="100" w:beforeAutospacing="1" w:after="100" w:afterAutospacing="1" w:line="400" w:lineRule="exact"/>
        <w:ind w:firstLine="422"/>
        <w:rPr>
          <w:rFonts w:ascii="宋体" w:hAnsi="宋体"/>
          <w:sz w:val="24"/>
          <w:szCs w:val="24"/>
        </w:rPr>
      </w:pPr>
      <w:bookmarkStart w:id="21" w:name="_Toc116900113"/>
      <w:r>
        <w:rPr>
          <w:rFonts w:ascii="宋体" w:hAnsi="宋体" w:hint="eastAsia"/>
          <w:sz w:val="24"/>
          <w:szCs w:val="24"/>
        </w:rPr>
        <w:t>十九、托管协议的效力</w:t>
      </w:r>
      <w:bookmarkEnd w:id="21"/>
    </w:p>
    <w:p w14:paraId="5C94596D"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一）基金管理人在向中国证监会申请发售基金份额时提交的基金托管协议草案，应经托管协议双方当事人的法定代表人或授权签字人签字并加盖公章，协议当事人双方根据中国证监会的意见修改托管协议草案。托管协议以中国证监会注册的文本为正式文本。</w:t>
      </w:r>
    </w:p>
    <w:p w14:paraId="42378BDB"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（二）本协议自</w:t>
      </w:r>
      <w:r>
        <w:rPr>
          <w:rFonts w:ascii="宋体" w:hAnsi="宋体" w:hint="eastAsia"/>
          <w:sz w:val="24"/>
        </w:rPr>
        <w:t>双方签署</w:t>
      </w:r>
      <w:r>
        <w:rPr>
          <w:rFonts w:ascii="宋体" w:hAnsi="宋体" w:cs="方正仿宋简体" w:hint="eastAsia"/>
          <w:sz w:val="24"/>
        </w:rPr>
        <w:t>之日起成立，自基金合同生效之日起生效。本协议的有效期自其生效之日起至基金财产清算结果报中国证监会备案并公告之日止。</w:t>
      </w:r>
    </w:p>
    <w:p w14:paraId="67FD218E" w14:textId="77777777" w:rsidR="00D744A5" w:rsidRDefault="000E4967">
      <w:pPr>
        <w:snapToGrid w:val="0"/>
        <w:spacing w:before="100" w:beforeAutospacing="1" w:after="100" w:afterAutospacing="1" w:line="400" w:lineRule="exact"/>
        <w:ind w:firstLine="480"/>
        <w:rPr>
          <w:rFonts w:ascii="宋体" w:hAnsi="宋体"/>
          <w:sz w:val="24"/>
        </w:rPr>
      </w:pPr>
      <w:r>
        <w:rPr>
          <w:rFonts w:ascii="宋体" w:hAnsi="宋体" w:cs="方正仿宋简体" w:hint="eastAsia"/>
          <w:sz w:val="24"/>
        </w:rPr>
        <w:t>（三）本协议自生效之日起对双方当事人具有同等的法律约束力。</w:t>
      </w:r>
    </w:p>
    <w:p w14:paraId="74FD2BFC" w14:textId="77777777" w:rsidR="00D744A5" w:rsidRDefault="000E4967">
      <w:pPr>
        <w:pStyle w:val="af4"/>
        <w:spacing w:before="100" w:beforeAutospacing="1" w:after="100" w:afterAutospacing="1"/>
        <w:ind w:firstLine="461"/>
        <w:rPr>
          <w:rFonts w:ascii="宋体" w:eastAsia="宋体"/>
          <w:color w:val="auto"/>
          <w:sz w:val="24"/>
        </w:rPr>
      </w:pPr>
      <w:r>
        <w:rPr>
          <w:rFonts w:ascii="宋体" w:eastAsia="宋体" w:cs="方正仿宋简体" w:hint="eastAsia"/>
          <w:sz w:val="24"/>
        </w:rPr>
        <w:t>（四）</w:t>
      </w:r>
      <w:r>
        <w:rPr>
          <w:rFonts w:ascii="宋体" w:eastAsia="宋体" w:hint="eastAsia"/>
          <w:color w:val="auto"/>
          <w:sz w:val="24"/>
        </w:rPr>
        <w:t>本协议正本一式叁份，协议双方各执壹份，上报有关监管机构壹份，基金管理人、基金托管人各持有一份，每份具有同等法律效力。</w:t>
      </w:r>
    </w:p>
    <w:p w14:paraId="2F8D55DD" w14:textId="77777777" w:rsidR="00D744A5" w:rsidRDefault="00D744A5">
      <w:bookmarkStart w:id="22" w:name="_Toc116900116"/>
    </w:p>
    <w:p w14:paraId="5C23C7BD" w14:textId="77777777" w:rsidR="00D744A5" w:rsidRDefault="000E4967">
      <w:pPr>
        <w:pStyle w:val="1"/>
        <w:spacing w:before="100" w:beforeAutospacing="1" w:after="100" w:afterAutospacing="1" w:line="400" w:lineRule="exact"/>
        <w:ind w:firstLine="422"/>
        <w:rPr>
          <w:rFonts w:ascii="宋体" w:hAnsi="宋体"/>
          <w:sz w:val="24"/>
          <w:szCs w:val="24"/>
        </w:rPr>
      </w:pPr>
      <w:r>
        <w:rPr>
          <w:rFonts w:ascii="宋体" w:hAnsi="宋体"/>
          <w:sz w:val="24"/>
          <w:szCs w:val="24"/>
        </w:rPr>
        <w:lastRenderedPageBreak/>
        <w:t>二十、托管协议</w:t>
      </w:r>
      <w:bookmarkEnd w:id="22"/>
      <w:r>
        <w:rPr>
          <w:rFonts w:ascii="宋体" w:hAnsi="宋体" w:hint="eastAsia"/>
          <w:sz w:val="24"/>
          <w:szCs w:val="24"/>
        </w:rPr>
        <w:t>的签订</w:t>
      </w:r>
    </w:p>
    <w:p w14:paraId="63B2904C" w14:textId="77777777" w:rsidR="00D744A5" w:rsidRDefault="000E4967">
      <w:pPr>
        <w:pStyle w:val="af4"/>
        <w:spacing w:before="100" w:beforeAutospacing="1" w:after="100" w:afterAutospacing="1"/>
        <w:ind w:firstLine="461"/>
        <w:rPr>
          <w:rFonts w:ascii="宋体" w:eastAsia="宋体"/>
          <w:sz w:val="24"/>
        </w:rPr>
      </w:pPr>
      <w:proofErr w:type="gramStart"/>
      <w:r>
        <w:rPr>
          <w:rFonts w:ascii="宋体" w:eastAsia="宋体" w:hint="eastAsia"/>
          <w:color w:val="auto"/>
          <w:sz w:val="24"/>
        </w:rPr>
        <w:t>见签署页</w:t>
      </w:r>
      <w:proofErr w:type="gramEnd"/>
      <w:r>
        <w:rPr>
          <w:rFonts w:ascii="宋体" w:eastAsia="宋体" w:hint="eastAsia"/>
          <w:color w:val="auto"/>
          <w:sz w:val="24"/>
        </w:rPr>
        <w:t>。</w:t>
      </w:r>
    </w:p>
    <w:p w14:paraId="479366C4" w14:textId="77777777" w:rsidR="00D744A5" w:rsidRDefault="000E4967">
      <w:pPr>
        <w:pStyle w:val="af4"/>
        <w:spacing w:before="100" w:beforeAutospacing="1" w:after="100" w:afterAutospacing="1"/>
        <w:ind w:firstLine="461"/>
        <w:rPr>
          <w:rFonts w:ascii="宋体" w:eastAsia="宋体"/>
          <w:sz w:val="24"/>
        </w:rPr>
        <w:sectPr w:rsidR="00D744A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0"/>
          <w:cols w:space="720"/>
          <w:titlePg/>
          <w:docGrid w:type="lines" w:linePitch="312"/>
        </w:sectPr>
      </w:pPr>
      <w:r>
        <w:rPr>
          <w:rFonts w:ascii="宋体" w:eastAsia="宋体" w:hint="eastAsia"/>
          <w:sz w:val="24"/>
        </w:rPr>
        <w:t>（以下无正文）</w:t>
      </w:r>
    </w:p>
    <w:p w14:paraId="7CDA59D9" w14:textId="17DE8DEF" w:rsidR="00D744A5" w:rsidRDefault="000E4967">
      <w:pPr>
        <w:pStyle w:val="af4"/>
        <w:spacing w:before="100" w:beforeAutospacing="1" w:after="100" w:afterAutospacing="1"/>
        <w:ind w:firstLine="461"/>
        <w:rPr>
          <w:rFonts w:ascii="宋体" w:eastAsia="宋体" w:hAnsi="Times New Roman"/>
          <w:color w:val="auto"/>
          <w:sz w:val="24"/>
        </w:rPr>
      </w:pPr>
      <w:r>
        <w:rPr>
          <w:rFonts w:ascii="宋体" w:eastAsia="宋体" w:hAnsi="Times New Roman" w:hint="eastAsia"/>
          <w:color w:val="auto"/>
          <w:sz w:val="24"/>
        </w:rPr>
        <w:lastRenderedPageBreak/>
        <w:t>（本页为《广发</w:t>
      </w:r>
      <w:r w:rsidR="00B91853">
        <w:rPr>
          <w:rFonts w:ascii="宋体" w:eastAsia="宋体" w:hAnsi="Times New Roman" w:hint="eastAsia"/>
          <w:color w:val="auto"/>
          <w:sz w:val="24"/>
        </w:rPr>
        <w:t>价值稳进</w:t>
      </w:r>
      <w:r>
        <w:rPr>
          <w:rFonts w:ascii="宋体" w:eastAsia="宋体" w:hAnsi="Times New Roman" w:hint="eastAsia"/>
          <w:color w:val="auto"/>
          <w:sz w:val="24"/>
        </w:rPr>
        <w:t>混合型证券投资基金托管协议》签署页，无正文）</w:t>
      </w:r>
    </w:p>
    <w:p w14:paraId="5FB5C235" w14:textId="77777777" w:rsidR="00D744A5" w:rsidRDefault="00D744A5">
      <w:pPr>
        <w:pStyle w:val="af4"/>
        <w:spacing w:before="100" w:beforeAutospacing="1" w:after="100" w:afterAutospacing="1"/>
        <w:ind w:firstLine="461"/>
        <w:rPr>
          <w:rFonts w:ascii="宋体" w:eastAsia="宋体"/>
          <w:sz w:val="24"/>
        </w:rPr>
      </w:pPr>
    </w:p>
    <w:p w14:paraId="5AE84624" w14:textId="77777777" w:rsidR="00D744A5" w:rsidRDefault="000E4967">
      <w:pPr>
        <w:pStyle w:val="Web"/>
        <w:spacing w:line="400" w:lineRule="exact"/>
        <w:ind w:firstLine="540"/>
        <w:rPr>
          <w:b/>
        </w:rPr>
      </w:pPr>
      <w:r>
        <w:rPr>
          <w:b/>
        </w:rPr>
        <w:t>基金托管人</w:t>
      </w:r>
      <w:r>
        <w:rPr>
          <w:rFonts w:hint="eastAsia"/>
          <w:b/>
        </w:rPr>
        <w:t>:中国银行股份有限公司</w:t>
      </w:r>
    </w:p>
    <w:p w14:paraId="1BD7B995" w14:textId="77777777" w:rsidR="00D744A5" w:rsidRDefault="00D744A5">
      <w:pPr>
        <w:pStyle w:val="Web"/>
        <w:spacing w:line="400" w:lineRule="exact"/>
        <w:ind w:firstLine="540"/>
        <w:rPr>
          <w:b/>
        </w:rPr>
      </w:pPr>
    </w:p>
    <w:p w14:paraId="3DF74F30" w14:textId="77777777" w:rsidR="00D744A5" w:rsidRDefault="000E4967">
      <w:pPr>
        <w:pStyle w:val="Web"/>
        <w:spacing w:line="400" w:lineRule="exact"/>
        <w:ind w:firstLine="540"/>
        <w:rPr>
          <w:b/>
        </w:rPr>
      </w:pPr>
      <w:r>
        <w:rPr>
          <w:b/>
        </w:rPr>
        <w:t>法定代表人</w:t>
      </w:r>
      <w:r>
        <w:rPr>
          <w:rFonts w:hint="eastAsia"/>
          <w:b/>
        </w:rPr>
        <w:t>或授权签字人：</w:t>
      </w:r>
    </w:p>
    <w:p w14:paraId="53A5B7E8" w14:textId="77777777" w:rsidR="00D744A5" w:rsidRDefault="00D744A5">
      <w:pPr>
        <w:pStyle w:val="Web"/>
        <w:spacing w:line="400" w:lineRule="exact"/>
        <w:ind w:firstLine="540"/>
        <w:rPr>
          <w:b/>
        </w:rPr>
      </w:pPr>
    </w:p>
    <w:p w14:paraId="178D2676" w14:textId="77777777" w:rsidR="00D744A5" w:rsidRDefault="00D744A5">
      <w:pPr>
        <w:pStyle w:val="Web"/>
        <w:spacing w:line="400" w:lineRule="exact"/>
        <w:ind w:firstLine="540"/>
        <w:rPr>
          <w:b/>
        </w:rPr>
      </w:pPr>
    </w:p>
    <w:p w14:paraId="1D0934EA" w14:textId="77777777" w:rsidR="00D744A5" w:rsidRDefault="000E4967">
      <w:pPr>
        <w:pStyle w:val="Web"/>
        <w:spacing w:line="400" w:lineRule="exact"/>
        <w:ind w:firstLine="540"/>
        <w:rPr>
          <w:b/>
        </w:rPr>
      </w:pPr>
      <w:r>
        <w:rPr>
          <w:b/>
        </w:rPr>
        <w:t>签订日：</w:t>
      </w:r>
      <w:r>
        <w:rPr>
          <w:rFonts w:hint="eastAsia"/>
          <w:b/>
        </w:rPr>
        <w:tab/>
      </w:r>
    </w:p>
    <w:p w14:paraId="053FC9C1" w14:textId="77777777" w:rsidR="00D744A5" w:rsidRDefault="000E4967">
      <w:pPr>
        <w:pStyle w:val="Web"/>
        <w:spacing w:line="400" w:lineRule="exact"/>
        <w:ind w:firstLine="540"/>
        <w:rPr>
          <w:b/>
        </w:rPr>
      </w:pPr>
      <w:r>
        <w:rPr>
          <w:b/>
        </w:rPr>
        <w:t>签订地：</w:t>
      </w:r>
    </w:p>
    <w:p w14:paraId="7B2BB54B" w14:textId="77777777" w:rsidR="00D744A5" w:rsidRDefault="00D744A5">
      <w:pPr>
        <w:pStyle w:val="Web"/>
        <w:spacing w:line="400" w:lineRule="exact"/>
        <w:ind w:firstLine="540"/>
        <w:rPr>
          <w:b/>
        </w:rPr>
      </w:pPr>
    </w:p>
    <w:p w14:paraId="56D709B0" w14:textId="77777777" w:rsidR="00D744A5" w:rsidRDefault="00D744A5">
      <w:pPr>
        <w:pStyle w:val="Web"/>
        <w:spacing w:line="400" w:lineRule="exact"/>
        <w:ind w:firstLine="540"/>
        <w:rPr>
          <w:b/>
        </w:rPr>
      </w:pPr>
    </w:p>
    <w:p w14:paraId="129B8021" w14:textId="77777777" w:rsidR="00D744A5" w:rsidRDefault="00D744A5">
      <w:pPr>
        <w:pStyle w:val="Web"/>
        <w:spacing w:line="400" w:lineRule="exact"/>
        <w:ind w:firstLine="540"/>
        <w:rPr>
          <w:b/>
        </w:rPr>
      </w:pPr>
    </w:p>
    <w:p w14:paraId="728F27A2" w14:textId="77777777" w:rsidR="00D744A5" w:rsidRDefault="000E4967">
      <w:pPr>
        <w:spacing w:before="100" w:beforeAutospacing="1" w:after="100" w:afterAutospacing="1" w:line="400" w:lineRule="exact"/>
        <w:ind w:firstLine="403"/>
        <w:rPr>
          <w:rFonts w:ascii="宋体" w:hAnsi="宋体"/>
          <w:b/>
          <w:sz w:val="24"/>
        </w:rPr>
      </w:pPr>
      <w:r>
        <w:rPr>
          <w:rFonts w:ascii="宋体" w:hAnsi="宋体"/>
          <w:b/>
          <w:sz w:val="24"/>
        </w:rPr>
        <w:t>基金管理人：</w:t>
      </w:r>
      <w:r>
        <w:rPr>
          <w:rFonts w:ascii="宋体" w:hAnsi="宋体" w:hint="eastAsia"/>
          <w:b/>
          <w:sz w:val="24"/>
        </w:rPr>
        <w:t>广发基金管理有限公司</w:t>
      </w:r>
    </w:p>
    <w:p w14:paraId="78F07426" w14:textId="77777777" w:rsidR="00D744A5" w:rsidRDefault="00D744A5">
      <w:pPr>
        <w:pStyle w:val="Web"/>
        <w:spacing w:line="400" w:lineRule="exact"/>
        <w:ind w:firstLine="540"/>
        <w:rPr>
          <w:b/>
        </w:rPr>
      </w:pPr>
    </w:p>
    <w:p w14:paraId="3BA4D136" w14:textId="77777777" w:rsidR="00D744A5" w:rsidRDefault="000E4967">
      <w:pPr>
        <w:pStyle w:val="Web"/>
        <w:spacing w:line="400" w:lineRule="exact"/>
        <w:ind w:firstLine="540"/>
        <w:rPr>
          <w:b/>
        </w:rPr>
      </w:pPr>
      <w:r>
        <w:rPr>
          <w:b/>
        </w:rPr>
        <w:t>法定代表人</w:t>
      </w:r>
      <w:r>
        <w:rPr>
          <w:rFonts w:hint="eastAsia"/>
          <w:b/>
        </w:rPr>
        <w:t xml:space="preserve">或授权签字人： </w:t>
      </w:r>
    </w:p>
    <w:p w14:paraId="3CFAE4C0" w14:textId="77777777" w:rsidR="00D744A5" w:rsidRDefault="00D744A5">
      <w:pPr>
        <w:pStyle w:val="Web"/>
        <w:spacing w:line="400" w:lineRule="exact"/>
        <w:ind w:firstLine="540"/>
        <w:rPr>
          <w:b/>
        </w:rPr>
      </w:pPr>
    </w:p>
    <w:p w14:paraId="00267551" w14:textId="77777777" w:rsidR="00D744A5" w:rsidRDefault="00D744A5">
      <w:pPr>
        <w:pStyle w:val="Web"/>
        <w:spacing w:line="400" w:lineRule="exact"/>
        <w:ind w:firstLine="540"/>
        <w:rPr>
          <w:b/>
        </w:rPr>
      </w:pPr>
    </w:p>
    <w:p w14:paraId="5E6F568D" w14:textId="77777777" w:rsidR="00D744A5" w:rsidRDefault="000E4967">
      <w:pPr>
        <w:pStyle w:val="Web"/>
        <w:spacing w:line="400" w:lineRule="exact"/>
        <w:ind w:firstLine="540"/>
        <w:rPr>
          <w:b/>
        </w:rPr>
      </w:pPr>
      <w:r>
        <w:rPr>
          <w:b/>
        </w:rPr>
        <w:t>签订日：</w:t>
      </w:r>
    </w:p>
    <w:p w14:paraId="70584CEB" w14:textId="77777777" w:rsidR="00D744A5" w:rsidRDefault="000E4967">
      <w:pPr>
        <w:pStyle w:val="Web"/>
        <w:spacing w:line="400" w:lineRule="exact"/>
        <w:ind w:firstLine="540"/>
        <w:rPr>
          <w:b/>
        </w:rPr>
      </w:pPr>
      <w:r>
        <w:rPr>
          <w:b/>
        </w:rPr>
        <w:t>签订地：</w:t>
      </w:r>
    </w:p>
    <w:p w14:paraId="068BB89A" w14:textId="77777777" w:rsidR="00D744A5" w:rsidRDefault="00D744A5">
      <w:pPr>
        <w:pStyle w:val="af4"/>
        <w:spacing w:before="100" w:beforeAutospacing="1" w:after="100" w:afterAutospacing="1"/>
        <w:ind w:firstLine="463"/>
        <w:rPr>
          <w:rFonts w:ascii="宋体" w:eastAsia="宋体"/>
          <w:b/>
          <w:color w:val="auto"/>
          <w:sz w:val="24"/>
        </w:rPr>
      </w:pPr>
    </w:p>
    <w:sectPr w:rsidR="00D744A5">
      <w:headerReference w:type="default" r:id="rId12"/>
      <w:pgSz w:w="11906" w:h="16838"/>
      <w:pgMar w:top="1440" w:right="1800" w:bottom="1440" w:left="1800" w:header="851" w:footer="992" w:gutter="0"/>
      <w:cols w:space="720"/>
      <w:docGrid w:type="lines" w:linePitch="312"/>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C8A30308"/>
  <w16cid:commentId w16cid:paraId="00000002" w16cid:durableId="E5E68530"/>
  <w16cid:commentId w16cid:paraId="00000003" w16cid:durableId="1FCA77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C9FF" w14:textId="77777777" w:rsidR="000C0B8C" w:rsidRDefault="000C0B8C">
      <w:r>
        <w:separator/>
      </w:r>
    </w:p>
  </w:endnote>
  <w:endnote w:type="continuationSeparator" w:id="0">
    <w:p w14:paraId="1BE84F2B" w14:textId="77777777" w:rsidR="000C0B8C" w:rsidRDefault="000C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长城仿宋">
    <w:charset w:val="00"/>
    <w:family w:val="auto"/>
    <w:pitch w:val="default"/>
  </w:font>
  <w:font w:name="Calibri">
    <w:panose1 w:val="020F0502020204030204"/>
    <w:charset w:val="00"/>
    <w:family w:val="swiss"/>
    <w:pitch w:val="variable"/>
    <w:sig w:usb0="E0002EFF" w:usb1="C000247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微软雅黑"/>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A469" w14:textId="1FD2C4FE" w:rsidR="00D744A5" w:rsidRDefault="000E4967">
    <w:pPr>
      <w:pStyle w:val="af7"/>
      <w:snapToGrid/>
      <w:rPr>
        <w:rStyle w:val="afd"/>
      </w:rPr>
    </w:pPr>
    <w:r>
      <w:fldChar w:fldCharType="begin"/>
    </w:r>
    <w:r>
      <w:rPr>
        <w:rStyle w:val="afd"/>
      </w:rPr>
      <w:instrText xml:space="preserve">PAGE  </w:instrText>
    </w:r>
    <w:r>
      <w:fldChar w:fldCharType="separate"/>
    </w:r>
    <w:r w:rsidR="00B43EE5">
      <w:rPr>
        <w:rStyle w:val="afd"/>
        <w:noProof/>
      </w:rPr>
      <w:t>30</w:t>
    </w:r>
    <w:r>
      <w:fldChar w:fldCharType="end"/>
    </w:r>
  </w:p>
  <w:p w14:paraId="6AB547E1" w14:textId="77777777" w:rsidR="00D744A5" w:rsidRDefault="00D744A5">
    <w:pPr>
      <w:pStyle w:val="af7"/>
      <w:snapToGri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44063"/>
      <w:docPartObj>
        <w:docPartGallery w:val="Page Numbers (Bottom of Page)"/>
        <w:docPartUnique/>
      </w:docPartObj>
    </w:sdtPr>
    <w:sdtEndPr/>
    <w:sdtContent>
      <w:p w14:paraId="5A0D10C2" w14:textId="199A6DF4" w:rsidR="00C3420B" w:rsidRDefault="00C3420B">
        <w:pPr>
          <w:pStyle w:val="af7"/>
          <w:jc w:val="center"/>
        </w:pPr>
        <w:r>
          <w:fldChar w:fldCharType="begin"/>
        </w:r>
        <w:r>
          <w:instrText>PAGE   \* MERGEFORMAT</w:instrText>
        </w:r>
        <w:r>
          <w:fldChar w:fldCharType="separate"/>
        </w:r>
        <w:r w:rsidR="005F240F" w:rsidRPr="005F240F">
          <w:rPr>
            <w:noProof/>
            <w:lang w:val="zh-CN"/>
          </w:rPr>
          <w:t>26</w:t>
        </w:r>
        <w:r>
          <w:fldChar w:fldCharType="end"/>
        </w:r>
      </w:p>
    </w:sdtContent>
  </w:sdt>
  <w:p w14:paraId="21E48DA0" w14:textId="77777777" w:rsidR="00D744A5" w:rsidRDefault="00D744A5">
    <w:pPr>
      <w:pStyle w:val="af7"/>
      <w:snapToGri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6B2C" w14:textId="0519278B" w:rsidR="00C3420B" w:rsidRDefault="00C3420B">
    <w:pPr>
      <w:pStyle w:val="af7"/>
      <w:jc w:val="center"/>
    </w:pPr>
  </w:p>
  <w:p w14:paraId="7F7B2D2F" w14:textId="77777777" w:rsidR="00C3420B" w:rsidRDefault="00C3420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355A5" w14:textId="77777777" w:rsidR="000C0B8C" w:rsidRDefault="000C0B8C">
      <w:r>
        <w:separator/>
      </w:r>
    </w:p>
  </w:footnote>
  <w:footnote w:type="continuationSeparator" w:id="0">
    <w:p w14:paraId="447DEA31" w14:textId="77777777" w:rsidR="000C0B8C" w:rsidRDefault="000C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1071" w14:textId="77777777" w:rsidR="004141FE" w:rsidRDefault="004141FE">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A2F9" w14:textId="4FF7BF3F" w:rsidR="00D744A5" w:rsidRDefault="000E4967">
    <w:pPr>
      <w:pStyle w:val="af9"/>
      <w:snapToGrid/>
      <w:ind w:right="180"/>
      <w:jc w:val="right"/>
    </w:pPr>
    <w:r>
      <w:rPr>
        <w:rFonts w:hint="eastAsia"/>
      </w:rPr>
      <w:t xml:space="preserve">                      </w:t>
    </w:r>
    <w:r>
      <w:rPr>
        <w:rFonts w:hint="eastAsia"/>
      </w:rP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9E144" w14:textId="0F5F0DE9" w:rsidR="00D744A5" w:rsidRDefault="000E4967">
    <w:pPr>
      <w:pStyle w:val="af9"/>
      <w:snapToGrid/>
      <w:ind w:right="180"/>
      <w:jc w:val="right"/>
    </w:pPr>
    <w:r>
      <w:rPr>
        <w:rFonts w:hint="eastAsia"/>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2986" w14:textId="77777777" w:rsidR="00D744A5" w:rsidRDefault="00D744A5">
    <w:pPr>
      <w:pStyle w:val="af9"/>
      <w:pBdr>
        <w:bottom w:val="none" w:sz="0" w:space="0" w:color="auto"/>
      </w:pBdr>
      <w:snapToGri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A5"/>
    <w:rsid w:val="00011375"/>
    <w:rsid w:val="0001634A"/>
    <w:rsid w:val="00031483"/>
    <w:rsid w:val="00057672"/>
    <w:rsid w:val="0009440C"/>
    <w:rsid w:val="00096D0C"/>
    <w:rsid w:val="000B281C"/>
    <w:rsid w:val="000B29B0"/>
    <w:rsid w:val="000B6DDB"/>
    <w:rsid w:val="000C0B8C"/>
    <w:rsid w:val="000E4967"/>
    <w:rsid w:val="0011247E"/>
    <w:rsid w:val="00137A24"/>
    <w:rsid w:val="00161B36"/>
    <w:rsid w:val="00195673"/>
    <w:rsid w:val="001B34C4"/>
    <w:rsid w:val="001E5E94"/>
    <w:rsid w:val="00226C5B"/>
    <w:rsid w:val="00242466"/>
    <w:rsid w:val="002528FF"/>
    <w:rsid w:val="002701C7"/>
    <w:rsid w:val="0027280E"/>
    <w:rsid w:val="002A1CDA"/>
    <w:rsid w:val="002D0916"/>
    <w:rsid w:val="00325A7C"/>
    <w:rsid w:val="003A0FE6"/>
    <w:rsid w:val="00413465"/>
    <w:rsid w:val="004141FE"/>
    <w:rsid w:val="00472BB8"/>
    <w:rsid w:val="0047573C"/>
    <w:rsid w:val="005761F0"/>
    <w:rsid w:val="00597652"/>
    <w:rsid w:val="005D75B6"/>
    <w:rsid w:val="005F240F"/>
    <w:rsid w:val="00621DFF"/>
    <w:rsid w:val="00663146"/>
    <w:rsid w:val="00671C86"/>
    <w:rsid w:val="00697997"/>
    <w:rsid w:val="006A3BAB"/>
    <w:rsid w:val="006A64F4"/>
    <w:rsid w:val="007B2078"/>
    <w:rsid w:val="007E546A"/>
    <w:rsid w:val="007F484B"/>
    <w:rsid w:val="00871E02"/>
    <w:rsid w:val="00890BA3"/>
    <w:rsid w:val="008A4B12"/>
    <w:rsid w:val="008C1D1F"/>
    <w:rsid w:val="00973B27"/>
    <w:rsid w:val="009B5B06"/>
    <w:rsid w:val="009E787D"/>
    <w:rsid w:val="00A256ED"/>
    <w:rsid w:val="00A46DB2"/>
    <w:rsid w:val="00AB4F3E"/>
    <w:rsid w:val="00AD4BB7"/>
    <w:rsid w:val="00AE40D4"/>
    <w:rsid w:val="00B43EE5"/>
    <w:rsid w:val="00B82306"/>
    <w:rsid w:val="00B82EB9"/>
    <w:rsid w:val="00B91853"/>
    <w:rsid w:val="00C208CE"/>
    <w:rsid w:val="00C3420B"/>
    <w:rsid w:val="00C44397"/>
    <w:rsid w:val="00C51E7B"/>
    <w:rsid w:val="00CE061C"/>
    <w:rsid w:val="00CE3C30"/>
    <w:rsid w:val="00CF3CB1"/>
    <w:rsid w:val="00D744A5"/>
    <w:rsid w:val="00DB1EDA"/>
    <w:rsid w:val="00E00C7F"/>
    <w:rsid w:val="00E120B4"/>
    <w:rsid w:val="00E35F54"/>
    <w:rsid w:val="00EA2DF8"/>
    <w:rsid w:val="00EA6B4A"/>
    <w:rsid w:val="00EB38BE"/>
    <w:rsid w:val="00ED6B90"/>
    <w:rsid w:val="00F00F96"/>
    <w:rsid w:val="00F77320"/>
    <w:rsid w:val="00F85891"/>
    <w:rsid w:val="00F86A1F"/>
    <w:rsid w:val="00FC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593F"/>
  <w15:docId w15:val="{34CAE3D5-75A8-4E52-A612-36682788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paragraph" w:styleId="1">
    <w:name w:val="heading 1"/>
    <w:basedOn w:val="a"/>
    <w:next w:val="a"/>
    <w:link w:val="10"/>
    <w:qFormat/>
    <w:pPr>
      <w:keepNext/>
      <w:keepLines/>
      <w:spacing w:before="340" w:after="330" w:line="578" w:lineRule="auto"/>
      <w:outlineLvl w:val="0"/>
    </w:pPr>
    <w:rPr>
      <w:b/>
      <w:sz w:val="44"/>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rPr>
      <w:sz w:val="24"/>
    </w:r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d">
    <w:name w:val="footnote text"/>
    <w:basedOn w:val="a"/>
    <w:link w:val="ae"/>
    <w:uiPriority w:val="99"/>
    <w:semiHidden/>
    <w:unhideWhenUsed/>
    <w:pPr>
      <w:spacing w:after="40"/>
    </w:pPr>
    <w:rPr>
      <w:sz w:val="18"/>
    </w:rPr>
  </w:style>
  <w:style w:type="character" w:customStyle="1" w:styleId="ae">
    <w:name w:val="脚注文本 字符"/>
    <w:link w:val="ad"/>
    <w:uiPriority w:val="99"/>
    <w:rPr>
      <w:sz w:val="18"/>
    </w:rPr>
  </w:style>
  <w:style w:type="character" w:styleId="af">
    <w:name w:val="footnote reference"/>
    <w:basedOn w:val="a0"/>
    <w:uiPriority w:val="99"/>
    <w:unhideWhenUsed/>
    <w:rPr>
      <w:vertAlign w:val="superscript"/>
    </w:rPr>
  </w:style>
  <w:style w:type="paragraph" w:styleId="TOC">
    <w:name w:val="TOC Heading"/>
    <w:uiPriority w:val="39"/>
    <w:unhideWhenUsed/>
  </w:style>
  <w:style w:type="paragraph" w:styleId="73">
    <w:name w:val="toc 7"/>
    <w:basedOn w:val="a"/>
    <w:next w:val="a"/>
    <w:semiHidden/>
    <w:qFormat/>
    <w:pPr>
      <w:ind w:left="2520"/>
    </w:pPr>
  </w:style>
  <w:style w:type="paragraph" w:styleId="af0">
    <w:name w:val="Normal Indent"/>
    <w:basedOn w:val="a"/>
    <w:qFormat/>
    <w:pPr>
      <w:ind w:firstLine="420"/>
    </w:pPr>
    <w:rPr>
      <w:szCs w:val="20"/>
    </w:rPr>
  </w:style>
  <w:style w:type="paragraph" w:styleId="af1">
    <w:name w:val="Document Map"/>
    <w:basedOn w:val="a"/>
    <w:semiHidden/>
    <w:qFormat/>
    <w:pPr>
      <w:shd w:val="clear" w:color="auto" w:fill="000080"/>
    </w:pPr>
  </w:style>
  <w:style w:type="paragraph" w:styleId="af2">
    <w:name w:val="annotation text"/>
    <w:basedOn w:val="a"/>
    <w:link w:val="af3"/>
    <w:qFormat/>
    <w:pPr>
      <w:jc w:val="left"/>
    </w:pPr>
  </w:style>
  <w:style w:type="paragraph" w:styleId="af4">
    <w:name w:val="Body Text Indent"/>
    <w:basedOn w:val="a"/>
    <w:qFormat/>
    <w:pPr>
      <w:spacing w:line="400" w:lineRule="exact"/>
      <w:ind w:firstLine="538"/>
    </w:pPr>
    <w:rPr>
      <w:rFonts w:ascii="仿宋_GB2312" w:eastAsia="仿宋_GB2312" w:hAnsi="宋体"/>
      <w:color w:val="000000"/>
      <w:sz w:val="28"/>
    </w:rPr>
  </w:style>
  <w:style w:type="paragraph" w:styleId="54">
    <w:name w:val="toc 5"/>
    <w:basedOn w:val="a"/>
    <w:next w:val="a"/>
    <w:semiHidden/>
    <w:qFormat/>
    <w:pPr>
      <w:ind w:left="1680"/>
    </w:pPr>
  </w:style>
  <w:style w:type="paragraph" w:styleId="34">
    <w:name w:val="toc 3"/>
    <w:basedOn w:val="a"/>
    <w:next w:val="a"/>
    <w:semiHidden/>
    <w:qFormat/>
    <w:pPr>
      <w:ind w:left="840"/>
    </w:pPr>
  </w:style>
  <w:style w:type="paragraph" w:styleId="af5">
    <w:name w:val="Plain Text"/>
    <w:basedOn w:val="a"/>
    <w:qFormat/>
    <w:rPr>
      <w:rFonts w:ascii="宋体" w:hAnsi="Courier New"/>
      <w:szCs w:val="21"/>
    </w:rPr>
  </w:style>
  <w:style w:type="paragraph" w:styleId="81">
    <w:name w:val="toc 8"/>
    <w:basedOn w:val="a"/>
    <w:next w:val="a"/>
    <w:semiHidden/>
    <w:qFormat/>
    <w:pPr>
      <w:ind w:left="2940"/>
    </w:pPr>
  </w:style>
  <w:style w:type="paragraph" w:styleId="24">
    <w:name w:val="Body Text Indent 2"/>
    <w:basedOn w:val="a"/>
    <w:qFormat/>
    <w:pPr>
      <w:tabs>
        <w:tab w:val="left" w:pos="540"/>
      </w:tabs>
      <w:ind w:left="540" w:firstLine="540"/>
    </w:pPr>
    <w:rPr>
      <w:rFonts w:eastAsia="长城仿宋"/>
      <w:sz w:val="24"/>
      <w:szCs w:val="20"/>
    </w:rPr>
  </w:style>
  <w:style w:type="paragraph" w:styleId="af6">
    <w:name w:val="Balloon Text"/>
    <w:basedOn w:val="a"/>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style>
  <w:style w:type="paragraph" w:styleId="44">
    <w:name w:val="toc 4"/>
    <w:basedOn w:val="a"/>
    <w:next w:val="a"/>
    <w:qFormat/>
    <w:pPr>
      <w:ind w:left="1260"/>
    </w:pPr>
  </w:style>
  <w:style w:type="paragraph" w:styleId="63">
    <w:name w:val="toc 6"/>
    <w:basedOn w:val="a"/>
    <w:next w:val="a"/>
    <w:semiHidden/>
    <w:qFormat/>
    <w:pPr>
      <w:ind w:left="2100"/>
    </w:pPr>
  </w:style>
  <w:style w:type="paragraph" w:styleId="35">
    <w:name w:val="Body Text Indent 3"/>
    <w:basedOn w:val="a"/>
    <w:qFormat/>
    <w:pPr>
      <w:ind w:left="360" w:firstLine="540"/>
    </w:pPr>
    <w:rPr>
      <w:rFonts w:eastAsia="长城仿宋"/>
      <w:sz w:val="24"/>
      <w:szCs w:val="20"/>
    </w:rPr>
  </w:style>
  <w:style w:type="paragraph" w:styleId="25">
    <w:name w:val="toc 2"/>
    <w:basedOn w:val="a"/>
    <w:next w:val="a"/>
    <w:semiHidden/>
    <w:qFormat/>
    <w:pPr>
      <w:ind w:left="420"/>
    </w:pPr>
  </w:style>
  <w:style w:type="paragraph" w:styleId="91">
    <w:name w:val="toc 9"/>
    <w:basedOn w:val="a"/>
    <w:next w:val="a"/>
    <w:semiHidden/>
    <w:qFormat/>
    <w:pPr>
      <w:ind w:left="3360"/>
    </w:pPr>
  </w:style>
  <w:style w:type="paragraph" w:styleId="26">
    <w:name w:val="Body Text 2"/>
    <w:basedOn w:val="a"/>
    <w:qFormat/>
    <w:pPr>
      <w:spacing w:after="120" w:line="480" w:lineRule="auto"/>
    </w:pPr>
  </w:style>
  <w:style w:type="paragraph" w:styleId="afb">
    <w:name w:val="annotation subject"/>
    <w:basedOn w:val="af2"/>
    <w:next w:val="af2"/>
    <w:link w:val="afc"/>
    <w:qFormat/>
    <w:rPr>
      <w:b/>
      <w:bCs/>
    </w:rPr>
  </w:style>
  <w:style w:type="character" w:styleId="afd">
    <w:name w:val="page number"/>
    <w:basedOn w:val="a0"/>
    <w:qFormat/>
  </w:style>
  <w:style w:type="character" w:styleId="afe">
    <w:name w:val="Hyperlink"/>
    <w:qFormat/>
    <w:rPr>
      <w:color w:val="0000FF"/>
      <w:u w:val="single"/>
    </w:rPr>
  </w:style>
  <w:style w:type="character" w:styleId="aff">
    <w:name w:val="annotation reference"/>
    <w:qFormat/>
    <w:rPr>
      <w:sz w:val="21"/>
      <w:szCs w:val="21"/>
    </w:rPr>
  </w:style>
  <w:style w:type="paragraph" w:customStyle="1" w:styleId="Char">
    <w:name w:val="Char"/>
    <w:basedOn w:val="a"/>
    <w:qFormat/>
  </w:style>
  <w:style w:type="paragraph" w:customStyle="1" w:styleId="Style29">
    <w:name w:val="_Style 29"/>
    <w:uiPriority w:val="99"/>
    <w:semiHidden/>
    <w:qFormat/>
    <w:rPr>
      <w:sz w:val="21"/>
      <w:szCs w:val="24"/>
    </w:rPr>
  </w:style>
  <w:style w:type="paragraph" w:customStyle="1" w:styleId="Web">
    <w:name w:val="普通 (Web)"/>
    <w:basedOn w:val="a"/>
    <w:qFormat/>
    <w:pPr>
      <w:widowControl/>
      <w:spacing w:before="100" w:beforeAutospacing="1" w:after="100" w:afterAutospacing="1"/>
      <w:jc w:val="left"/>
    </w:pPr>
    <w:rPr>
      <w:rFonts w:ascii="宋体" w:hAnsi="宋体"/>
      <w:sz w:val="24"/>
    </w:rPr>
  </w:style>
  <w:style w:type="paragraph" w:customStyle="1" w:styleId="CharChar">
    <w:name w:val="Char Char"/>
    <w:basedOn w:val="a"/>
    <w:qFormat/>
    <w:rPr>
      <w:szCs w:val="20"/>
    </w:rPr>
  </w:style>
  <w:style w:type="character" w:customStyle="1" w:styleId="af3">
    <w:name w:val="批注文字 字符"/>
    <w:link w:val="af2"/>
    <w:qFormat/>
    <w:rPr>
      <w:sz w:val="21"/>
      <w:szCs w:val="24"/>
    </w:rPr>
  </w:style>
  <w:style w:type="character" w:customStyle="1" w:styleId="af8">
    <w:name w:val="页脚 字符"/>
    <w:link w:val="af7"/>
    <w:uiPriority w:val="99"/>
    <w:qFormat/>
    <w:rPr>
      <w:sz w:val="18"/>
      <w:szCs w:val="18"/>
    </w:rPr>
  </w:style>
  <w:style w:type="character" w:customStyle="1" w:styleId="afc">
    <w:name w:val="批注主题 字符"/>
    <w:link w:val="afb"/>
    <w:qFormat/>
    <w:rPr>
      <w:b/>
      <w:bCs/>
      <w:sz w:val="21"/>
      <w:szCs w:val="24"/>
    </w:rPr>
  </w:style>
  <w:style w:type="character" w:customStyle="1" w:styleId="unnamed11">
    <w:name w:val="unnamed11"/>
    <w:qFormat/>
    <w:rPr>
      <w:rFonts w:ascii="宋体" w:eastAsia="宋体" w:hAnsi="宋体" w:hint="eastAsia"/>
      <w:sz w:val="18"/>
    </w:rPr>
  </w:style>
  <w:style w:type="paragraph" w:customStyle="1" w:styleId="15">
    <w:name w:val="修订1"/>
    <w:hidden/>
    <w:uiPriority w:val="99"/>
    <w:semiHidden/>
    <w:qFormat/>
    <w:rPr>
      <w:sz w:val="21"/>
      <w:szCs w:val="24"/>
    </w:rPr>
  </w:style>
  <w:style w:type="character" w:customStyle="1" w:styleId="afa">
    <w:name w:val="页眉 字符"/>
    <w:link w:val="af9"/>
    <w:qFormat/>
    <w:rPr>
      <w:sz w:val="18"/>
      <w:szCs w:val="18"/>
    </w:rPr>
  </w:style>
  <w:style w:type="paragraph" w:customStyle="1" w:styleId="Default">
    <w:name w:val="Default"/>
    <w:qFormat/>
    <w:pPr>
      <w:widowControl w:val="0"/>
    </w:pPr>
    <w:rPr>
      <w:rFonts w:ascii="仿宋_GB2312" w:eastAsia="仿宋_GB2312" w:hAnsi="Calibri" w:cs="仿宋_GB2312"/>
      <w:color w:val="000000"/>
      <w:sz w:val="24"/>
      <w:szCs w:val="24"/>
    </w:rPr>
  </w:style>
  <w:style w:type="paragraph" w:styleId="aff0">
    <w:name w:val="List Paragraph"/>
    <w:basedOn w:val="a"/>
    <w:uiPriority w:val="34"/>
    <w:qFormat/>
    <w:pPr>
      <w:ind w:firstLine="420"/>
    </w:pPr>
    <w:rPr>
      <w:rFonts w:ascii="Calibri" w:hAnsi="Calibri"/>
      <w:szCs w:val="22"/>
    </w:rPr>
  </w:style>
  <w:style w:type="paragraph" w:styleId="aff1">
    <w:name w:val="Revision"/>
    <w:hidden/>
    <w:uiPriority w:val="99"/>
    <w:semiHidden/>
    <w:rPr>
      <w:sz w:val="21"/>
      <w:szCs w:val="24"/>
    </w:rPr>
  </w:style>
  <w:style w:type="table" w:customStyle="1" w:styleId="55">
    <w:name w:val="网格型5"/>
    <w:basedOn w:val="a1"/>
    <w:next w:val="ac"/>
    <w:uiPriority w:val="39"/>
    <w:qFormat/>
    <w:rsid w:val="00B82EB9"/>
    <w:pPr>
      <w:widowControl w:val="0"/>
      <w:pBdr>
        <w:top w:val="none" w:sz="0" w:space="0" w:color="auto"/>
        <w:left w:val="none" w:sz="0" w:space="0" w:color="auto"/>
        <w:bottom w:val="none" w:sz="0" w:space="0" w:color="auto"/>
        <w:right w:val="none" w:sz="0" w:space="0" w:color="auto"/>
        <w:between w:val="none" w:sz="0" w:space="0" w:color="auto"/>
      </w:pBd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c"/>
    <w:uiPriority w:val="59"/>
    <w:qFormat/>
    <w:rsid w:val="00B82EB9"/>
    <w:pPr>
      <w:widowControl w:val="0"/>
      <w:pBdr>
        <w:top w:val="none" w:sz="0" w:space="0" w:color="auto"/>
        <w:left w:val="none" w:sz="0" w:space="0" w:color="auto"/>
        <w:bottom w:val="none" w:sz="0" w:space="0" w:color="auto"/>
        <w:right w:val="none" w:sz="0" w:space="0" w:color="auto"/>
        <w:between w:val="none" w:sz="0" w:space="0" w:color="auto"/>
      </w:pBdr>
      <w:jc w:val="both"/>
    </w:pPr>
    <w:rPr>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34</Pages>
  <Words>3351</Words>
  <Characters>19107</Characters>
  <Application>Microsoft Office Word</Application>
  <DocSecurity>0</DocSecurity>
  <Lines>159</Lines>
  <Paragraphs>44</Paragraphs>
  <ScaleCrop>false</ScaleCrop>
  <Company>EastHome</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广发瑞泽协议</dc:title>
  <dc:creator>user</dc:creator>
  <cp:lastModifiedBy>晁梦婷</cp:lastModifiedBy>
  <cp:revision>49</cp:revision>
  <cp:lastPrinted>2024-11-22T06:21:00Z</cp:lastPrinted>
  <dcterms:created xsi:type="dcterms:W3CDTF">2024-11-21T06:56:00Z</dcterms:created>
  <dcterms:modified xsi:type="dcterms:W3CDTF">2025-05-23T11:07:00Z</dcterms:modified>
</cp:coreProperties>
</file>