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富国深证100交易型开放式指数证券投资基金联接基金（C类份额）基金产品资料概要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2025年05月13日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2025年05月12日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富国深证100ETF联接</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024146</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富国深证100ETF联接C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024147</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中国工商银行股份有限公司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基金中基金</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张圣贤</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2007年07月01日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 本基金可根据法律法规的规定参与融资及转融通证券出借业务。 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因法律法规的规定而受限制的情形除外。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 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深证100指数收益率×95%+银行活期存款利率（税后）×5%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注：本基金C类基金份额不收取认购、申购费用，赎回费用在投资者赎回基金过程中收取，特定客户的具体含义请见《招募说明书》相关内容。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0.15%</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0.05%</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注：以上费用将从基金资产中扣除；基金财产中投资于目标ETF的部分不收取管理费、托管费。本基金交易证券、基金等产生的费用和税负，按实际发生额从基金资产扣除。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本基金的特有风险包括：1、投资于目标ETF基金带来的风险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2、指数化投资的风险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本基金可投资于科创板，若本基金投资于科创板股票，会面临科创板机制下因投资标的、市场制度以及交易规则等差异带来的特有风险。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4、股指期货、国债期货的投资风险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5、股票期权的投资风险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6、资产支持证券的投资风险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7、参与融资业务的特殊风险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8、基金参与转融通证券出借业务的风险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9、终止清盘风险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10、存托凭证投资风险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本基金投资存托凭证的，在承担境内上市交易股票投资的共同风险外，还将承担与存托凭证、创新企业发行、境外发行人以及交易机制相关的特有风险。</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与本基金或基金合同相关的一切争议将提交位于北京的中国国际经济贸易仲裁委员会仲裁，仲裁裁决是终局的，对仲裁各方当事人均具有约束力。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5112d5d2b75b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5112d5d2b75b49d2"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