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富国均衡配置混合型证券投资基金（C类份额）基金产品资料概要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2025年05月24日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2025年05月23日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富国均衡配置混合</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024431</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富国均衡配置混合C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024432</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中国建设银行股份有限公司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混合型</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孙彬</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2012年03月13日</w:t>
            </w:r>
          </w:p>
        </w:tc>
      </w:tr>
    </w:tbl>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注：本基金为偏股混合型基金。</w:t>
      </w:r>
    </w:p>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本基金主要通过精选个股和风险控制，力争为基金份额持有人获得超越业绩比较基准的收益。</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 如法律法规或监管机构以后允许基金投资其他品种，基金管理人在履行适当程序后，可以将其纳入投资范围。</w:t>
            </w:r>
          </w:p>
          <w:p>
            <w:pPr>
              <w:pStyle w:val="ae"/>
            </w:pPr>
            <w:r>
              <w:rPr>
                <w:rFonts w:hint="eastAsia"/>
              </w:rPr>
              <w:t>基金的投资组合比例为：本基金股票及存托凭证投资占基金资产的比例为60%-95%（其中，投资于港股通标的股票的比例占股票资产的比例为0%-50%）；每个交易日日终在扣除股指期货合约、国债期货合约和股票期权合约需缴纳的交易保证金后，现金或者到期日在一年以内的政府债券不低于基金资产净值的5%，其中现金不包括结算备付金、存出保证金、应收申购款等。 如果法律法规或监管机构对该比例要求有变更的，在履行适当程序后，以变更后的比例为准，本基金的投资比例会做相应调整。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将以“深入研究、自下而上、尊重个性、长期回报”为投资理念，结合定量与定性的分析方法，并将投资理念和分析方法贯穿于资产配置、行业配置、个股选择以及组合风险管理的全过程。在股票投资方面，本基金主要采取“自下而上”的选股策略，通过定量筛选和定性分析，精选具有长期投资价值的优质企业进行投资，力求获得超越业绩比较基准的投资回报；本基金投资存托凭证将根据投资目标和股票投资策略，基于对基础证券投资价值的研究判断，进行存托凭证的投资；在债券投资方面，本基金将采用久期控制下的主动性投资策略；本基金的股指期货、国债期货、股票期权、资产支持证券、信用衍生品的投资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沪深300指数收益率×70%+恒生指数收益率(使用估值汇率折算)×10%+中债-国债总全价（1-3年）指数收益率×15%+银行人民币活期存款利率（税后）×5%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混合型基金，其预期收益及预期风险水平低于股票型基金，高于债券型基金和货币市场基金。本基金投资港股通标的股票的，需承担港股通机制下因投资环境、投资标的、市场制度以及交易规则等差异带来的特有风险。</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7≤N＜30天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N≥30天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注：本基金C类基金份额不收取认购、申购费用，赎回费用在投资者赎回基金过程中收取，具体请见《招募说明书》相关内容。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r>
          </w:p>
          <w:p>
            <w:pPr>
              <w:adjustRightInd w:val="0"/>
              <w:snapToGrid w:val="0"/>
              <w:spacing w:beforeLines="10" w:before="43" w:line="264" w:lineRule="auto"/>
              <w:rPr>
                <w:rFonts w:ascii="宋体" w:eastAsia="宋体" w:hAnsi="宋体"/>
                <w:sz w:val="21"/>
              </w:rPr>
              <w:jc w:val="center"/>
            </w:pPr>
            <w:r>
              <w:drawing>
                <wp:inline xmlns:wp="http://schemas.openxmlformats.org/drawingml/2006/wordprocessingDrawing" distT="0" distB="0" distL="0" distR="0">
                  <wp:extent cx="2689860" cy="742559"/>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_50100000_024431_FA010070_20250001_21.jpg"/>
                          <pic:cNvPicPr/>
                        </pic:nvPicPr>
                        <pic:blipFill>
                          <a:blip xmlns:r="http://schemas.openxmlformats.org/officeDocument/2006/relationships" r:embed="R4b97132e9716474f" cstate="print">
                            <a:extLst>
                              <a:ext uri="{28A0092B-C50C-407E-A947-70E740481C1C}"/>
                            </a:extLst>
                          </a:blip>
                          <a:stretch>
                            <a:fillRect/>
                          </a:stretch>
                        </pic:blipFill>
                        <pic:spPr>
                          <a:xfrm>
                            <a:off x="0" y="0"/>
                            <a:ext cx="2689860" cy="742559"/>
                          </a:xfrm>
                          <a:prstGeom prst="rect">
                            <a:avLst/>
                          </a:prstGeom>
                        </pic:spPr>
                      </pic:pic>
                    </a:graphicData>
                  </a:graphic>
                </wp:inline>
              </w:drawing>
            </w:r>
          </w:p>
          <w:p>
            <w:pPr>
              <w:adjustRightInd w:val="0"/>
              <w:snapToGrid w:val="0"/>
              <w:spacing w:beforeLines="10" w:before="43" w:line="264" w:lineRule="auto"/>
              <w:rPr>
                <w:rFonts w:ascii="宋体" w:eastAsia="宋体" w:hAnsi="宋体"/>
                <w:sz w:val="21"/>
              </w:rPr>
            </w:pPr>
            <w:r>
              <w:rPr>
                <w:rFonts w:ascii="宋体" w:eastAsia="宋体" w:hAnsi="宋体" w:hint="eastAsia"/>
                <w:sz w:val="21"/>
              </w:rPr>
              <w:t>其中R为该笔基金份额的年化收益率，Rb为本基金业绩比较基准同期年化收益率。</w:t>
            </w:r>
          </w:p>
          <w:p>
            <w:pPr>
              <w:adjustRightInd w:val="0"/>
              <w:snapToGrid w:val="0"/>
              <w:spacing w:beforeLines="10" w:before="43" w:line="264" w:lineRule="auto"/>
              <w:rPr>
                <w:rFonts w:ascii="宋体" w:eastAsia="宋体" w:hAnsi="宋体"/>
                <w:sz w:val="21"/>
              </w:rPr>
            </w:pPr>
            <w:r>
              <w:rPr>
                <w:rFonts w:ascii="宋体" w:eastAsia="宋体" w:hAnsi="宋体" w:hint="eastAsia"/>
                <w:sz w:val="21"/>
              </w:rPr>
              <w:t>特别的，当持有期限达到一年及以上，R＞Rb+6%且R＞0的情形下，若拟扣除超额管理费后的年化收益率小于等于Rb+6%，或小于等于0时，仍按1.20%年费率收取该笔基金份额的管理费，以使得该笔基金份额在扣除超额管理费后的年化收益率仍需满足本基金收取超额管理费的标准。</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0.40%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注：以上费用将从基金资产中扣除；本基金交易证券等产生的费用和税负，按实际发生额从基金资产扣除。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基金管理人提醒投资者基金投资的“买者自负”原则，在投资者作出投资决策后，基金运营状况与基金净值变化引致的投资风险，由投资者自行负责。</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本基金为混合型基金，股票及存托凭证投资占基金资产的比例为60%-95%（其中，投资于港股通标的股票的比例占股票资产的比例为0%-50%）。股票市场和债券市场的变化均会影响到基金业绩表现，基金净值表现因此可能受到影响。本基金管理人将发挥专业研究优势，加强对市场、证券基本面的深入研究，持续优化组合配置，以控制特定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2、股指期货的投资风险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本基金可投资股指期货，若投资股指期货，股指期货采用保证金交易制度，若投资股指期货，由于保证金交易具有杠杆性，当出现不利行情时，股价指数微小的变动就可能会使投资人权益遭受较大损失。</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3、国债期货的投资风险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本基金可投资国债期货，若投资国债期货，可能面临市场风险、基差风险、流动性风险。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4、股票期权的投资风险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本基金投资股票期权，若投资股票期权，可能面临市场风险、流动性风险、基差风险、保证金风险、信用风险以及各类操作风险等。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5、资产支持证券的投资风险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本基金可投资资产支持证券，资产支持证券在二级市场的成交流动性情况差异较大，投资者可能面临资产支持证券难以以合理价格变现进而遭受损失的情况。</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6、存托凭证的风险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若本基金投资存托凭证，在承担境内上市交易股票投资的共同风险外，还将承担与存托凭证、创新企业发行、境外发行人以及交易机制相关的特有风险。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7、信用衍生品的投资风险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为对冲信用风险，本基金可能投资于信用衍生品，信用衍生品的投资可能面临流动性风险、偿付风险以及价格波动风险等。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本基金可投资于科创板股票，若本基金投资于科创板股票，会面临科创板机制下因投资标的、市场制度以及交易规则等差异带来的特有风险。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9、本基金可以投资于港股通标的股票，投资风险包括：</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本基金可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香港市场交易规则有别于内地A股市场规则，此外，在港股通下参与香港股票投资还将面临包括但不限于如下特殊风险：涨跌幅限制、交易日不同、临时停市、交易机制、代理投票、汇率风险、港股通每日额度限制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3）本基金可根据投资策略需要或不同配置地市场环境的变化，选择将部分基金资产投资于港股或选择不将基金资产投资于港股，基金资产并非必然投资港股。</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10、浮动管理费模式相关风险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（3）本基金采用浮动管理费的收费模式，不代表基金管理人对基金收益的保证。</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与本基金或基金合同相关的一切争议均应提交中国国际经济贸易仲裁委员会仲裁，仲裁裁决是终局的，对仲裁各方当事人均具有约束力。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e0206c1f55d6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 Type="http://schemas.openxmlformats.org/officeDocument/2006/relationships/image" Target="/media/image.jpg" Id="R4b97132e9716474f"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e0206c1f55d64f45"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