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富国均衡配置混合型证券投资基金（A类份额）基金产品资料概要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2025年05月24日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2025年05月23日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富国均衡配置混合</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024431</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富国均衡配置混合A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024431</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中国建设银行股份有限公司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混合型</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孙彬</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2012年03月13日</w:t>
            </w:r>
          </w:p>
        </w:tc>
      </w:tr>
    </w:tbl>
    <w:p>
      <w:pPr>
        <w:adjustRightInd w:val="0"/>
        <w:snapToGrid w:val="0"/>
        <w:spacing w:beforeLines="20" w:before="87" w:line="288" w:lineRule="auto"/>
        <w:rPr>
          <w:rFonts w:cs="方正仿宋简体"/>
          <w:iCs/>
          <w:szCs w:val="21"/>
        </w:rPr>
      </w:pPr>
      <w:r>
        <w:rPr>
          <w:rFonts w:cs="方正仿宋简体" w:hint="eastAsia"/>
          <w:iCs/>
          <w:szCs w:val="21"/>
        </w:rPr>
        <w:t>注：本基金为偏股混合型基金。</w:t>
      </w:r>
    </w:p>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本基金主要通过精选个股和风险控制，力争为基金份额持有人获得超越业绩比较基准的收益。</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 如法律法规或监管机构以后允许基金投资其他品种，基金管理人在履行适当程序后，可以将其纳入投资范围。</w:t>
            </w:r>
          </w:p>
          <w:p>
            <w:pPr>
              <w:pStyle w:val="ae"/>
            </w:pPr>
            <w:r>
              <w:rPr>
                <w:rFonts w:hint="eastAsia"/>
              </w:rPr>
              <w:t>基金的投资组合比例为：本基金股票及存托凭证投资占基金资产的比例为60%-95%（其中，投资于港股通标的股票的比例占股票资产的比例为0%-50%）；每个交易日日终在扣除股指期货合约、国债期货合约和股票期权合约需缴纳的交易保证金后，现金或者到期日在一年以内的政府债券不低于基金资产净值的5%，其中现金不包括结算备付金、存出保证金、应收申购款等。 如果法律法规或监管机构对该比例要求有变更的，在履行适当程序后，以变更后的比例为准，本基金的投资比例会做相应调整。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将以“深入研究、自下而上、尊重个性、长期回报”为投资理念，结合定量与定性的分析方法，并将投资理念和分析方法贯穿于资产配置、行业配置、个股选择以及组合风险管理的全过程。在股票投资方面，本基金主要采取“自下而上”的选股策略，通过定量筛选和定性分析，精选具有长期投资价值的优质企业进行投资，力求获得超越业绩比较基准的投资回报；本基金投资存托凭证将根据投资目标和股票投资策略，基于对基础证券投资价值的研究判断，进行存托凭证的投资；在债券投资方面，本基金将采用久期控制下的主动性投资策略；本基金的股指期货、国债期货、股票期权、资产支持证券、信用衍生品的投资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沪深300指数收益率×70%+恒生指数收益率(使用估值汇率折算)×10%+中债-国债总全价（1-3年）指数收益率×15%+银行人民币活期存款利率（税后）×5%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混合型基金，其预期收益及预期风险水平低于股票型基金，高于债券型基金和货币市场基金。本基金投资港股通标的股票的，需承担港股通机制下因投资环境、投资标的、市场制度以及交易规则等差异带来的特有风险。</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1.5%</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7≤N＜30天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0.75%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30≤N＜180天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N≥180天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365天，下同），则按1.20%年费率收取管理费；持有期限达到一年及以上，则根据持有期间年化收益率分为以下三种情况，分别确定对应的管理费率档位：</w:t>
            </w:r>
          </w:p>
          <w:p>
            <w:pPr>
              <w:pStyle w:val="ae"/>
              <w:spacing w:beforeLines="10" w:before="43" w:line="264" w:lineRule="auto"/>
              <w:contextualSpacing w:val="0"/>
              <w:jc w:val="center"/>
            </w:pPr>
            <w:r>
              <w:drawing>
                <wp:inline xmlns:wp="http://schemas.openxmlformats.org/drawingml/2006/wordprocessingDrawing" distT="0" distB="0" distL="0" distR="0">
                  <wp:extent cx="2609215" cy="720296"/>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_50100000_024431_FA010070_20250001_21.jpg"/>
                          <pic:cNvPicPr/>
                        </pic:nvPicPr>
                        <pic:blipFill>
                          <a:blip xmlns:r="http://schemas.openxmlformats.org/officeDocument/2006/relationships" r:embed="R4423c1aff8a64d25" cstate="print">
                            <a:extLst>
                              <a:ext uri="{28A0092B-C50C-407E-A947-70E740481C1C}"/>
                            </a:extLst>
                          </a:blip>
                          <a:stretch>
                            <a:fillRect/>
                          </a:stretch>
                        </pic:blipFill>
                        <pic:spPr>
                          <a:xfrm>
                            <a:off x="0" y="0"/>
                            <a:ext cx="2609215" cy="720296"/>
                          </a:xfrm>
                          <a:prstGeom prst="rect">
                            <a:avLst/>
                          </a:prstGeom>
                        </pic:spPr>
                      </pic:pic>
                    </a:graphicData>
                  </a:graphic>
                </wp:inline>
              </w:drawing>
            </w:r>
          </w:p>
          <w:p>
            <w:pPr>
              <w:pStyle w:val="ae"/>
              <w:spacing w:beforeLines="10" w:before="43" w:line="264" w:lineRule="auto"/>
              <w:contextualSpacing w:val="0"/>
            </w:pPr>
            <w:r>
              <w:rPr>
                <w:rFonts w:hint="eastAsia"/>
              </w:rPr>
              <w:t>其中R为该笔基金份额的年化收益率，Rb为本基金业绩比较基准同期年化收益率。</w:t>
            </w:r>
          </w:p>
          <w:p>
            <w:pPr>
              <w:pStyle w:val="ae"/>
              <w:spacing w:beforeLines="10" w:before="43" w:line="264" w:lineRule="auto"/>
              <w:contextualSpacing w:val="0"/>
            </w:pPr>
            <w:r>
              <w:rPr>
                <w:rFonts w:hint="eastAsia"/>
              </w:rPr>
              <w:t>特别的，当持有期限达到一年及以上，R＞Rb+6%且R＞0的情形下，若拟扣除超额管理费后的年化收益率小于等于Rb+6%，或小于等于0时，仍按1.20%年费率收取该笔基金份额的管理费，以使得该笔基金份额在扣除超额管理费后的年化收益率仍需满足本基金收取超额管理费的标准。</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0.20%</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注：以上费用将从基金资产中扣除；本基金交易证券等产生的费用和税负，按实际发生额从基金资产扣除。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基金投资对象与投资策略引致的特有风险等等。基金管理人提醒投资者基金投资的“买者自负”原则，在投资者作出投资决策后，基金运营状况与基金净值变化引致的投资风险，由投资者自行负责。</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本基金为混合型基金，股票及存托凭证投资占基金资产的比例为60%-95%（其中，投资于港股通标的股票的比例占股票资产的比例为0%-50%）。股票市场和债券市场的变化均会影响到基金业绩表现，基金净值表现因此可能受到影响。本基金管理人将发挥专业研究优势，加强对市场、证券基本面的深入研究，持续优化组合配置，以控制特定风险。</w:t>
      </w:r>
    </w:p>
    <w:p>
      <w:pPr>
        <w:adjustRightInd w:val="0"/>
        <w:snapToGrid w:val="0"/>
        <w:spacing w:line="288" w:lineRule="auto"/>
        <w:ind w:firstLineChars="200" w:firstLine="420"/>
        <w:rPr>
          <w:rFonts w:cs="方正仿宋简体"/>
          <w:iCs/>
          <w:szCs w:val="21"/>
        </w:rPr>
      </w:pPr>
      <w:r>
        <w:rPr>
          <w:rFonts w:cs="方正仿宋简体"/>
          <w:iCs/>
          <w:szCs w:val="21"/>
        </w:rPr>
        <w:t>2、股指期货的投资风险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本基金可投资股指期货，若投资股指期货，股指期货采用保证金交易制度，若投资股指期货，由于保证金交易具有杠杆性，当出现不利行情时，股价指数微小的变动就可能会使投资人权益遭受较大损失。</w:t>
      </w:r>
    </w:p>
    <w:p>
      <w:pPr>
        <w:adjustRightInd w:val="0"/>
        <w:snapToGrid w:val="0"/>
        <w:spacing w:line="288" w:lineRule="auto"/>
        <w:ind w:firstLineChars="200" w:firstLine="420"/>
        <w:rPr>
          <w:rFonts w:cs="方正仿宋简体"/>
          <w:iCs/>
          <w:szCs w:val="21"/>
        </w:rPr>
      </w:pPr>
      <w:r>
        <w:rPr>
          <w:rFonts w:cs="方正仿宋简体"/>
          <w:iCs/>
          <w:szCs w:val="21"/>
        </w:rPr>
        <w:t>3、国债期货的投资风险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本基金可投资国债期货，若投资国债期货，可能面临市场风险、基差风险、流动性风险。</w:t>
      </w:r>
    </w:p>
    <w:p>
      <w:pPr>
        <w:adjustRightInd w:val="0"/>
        <w:snapToGrid w:val="0"/>
        <w:spacing w:line="288" w:lineRule="auto"/>
        <w:ind w:firstLineChars="200" w:firstLine="420"/>
        <w:rPr>
          <w:rFonts w:cs="方正仿宋简体"/>
          <w:iCs/>
          <w:szCs w:val="21"/>
        </w:rPr>
      </w:pPr>
      <w:r>
        <w:rPr>
          <w:rFonts w:cs="方正仿宋简体"/>
          <w:iCs/>
          <w:szCs w:val="21"/>
        </w:rPr>
        <w:t>4、股票期权的投资风险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本基金投资股票期权，若投资股票期权，可能面临市场风险、流动性风险、基差风险、保证金风险、信用风险以及各类操作风险等。</w:t>
      </w:r>
    </w:p>
    <w:p>
      <w:pPr>
        <w:adjustRightInd w:val="0"/>
        <w:snapToGrid w:val="0"/>
        <w:spacing w:line="288" w:lineRule="auto"/>
        <w:ind w:firstLineChars="200" w:firstLine="420"/>
        <w:rPr>
          <w:rFonts w:cs="方正仿宋简体"/>
          <w:iCs/>
          <w:szCs w:val="21"/>
        </w:rPr>
      </w:pPr>
      <w:r>
        <w:rPr>
          <w:rFonts w:cs="方正仿宋简体"/>
          <w:iCs/>
          <w:szCs w:val="21"/>
        </w:rPr>
        <w:t>5、资产支持证券的投资风险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本基金可投资资产支持证券，资产支持证券在二级市场的成交流动性情况差异较大，投资者可能面临资产支持证券难以以合理价格变现进而遭受损失的情况。</w:t>
      </w:r>
    </w:p>
    <w:p>
      <w:pPr>
        <w:adjustRightInd w:val="0"/>
        <w:snapToGrid w:val="0"/>
        <w:spacing w:line="288" w:lineRule="auto"/>
        <w:ind w:firstLineChars="200" w:firstLine="420"/>
        <w:rPr>
          <w:rFonts w:cs="方正仿宋简体"/>
          <w:iCs/>
          <w:szCs w:val="21"/>
        </w:rPr>
      </w:pPr>
      <w:r>
        <w:rPr>
          <w:rFonts w:cs="方正仿宋简体"/>
          <w:iCs/>
          <w:szCs w:val="21"/>
        </w:rPr>
        <w:t>6、存托凭证的风险</w:t>
      </w:r>
    </w:p>
    <w:p>
      <w:pPr>
        <w:adjustRightInd w:val="0"/>
        <w:snapToGrid w:val="0"/>
        <w:spacing w:line="288" w:lineRule="auto"/>
        <w:ind w:firstLineChars="200" w:firstLine="420"/>
        <w:rPr>
          <w:rFonts w:cs="方正仿宋简体"/>
          <w:iCs/>
          <w:szCs w:val="21"/>
        </w:rPr>
      </w:pPr>
      <w:r>
        <w:rPr>
          <w:rFonts w:cs="方正仿宋简体"/>
          <w:iCs/>
          <w:szCs w:val="21"/>
        </w:rPr>
        <w:t>若本基金投资存托凭证，在承担境内上市交易股票投资的共同风险外，还将承担与存托凭证、创新企业发行、境外发行人以及交易机制相关的特有风险。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cs="方正仿宋简体"/>
          <w:iCs/>
          <w:szCs w:val="21"/>
        </w:rPr>
      </w:pPr>
      <w:r>
        <w:rPr>
          <w:rFonts w:cs="方正仿宋简体"/>
          <w:iCs/>
          <w:szCs w:val="21"/>
        </w:rPr>
        <w:t>7、信用衍生品的投资风险</w:t>
      </w:r>
    </w:p>
    <w:p>
      <w:pPr>
        <w:adjustRightInd w:val="0"/>
        <w:snapToGrid w:val="0"/>
        <w:spacing w:line="288" w:lineRule="auto"/>
        <w:ind w:firstLineChars="200" w:firstLine="420"/>
        <w:rPr>
          <w:rFonts w:cs="方正仿宋简体"/>
          <w:iCs/>
          <w:szCs w:val="21"/>
        </w:rPr>
      </w:pPr>
      <w:r>
        <w:rPr>
          <w:rFonts w:cs="方正仿宋简体"/>
          <w:iCs/>
          <w:szCs w:val="21"/>
        </w:rPr>
        <w:t>为对冲信用风险，本基金可能投资于信用衍生品，信用衍生品的投资可能面临流动性风险、偿付风险以及价格波动风险等。</w:t>
      </w:r>
    </w:p>
    <w:p>
      <w:pPr>
        <w:adjustRightInd w:val="0"/>
        <w:snapToGrid w:val="0"/>
        <w:spacing w:line="288" w:lineRule="auto"/>
        <w:ind w:firstLineChars="200" w:firstLine="420"/>
        <w:rPr>
          <w:rFonts w:cs="方正仿宋简体"/>
          <w:iCs/>
          <w:szCs w:val="21"/>
        </w:rPr>
      </w:pPr>
      <w:r>
        <w:rPr>
          <w:rFonts w:cs="方正仿宋简体"/>
          <w:iCs/>
          <w:szCs w:val="21"/>
        </w:rPr>
        <w:t>8、投资科创板股票的风险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本基金可投资于科创板股票，若本基金投资于科创板股票，会面临科创板机制下因投资标的、市场制度以及交易规则等差异带来的特有风险。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9、本基金可以投资于港股通标的股票，投资风险包括：</w:t>
      </w:r>
    </w:p>
    <w:p>
      <w:pPr>
        <w:adjustRightInd w:val="0"/>
        <w:snapToGrid w:val="0"/>
        <w:spacing w:line="288" w:lineRule="auto"/>
        <w:ind w:firstLineChars="200" w:firstLine="420"/>
        <w:rPr>
          <w:rFonts w:cs="方正仿宋简体"/>
          <w:iCs/>
          <w:szCs w:val="21"/>
        </w:rPr>
      </w:pPr>
      <w:r>
        <w:rPr>
          <w:rFonts w:cs="方正仿宋简体"/>
          <w:iCs/>
          <w:szCs w:val="21"/>
        </w:rPr>
        <w:t>1）本基金可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djustRightInd w:val="0"/>
        <w:snapToGrid w:val="0"/>
        <w:spacing w:line="288" w:lineRule="auto"/>
        <w:ind w:firstLineChars="200" w:firstLine="420"/>
        <w:rPr>
          <w:rFonts w:cs="方正仿宋简体"/>
          <w:iCs/>
          <w:szCs w:val="21"/>
        </w:rPr>
      </w:pPr>
      <w:r>
        <w:rPr>
          <w:rFonts w:cs="方正仿宋简体"/>
          <w:iCs/>
          <w:szCs w:val="21"/>
        </w:rPr>
        <w:t>2）香港市场交易规则有别于内地A股市场规则，此外，在港股通下参与香港股票投资还将面临包括但不限于如下特殊风险：涨跌幅限制、交易日不同、临时停市、交易机制、代理投票、汇率风险、港股通每日额度限制等。</w:t>
      </w:r>
    </w:p>
    <w:p>
      <w:pPr>
        <w:adjustRightInd w:val="0"/>
        <w:snapToGrid w:val="0"/>
        <w:spacing w:line="288" w:lineRule="auto"/>
        <w:ind w:firstLineChars="200" w:firstLine="420"/>
        <w:rPr>
          <w:rFonts w:cs="方正仿宋简体"/>
          <w:iCs/>
          <w:szCs w:val="21"/>
        </w:rPr>
      </w:pPr>
      <w:r>
        <w:rPr>
          <w:rFonts w:cs="方正仿宋简体"/>
          <w:iCs/>
          <w:szCs w:val="21"/>
        </w:rPr>
        <w:t>3）本基金可根据投资策略需要或不同配置地市场环境的变化，选择将部分基金资产投资于港股或选择不将基金资产投资于港股，基金资产并非必然投资港股。</w:t>
      </w:r>
    </w:p>
    <w:p>
      <w:pPr>
        <w:adjustRightInd w:val="0"/>
        <w:snapToGrid w:val="0"/>
        <w:spacing w:line="288" w:lineRule="auto"/>
        <w:ind w:firstLineChars="200" w:firstLine="420"/>
        <w:rPr>
          <w:rFonts w:cs="方正仿宋简体"/>
          <w:iCs/>
          <w:szCs w:val="21"/>
        </w:rPr>
      </w:pPr>
      <w:r>
        <w:rPr>
          <w:rFonts w:cs="方正仿宋简体"/>
          <w:iCs/>
          <w:szCs w:val="21"/>
        </w:rPr>
        <w:t>10、浮动管理费模式相关风险</w:t>
      </w:r>
    </w:p>
    <w:p>
      <w:pPr>
        <w:adjustRightInd w:val="0"/>
        <w:snapToGrid w:val="0"/>
        <w:spacing w:line="288" w:lineRule="auto"/>
        <w:ind w:firstLineChars="200" w:firstLine="420"/>
        <w:rPr>
          <w:rFonts w:cs="方正仿宋简体"/>
          <w:iCs/>
          <w:szCs w:val="21"/>
        </w:rPr>
      </w:pPr>
      <w:r>
        <w:rPr>
          <w:rFonts w:cs="方正仿宋简体"/>
          <w:iCs/>
          <w:szCs w:val="21"/>
        </w:rPr>
        <w:t>（1）本基金的管理费由固定管理费、或有管理费和超额管理费组成，其中或有管理费和超额管理费取决于每笔基金份额的持有时长和持有期间年化收益率水平（详见基金合同“第十五部分 基金费用与税收”），因此投资者在认/申购本基金时无法预先确定本基金的整体管理费水平。</w:t>
      </w:r>
    </w:p>
    <w:p>
      <w:pPr>
        <w:adjustRightInd w:val="0"/>
        <w:snapToGrid w:val="0"/>
        <w:spacing w:line="288" w:lineRule="auto"/>
        <w:ind w:firstLineChars="200" w:firstLine="420"/>
        <w:rPr>
          <w:rFonts w:cs="方正仿宋简体"/>
          <w:iCs/>
          <w:szCs w:val="21"/>
        </w:rPr>
      </w:pPr>
      <w:r>
        <w:rPr>
          <w:rFonts w:cs="方正仿宋简体"/>
          <w:iCs/>
          <w:szCs w:val="21"/>
        </w:rPr>
        <w:t>（2）由于本基金在计算基金份额净值时，按前一日基金资产净值的1.20%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w:t>
      </w:r>
    </w:p>
    <w:p>
      <w:pPr>
        <w:adjustRightInd w:val="0"/>
        <w:snapToGrid w:val="0"/>
        <w:spacing w:line="288" w:lineRule="auto"/>
        <w:ind w:firstLineChars="200" w:firstLine="420"/>
        <w:rPr>
          <w:rFonts w:cs="方正仿宋简体"/>
          <w:iCs/>
          <w:szCs w:val="21"/>
        </w:rPr>
      </w:pPr>
      <w:r>
        <w:rPr>
          <w:rFonts w:cs="方正仿宋简体"/>
          <w:iCs/>
          <w:szCs w:val="21"/>
        </w:rPr>
        <w:t>（3）本基金采用浮动管理费的收费模式，不代表基金管理人对基金收益的保证。</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与本基金或基金合同相关的一切争议均应提交中国国际经济贸易仲裁委员会仲裁，仲裁裁决是终局的，对仲裁各方当事人均具有约束力。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9228455fcdc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 Type="http://schemas.openxmlformats.org/officeDocument/2006/relationships/image" Target="/media/image.jpg" Id="R4423c1aff8a64d25"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9228455fcdc84e9b"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