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4555EC" w14:textId="77777777" w:rsidR="0038025B" w:rsidRDefault="00BB1FD8">
      <w:pPr>
        <w:pStyle w:val="div"/>
        <w:spacing w:line="360" w:lineRule="auto"/>
        <w:jc w:val="center"/>
        <w:rPr>
          <w:rFonts w:eastAsia="Times New Roman"/>
          <w:kern w:val="0"/>
          <w:sz w:val="24"/>
          <w:szCs w:val="24"/>
        </w:rPr>
      </w:pPr>
      <w:r>
        <w:rPr>
          <w:rStyle w:val="custom"/>
          <w:rFonts w:ascii="宋体" w:hAnsi="宋体" w:cs="宋体"/>
          <w:b/>
          <w:bCs/>
          <w:kern w:val="0"/>
          <w:sz w:val="32"/>
          <w:szCs w:val="32"/>
        </w:rPr>
        <w:t>汇添富国证自由现金流指数型证券投资基金</w:t>
      </w:r>
      <w:r>
        <w:rPr>
          <w:rFonts w:ascii="宋体" w:hAnsi="宋体" w:cs="宋体"/>
          <w:b/>
          <w:bCs/>
          <w:kern w:val="0"/>
          <w:sz w:val="32"/>
          <w:szCs w:val="32"/>
        </w:rPr>
        <w:t>基金份额发售公告</w:t>
      </w:r>
    </w:p>
    <w:p w14:paraId="47FE2071" w14:textId="77777777" w:rsidR="0038025B" w:rsidRDefault="00BB1FD8">
      <w:pPr>
        <w:pStyle w:val="div"/>
        <w:spacing w:line="360" w:lineRule="auto"/>
        <w:jc w:val="center"/>
        <w:rPr>
          <w:rFonts w:eastAsia="Times New Roman"/>
          <w:kern w:val="0"/>
          <w:sz w:val="24"/>
          <w:szCs w:val="24"/>
        </w:rPr>
      </w:pPr>
      <w:r>
        <w:rPr>
          <w:rFonts w:ascii="宋体" w:hAnsi="宋体" w:cs="宋体"/>
          <w:b/>
          <w:bCs/>
          <w:color w:val="000000"/>
          <w:kern w:val="0"/>
          <w:sz w:val="30"/>
          <w:szCs w:val="30"/>
          <w:shd w:val="clear" w:color="auto" w:fill="FFFFFF"/>
        </w:rPr>
        <w:t>重要提示</w:t>
      </w:r>
    </w:p>
    <w:p w14:paraId="7B2F637E" w14:textId="77777777" w:rsidR="0038025B" w:rsidRDefault="0038025B">
      <w:pPr>
        <w:pStyle w:val="p"/>
        <w:spacing w:line="360" w:lineRule="auto"/>
        <w:ind w:firstLine="480"/>
        <w:rPr>
          <w:rFonts w:eastAsia="Times New Roman"/>
          <w:kern w:val="0"/>
          <w:sz w:val="24"/>
          <w:szCs w:val="24"/>
        </w:rPr>
      </w:pPr>
    </w:p>
    <w:p w14:paraId="6408CDCF" w14:textId="77777777" w:rsidR="0038025B" w:rsidRDefault="00BB1FD8">
      <w:pPr>
        <w:pStyle w:val="div"/>
        <w:spacing w:line="360" w:lineRule="auto"/>
        <w:ind w:firstLine="480"/>
        <w:rPr>
          <w:rFonts w:eastAsia="Times New Roman"/>
          <w:kern w:val="0"/>
          <w:sz w:val="24"/>
          <w:szCs w:val="24"/>
        </w:rPr>
      </w:pPr>
      <w:r>
        <w:rPr>
          <w:rStyle w:val="custom0"/>
          <w:rFonts w:ascii="宋体" w:hAnsi="宋体" w:cs="宋体"/>
          <w:kern w:val="0"/>
          <w:sz w:val="24"/>
          <w:szCs w:val="24"/>
        </w:rPr>
        <w:t>汇添富国证自由现金流指数型证券投资基金</w:t>
      </w:r>
      <w:r>
        <w:rPr>
          <w:rFonts w:ascii="宋体" w:hAnsi="宋体" w:cs="宋体"/>
          <w:kern w:val="0"/>
          <w:sz w:val="24"/>
          <w:szCs w:val="24"/>
        </w:rPr>
        <w:t>（以下简称“本基金”）的募集已获中国证监会</w:t>
      </w:r>
      <w:r>
        <w:rPr>
          <w:rStyle w:val="custom"/>
          <w:rFonts w:ascii="宋体" w:hAnsi="宋体" w:cs="宋体"/>
          <w:kern w:val="0"/>
          <w:sz w:val="24"/>
          <w:szCs w:val="24"/>
        </w:rPr>
        <w:t>证监许可[2025]720号</w:t>
      </w:r>
      <w:r>
        <w:rPr>
          <w:rFonts w:ascii="宋体" w:hAnsi="宋体" w:cs="宋体"/>
          <w:kern w:val="0"/>
          <w:sz w:val="24"/>
          <w:szCs w:val="24"/>
        </w:rPr>
        <w:t>文注册。中国证监会对本基金募集的注册，并不表明其对本基金的投资价值、市场前景和收益作出实质性判断或保证。</w:t>
      </w:r>
    </w:p>
    <w:p w14:paraId="40CC73E9"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本基金的基金类型为</w:t>
      </w:r>
      <w:r>
        <w:rPr>
          <w:rStyle w:val="custom"/>
          <w:rFonts w:ascii="宋体" w:hAnsi="宋体" w:cs="宋体"/>
          <w:kern w:val="0"/>
          <w:sz w:val="24"/>
          <w:szCs w:val="24"/>
        </w:rPr>
        <w:t>股票型证券投资基金</w:t>
      </w:r>
      <w:r>
        <w:rPr>
          <w:rFonts w:ascii="宋体" w:hAnsi="宋体" w:cs="宋体"/>
          <w:kern w:val="0"/>
          <w:sz w:val="24"/>
          <w:szCs w:val="24"/>
        </w:rPr>
        <w:t>，运作方式为</w:t>
      </w:r>
      <w:r>
        <w:rPr>
          <w:rStyle w:val="custom"/>
          <w:rFonts w:ascii="宋体" w:hAnsi="宋体" w:cs="宋体"/>
          <w:kern w:val="0"/>
          <w:sz w:val="24"/>
          <w:szCs w:val="24"/>
        </w:rPr>
        <w:t>契约型开放式</w:t>
      </w:r>
    </w:p>
    <w:p w14:paraId="7E879931"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kern w:val="0"/>
          <w:sz w:val="24"/>
          <w:szCs w:val="24"/>
        </w:rPr>
        <w:t>1、</w:t>
      </w:r>
      <w:r>
        <w:rPr>
          <w:rFonts w:ascii="宋体" w:hAnsi="宋体" w:cs="宋体"/>
          <w:kern w:val="0"/>
          <w:sz w:val="24"/>
          <w:szCs w:val="24"/>
        </w:rPr>
        <w:t>本基金的基金管理人为汇添富基金管理股份有限公司（以下简称“本公司”），基金托管人为</w:t>
      </w:r>
      <w:r>
        <w:rPr>
          <w:rStyle w:val="custom"/>
          <w:rFonts w:ascii="宋体" w:hAnsi="宋体" w:cs="宋体"/>
          <w:kern w:val="0"/>
          <w:sz w:val="24"/>
          <w:szCs w:val="24"/>
        </w:rPr>
        <w:t>交通银行股份有限公司</w:t>
      </w:r>
      <w:r>
        <w:rPr>
          <w:rFonts w:ascii="宋体" w:hAnsi="宋体" w:cs="宋体"/>
          <w:kern w:val="0"/>
          <w:sz w:val="24"/>
          <w:szCs w:val="24"/>
        </w:rPr>
        <w:t>，登记机构为</w:t>
      </w:r>
      <w:r>
        <w:rPr>
          <w:rStyle w:val="custom"/>
          <w:rFonts w:ascii="宋体" w:hAnsi="宋体" w:cs="宋体"/>
          <w:kern w:val="0"/>
          <w:sz w:val="24"/>
          <w:szCs w:val="24"/>
        </w:rPr>
        <w:t>汇添富基金管理股份有限公司</w:t>
      </w:r>
      <w:r>
        <w:rPr>
          <w:rFonts w:ascii="宋体" w:hAnsi="宋体" w:cs="宋体"/>
          <w:kern w:val="0"/>
          <w:sz w:val="24"/>
          <w:szCs w:val="24"/>
        </w:rPr>
        <w:t>。</w:t>
      </w:r>
    </w:p>
    <w:p w14:paraId="330CEE0E"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kern w:val="0"/>
          <w:sz w:val="24"/>
          <w:szCs w:val="24"/>
        </w:rPr>
        <w:t>2、</w:t>
      </w:r>
      <w:r>
        <w:rPr>
          <w:rFonts w:ascii="宋体" w:hAnsi="宋体" w:cs="宋体"/>
          <w:kern w:val="0"/>
          <w:sz w:val="24"/>
          <w:szCs w:val="24"/>
        </w:rPr>
        <w:t>本基金募集期限自</w:t>
      </w:r>
      <w:r>
        <w:rPr>
          <w:rStyle w:val="custom0"/>
          <w:rFonts w:ascii="宋体" w:hAnsi="宋体" w:cs="宋体"/>
          <w:kern w:val="0"/>
          <w:sz w:val="24"/>
          <w:szCs w:val="24"/>
        </w:rPr>
        <w:t>2025年04月18日</w:t>
      </w:r>
      <w:r>
        <w:rPr>
          <w:rFonts w:ascii="宋体" w:hAnsi="宋体" w:cs="宋体"/>
          <w:kern w:val="0"/>
          <w:sz w:val="24"/>
          <w:szCs w:val="24"/>
        </w:rPr>
        <w:t>起至</w:t>
      </w:r>
      <w:r>
        <w:rPr>
          <w:rStyle w:val="custom0"/>
          <w:rFonts w:ascii="宋体" w:hAnsi="宋体" w:cs="宋体"/>
          <w:kern w:val="0"/>
          <w:sz w:val="24"/>
          <w:szCs w:val="24"/>
        </w:rPr>
        <w:t>2025年05月09日</w:t>
      </w:r>
      <w:r>
        <w:rPr>
          <w:rFonts w:ascii="宋体" w:hAnsi="宋体" w:cs="宋体"/>
          <w:kern w:val="0"/>
          <w:sz w:val="24"/>
          <w:szCs w:val="24"/>
        </w:rPr>
        <w:t>。</w:t>
      </w:r>
    </w:p>
    <w:p w14:paraId="12154F4D"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本基金认购将通过本公司的直销中心、线上直销系统以及其他销售机构的销售网点公开发售。</w:t>
      </w:r>
    </w:p>
    <w:p w14:paraId="569009FF" w14:textId="77777777"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3、</w:t>
      </w:r>
      <w:r>
        <w:rPr>
          <w:rFonts w:ascii="宋体" w:hAnsi="宋体" w:cs="宋体"/>
          <w:kern w:val="0"/>
          <w:sz w:val="24"/>
          <w:szCs w:val="24"/>
        </w:rPr>
        <w:t>本基金的发售对象为</w:t>
      </w:r>
      <w:r>
        <w:rPr>
          <w:rStyle w:val="custom"/>
          <w:rFonts w:ascii="宋体" w:hAnsi="宋体" w:cs="宋体"/>
          <w:kern w:val="0"/>
          <w:sz w:val="24"/>
          <w:szCs w:val="24"/>
        </w:rPr>
        <w:t>符合法律法规规定的可投资于证券投资基金的个人投资者、机构投资者、合格境外投资者以及法律法规或中国证监会允许购买证券投资基金的其他投资人。</w:t>
      </w:r>
    </w:p>
    <w:p w14:paraId="6EDC7159" w14:textId="77777777"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4、</w:t>
      </w:r>
      <w:r>
        <w:rPr>
          <w:rStyle w:val="custom"/>
          <w:rFonts w:ascii="宋体" w:hAnsi="宋体" w:cs="宋体"/>
          <w:kern w:val="0"/>
          <w:sz w:val="24"/>
          <w:szCs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19F54AE3" w14:textId="77777777" w:rsidR="0038025B" w:rsidRDefault="00BB1FD8">
      <w:pPr>
        <w:pStyle w:val="div"/>
        <w:spacing w:line="360" w:lineRule="auto"/>
        <w:ind w:firstLine="480"/>
        <w:rPr>
          <w:rFonts w:eastAsia="Times New Roman"/>
          <w:kern w:val="0"/>
          <w:sz w:val="24"/>
          <w:szCs w:val="24"/>
        </w:rPr>
      </w:pPr>
      <w:r>
        <w:rPr>
          <w:rStyle w:val="custom"/>
          <w:rFonts w:ascii="宋体" w:hAnsi="宋体" w:cs="宋体"/>
          <w:kern w:val="0"/>
          <w:sz w:val="24"/>
          <w:szCs w:val="24"/>
        </w:rPr>
        <w:t>投资者购买本基金应使用汇添富基金管理股份有限公司基金账户。若投资者已经开立汇添富基金管理股份有限公司基金账户，则无须再另行开立基金账户，直接以此基金账户办理认购申请即可。未开立基金账户的投资者可以到本公司直销中心、销售机构网点办理开立基金账户的手续。本公司同时开通网上开户功能，详细情况请登录公司线上直销系统查询。</w:t>
      </w:r>
    </w:p>
    <w:p w14:paraId="72469B23" w14:textId="77777777"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5、</w:t>
      </w:r>
      <w:r>
        <w:rPr>
          <w:rFonts w:ascii="宋体" w:hAnsi="宋体" w:cs="宋体"/>
          <w:kern w:val="0"/>
          <w:sz w:val="24"/>
          <w:szCs w:val="24"/>
        </w:rPr>
        <w:t>投资者的开户和认购申请可同时办理，一次完成，但若开户无效，认购</w:t>
      </w:r>
      <w:r>
        <w:rPr>
          <w:rFonts w:ascii="宋体" w:hAnsi="宋体" w:cs="宋体"/>
          <w:kern w:val="0"/>
          <w:sz w:val="24"/>
          <w:szCs w:val="24"/>
        </w:rPr>
        <w:lastRenderedPageBreak/>
        <w:t>申请也同时无效。</w:t>
      </w:r>
    </w:p>
    <w:p w14:paraId="19BA8228" w14:textId="77777777"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6、</w:t>
      </w:r>
      <w:r>
        <w:rPr>
          <w:rStyle w:val="custom"/>
          <w:rFonts w:ascii="宋体" w:hAnsi="宋体" w:cs="宋体"/>
          <w:kern w:val="0"/>
          <w:sz w:val="24"/>
          <w:szCs w:val="24"/>
        </w:rPr>
        <w:t>投资者通过基金管理人直销中心首次认购本基金的最低金额为人民币50,000元（含认购费）；通过基金管理人线上直销系统认购本基金单笔最低金额为人民币1元（含认购费）；通过其他销售机构的销售网点认购本基金单笔最低金额为人民币1元（含认购费）。募集期间不设置投资者单个账户最高认购金额限制。各销售机构对本基金最低认购金额及交易级差有其他规定的，以各销售机构的业务规定为准。投资者在募集期内可多次认购基金份额，其认购金额按照单笔认购金额对应的费率为基准进行计算。认购申请一经销售机构受理，不可以撤销。</w:t>
      </w:r>
    </w:p>
    <w:p w14:paraId="231FF680" w14:textId="77777777" w:rsidR="0038025B" w:rsidRDefault="00BB1FD8">
      <w:pPr>
        <w:pStyle w:val="div"/>
        <w:spacing w:line="360" w:lineRule="auto"/>
        <w:ind w:firstLine="480"/>
        <w:rPr>
          <w:rFonts w:eastAsia="Times New Roman"/>
          <w:kern w:val="0"/>
          <w:sz w:val="24"/>
          <w:szCs w:val="24"/>
        </w:rPr>
      </w:pPr>
      <w:r>
        <w:rPr>
          <w:rStyle w:val="custom"/>
          <w:rFonts w:ascii="宋体" w:hAnsi="宋体" w:cs="宋体"/>
          <w:kern w:val="0"/>
          <w:sz w:val="24"/>
          <w:szCs w:val="24"/>
        </w:rPr>
        <w:t>如本基金单个投资人累计认购的基金份额数达到或者超过基金份额总数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1C40484C" w14:textId="77777777" w:rsidR="0038025B" w:rsidRDefault="00BB1FD8">
      <w:pPr>
        <w:pStyle w:val="div"/>
        <w:spacing w:line="360" w:lineRule="auto"/>
        <w:ind w:firstLine="480"/>
        <w:rPr>
          <w:rFonts w:eastAsia="Times New Roman"/>
          <w:kern w:val="0"/>
          <w:sz w:val="24"/>
          <w:szCs w:val="24"/>
        </w:rPr>
      </w:pPr>
      <w:r>
        <w:rPr>
          <w:rStyle w:val="custom"/>
          <w:rFonts w:ascii="宋体" w:hAnsi="宋体" w:cs="宋体"/>
          <w:kern w:val="0"/>
          <w:sz w:val="24"/>
          <w:szCs w:val="24"/>
        </w:rPr>
        <w:t>基金管理人可以对本基金募集规模设置上限，具体募集上限、规模控制方案及其他募集安排的调整，详见本公司届时发布的相关公告。若本基金设置募集规模上限，除基金管理人相关公告另有规定，基金合同生效后将不再受此募集规模的限制。</w:t>
      </w:r>
    </w:p>
    <w:p w14:paraId="69223D23"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kern w:val="0"/>
          <w:sz w:val="24"/>
          <w:szCs w:val="24"/>
        </w:rPr>
        <w:t>7、</w:t>
      </w:r>
      <w:r>
        <w:rPr>
          <w:rFonts w:ascii="宋体" w:hAnsi="宋体" w:cs="宋体"/>
          <w:kern w:val="0"/>
          <w:sz w:val="24"/>
          <w:szCs w:val="24"/>
        </w:rPr>
        <w:t>本基金的有效认购款项在基金募集期间产生的利息将折算为基金份额归基金份额持有人所有，其中利息转份额的数额以登记机构的记录为准。</w:t>
      </w:r>
    </w:p>
    <w:p w14:paraId="61904406"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kern w:val="0"/>
          <w:sz w:val="24"/>
          <w:szCs w:val="24"/>
        </w:rPr>
        <w:t>8、</w:t>
      </w:r>
      <w:r>
        <w:rPr>
          <w:rFonts w:ascii="宋体" w:hAnsi="宋体" w:cs="宋体"/>
          <w:kern w:val="0"/>
          <w:sz w:val="24"/>
          <w:szCs w:val="24"/>
        </w:rPr>
        <w:t>销售机构（指本公司的直销中心、线上直销系统和其他销售机构的销售网点）对认购申请的受理并不代表该申请一定成功，而仅代表销售机构确实接受了认购申请，申请的成功确认应以基金登记机构的确认结果为准。投资者可以在基金合同生效后到原认购网点打印认购成交确认凭证或查询认购成交确认信息。</w:t>
      </w:r>
    </w:p>
    <w:p w14:paraId="768E91FD" w14:textId="52735954"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9、</w:t>
      </w:r>
      <w:r>
        <w:rPr>
          <w:rFonts w:ascii="宋体" w:hAnsi="宋体" w:cs="宋体"/>
          <w:kern w:val="0"/>
          <w:sz w:val="24"/>
          <w:szCs w:val="24"/>
        </w:rPr>
        <w:t>本公告仅对本基金募集的有关事项和规定予以说明。投资者欲了解本基金的详细情况，请详细阅读刊登在</w:t>
      </w:r>
      <w:r w:rsidR="00EE48A6">
        <w:rPr>
          <w:rFonts w:ascii="宋体" w:hAnsi="宋体" w:cs="宋体"/>
          <w:kern w:val="0"/>
          <w:sz w:val="24"/>
          <w:szCs w:val="24"/>
        </w:rPr>
        <w:t>2025</w:t>
      </w:r>
      <w:r>
        <w:rPr>
          <w:rFonts w:ascii="宋体" w:hAnsi="宋体" w:cs="宋体"/>
          <w:kern w:val="0"/>
          <w:sz w:val="24"/>
          <w:szCs w:val="24"/>
        </w:rPr>
        <w:t>年</w:t>
      </w:r>
      <w:r w:rsidR="00EE48A6">
        <w:rPr>
          <w:rFonts w:ascii="宋体" w:hAnsi="宋体" w:cs="宋体"/>
          <w:kern w:val="0"/>
          <w:sz w:val="24"/>
          <w:szCs w:val="24"/>
        </w:rPr>
        <w:t>4</w:t>
      </w:r>
      <w:r>
        <w:rPr>
          <w:rFonts w:ascii="宋体" w:hAnsi="宋体" w:cs="宋体"/>
          <w:kern w:val="0"/>
          <w:sz w:val="24"/>
          <w:szCs w:val="24"/>
        </w:rPr>
        <w:t>月</w:t>
      </w:r>
      <w:r w:rsidR="00EE48A6">
        <w:rPr>
          <w:rFonts w:ascii="宋体" w:hAnsi="宋体" w:cs="宋体"/>
          <w:kern w:val="0"/>
          <w:sz w:val="24"/>
          <w:szCs w:val="24"/>
        </w:rPr>
        <w:t>11</w:t>
      </w:r>
      <w:r>
        <w:rPr>
          <w:rFonts w:ascii="宋体" w:hAnsi="宋体" w:cs="宋体"/>
          <w:kern w:val="0"/>
          <w:sz w:val="24"/>
          <w:szCs w:val="24"/>
        </w:rPr>
        <w:t>日基金管理人网站（www.99fund.com）和中国证监会基金电子披露网站（http://eid.csrc.gov.cn/fund）上的本基金《基金合同》、《招募说明书》、</w:t>
      </w:r>
      <w:r>
        <w:rPr>
          <w:rFonts w:ascii="宋体" w:hAnsi="宋体" w:cs="宋体"/>
          <w:kern w:val="0"/>
          <w:sz w:val="24"/>
          <w:szCs w:val="24"/>
        </w:rPr>
        <w:lastRenderedPageBreak/>
        <w:t>《托管协议》和《基金产品资料概要》。</w:t>
      </w:r>
    </w:p>
    <w:p w14:paraId="568381C2" w14:textId="77777777"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10、</w:t>
      </w:r>
      <w:r>
        <w:rPr>
          <w:rFonts w:ascii="宋体" w:hAnsi="宋体" w:cs="宋体"/>
          <w:kern w:val="0"/>
          <w:sz w:val="24"/>
          <w:szCs w:val="24"/>
        </w:rPr>
        <w:t>投资者亦可通过本公司网站下载基金申请表格和了解基金募集相关事宜。</w:t>
      </w:r>
    </w:p>
    <w:p w14:paraId="0E15CA38" w14:textId="77777777"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11、</w:t>
      </w:r>
      <w:r>
        <w:rPr>
          <w:rFonts w:ascii="宋体" w:hAnsi="宋体" w:cs="宋体"/>
          <w:kern w:val="0"/>
          <w:sz w:val="24"/>
          <w:szCs w:val="24"/>
        </w:rPr>
        <w:t>投资者所在地若未开设销售网点，请拨打本公司的客户服务热线电话（400-888-9918）或销售机构的咨询电话垂询认购事宜。</w:t>
      </w:r>
    </w:p>
    <w:p w14:paraId="74FB788B" w14:textId="77777777" w:rsidR="0038025B" w:rsidRDefault="00BB1FD8">
      <w:pPr>
        <w:pStyle w:val="div"/>
        <w:spacing w:line="360" w:lineRule="auto"/>
        <w:ind w:firstLine="480"/>
        <w:rPr>
          <w:rFonts w:eastAsia="Times New Roman"/>
          <w:kern w:val="0"/>
          <w:sz w:val="24"/>
          <w:szCs w:val="24"/>
        </w:rPr>
      </w:pPr>
      <w:r>
        <w:rPr>
          <w:rStyle w:val="serial-tag"/>
          <w:rFonts w:ascii="宋体" w:hAnsi="宋体" w:cs="宋体"/>
          <w:kern w:val="0"/>
          <w:sz w:val="24"/>
          <w:szCs w:val="24"/>
        </w:rPr>
        <w:t>12、</w:t>
      </w:r>
      <w:r>
        <w:rPr>
          <w:rFonts w:ascii="宋体" w:hAnsi="宋体" w:cs="宋体"/>
          <w:kern w:val="0"/>
          <w:sz w:val="24"/>
          <w:szCs w:val="24"/>
        </w:rPr>
        <w:t>本公司可综合各种情况对募集安排做适当调整。</w:t>
      </w:r>
    </w:p>
    <w:p w14:paraId="6E4C6128"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kern w:val="0"/>
          <w:sz w:val="24"/>
          <w:szCs w:val="24"/>
        </w:rPr>
        <w:t>13、</w:t>
      </w:r>
      <w:r>
        <w:rPr>
          <w:rFonts w:ascii="宋体" w:hAnsi="宋体" w:cs="宋体"/>
          <w:kern w:val="0"/>
          <w:sz w:val="24"/>
          <w:szCs w:val="24"/>
        </w:rPr>
        <w:t>风险提示</w:t>
      </w:r>
    </w:p>
    <w:p w14:paraId="033834B2"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1E4A3934"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基金在投资运作过程中可能面临各种风险，既包括市场风险，也包括基金自身的管理风险、技术风险和合规风险等。巨额赎回风险是开放式基金所特有的一种风险，即当单个交易日基金的净赎回申请超过基金总份额的</w:t>
      </w:r>
      <w:r>
        <w:rPr>
          <w:rStyle w:val="custom"/>
          <w:rFonts w:ascii="宋体" w:hAnsi="宋体" w:cs="宋体"/>
          <w:kern w:val="0"/>
          <w:sz w:val="24"/>
          <w:szCs w:val="24"/>
        </w:rPr>
        <w:t>百分之十</w:t>
      </w:r>
      <w:r>
        <w:rPr>
          <w:rFonts w:ascii="宋体" w:hAnsi="宋体" w:cs="宋体"/>
          <w:kern w:val="0"/>
          <w:sz w:val="24"/>
          <w:szCs w:val="24"/>
        </w:rPr>
        <w:t>时，投资者将可能无法及时赎回持有的全部基金份额。</w:t>
      </w:r>
    </w:p>
    <w:p w14:paraId="6E756AFE" w14:textId="4D71BA06" w:rsidR="0038025B" w:rsidRDefault="00BB1FD8" w:rsidP="009F2469">
      <w:pPr>
        <w:pStyle w:val="div"/>
        <w:spacing w:line="360" w:lineRule="auto"/>
        <w:ind w:firstLine="480"/>
        <w:jc w:val="left"/>
        <w:rPr>
          <w:rFonts w:eastAsia="Times New Roman"/>
          <w:kern w:val="0"/>
          <w:sz w:val="24"/>
          <w:szCs w:val="24"/>
        </w:rPr>
      </w:pPr>
      <w:r>
        <w:rPr>
          <w:rFonts w:ascii="宋体" w:hAnsi="宋体" w:cs="宋体"/>
          <w:kern w:val="0"/>
          <w:sz w:val="24"/>
          <w:szCs w:val="24"/>
        </w:rPr>
        <w:t>基金分为股票型基金、混合型基金、债券型基金、货币市场基金等不同类型，投资者投资不同类型的基金将获得不同的收益预期，也将承担不同程度的风险。一般来说，基金的收益预期越高，投资者承担的风险也越大。</w:t>
      </w:r>
      <w:r>
        <w:rPr>
          <w:rStyle w:val="custom"/>
          <w:rFonts w:ascii="宋体" w:hAnsi="宋体" w:cs="宋体"/>
          <w:kern w:val="0"/>
          <w:sz w:val="24"/>
          <w:szCs w:val="24"/>
        </w:rPr>
        <w:t>本基金属于股票型基金，其预期的风险与收益高于混合型基金、债券型基金与货币市场基金。同时本基金为指数基金，具有与标的指数相似的风险收益特征。</w:t>
      </w:r>
      <w:r>
        <w:rPr>
          <w:rFonts w:ascii="宋体" w:hAnsi="宋体" w:cs="宋体"/>
          <w:kern w:val="0"/>
          <w:sz w:val="24"/>
          <w:szCs w:val="24"/>
        </w:rPr>
        <w:t>本基金投资于证券市场，基金净值会因为证券市场波动等因素产生波动，投资者根据所持有的基金份额享受基金收益，同时承担相应的投资风险。本基金投资者在投资本基金前，需充分了解本基金的产品特性，并承担基金投资中出现的各类风险，包括：因整体政治、经济、社会等环境因素对证券价格产生影响而形成的系统性风险，个别证券特有的非系统性风险，由于基金投资者连续大量赎回基金产生的流动性风险，基金管理人在基金管理实施过程中产生的基金管理风险，本基金的特定风险等。</w:t>
      </w:r>
    </w:p>
    <w:p w14:paraId="299694A6"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投资有风险，投资者在进行投资决策前，请仔细阅读本基金的《招募说明书》及《基金合同》等信息披露文件，并根据自身的投资目的、投资期限、投资经验、资产状况等判断基金是否和投资者的风险承受能力相适应，自主判断</w:t>
      </w:r>
      <w:r>
        <w:rPr>
          <w:rFonts w:ascii="宋体" w:hAnsi="宋体" w:cs="宋体"/>
          <w:kern w:val="0"/>
          <w:sz w:val="24"/>
          <w:szCs w:val="24"/>
        </w:rPr>
        <w:lastRenderedPageBreak/>
        <w:t>基金的投资价值，自主做出投资决策，自行承担投资风险。</w:t>
      </w:r>
    </w:p>
    <w:p w14:paraId="10D1803F"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基金管理人保证招募说明书的内容真实、准确、完整。本基金的招募说明书经中国证监会注册，但中国证监会对本基金募集的注册，并不表明其对本基金的投资价值和市场前景作出实质性判断或保证，也不表明投资于本基金没有风险。</w:t>
      </w:r>
    </w:p>
    <w:p w14:paraId="50319F7E"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投资者应当通过本公司或代销机构购买和赎回本基金。本基金的销售机构名单详见本公司官网公示的销售机构信息表。本基金在募集期内按1.00元初始面值发售并不改变基金的风险收益特征。投资者按1.00元初始面值购买基金份额以后，有可能面临基金份额净值跌破1.00元，从而遭受损失的风险。</w:t>
      </w:r>
    </w:p>
    <w:p w14:paraId="1AC07DDE"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本基金管理人承诺以诚实信用、勤勉尽责的原则管理和运用基金资产，但不保证本基金一定盈利，也不保证最低收益。基金的过往业绩及其净值高低并不预示其未来业绩表现。</w:t>
      </w:r>
    </w:p>
    <w:p w14:paraId="65A96000"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投资者应充分考虑自身的风险承受能力，并对于投资基金的意愿、时机、数量等投资行为作出独立决策。基金管理人提醒投资者基金投资的“买者自负”原则，在投资者作出投资决策后，基金运营状况与基金净值变化引致的投资风险，由投资者自行负责。本基金管理人建议投资者根据自身的风险收益偏好，选择适合自己的基金产品，并且中长期持有。</w:t>
      </w:r>
    </w:p>
    <w:p w14:paraId="2DD4BC3D" w14:textId="77777777" w:rsidR="0038025B" w:rsidRDefault="0038025B">
      <w:pPr>
        <w:pStyle w:val="p"/>
        <w:spacing w:line="360" w:lineRule="auto"/>
        <w:ind w:firstLine="480"/>
        <w:jc w:val="left"/>
        <w:rPr>
          <w:rFonts w:eastAsia="Times New Roman"/>
          <w:kern w:val="0"/>
          <w:sz w:val="24"/>
          <w:szCs w:val="24"/>
        </w:rPr>
      </w:pPr>
    </w:p>
    <w:p w14:paraId="55463AA3"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一、</w:t>
      </w:r>
      <w:r>
        <w:rPr>
          <w:rFonts w:ascii="宋体" w:hAnsi="宋体" w:cs="宋体"/>
          <w:b/>
          <w:bCs/>
          <w:kern w:val="0"/>
          <w:sz w:val="24"/>
          <w:szCs w:val="24"/>
        </w:rPr>
        <w:t>本次募集基本情况</w:t>
      </w:r>
    </w:p>
    <w:p w14:paraId="02446E30"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（一）</w:t>
      </w:r>
      <w:r>
        <w:rPr>
          <w:rFonts w:ascii="宋体" w:hAnsi="宋体" w:cs="宋体"/>
          <w:b/>
          <w:bCs/>
          <w:kern w:val="0"/>
          <w:sz w:val="24"/>
          <w:szCs w:val="24"/>
        </w:rPr>
        <w:t>基金名称及代码</w:t>
      </w:r>
    </w:p>
    <w:p w14:paraId="1643DB4A" w14:textId="1EFA4F8C"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汇添富国证自由现金流指数型证券投资基金</w:t>
      </w:r>
      <w:r>
        <w:rPr>
          <w:rFonts w:ascii="宋体" w:hAnsi="宋体" w:cs="宋体"/>
          <w:kern w:val="0"/>
          <w:sz w:val="24"/>
          <w:szCs w:val="24"/>
        </w:rPr>
        <w:t>（基金简称：</w:t>
      </w:r>
      <w:r w:rsidR="001F2F71" w:rsidRPr="001F2F71">
        <w:rPr>
          <w:rStyle w:val="custom"/>
          <w:rFonts w:ascii="宋体" w:hAnsi="宋体" w:cs="宋体" w:hint="eastAsia"/>
          <w:kern w:val="0"/>
          <w:sz w:val="24"/>
          <w:szCs w:val="24"/>
        </w:rPr>
        <w:t>汇添富国证自由现金流指数</w:t>
      </w:r>
      <w:r>
        <w:rPr>
          <w:rFonts w:ascii="宋体" w:hAnsi="宋体" w:cs="宋体"/>
          <w:kern w:val="0"/>
          <w:sz w:val="24"/>
          <w:szCs w:val="24"/>
        </w:rPr>
        <w:t>；</w:t>
      </w:r>
      <w:r>
        <w:rPr>
          <w:rStyle w:val="custom"/>
          <w:rFonts w:ascii="宋体" w:hAnsi="宋体" w:cs="宋体"/>
          <w:kern w:val="0"/>
          <w:sz w:val="24"/>
          <w:szCs w:val="24"/>
        </w:rPr>
        <w:t>A类份额基金代码：</w:t>
      </w:r>
      <w:r w:rsidR="001F2F71" w:rsidRPr="001F2F71">
        <w:rPr>
          <w:rStyle w:val="custom"/>
          <w:rFonts w:ascii="宋体" w:hAnsi="宋体" w:cs="宋体"/>
          <w:kern w:val="0"/>
          <w:sz w:val="24"/>
          <w:szCs w:val="24"/>
        </w:rPr>
        <w:t>024002</w:t>
      </w:r>
      <w:r>
        <w:rPr>
          <w:rStyle w:val="custom"/>
          <w:rFonts w:ascii="宋体" w:hAnsi="宋体" w:cs="宋体"/>
          <w:kern w:val="0"/>
          <w:sz w:val="24"/>
          <w:szCs w:val="24"/>
        </w:rPr>
        <w:t>；C类份额基金代码：</w:t>
      </w:r>
      <w:r w:rsidR="001F2F71" w:rsidRPr="001F2F71">
        <w:rPr>
          <w:rStyle w:val="custom"/>
          <w:rFonts w:ascii="宋体" w:hAnsi="宋体" w:cs="宋体"/>
          <w:kern w:val="0"/>
          <w:sz w:val="24"/>
          <w:szCs w:val="24"/>
        </w:rPr>
        <w:t>024003</w:t>
      </w:r>
      <w:r>
        <w:rPr>
          <w:rFonts w:ascii="宋体" w:hAnsi="宋体" w:cs="宋体"/>
          <w:kern w:val="0"/>
          <w:sz w:val="24"/>
          <w:szCs w:val="24"/>
        </w:rPr>
        <w:t>）</w:t>
      </w:r>
    </w:p>
    <w:p w14:paraId="44407409"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（二）</w:t>
      </w:r>
      <w:r>
        <w:rPr>
          <w:rFonts w:ascii="宋体" w:hAnsi="宋体" w:cs="宋体"/>
          <w:b/>
          <w:bCs/>
          <w:kern w:val="0"/>
          <w:sz w:val="24"/>
          <w:szCs w:val="24"/>
        </w:rPr>
        <w:t>基金类型与类别</w:t>
      </w:r>
    </w:p>
    <w:p w14:paraId="77B0590E"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本基金为</w:t>
      </w:r>
      <w:r>
        <w:rPr>
          <w:rStyle w:val="custom"/>
          <w:rFonts w:ascii="宋体" w:hAnsi="宋体" w:cs="宋体"/>
          <w:kern w:val="0"/>
          <w:sz w:val="24"/>
          <w:szCs w:val="24"/>
        </w:rPr>
        <w:t>股票型证券投资基金</w:t>
      </w:r>
      <w:r>
        <w:rPr>
          <w:rFonts w:ascii="宋体" w:hAnsi="宋体" w:cs="宋体"/>
          <w:kern w:val="0"/>
          <w:sz w:val="24"/>
          <w:szCs w:val="24"/>
        </w:rPr>
        <w:t>，运作方式为</w:t>
      </w:r>
      <w:r>
        <w:rPr>
          <w:rStyle w:val="custom"/>
          <w:rFonts w:ascii="宋体" w:hAnsi="宋体" w:cs="宋体"/>
          <w:kern w:val="0"/>
          <w:sz w:val="24"/>
          <w:szCs w:val="24"/>
        </w:rPr>
        <w:t>契约型开放式</w:t>
      </w:r>
    </w:p>
    <w:p w14:paraId="43555B7B"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（三）</w:t>
      </w:r>
      <w:r>
        <w:rPr>
          <w:rFonts w:ascii="宋体" w:hAnsi="宋体" w:cs="宋体"/>
          <w:b/>
          <w:bCs/>
          <w:kern w:val="0"/>
          <w:sz w:val="24"/>
          <w:szCs w:val="24"/>
        </w:rPr>
        <w:t>基金存续期限</w:t>
      </w:r>
    </w:p>
    <w:p w14:paraId="3CA35F04"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不定期</w:t>
      </w:r>
    </w:p>
    <w:p w14:paraId="6280F46B"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（四）</w:t>
      </w:r>
      <w:r>
        <w:rPr>
          <w:rFonts w:ascii="宋体" w:hAnsi="宋体" w:cs="宋体"/>
          <w:b/>
          <w:bCs/>
          <w:kern w:val="0"/>
          <w:sz w:val="24"/>
          <w:szCs w:val="24"/>
        </w:rPr>
        <w:t>基金份额面值</w:t>
      </w:r>
    </w:p>
    <w:p w14:paraId="082D9028"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color w:val="000000"/>
          <w:kern w:val="0"/>
          <w:sz w:val="24"/>
          <w:szCs w:val="24"/>
        </w:rPr>
        <w:t>每份基金份额初始面值为1.00元人民币，按初始面值发售。</w:t>
      </w:r>
    </w:p>
    <w:p w14:paraId="56FFF57E"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（五）</w:t>
      </w:r>
      <w:r>
        <w:rPr>
          <w:rFonts w:ascii="宋体" w:hAnsi="宋体" w:cs="宋体"/>
          <w:b/>
          <w:bCs/>
          <w:kern w:val="0"/>
          <w:sz w:val="24"/>
          <w:szCs w:val="24"/>
        </w:rPr>
        <w:t>募集对象</w:t>
      </w:r>
    </w:p>
    <w:p w14:paraId="3479CDFF"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lastRenderedPageBreak/>
        <w:t>符合法律法规规定的可投资于证券投资基金的个人投资者、机构投资者、合格境外投资者以及法律法规或中国证监会允许购买证券投资基金的其他投资人。</w:t>
      </w:r>
    </w:p>
    <w:p w14:paraId="3FE086B4"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个人投资者指依据有关法律法规规定可投资于证券投资基金的自然人；机构投资者指依法可以投资证券投资基金的、在中华人民共和国境内合法登记并存续或经有关政府部门批准设立并存续的企业法人、事业法人、社会团体或其他组织；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39C83C7"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（六）</w:t>
      </w:r>
      <w:r>
        <w:rPr>
          <w:rFonts w:ascii="宋体" w:hAnsi="宋体" w:cs="宋体"/>
          <w:b/>
          <w:bCs/>
          <w:kern w:val="0"/>
          <w:sz w:val="24"/>
          <w:szCs w:val="24"/>
        </w:rPr>
        <w:t>基金募集期与发售时间</w:t>
      </w:r>
    </w:p>
    <w:p w14:paraId="467841B5"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根据有关法律、法规、基金合同的规定，本基金的募集期为自基金份额发售之日起至基金份额停止发售之日止，最长不超过3个月。</w:t>
      </w:r>
    </w:p>
    <w:p w14:paraId="0E7DA37C"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本基金的发售时间为</w:t>
      </w:r>
      <w:r>
        <w:rPr>
          <w:rStyle w:val="custom"/>
          <w:rFonts w:ascii="宋体" w:hAnsi="宋体" w:cs="宋体"/>
          <w:color w:val="000000"/>
          <w:kern w:val="0"/>
          <w:sz w:val="24"/>
          <w:szCs w:val="24"/>
        </w:rPr>
        <w:t>2025年04月18日</w:t>
      </w:r>
      <w:r>
        <w:rPr>
          <w:rFonts w:ascii="宋体" w:hAnsi="宋体" w:cs="宋体"/>
          <w:color w:val="000000"/>
          <w:kern w:val="0"/>
          <w:sz w:val="24"/>
          <w:szCs w:val="24"/>
        </w:rPr>
        <w:t>起至</w:t>
      </w:r>
      <w:r>
        <w:rPr>
          <w:rStyle w:val="custom"/>
          <w:rFonts w:ascii="宋体" w:hAnsi="宋体" w:cs="宋体"/>
          <w:color w:val="000000"/>
          <w:kern w:val="0"/>
          <w:sz w:val="24"/>
          <w:szCs w:val="24"/>
        </w:rPr>
        <w:t>2025年05月09日</w:t>
      </w:r>
      <w:r>
        <w:rPr>
          <w:rFonts w:ascii="宋体" w:hAnsi="宋体" w:cs="宋体"/>
          <w:kern w:val="0"/>
          <w:sz w:val="24"/>
          <w:szCs w:val="24"/>
        </w:rPr>
        <w:t>，</w:t>
      </w:r>
      <w:r>
        <w:rPr>
          <w:rStyle w:val="custom"/>
          <w:rFonts w:ascii="宋体" w:hAnsi="宋体" w:cs="宋体"/>
          <w:kern w:val="0"/>
          <w:sz w:val="24"/>
          <w:szCs w:val="24"/>
        </w:rPr>
        <w:t>同时面向个人投资者和机构投资者销售</w:t>
      </w:r>
      <w:r>
        <w:rPr>
          <w:rFonts w:ascii="宋体" w:hAnsi="宋体" w:cs="宋体"/>
          <w:kern w:val="0"/>
          <w:sz w:val="24"/>
          <w:szCs w:val="24"/>
        </w:rPr>
        <w:t>。基金管理人可以根据认购的情况提前终止或延迟发售时间，但最迟不得超过3个月的基金募集期。如遇突发事件，以上募集安排可以适当调整。</w:t>
      </w:r>
    </w:p>
    <w:p w14:paraId="04F580A7"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（七）</w:t>
      </w:r>
      <w:r>
        <w:rPr>
          <w:rFonts w:ascii="宋体" w:hAnsi="宋体" w:cs="宋体"/>
          <w:b/>
          <w:bCs/>
          <w:kern w:val="0"/>
          <w:sz w:val="24"/>
          <w:szCs w:val="24"/>
        </w:rPr>
        <w:t>基金备案与基金合同生效</w:t>
      </w:r>
    </w:p>
    <w:p w14:paraId="59552769" w14:textId="77777777" w:rsidR="0038025B" w:rsidRDefault="00BB1FD8">
      <w:pPr>
        <w:pStyle w:val="div"/>
        <w:spacing w:line="360" w:lineRule="auto"/>
        <w:ind w:firstLine="480"/>
        <w:jc w:val="left"/>
        <w:rPr>
          <w:rFonts w:ascii="宋体" w:hAnsi="宋体" w:cs="宋体"/>
          <w:kern w:val="0"/>
          <w:sz w:val="24"/>
          <w:szCs w:val="24"/>
        </w:rPr>
      </w:pPr>
      <w:r>
        <w:rPr>
          <w:rStyle w:val="custom"/>
          <w:rFonts w:ascii="宋体" w:hAnsi="宋体" w:cs="宋体"/>
          <w:kern w:val="0"/>
          <w:sz w:val="24"/>
          <w:szCs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r>
        <w:rPr>
          <w:rFonts w:ascii="宋体" w:hAnsi="宋体" w:cs="宋体"/>
          <w:kern w:val="0"/>
          <w:sz w:val="24"/>
          <w:szCs w:val="24"/>
        </w:rPr>
        <w:t>自中国证监会书面确认之日起，基金备案手续办理完毕，基金合同生效，并于收到中国证监会确认文件的次日予以公告。</w:t>
      </w:r>
    </w:p>
    <w:p w14:paraId="32D5CF72"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若自基金份额发售之日起3个月届满，本基金不符合基金合同备案条件，本基金管理人将承担全部募集费用，并将所募集的资金加计银行同期活期存款利息在基金募集期结束后30天内退还给基金投资者。</w:t>
      </w:r>
    </w:p>
    <w:p w14:paraId="4F841C42"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二、</w:t>
      </w:r>
      <w:r>
        <w:rPr>
          <w:rFonts w:ascii="宋体" w:hAnsi="宋体" w:cs="宋体"/>
          <w:b/>
          <w:bCs/>
          <w:kern w:val="0"/>
          <w:sz w:val="24"/>
          <w:szCs w:val="24"/>
        </w:rPr>
        <w:t>发售方式及相关规定</w:t>
      </w:r>
    </w:p>
    <w:p w14:paraId="1A3CF3A2"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kern w:val="0"/>
          <w:sz w:val="24"/>
          <w:szCs w:val="24"/>
        </w:rPr>
        <w:t>（一）</w:t>
      </w:r>
      <w:r>
        <w:rPr>
          <w:rStyle w:val="custom"/>
          <w:rFonts w:ascii="宋体" w:hAnsi="宋体" w:cs="宋体"/>
          <w:kern w:val="0"/>
          <w:sz w:val="24"/>
          <w:szCs w:val="24"/>
        </w:rPr>
        <w:t>基金管理人的直销机构及基金其他销售机构的销售网点或按基金管</w:t>
      </w:r>
      <w:r>
        <w:rPr>
          <w:rStyle w:val="custom"/>
          <w:rFonts w:ascii="宋体" w:hAnsi="宋体" w:cs="宋体"/>
          <w:kern w:val="0"/>
          <w:sz w:val="24"/>
          <w:szCs w:val="24"/>
        </w:rPr>
        <w:lastRenderedPageBreak/>
        <w:t>理人直销机构、其他销售机构提供的其他方式办理公开发售。投资者还可以登录基金管理人网站（www.99fund.com）办理开户、认购等业务，网上交易开通流程、业务规则请登录基金管理人网站查询。</w:t>
      </w:r>
    </w:p>
    <w:p w14:paraId="2F5B57A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（二）认购受理：</w:t>
      </w:r>
      <w:r>
        <w:rPr>
          <w:rStyle w:val="custom"/>
          <w:rFonts w:ascii="宋体" w:hAnsi="宋体" w:cs="宋体"/>
          <w:color w:val="000000"/>
          <w:kern w:val="0"/>
          <w:sz w:val="24"/>
          <w:szCs w:val="24"/>
        </w:rPr>
        <w:t>2025年04月18日</w:t>
      </w:r>
      <w:r>
        <w:rPr>
          <w:rFonts w:ascii="宋体" w:hAnsi="宋体" w:cs="宋体"/>
          <w:color w:val="000000"/>
          <w:kern w:val="0"/>
          <w:sz w:val="24"/>
          <w:szCs w:val="24"/>
        </w:rPr>
        <w:t>起至</w:t>
      </w:r>
      <w:r>
        <w:rPr>
          <w:rStyle w:val="custom"/>
          <w:rFonts w:ascii="宋体" w:hAnsi="宋体" w:cs="宋体"/>
          <w:color w:val="000000"/>
          <w:kern w:val="0"/>
          <w:sz w:val="24"/>
          <w:szCs w:val="24"/>
        </w:rPr>
        <w:t>2025年05月09日</w:t>
      </w:r>
      <w:r>
        <w:rPr>
          <w:rFonts w:ascii="宋体" w:hAnsi="宋体" w:cs="宋体"/>
          <w:kern w:val="0"/>
          <w:sz w:val="24"/>
          <w:szCs w:val="24"/>
        </w:rPr>
        <w:t>期间（周六、周日及节假日不受理），销售网点受理投资者的认购申请。</w:t>
      </w:r>
    </w:p>
    <w:p w14:paraId="5E3E9EA6"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（三）资金缴纳：投资者须将足额资金存入销售网点指定的账户后，方可进行基金认购。</w:t>
      </w:r>
    </w:p>
    <w:p w14:paraId="23591F3F"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四）份额确认：当日（T日）在规定时间内提交的申请，投资者通常应在T+2日到销售机构查询认购申请的受理结果。销售机构对认购申请的受理并不代表该申请一定成功，而仅代表销售机构确实接收到认购申请。认购的确认以登记机构的确认结果为准。对于认购申请及认购份额的确认情况，投资者应及时查询。</w:t>
      </w:r>
    </w:p>
    <w:p w14:paraId="2D107EAB"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（五）认购方式：本基金采用金额认购方式，投资者可以通过当面委托、传真委托、网上交易的方式进行认购。</w:t>
      </w:r>
    </w:p>
    <w:p w14:paraId="6CD8243C"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（六）投资者的认购资金在基金合同生效前形成的利息收入折算成基金认购份额，归基金投资者所有，认购资金利息以登记机构的确认结果为准，利息折成基金认购份额不收取认购费、不受最低认购份额限制。</w:t>
      </w:r>
    </w:p>
    <w:p w14:paraId="3AF301E4"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三、</w:t>
      </w:r>
      <w:r>
        <w:rPr>
          <w:rFonts w:ascii="宋体" w:hAnsi="宋体" w:cs="宋体"/>
          <w:b/>
          <w:bCs/>
          <w:kern w:val="0"/>
          <w:sz w:val="24"/>
          <w:szCs w:val="24"/>
        </w:rPr>
        <w:t>认购费用</w:t>
      </w:r>
    </w:p>
    <w:p w14:paraId="179C577B"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1、本基金的认购费用</w:t>
      </w:r>
    </w:p>
    <w:p w14:paraId="63D4C061"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本基金对通过本公司直销中心认购本基金A类基金份额的特定投资群体与除此之外的其他投资者实施差别化的认购费率。</w:t>
      </w:r>
    </w:p>
    <w:p w14:paraId="73E53A01"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特定投资群体指全国社会保障基金、基本养老保险基金、可以投资基金的地方社会保障基金、企业年金基金、职业年金基金，以及个人税收递延型商业养老保险、养老目标证券投资基金等。如将来出现经养老基金监管部门认可的新的养老基金类型，基金管理人可将其纳入特定投资群体范围。</w:t>
      </w:r>
    </w:p>
    <w:p w14:paraId="3BEF205D"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特定投资群体可通过本公司直销中心认购本基金A类基金份额。基金管理人可根据情况变更或增减特定投资群体认购本基金A类基金份额的销售机构。</w:t>
      </w:r>
    </w:p>
    <w:p w14:paraId="5FB96E1E"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1）特定投资群体认购A类基金份额的认购费用</w:t>
      </w:r>
    </w:p>
    <w:p w14:paraId="67C26909"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通过本公司直销中心认购本基金A类基金份额的特定投资群体认购费用为</w:t>
      </w:r>
      <w:r>
        <w:rPr>
          <w:rFonts w:ascii="宋体" w:hAnsi="宋体" w:cs="宋体"/>
          <w:kern w:val="0"/>
          <w:sz w:val="24"/>
          <w:szCs w:val="24"/>
        </w:rPr>
        <w:lastRenderedPageBreak/>
        <w:t>每笔500元。未通过本公司直销中心认购本基金A类基金份额的特定投资群体，认购费率参照其他投资者适用的A类基金份额认购费率执行。</w:t>
      </w:r>
    </w:p>
    <w:p w14:paraId="28446CF1"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2）其他投资者认购A类基金份额的认购费率</w:t>
      </w:r>
    </w:p>
    <w:p w14:paraId="641417E4"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其他投资者认购本基金A类基金份额的认购费率随认购金额增加而递减。在募集期内如果有多笔认购，适用费率按单笔认购申请单独计算。其他投资者认购A类基金份额的具体认购费率如下表所示：</w:t>
      </w:r>
    </w:p>
    <w:tbl>
      <w:tblPr>
        <w:tblStyle w:val="table"/>
        <w:tblW w:w="7940"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5E0" w:firstRow="1" w:lastRow="1" w:firstColumn="1" w:lastColumn="1" w:noHBand="0" w:noVBand="1"/>
      </w:tblPr>
      <w:tblGrid>
        <w:gridCol w:w="4914"/>
        <w:gridCol w:w="3026"/>
      </w:tblGrid>
      <w:tr w:rsidR="0038025B" w14:paraId="63BD6249" w14:textId="77777777">
        <w:trPr>
          <w:trHeight w:val="460"/>
          <w:jc w:val="center"/>
        </w:trPr>
        <w:tc>
          <w:tcPr>
            <w:tcW w:w="0" w:type="auto"/>
            <w:tcBorders>
              <w:top w:val="single" w:sz="8" w:space="0" w:color="000000"/>
              <w:left w:val="single" w:sz="8" w:space="0" w:color="000000"/>
              <w:bottom w:val="single" w:sz="6" w:space="0" w:color="000000"/>
              <w:right w:val="single" w:sz="6" w:space="0" w:color="000000"/>
            </w:tcBorders>
            <w:tcMar>
              <w:top w:w="0" w:type="dxa"/>
              <w:left w:w="110" w:type="dxa"/>
              <w:bottom w:w="0" w:type="dxa"/>
              <w:right w:w="108" w:type="dxa"/>
            </w:tcMar>
            <w:vAlign w:val="center"/>
            <w:hideMark/>
          </w:tcPr>
          <w:p w14:paraId="71E56476"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认购金额（M）</w:t>
            </w:r>
          </w:p>
        </w:tc>
        <w:tc>
          <w:tcPr>
            <w:tcW w:w="0" w:type="auto"/>
            <w:tcBorders>
              <w:top w:val="single" w:sz="8" w:space="0" w:color="000000"/>
              <w:left w:val="single" w:sz="6" w:space="0" w:color="000000"/>
              <w:bottom w:val="single" w:sz="6" w:space="0" w:color="000000"/>
              <w:right w:val="single" w:sz="8" w:space="0" w:color="000000"/>
            </w:tcBorders>
            <w:tcMar>
              <w:top w:w="0" w:type="dxa"/>
              <w:left w:w="108" w:type="dxa"/>
              <w:bottom w:w="0" w:type="dxa"/>
              <w:right w:w="110" w:type="dxa"/>
            </w:tcMar>
            <w:vAlign w:val="center"/>
            <w:hideMark/>
          </w:tcPr>
          <w:p w14:paraId="084BEC85"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认购费率</w:t>
            </w:r>
          </w:p>
        </w:tc>
      </w:tr>
      <w:tr w:rsidR="0038025B" w14:paraId="525A74CE" w14:textId="77777777">
        <w:trPr>
          <w:trHeight w:val="460"/>
          <w:jc w:val="center"/>
        </w:trPr>
        <w:tc>
          <w:tcPr>
            <w:tcW w:w="0" w:type="auto"/>
            <w:tcBorders>
              <w:top w:val="single" w:sz="6" w:space="0" w:color="000000"/>
              <w:left w:val="single" w:sz="8" w:space="0" w:color="000000"/>
              <w:bottom w:val="single" w:sz="6" w:space="0" w:color="000000"/>
              <w:right w:val="single" w:sz="6" w:space="0" w:color="000000"/>
            </w:tcBorders>
            <w:tcMar>
              <w:top w:w="0" w:type="dxa"/>
              <w:left w:w="110" w:type="dxa"/>
              <w:bottom w:w="0" w:type="dxa"/>
              <w:right w:w="108" w:type="dxa"/>
            </w:tcMar>
            <w:vAlign w:val="center"/>
            <w:hideMark/>
          </w:tcPr>
          <w:p w14:paraId="73707EA8"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M＜50万元</w:t>
            </w:r>
          </w:p>
        </w:tc>
        <w:tc>
          <w:tcPr>
            <w:tcW w:w="0" w:type="auto"/>
            <w:tcBorders>
              <w:top w:val="single" w:sz="6" w:space="0" w:color="000000"/>
              <w:left w:val="single" w:sz="6" w:space="0" w:color="000000"/>
              <w:bottom w:val="single" w:sz="6" w:space="0" w:color="000000"/>
              <w:right w:val="single" w:sz="8" w:space="0" w:color="000000"/>
            </w:tcBorders>
            <w:tcMar>
              <w:top w:w="0" w:type="dxa"/>
              <w:left w:w="108" w:type="dxa"/>
              <w:bottom w:w="0" w:type="dxa"/>
              <w:right w:w="110" w:type="dxa"/>
            </w:tcMar>
            <w:vAlign w:val="center"/>
            <w:hideMark/>
          </w:tcPr>
          <w:p w14:paraId="3DB7E1B3"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0.80%</w:t>
            </w:r>
          </w:p>
        </w:tc>
      </w:tr>
      <w:tr w:rsidR="0038025B" w14:paraId="20267A9E" w14:textId="77777777">
        <w:trPr>
          <w:trHeight w:val="460"/>
          <w:jc w:val="center"/>
        </w:trPr>
        <w:tc>
          <w:tcPr>
            <w:tcW w:w="0" w:type="auto"/>
            <w:tcBorders>
              <w:top w:val="single" w:sz="6" w:space="0" w:color="000000"/>
              <w:left w:val="single" w:sz="8" w:space="0" w:color="000000"/>
              <w:bottom w:val="single" w:sz="6" w:space="0" w:color="000000"/>
              <w:right w:val="single" w:sz="6" w:space="0" w:color="000000"/>
            </w:tcBorders>
            <w:tcMar>
              <w:top w:w="0" w:type="dxa"/>
              <w:left w:w="110" w:type="dxa"/>
              <w:bottom w:w="0" w:type="dxa"/>
              <w:right w:w="108" w:type="dxa"/>
            </w:tcMar>
            <w:vAlign w:val="center"/>
            <w:hideMark/>
          </w:tcPr>
          <w:p w14:paraId="733FE870"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50万元≤M＜100万元</w:t>
            </w:r>
          </w:p>
        </w:tc>
        <w:tc>
          <w:tcPr>
            <w:tcW w:w="0" w:type="auto"/>
            <w:tcBorders>
              <w:top w:val="single" w:sz="6" w:space="0" w:color="000000"/>
              <w:left w:val="single" w:sz="6" w:space="0" w:color="000000"/>
              <w:bottom w:val="single" w:sz="6" w:space="0" w:color="000000"/>
              <w:right w:val="single" w:sz="8" w:space="0" w:color="000000"/>
            </w:tcBorders>
            <w:tcMar>
              <w:top w:w="0" w:type="dxa"/>
              <w:left w:w="108" w:type="dxa"/>
              <w:bottom w:w="0" w:type="dxa"/>
              <w:right w:w="110" w:type="dxa"/>
            </w:tcMar>
            <w:vAlign w:val="center"/>
            <w:hideMark/>
          </w:tcPr>
          <w:p w14:paraId="75C4F636"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0.50%</w:t>
            </w:r>
          </w:p>
        </w:tc>
      </w:tr>
      <w:tr w:rsidR="0038025B" w14:paraId="386A0FB8" w14:textId="77777777">
        <w:trPr>
          <w:trHeight w:val="460"/>
          <w:jc w:val="center"/>
        </w:trPr>
        <w:tc>
          <w:tcPr>
            <w:tcW w:w="0" w:type="auto"/>
            <w:tcBorders>
              <w:top w:val="single" w:sz="6" w:space="0" w:color="000000"/>
              <w:left w:val="single" w:sz="8" w:space="0" w:color="000000"/>
              <w:bottom w:val="single" w:sz="8" w:space="0" w:color="000000"/>
              <w:right w:val="single" w:sz="6" w:space="0" w:color="000000"/>
            </w:tcBorders>
            <w:tcMar>
              <w:top w:w="0" w:type="dxa"/>
              <w:left w:w="110" w:type="dxa"/>
              <w:bottom w:w="0" w:type="dxa"/>
              <w:right w:w="108" w:type="dxa"/>
            </w:tcMar>
            <w:vAlign w:val="center"/>
            <w:hideMark/>
          </w:tcPr>
          <w:p w14:paraId="7F3AC2C1"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M≥100万元</w:t>
            </w:r>
          </w:p>
        </w:tc>
        <w:tc>
          <w:tcPr>
            <w:tcW w:w="0" w:type="auto"/>
            <w:tcBorders>
              <w:top w:val="single" w:sz="6" w:space="0" w:color="000000"/>
              <w:left w:val="single" w:sz="6" w:space="0" w:color="000000"/>
              <w:bottom w:val="single" w:sz="8" w:space="0" w:color="000000"/>
              <w:right w:val="single" w:sz="8" w:space="0" w:color="000000"/>
            </w:tcBorders>
            <w:tcMar>
              <w:top w:w="0" w:type="dxa"/>
              <w:left w:w="108" w:type="dxa"/>
              <w:bottom w:w="0" w:type="dxa"/>
              <w:right w:w="110" w:type="dxa"/>
            </w:tcMar>
            <w:vAlign w:val="center"/>
            <w:hideMark/>
          </w:tcPr>
          <w:p w14:paraId="0C4E71A2" w14:textId="77777777" w:rsidR="0038025B" w:rsidRDefault="00BB1FD8">
            <w:pPr>
              <w:pStyle w:val="div"/>
              <w:jc w:val="center"/>
              <w:rPr>
                <w:rFonts w:ascii="宋体" w:hAnsi="宋体" w:cs="宋体"/>
                <w:color w:val="000000"/>
                <w:kern w:val="0"/>
                <w:sz w:val="24"/>
                <w:szCs w:val="24"/>
              </w:rPr>
            </w:pPr>
            <w:r>
              <w:rPr>
                <w:rFonts w:ascii="宋体" w:hAnsi="宋体" w:cs="宋体"/>
                <w:color w:val="000000"/>
                <w:kern w:val="0"/>
                <w:sz w:val="24"/>
                <w:szCs w:val="24"/>
              </w:rPr>
              <w:t>每笔1000元</w:t>
            </w:r>
          </w:p>
        </w:tc>
      </w:tr>
    </w:tbl>
    <w:p w14:paraId="57E9E4B4"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本基金C类基金份额不收取认购费用。</w:t>
      </w:r>
    </w:p>
    <w:p w14:paraId="42F7A595"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A类基金份额的认购费用由认购A类基金份额的投资者承担，不列入基金财产，主要用于基金的市场推广、销售、登记等基金募集期间发生的各项费用。</w:t>
      </w:r>
    </w:p>
    <w:p w14:paraId="319816F4"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基金管理人可以在不违反法律法规规定及基金合同约定的情况下根据市场情况制定基金促销计划，定期和不定期地开展基金促销活动。在基金促销活动期间，基金管理人可以按相关监管部门要求履行必要手续后，对基金投资者适当调低基金认购费率。</w:t>
      </w:r>
    </w:p>
    <w:p w14:paraId="32B54F9B"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2、认购份额的计算</w:t>
      </w:r>
    </w:p>
    <w:p w14:paraId="70BBB34A"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基金认购采用金额认购的方式。</w:t>
      </w:r>
    </w:p>
    <w:p w14:paraId="6BDA10BF"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（1）A类基金份额</w:t>
      </w:r>
    </w:p>
    <w:p w14:paraId="27C15AC3"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A类基金份额的认购金额包括认购费用和净认购金额。计算公式为：</w:t>
      </w:r>
    </w:p>
    <w:p w14:paraId="3FC3A98E"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1）认购费用适用比例费率：</w:t>
      </w:r>
    </w:p>
    <w:p w14:paraId="504C87B3"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净认购金额=认购金额/（1＋认购费率）</w:t>
      </w:r>
    </w:p>
    <w:p w14:paraId="22FEB313"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认购费用=认购金额-净认购金额</w:t>
      </w:r>
    </w:p>
    <w:p w14:paraId="20289999"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认购份额=（净认购金额＋认购利息）/基金份额发售面值</w:t>
      </w:r>
    </w:p>
    <w:p w14:paraId="5099572D"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2）认购费用适用固定金额：</w:t>
      </w:r>
    </w:p>
    <w:p w14:paraId="25B235F6"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认购费用=固定金额</w:t>
      </w:r>
    </w:p>
    <w:p w14:paraId="40CCE553"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净认购金额=认购金额-认购费用</w:t>
      </w:r>
    </w:p>
    <w:p w14:paraId="0F867B85"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认购份额=（净认购金额＋认购利息）/基金份额发售面值</w:t>
      </w:r>
    </w:p>
    <w:p w14:paraId="353D530A"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lastRenderedPageBreak/>
        <w:t>（2）C类基金份额</w:t>
      </w:r>
    </w:p>
    <w:p w14:paraId="0CA7898B"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认购份额=（认购金额＋认购利息）/基金份额发售面值</w:t>
      </w:r>
    </w:p>
    <w:p w14:paraId="125443FC"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（3）上述认购份额（含利息折算的份额）计算结果保留到小数点后2位，小数点2位以后的部分四舍五入，由此误差产生的收益或损失由基金财产承担。</w:t>
      </w:r>
    </w:p>
    <w:p w14:paraId="45C0CDA6"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例1.某投资者（非特定投资群体）投资10,000元认购本基金A类基金份额，假设其认购资金在认购期间产生的利息为3.00元，其对应的认购费率为0.80%，则其可得到的认购份额为：</w:t>
      </w:r>
    </w:p>
    <w:p w14:paraId="109E2E80"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净认购金额=10,000/（1+0.80%）=9,920.63元</w:t>
      </w:r>
    </w:p>
    <w:p w14:paraId="1F6AAC22"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认购费用=10,000-9,920.63=79.37元</w:t>
      </w:r>
    </w:p>
    <w:p w14:paraId="5A5A60B4"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认购份额=（9,920.63+3.00）/1.00=9,923.63份</w:t>
      </w:r>
    </w:p>
    <w:p w14:paraId="583CB6C0"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即：投资者（非特定投资群体）投资10,000元认购本基金A类基金份额，假设其认购资金在认购期间产生的利息为3.00元，则其可得到9,923.63份本基金A类基金份额。</w:t>
      </w:r>
    </w:p>
    <w:p w14:paraId="2C3BCA07"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例2.某特定投资群体客户通过本公司直销中心投资100,000元认购本基金A类基金份额，其认购费金额为500元，假设其认购资金在认购期间产生的利息为50.00元，则其可得到的认购份额为：</w:t>
      </w:r>
    </w:p>
    <w:p w14:paraId="0CC24610"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净认购金额=100,000-500=99,500.00元</w:t>
      </w:r>
    </w:p>
    <w:p w14:paraId="14068D49"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认购份额=（99,500.00+50.00）/1.00=99,550.00份</w:t>
      </w:r>
    </w:p>
    <w:p w14:paraId="5A66E935"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即：特定投资群体客户通过本公司直销中心投资100,000元认购本基金A类基金份额，假设募集期间其认购资金所得利息为50.00元，则其可得到99,550.00份本基金A类基金份额。</w:t>
      </w:r>
    </w:p>
    <w:p w14:paraId="390D7F3B"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例3.某投资者投资10,000元认购本基金C类基金份额，由于募集期间基金份额发售面值为人民币1.00元，假设其认购资金在认购期间产生的利息为3.00元，则其可得到的认购份额为：</w:t>
      </w:r>
    </w:p>
    <w:p w14:paraId="55D6C044"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认购份额=（10,000+3.00）/1.00=10,003.00份</w:t>
      </w:r>
    </w:p>
    <w:p w14:paraId="2A9AD5A2" w14:textId="77777777" w:rsidR="0038025B" w:rsidRDefault="00BB1FD8">
      <w:pPr>
        <w:pStyle w:val="div"/>
        <w:spacing w:line="360" w:lineRule="auto"/>
        <w:ind w:firstLine="480"/>
        <w:rPr>
          <w:rFonts w:ascii="宋体" w:hAnsi="宋体" w:cs="宋体"/>
          <w:kern w:val="0"/>
          <w:sz w:val="24"/>
          <w:szCs w:val="24"/>
        </w:rPr>
      </w:pPr>
      <w:r>
        <w:rPr>
          <w:rFonts w:ascii="宋体" w:hAnsi="宋体" w:cs="宋体"/>
          <w:kern w:val="0"/>
          <w:sz w:val="24"/>
          <w:szCs w:val="24"/>
        </w:rPr>
        <w:t>即：投资者投资10,000元认购本基金C类基金份额，假设其认购资金在认购期间产生的利息为3.00元，则其可得到10,003.00份C类基金份额。</w:t>
      </w:r>
    </w:p>
    <w:p w14:paraId="11027508"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四、</w:t>
      </w:r>
      <w:r>
        <w:rPr>
          <w:rFonts w:ascii="宋体" w:hAnsi="宋体" w:cs="宋体"/>
          <w:b/>
          <w:bCs/>
          <w:kern w:val="0"/>
          <w:sz w:val="24"/>
          <w:szCs w:val="24"/>
        </w:rPr>
        <w:t>直销中心的开户与认购流程</w:t>
      </w:r>
    </w:p>
    <w:p w14:paraId="26506AD5"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（一）注意事项</w:t>
      </w:r>
    </w:p>
    <w:p w14:paraId="761F2652" w14:textId="77777777" w:rsidR="0038025B" w:rsidRDefault="00BB1FD8">
      <w:pPr>
        <w:pStyle w:val="div"/>
        <w:spacing w:line="360" w:lineRule="auto"/>
        <w:ind w:firstLine="480"/>
        <w:jc w:val="left"/>
        <w:rPr>
          <w:rFonts w:ascii="宋体" w:hAnsi="宋体" w:cs="宋体"/>
          <w:kern w:val="0"/>
          <w:sz w:val="24"/>
          <w:szCs w:val="24"/>
        </w:rPr>
      </w:pPr>
      <w:r>
        <w:rPr>
          <w:rFonts w:ascii="宋体" w:hAnsi="宋体" w:cs="宋体"/>
          <w:kern w:val="0"/>
          <w:sz w:val="24"/>
          <w:szCs w:val="24"/>
        </w:rPr>
        <w:lastRenderedPageBreak/>
        <w:t>1、投资者应按《</w:t>
      </w:r>
      <w:r>
        <w:rPr>
          <w:rStyle w:val="custom"/>
          <w:rFonts w:ascii="宋体" w:hAnsi="宋体" w:cs="宋体"/>
          <w:kern w:val="0"/>
          <w:sz w:val="24"/>
          <w:szCs w:val="24"/>
        </w:rPr>
        <w:t>汇添富国证自由现金流指数型证券投资基金</w:t>
      </w:r>
      <w:r>
        <w:rPr>
          <w:rFonts w:ascii="宋体" w:hAnsi="宋体" w:cs="宋体"/>
          <w:kern w:val="0"/>
          <w:sz w:val="24"/>
          <w:szCs w:val="24"/>
        </w:rPr>
        <w:t>招募说明书》规定的程序办理相关事项。</w:t>
      </w:r>
    </w:p>
    <w:p w14:paraId="240E19CB"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2、投资者可以使用银行转账、本票等主动付款方式进行认购缴款。</w:t>
      </w:r>
    </w:p>
    <w:p w14:paraId="4C0039EA"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3、通过直销中心开立基金及交易账户的基金投资者应指定一个银行账户作为其资金交收账户，以便进行认（申）购缴款、赎回、分红及无效认（申）购资金退款的资金结算。资金交收账户的名称必须与投资者开立基金账户的名称一致。</w:t>
      </w:r>
    </w:p>
    <w:p w14:paraId="3FBAB68D"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4、营业时间：基金发售日的9:00－17:00。</w:t>
      </w:r>
    </w:p>
    <w:p w14:paraId="78FA1251"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5、</w:t>
      </w:r>
      <w:r>
        <w:rPr>
          <w:rStyle w:val="custom"/>
          <w:rFonts w:ascii="宋体" w:hAnsi="宋体" w:cs="宋体"/>
          <w:kern w:val="0"/>
          <w:sz w:val="24"/>
          <w:szCs w:val="24"/>
        </w:rPr>
        <w:t>个人或</w:t>
      </w:r>
      <w:r>
        <w:rPr>
          <w:rFonts w:ascii="宋体" w:hAnsi="宋体" w:cs="宋体"/>
          <w:kern w:val="0"/>
          <w:sz w:val="24"/>
          <w:szCs w:val="24"/>
        </w:rPr>
        <w:t>机构投资者如需通过直销中心认购基金，请尽早向直销中心索取或从本公司网站(www.99fund.com）下载开户、认购申请表单及相关资料。</w:t>
      </w:r>
    </w:p>
    <w:p w14:paraId="2C9D9820"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6、直销中心与代理销售网点的申请表格式不同，投资者请勿混用。</w:t>
      </w:r>
    </w:p>
    <w:p w14:paraId="34E1D047"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（二）开户及认购程序</w:t>
      </w:r>
    </w:p>
    <w:p w14:paraId="560006AA"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1、开户</w:t>
      </w:r>
    </w:p>
    <w:p w14:paraId="5A0C7D8D"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（1）投资者可以到直销中心办理开户手续。开户资料的填写必须真实、准确，完整，否则由此引起的客户资料寄送等错误的责任由投资者自行承担。</w:t>
      </w:r>
    </w:p>
    <w:p w14:paraId="2C39633D"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（2）选择在直销中心认购基金的投资者应申请开立基金账户（已开户者除外），投资者开立基金账户的同时将获得基金交易账号。</w:t>
      </w:r>
    </w:p>
    <w:p w14:paraId="30A0ECE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（3）个人投资者：填写《基金账户业务申请表》及《风险提示函与自测表》，同时提交下列材料：</w:t>
      </w:r>
    </w:p>
    <w:p w14:paraId="28AD60A4"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1）有效身份证件原件及正反面复印件；</w:t>
      </w:r>
    </w:p>
    <w:p w14:paraId="1E613DAF"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2）银行借记卡或存折原件及复印件。</w:t>
      </w:r>
    </w:p>
    <w:p w14:paraId="13882EB4"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个人投资者如委托代理人办理，则另须提供代理人有效身份证件原件及正反面复印件，并由双方填写 《基金授权委托书》。</w:t>
      </w:r>
    </w:p>
    <w:p w14:paraId="6A7477D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（4）机构投资者：填写《基金账户业务申请表》并加盖机构公章及法定代表人私章，同时提供下列材料：</w:t>
      </w:r>
    </w:p>
    <w:p w14:paraId="11268C1D"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1）加盖机构公章的《机构投资者风险承受能力评估问卷》；</w:t>
      </w:r>
    </w:p>
    <w:p w14:paraId="0ED9E491"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2）加盖机构公章的法人营业执照、组织机构代码证及税务登记证复印件；</w:t>
      </w:r>
    </w:p>
    <w:p w14:paraId="582252B6"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3）加盖机构公章和法定代表人私章的《基金授权委托书》；</w:t>
      </w:r>
    </w:p>
    <w:p w14:paraId="37CBE742"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4）加盖机构公章的《预留印鉴卡》；</w:t>
      </w:r>
    </w:p>
    <w:p w14:paraId="2473B255"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lastRenderedPageBreak/>
        <w:t>5）加盖公章及法定代表人私章的《传真交易协议书》；</w:t>
      </w:r>
    </w:p>
    <w:p w14:paraId="058D3B2D"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6）加盖公章的法定代表人有效身份证件正反面复印件；</w:t>
      </w:r>
    </w:p>
    <w:p w14:paraId="1623EE17"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7）加盖公章的机构经办人有效身份证件正反面复印件；</w:t>
      </w:r>
    </w:p>
    <w:p w14:paraId="7B71996E"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8）加盖公章的预留银行账户的开立证明文件复印件。</w:t>
      </w:r>
    </w:p>
    <w:p w14:paraId="50181030"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（5）投资者T日提交的开户申请，可于T+2日起通过本公司直销中心或客服热线（400-888-9918）查询申请结果。</w:t>
      </w:r>
    </w:p>
    <w:p w14:paraId="4631EBC3"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2、缴款</w:t>
      </w:r>
    </w:p>
    <w:p w14:paraId="042E6804"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（1）投资者申请认购本基金，应首先将足额认购资金以银行认可的付款方式划入本公司指定的直销资金专户：</w:t>
      </w:r>
    </w:p>
    <w:p w14:paraId="03592292"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账户一：</w:t>
      </w:r>
    </w:p>
    <w:p w14:paraId="0D8FE899"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账户名称：汇添富基金管理股份有限公司直销专户</w:t>
      </w:r>
    </w:p>
    <w:p w14:paraId="64DAF9D7"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开户银行：上海浦东发展银行卢湾支行</w:t>
      </w:r>
    </w:p>
    <w:p w14:paraId="3FAF9927"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银行账号：98990153850000015</w:t>
      </w:r>
    </w:p>
    <w:p w14:paraId="4E934429"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人行支付系统行号：310290000290</w:t>
      </w:r>
    </w:p>
    <w:p w14:paraId="02AAAE51"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账户二：</w:t>
      </w:r>
    </w:p>
    <w:p w14:paraId="68EE0F99"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账户名称：汇添富基金管理股份有限公司直销专户</w:t>
      </w:r>
    </w:p>
    <w:p w14:paraId="0FD946F1"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开户银行：招商银行上海分行徐家汇支行</w:t>
      </w:r>
    </w:p>
    <w:p w14:paraId="1D833450"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银行账号：121902331810623</w:t>
      </w:r>
    </w:p>
    <w:p w14:paraId="4D7AB3B5"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人行支付系统行号：308290003100</w:t>
      </w:r>
    </w:p>
    <w:p w14:paraId="774D0E01"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账户三：</w:t>
      </w:r>
    </w:p>
    <w:p w14:paraId="621F21BD"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账户名称：汇添富基金管理股份有限公司直销专户</w:t>
      </w:r>
    </w:p>
    <w:p w14:paraId="5F5E46B8"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开户银行：中国工商银行上海市分行营业部证券专柜</w:t>
      </w:r>
    </w:p>
    <w:p w14:paraId="3ECBF2BC"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银行账号：1001202929025807250</w:t>
      </w:r>
    </w:p>
    <w:p w14:paraId="312BF3BC"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人行支付系统行号：102290020294</w:t>
      </w:r>
    </w:p>
    <w:p w14:paraId="7E323A2D"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账户四：</w:t>
      </w:r>
    </w:p>
    <w:p w14:paraId="67EECA1B"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账户名称：汇添富基金管理股份有限公司直销专户</w:t>
      </w:r>
    </w:p>
    <w:p w14:paraId="4ECC4E17"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开户银行：兴业银行股份有限公司上海分行营业部</w:t>
      </w:r>
    </w:p>
    <w:p w14:paraId="0EDCB1DC"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银行账号：216200100101516289</w:t>
      </w:r>
    </w:p>
    <w:p w14:paraId="439FEECF" w14:textId="77777777" w:rsidR="0038025B" w:rsidRDefault="00BB1FD8">
      <w:pPr>
        <w:pStyle w:val="div"/>
        <w:spacing w:line="360" w:lineRule="auto"/>
        <w:ind w:firstLine="960"/>
        <w:rPr>
          <w:rFonts w:eastAsia="Times New Roman"/>
          <w:kern w:val="0"/>
          <w:sz w:val="24"/>
          <w:szCs w:val="24"/>
        </w:rPr>
      </w:pPr>
      <w:r>
        <w:rPr>
          <w:rFonts w:ascii="宋体" w:hAnsi="宋体" w:cs="宋体"/>
          <w:kern w:val="0"/>
          <w:sz w:val="24"/>
          <w:szCs w:val="24"/>
        </w:rPr>
        <w:t>人行支付系统行号：309290000107</w:t>
      </w:r>
    </w:p>
    <w:p w14:paraId="69994347"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lastRenderedPageBreak/>
        <w:t>（2）投资者在办理汇款时必须注意以下事项：</w:t>
      </w:r>
    </w:p>
    <w:p w14:paraId="37B6F0F5"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投资者应在“汇款人”栏中填写其在直销网点开立基金账户时登记的姓名；</w:t>
      </w:r>
    </w:p>
    <w:p w14:paraId="0046ABA4"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投资者应在“汇款备注栏”或“用途栏”中准确填写其在直销网点的交易账号，因未填写或填写错误导致的认购失败或资金划转错误由投资者承担。</w:t>
      </w:r>
    </w:p>
    <w:p w14:paraId="323374BE"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3、认购</w:t>
      </w:r>
    </w:p>
    <w:p w14:paraId="7B125F6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已全额缴款并完成开户申请的投资者，可以办理认购申请并提交下列材料：</w:t>
      </w:r>
    </w:p>
    <w:p w14:paraId="0AE324D3"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（1）《基金交易业务申请表》；</w:t>
      </w:r>
    </w:p>
    <w:p w14:paraId="470878DC"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（2）投资者或代理人身份证原件及正反面复印件；</w:t>
      </w:r>
    </w:p>
    <w:p w14:paraId="2B117155"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（3）加盖银行受理章的银行缴款凭证。</w:t>
      </w:r>
    </w:p>
    <w:p w14:paraId="57358273"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投资者的认购申请均为当日有效，如在规定时间内认购款未到账将视为无效申请。投资者则需另外提交认购申请。</w:t>
      </w:r>
    </w:p>
    <w:p w14:paraId="3ADA54F0"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投资者T日提交的认购申请，可于T+2日起通过本公司直销中心或客服热线（400-888-9918）查询申请结果。</w:t>
      </w:r>
    </w:p>
    <w:p w14:paraId="64F948E3"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五、</w:t>
      </w:r>
      <w:r>
        <w:rPr>
          <w:rFonts w:ascii="宋体" w:hAnsi="宋体" w:cs="宋体"/>
          <w:b/>
          <w:bCs/>
          <w:kern w:val="0"/>
          <w:sz w:val="24"/>
          <w:szCs w:val="24"/>
        </w:rPr>
        <w:t>销售网点的开户与认购流程</w:t>
      </w:r>
    </w:p>
    <w:p w14:paraId="4A6E142A"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投资者在代销机构办理本基金认购业务，具体开户与认购流程请遵循相关销售机构的规定。</w:t>
      </w:r>
    </w:p>
    <w:p w14:paraId="7C087814"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六、</w:t>
      </w:r>
      <w:r>
        <w:rPr>
          <w:rFonts w:ascii="宋体" w:hAnsi="宋体" w:cs="宋体"/>
          <w:b/>
          <w:bCs/>
          <w:kern w:val="0"/>
          <w:sz w:val="24"/>
          <w:szCs w:val="24"/>
        </w:rPr>
        <w:t>清算与交割</w:t>
      </w:r>
    </w:p>
    <w:p w14:paraId="6BF39BE3"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本基金募集期间，全部认购资金将被冻结在本基金登记机构的基金认购专户中，投资者的认购资金在基金募集期间形成的利息，在基金合同生效后折算成基金份额，归投资者所有。</w:t>
      </w:r>
    </w:p>
    <w:p w14:paraId="7BB040C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本基金份额的权益登记由本基金登记机构在募集结束后完成注册登记。</w:t>
      </w:r>
    </w:p>
    <w:p w14:paraId="33B23976"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七、</w:t>
      </w:r>
      <w:r>
        <w:rPr>
          <w:rFonts w:ascii="宋体" w:hAnsi="宋体" w:cs="宋体"/>
          <w:b/>
          <w:bCs/>
          <w:kern w:val="0"/>
          <w:sz w:val="24"/>
          <w:szCs w:val="24"/>
        </w:rPr>
        <w:t>募集费用</w:t>
      </w:r>
    </w:p>
    <w:p w14:paraId="575320A2"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本次基金募集过程中所发生的与基金有关的法定信息披露费、会计师费和律师费等募集费用从基金认购费用中列支，不从基金财产中支付。若在募集期结束时，基金仍不能满足法定备案条件，则募集费用由基金管理人承担。</w:t>
      </w:r>
    </w:p>
    <w:p w14:paraId="2B17CC9B"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八、</w:t>
      </w:r>
      <w:r>
        <w:rPr>
          <w:rFonts w:ascii="宋体" w:hAnsi="宋体" w:cs="宋体"/>
          <w:b/>
          <w:bCs/>
          <w:kern w:val="0"/>
          <w:sz w:val="24"/>
          <w:szCs w:val="24"/>
        </w:rPr>
        <w:t>基金的验资与备案</w:t>
      </w:r>
    </w:p>
    <w:p w14:paraId="4B112369"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基金募集期届满或基金管理人依据法律法规及招募说明书决定停止基金发</w:t>
      </w:r>
      <w:r>
        <w:rPr>
          <w:rFonts w:ascii="宋体" w:hAnsi="宋体" w:cs="宋体"/>
          <w:kern w:val="0"/>
          <w:sz w:val="24"/>
          <w:szCs w:val="24"/>
        </w:rPr>
        <w:lastRenderedPageBreak/>
        <w:t>售，由基金管理人委托具有资格的会计师事务所对认购资金进行验资并出具验资报告，基金登记机构出具认购户数证明。</w:t>
      </w:r>
    </w:p>
    <w:p w14:paraId="6B884976"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若基金符合法定备案条件，基金管理人办理基金备案手续后，发布基金合同生效公告。</w:t>
      </w:r>
    </w:p>
    <w:p w14:paraId="6677174C"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若基金不符合法定备案条件，本基金管理人承担全部募集费用，并将已募集资金并加计银行同期活期存款利息在基金募集期结束后30日内划出，退还基金认购人。</w:t>
      </w:r>
    </w:p>
    <w:p w14:paraId="01C599F3" w14:textId="77777777" w:rsidR="0038025B" w:rsidRDefault="00BB1FD8">
      <w:pPr>
        <w:pStyle w:val="div"/>
        <w:spacing w:line="360" w:lineRule="auto"/>
        <w:ind w:firstLine="480"/>
        <w:jc w:val="left"/>
        <w:rPr>
          <w:rFonts w:eastAsia="Times New Roman"/>
          <w:kern w:val="0"/>
          <w:sz w:val="24"/>
          <w:szCs w:val="24"/>
        </w:rPr>
      </w:pPr>
      <w:r>
        <w:rPr>
          <w:rStyle w:val="serial-tag"/>
          <w:rFonts w:ascii="宋体" w:hAnsi="宋体" w:cs="宋体"/>
          <w:b/>
          <w:bCs/>
          <w:kern w:val="0"/>
          <w:sz w:val="24"/>
          <w:szCs w:val="24"/>
        </w:rPr>
        <w:t>九、</w:t>
      </w:r>
      <w:r>
        <w:rPr>
          <w:rFonts w:ascii="宋体" w:hAnsi="宋体" w:cs="宋体"/>
          <w:b/>
          <w:bCs/>
          <w:kern w:val="0"/>
          <w:sz w:val="24"/>
          <w:szCs w:val="24"/>
        </w:rPr>
        <w:t>本次募集当事人或中介机构</w:t>
      </w:r>
    </w:p>
    <w:p w14:paraId="14AFC2DE" w14:textId="77777777" w:rsidR="0038025B" w:rsidRDefault="00BB1FD8">
      <w:pPr>
        <w:pStyle w:val="div"/>
        <w:spacing w:line="360" w:lineRule="auto"/>
        <w:ind w:firstLine="480"/>
        <w:jc w:val="left"/>
        <w:rPr>
          <w:rFonts w:eastAsia="Times New Roman"/>
          <w:kern w:val="0"/>
          <w:sz w:val="24"/>
          <w:szCs w:val="24"/>
        </w:rPr>
      </w:pPr>
      <w:r>
        <w:rPr>
          <w:rFonts w:ascii="宋体" w:hAnsi="宋体" w:cs="宋体"/>
          <w:b/>
          <w:bCs/>
          <w:kern w:val="0"/>
          <w:sz w:val="24"/>
          <w:szCs w:val="24"/>
        </w:rPr>
        <w:t>（一）基金管理人</w:t>
      </w:r>
    </w:p>
    <w:p w14:paraId="35D36BFC"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名称：汇添富基金管理股份有限公司</w:t>
      </w:r>
    </w:p>
    <w:p w14:paraId="0AE268E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注册地址：上海市黄浦区北京东路666号H区（东座）6楼H686室</w:t>
      </w:r>
    </w:p>
    <w:p w14:paraId="2ADF5543"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办公地址：上海市黄浦区外马路</w:t>
      </w:r>
      <w:r>
        <w:rPr>
          <w:rStyle w:val="custom"/>
          <w:rFonts w:eastAsia="Times New Roman"/>
          <w:kern w:val="0"/>
          <w:sz w:val="24"/>
          <w:szCs w:val="24"/>
        </w:rPr>
        <w:t>728</w:t>
      </w:r>
      <w:r>
        <w:rPr>
          <w:rFonts w:ascii="宋体" w:hAnsi="宋体" w:cs="宋体"/>
          <w:kern w:val="0"/>
          <w:sz w:val="24"/>
          <w:szCs w:val="24"/>
        </w:rPr>
        <w:t>号</w:t>
      </w:r>
    </w:p>
    <w:p w14:paraId="54D6C20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法定代表人：李文</w:t>
      </w:r>
    </w:p>
    <w:p w14:paraId="4DDE8CD0"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电话：（021）28932888</w:t>
      </w:r>
    </w:p>
    <w:p w14:paraId="6DCCF495"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传真：（021）28932998</w:t>
      </w:r>
    </w:p>
    <w:p w14:paraId="6ACFDCFB"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网址：www.99fund.com</w:t>
      </w:r>
    </w:p>
    <w:p w14:paraId="435D75E8" w14:textId="77777777" w:rsidR="0038025B" w:rsidRDefault="00BB1FD8">
      <w:pPr>
        <w:pStyle w:val="div"/>
        <w:spacing w:line="360" w:lineRule="auto"/>
        <w:ind w:firstLine="480"/>
        <w:jc w:val="left"/>
        <w:rPr>
          <w:rFonts w:eastAsia="Times New Roman"/>
          <w:kern w:val="0"/>
          <w:sz w:val="24"/>
          <w:szCs w:val="24"/>
        </w:rPr>
      </w:pPr>
      <w:r>
        <w:rPr>
          <w:rFonts w:ascii="宋体" w:hAnsi="宋体" w:cs="宋体"/>
          <w:kern w:val="0"/>
          <w:sz w:val="24"/>
          <w:szCs w:val="24"/>
        </w:rPr>
        <w:t>电子邮件：service@99fund.com</w:t>
      </w:r>
    </w:p>
    <w:p w14:paraId="73810E55" w14:textId="77777777" w:rsidR="0038025B" w:rsidRDefault="00BB1FD8">
      <w:pPr>
        <w:pStyle w:val="div"/>
        <w:spacing w:line="360" w:lineRule="auto"/>
        <w:ind w:firstLine="480"/>
        <w:jc w:val="left"/>
        <w:rPr>
          <w:rFonts w:eastAsia="Times New Roman"/>
          <w:kern w:val="0"/>
          <w:sz w:val="24"/>
          <w:szCs w:val="24"/>
        </w:rPr>
      </w:pPr>
      <w:r>
        <w:rPr>
          <w:rFonts w:ascii="宋体" w:hAnsi="宋体" w:cs="宋体"/>
          <w:b/>
          <w:bCs/>
          <w:kern w:val="0"/>
          <w:sz w:val="24"/>
          <w:szCs w:val="24"/>
        </w:rPr>
        <w:t>（二）基金托管人</w:t>
      </w:r>
    </w:p>
    <w:p w14:paraId="390FD6E7"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名称：交通银行股份有限公司</w:t>
      </w:r>
    </w:p>
    <w:p w14:paraId="2FB437DB"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住所：中国（上海）自由贸易试验区银城中路188号</w:t>
      </w:r>
    </w:p>
    <w:p w14:paraId="2FCFA187"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法定代表人：任德奇</w:t>
      </w:r>
    </w:p>
    <w:p w14:paraId="4B749122"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成立时间：1987年03月30日</w:t>
      </w:r>
    </w:p>
    <w:p w14:paraId="51F09E11"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批准设立机关和批准设立文号：国务院国发(1986)字第81号文和中国人民银行银发［1987］40号文</w:t>
      </w:r>
    </w:p>
    <w:p w14:paraId="16ECCE6A"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组织形式：股份有限公司</w:t>
      </w:r>
    </w:p>
    <w:p w14:paraId="15B782FD"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注册资本：742.63亿元人民币</w:t>
      </w:r>
    </w:p>
    <w:p w14:paraId="3C28EC84"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存续期间：持续经营</w:t>
      </w:r>
    </w:p>
    <w:p w14:paraId="09065E2C" w14:textId="77777777" w:rsidR="0038025B" w:rsidRDefault="00BB1FD8">
      <w:pPr>
        <w:pStyle w:val="div"/>
        <w:spacing w:line="360" w:lineRule="auto"/>
        <w:ind w:firstLine="420"/>
        <w:rPr>
          <w:rFonts w:ascii="宋体" w:hAnsi="宋体" w:cs="宋体"/>
          <w:kern w:val="0"/>
          <w:sz w:val="24"/>
          <w:szCs w:val="24"/>
        </w:rPr>
      </w:pPr>
      <w:r>
        <w:rPr>
          <w:rFonts w:ascii="宋体" w:hAnsi="宋体" w:cs="宋体"/>
          <w:kern w:val="0"/>
          <w:sz w:val="24"/>
          <w:szCs w:val="24"/>
        </w:rPr>
        <w:t>基金托管资格批文及文号：中国证监会证监基字[1998]25号</w:t>
      </w:r>
    </w:p>
    <w:p w14:paraId="545765C5" w14:textId="77777777" w:rsidR="0038025B" w:rsidRDefault="00BB1FD8">
      <w:pPr>
        <w:pStyle w:val="div"/>
        <w:spacing w:line="360" w:lineRule="auto"/>
        <w:ind w:firstLine="480"/>
        <w:jc w:val="left"/>
        <w:rPr>
          <w:rFonts w:eastAsia="Times New Roman"/>
          <w:kern w:val="0"/>
          <w:sz w:val="24"/>
          <w:szCs w:val="24"/>
        </w:rPr>
      </w:pPr>
      <w:r>
        <w:rPr>
          <w:rFonts w:ascii="宋体" w:hAnsi="宋体" w:cs="宋体"/>
          <w:b/>
          <w:bCs/>
          <w:kern w:val="0"/>
          <w:sz w:val="24"/>
          <w:szCs w:val="24"/>
        </w:rPr>
        <w:t>（三）销售机构</w:t>
      </w:r>
    </w:p>
    <w:p w14:paraId="37E821B7"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lastRenderedPageBreak/>
        <w:t>1、直销机构</w:t>
      </w:r>
    </w:p>
    <w:p w14:paraId="5F623994"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（1）汇添富基金管理股份有限公司直销中心</w:t>
      </w:r>
    </w:p>
    <w:p w14:paraId="5647C346"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住所：上海市黄浦区北京东路666号H区（东座）6楼H686室</w:t>
      </w:r>
    </w:p>
    <w:p w14:paraId="1A1B2C79"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办公地址：上海市浦东新区樱花路868号建工大唐国际广场A座7楼</w:t>
      </w:r>
    </w:p>
    <w:p w14:paraId="1F85E1D8"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法定代表人：李文</w:t>
      </w:r>
    </w:p>
    <w:p w14:paraId="6E35E4AC"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电话：（021）28932893</w:t>
      </w:r>
    </w:p>
    <w:p w14:paraId="24928615"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传真：（021）50199035或（021）50199036</w:t>
      </w:r>
    </w:p>
    <w:p w14:paraId="242EA72D"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联系人：陈卓膺</w:t>
      </w:r>
    </w:p>
    <w:p w14:paraId="2CD03121"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客户服务电话：400-888-9918（免长途话费）</w:t>
      </w:r>
    </w:p>
    <w:p w14:paraId="49F99947"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邮箱：guitai@htffund.com</w:t>
      </w:r>
    </w:p>
    <w:p w14:paraId="077A0DEA"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网址：www.99fund.com</w:t>
      </w:r>
    </w:p>
    <w:p w14:paraId="70748AAB"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（2）汇添富基金管理股份有限公司线上直销系统</w:t>
      </w:r>
    </w:p>
    <w:p w14:paraId="41F8B8F5"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2、代销机构</w:t>
      </w:r>
    </w:p>
    <w:tbl>
      <w:tblPr>
        <w:tblStyle w:val="table"/>
        <w:tblW w:w="50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768"/>
        <w:gridCol w:w="2405"/>
        <w:gridCol w:w="2113"/>
      </w:tblGrid>
      <w:tr w:rsidR="0038025B" w14:paraId="188F907C" w14:textId="77777777">
        <w:trPr>
          <w:jc w:val="center"/>
        </w:trPr>
        <w:tc>
          <w:tcPr>
            <w:tcW w:w="3939" w:type="dxa"/>
            <w:tcBorders>
              <w:top w:val="single" w:sz="8" w:space="0" w:color="000000"/>
              <w:left w:val="single" w:sz="8" w:space="0" w:color="000000"/>
              <w:bottom w:val="single" w:sz="6" w:space="0" w:color="000000"/>
              <w:right w:val="single" w:sz="6" w:space="0" w:color="000000"/>
            </w:tcBorders>
            <w:tcMar>
              <w:top w:w="0" w:type="dxa"/>
              <w:left w:w="111" w:type="dxa"/>
              <w:bottom w:w="0" w:type="dxa"/>
              <w:right w:w="108" w:type="dxa"/>
            </w:tcMar>
            <w:hideMark/>
          </w:tcPr>
          <w:p w14:paraId="7DDC6C23" w14:textId="77777777" w:rsidR="0038025B" w:rsidRDefault="00BB1FD8">
            <w:pPr>
              <w:pStyle w:val="div"/>
              <w:widowControl/>
              <w:spacing w:line="360" w:lineRule="auto"/>
              <w:jc w:val="center"/>
              <w:rPr>
                <w:rFonts w:eastAsia="Times New Roman"/>
                <w:color w:val="000000"/>
                <w:kern w:val="0"/>
                <w:sz w:val="24"/>
                <w:szCs w:val="24"/>
              </w:rPr>
            </w:pPr>
            <w:r>
              <w:rPr>
                <w:rFonts w:ascii="宋体" w:hAnsi="宋体" w:cs="宋体"/>
                <w:color w:val="000000"/>
                <w:kern w:val="0"/>
                <w:sz w:val="24"/>
                <w:szCs w:val="24"/>
              </w:rPr>
              <w:t>代销机构名称</w:t>
            </w:r>
          </w:p>
        </w:tc>
        <w:tc>
          <w:tcPr>
            <w:tcW w:w="2409"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D7274" w14:textId="77777777" w:rsidR="0038025B" w:rsidRDefault="00BB1FD8">
            <w:pPr>
              <w:pStyle w:val="div"/>
              <w:widowControl/>
              <w:spacing w:line="360" w:lineRule="auto"/>
              <w:jc w:val="center"/>
              <w:rPr>
                <w:rFonts w:eastAsia="Times New Roman"/>
                <w:color w:val="000000"/>
                <w:kern w:val="0"/>
                <w:sz w:val="24"/>
                <w:szCs w:val="24"/>
              </w:rPr>
            </w:pPr>
            <w:r>
              <w:rPr>
                <w:rFonts w:ascii="宋体" w:hAnsi="宋体" w:cs="宋体"/>
                <w:color w:val="000000"/>
                <w:kern w:val="0"/>
                <w:sz w:val="24"/>
                <w:szCs w:val="24"/>
              </w:rPr>
              <w:t>网址</w:t>
            </w:r>
          </w:p>
        </w:tc>
        <w:tc>
          <w:tcPr>
            <w:tcW w:w="2180" w:type="dxa"/>
            <w:tcBorders>
              <w:top w:val="single" w:sz="8" w:space="0" w:color="000000"/>
              <w:left w:val="single" w:sz="6" w:space="0" w:color="000000"/>
              <w:bottom w:val="single" w:sz="6" w:space="0" w:color="000000"/>
              <w:right w:val="single" w:sz="8" w:space="0" w:color="000000"/>
            </w:tcBorders>
            <w:tcMar>
              <w:top w:w="0" w:type="dxa"/>
              <w:left w:w="108" w:type="dxa"/>
              <w:bottom w:w="0" w:type="dxa"/>
              <w:right w:w="111" w:type="dxa"/>
            </w:tcMar>
            <w:hideMark/>
          </w:tcPr>
          <w:p w14:paraId="468C89CE" w14:textId="77777777" w:rsidR="0038025B" w:rsidRDefault="00BB1FD8">
            <w:pPr>
              <w:pStyle w:val="div"/>
              <w:widowControl/>
              <w:spacing w:line="360" w:lineRule="auto"/>
              <w:jc w:val="center"/>
              <w:rPr>
                <w:rFonts w:eastAsia="Times New Roman"/>
                <w:color w:val="000000"/>
                <w:kern w:val="0"/>
                <w:sz w:val="24"/>
                <w:szCs w:val="24"/>
              </w:rPr>
            </w:pPr>
            <w:r>
              <w:rPr>
                <w:rFonts w:ascii="宋体" w:hAnsi="宋体" w:cs="宋体"/>
                <w:color w:val="000000"/>
                <w:kern w:val="0"/>
                <w:sz w:val="24"/>
                <w:szCs w:val="24"/>
              </w:rPr>
              <w:t>电话</w:t>
            </w:r>
          </w:p>
        </w:tc>
      </w:tr>
      <w:tr w:rsidR="0038025B" w14:paraId="2CDDAD8E" w14:textId="77777777">
        <w:trPr>
          <w:jc w:val="center"/>
        </w:trPr>
        <w:tc>
          <w:tcPr>
            <w:tcW w:w="3939" w:type="dxa"/>
            <w:tcBorders>
              <w:top w:val="single" w:sz="6" w:space="0" w:color="000000"/>
              <w:left w:val="single" w:sz="8" w:space="0" w:color="000000"/>
              <w:bottom w:val="single" w:sz="8" w:space="0" w:color="000000"/>
              <w:right w:val="single" w:sz="6" w:space="0" w:color="000000"/>
            </w:tcBorders>
            <w:tcMar>
              <w:top w:w="0" w:type="dxa"/>
              <w:left w:w="111" w:type="dxa"/>
              <w:bottom w:w="0" w:type="dxa"/>
              <w:right w:w="108" w:type="dxa"/>
            </w:tcMar>
          </w:tcPr>
          <w:p w14:paraId="56A6A70F" w14:textId="7E168D04" w:rsidR="0038025B" w:rsidRDefault="00FE12D7" w:rsidP="009F2469">
            <w:pPr>
              <w:pStyle w:val="p"/>
              <w:widowControl/>
              <w:spacing w:line="360" w:lineRule="auto"/>
              <w:jc w:val="center"/>
              <w:rPr>
                <w:rFonts w:eastAsia="Times New Roman"/>
                <w:color w:val="000000"/>
                <w:kern w:val="0"/>
                <w:sz w:val="24"/>
                <w:szCs w:val="24"/>
              </w:rPr>
            </w:pPr>
            <w:r w:rsidRPr="00FE12D7">
              <w:rPr>
                <w:rFonts w:ascii="宋体" w:hAnsi="宋体" w:cs="宋体" w:hint="eastAsia"/>
                <w:color w:val="000000"/>
                <w:kern w:val="0"/>
                <w:sz w:val="24"/>
                <w:szCs w:val="24"/>
              </w:rPr>
              <w:t>交通银行股份有限公司</w:t>
            </w:r>
          </w:p>
        </w:tc>
        <w:tc>
          <w:tcPr>
            <w:tcW w:w="2409"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5263C543" w14:textId="10B1CF36" w:rsidR="0038025B" w:rsidRDefault="00F13F10" w:rsidP="009F2469">
            <w:pPr>
              <w:pStyle w:val="p"/>
              <w:widowControl/>
              <w:spacing w:line="360" w:lineRule="auto"/>
              <w:jc w:val="center"/>
              <w:rPr>
                <w:rFonts w:eastAsia="Times New Roman"/>
                <w:color w:val="000000"/>
                <w:kern w:val="0"/>
                <w:sz w:val="24"/>
                <w:szCs w:val="24"/>
              </w:rPr>
            </w:pPr>
            <w:r w:rsidRPr="00F13F10">
              <w:rPr>
                <w:rFonts w:eastAsia="Times New Roman" w:hint="eastAsia"/>
                <w:color w:val="000000"/>
                <w:kern w:val="0"/>
                <w:sz w:val="24"/>
                <w:szCs w:val="24"/>
              </w:rPr>
              <w:t>www.bankcomm.com</w:t>
            </w:r>
          </w:p>
        </w:tc>
        <w:tc>
          <w:tcPr>
            <w:tcW w:w="2180"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11" w:type="dxa"/>
            </w:tcMar>
          </w:tcPr>
          <w:p w14:paraId="58937ADF" w14:textId="1F1B8113" w:rsidR="0038025B" w:rsidRDefault="00F13F10" w:rsidP="009F2469">
            <w:pPr>
              <w:pStyle w:val="p"/>
              <w:widowControl/>
              <w:spacing w:line="360" w:lineRule="auto"/>
              <w:jc w:val="center"/>
              <w:rPr>
                <w:rFonts w:eastAsia="Times New Roman"/>
                <w:color w:val="000000"/>
                <w:kern w:val="0"/>
                <w:sz w:val="24"/>
                <w:szCs w:val="24"/>
              </w:rPr>
            </w:pPr>
            <w:r w:rsidRPr="00F13F10">
              <w:rPr>
                <w:rFonts w:eastAsia="Times New Roman"/>
                <w:color w:val="000000"/>
                <w:kern w:val="0"/>
                <w:sz w:val="24"/>
                <w:szCs w:val="24"/>
              </w:rPr>
              <w:t>95559</w:t>
            </w:r>
          </w:p>
        </w:tc>
      </w:tr>
    </w:tbl>
    <w:p w14:paraId="4F57F3AE"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基金管理人可根据有关法律法规的要求，选择其他符合要求的机构代理销售本基金，并在基金管理人网站公示基金销售机构名录。投资者在各代销机构办理本基金认购业务请遵循各代销机构的业务规则与操作流程。</w:t>
      </w:r>
    </w:p>
    <w:p w14:paraId="7C2C44E8" w14:textId="77777777" w:rsidR="0038025B" w:rsidRDefault="00BB1FD8">
      <w:pPr>
        <w:pStyle w:val="div"/>
        <w:spacing w:line="360" w:lineRule="auto"/>
        <w:ind w:firstLine="480"/>
        <w:jc w:val="left"/>
        <w:rPr>
          <w:rFonts w:eastAsia="Times New Roman"/>
          <w:kern w:val="0"/>
          <w:sz w:val="24"/>
          <w:szCs w:val="24"/>
        </w:rPr>
      </w:pPr>
      <w:r>
        <w:rPr>
          <w:rFonts w:ascii="宋体" w:hAnsi="宋体" w:cs="宋体"/>
          <w:b/>
          <w:bCs/>
          <w:kern w:val="0"/>
          <w:sz w:val="24"/>
          <w:szCs w:val="24"/>
        </w:rPr>
        <w:t>（四）基金登记机构</w:t>
      </w:r>
    </w:p>
    <w:p w14:paraId="495C6B4C"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名称：汇添富基金管理股份有限公司</w:t>
      </w:r>
    </w:p>
    <w:p w14:paraId="798D158D"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住所：上海市黄浦区北京东路666号H区（东座）6楼H686室</w:t>
      </w:r>
    </w:p>
    <w:p w14:paraId="3480C559"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办公地址：上海市浦东新区樱花路868号建工大唐国际广场A座7楼</w:t>
      </w:r>
    </w:p>
    <w:p w14:paraId="4B1FBC60"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法定代表人：李文</w:t>
      </w:r>
    </w:p>
    <w:p w14:paraId="1B8A8EF0"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电话：（021）28932888</w:t>
      </w:r>
    </w:p>
    <w:p w14:paraId="2D9A3B6B"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传真：（021）28932876</w:t>
      </w:r>
    </w:p>
    <w:p w14:paraId="10E6547C" w14:textId="77777777" w:rsidR="0038025B" w:rsidRDefault="00BB1FD8">
      <w:pPr>
        <w:pStyle w:val="div"/>
        <w:spacing w:line="360" w:lineRule="auto"/>
        <w:ind w:firstLine="480"/>
        <w:jc w:val="left"/>
        <w:rPr>
          <w:rFonts w:eastAsia="Times New Roman"/>
          <w:kern w:val="0"/>
          <w:sz w:val="24"/>
          <w:szCs w:val="24"/>
        </w:rPr>
      </w:pPr>
      <w:r>
        <w:rPr>
          <w:rStyle w:val="custom"/>
          <w:rFonts w:ascii="宋体" w:hAnsi="宋体" w:cs="宋体"/>
          <w:kern w:val="0"/>
          <w:sz w:val="24"/>
          <w:szCs w:val="24"/>
        </w:rPr>
        <w:t>联系人：马树超</w:t>
      </w:r>
    </w:p>
    <w:p w14:paraId="6F43E000" w14:textId="77777777" w:rsidR="0038025B" w:rsidRDefault="00BB1FD8">
      <w:pPr>
        <w:pStyle w:val="div"/>
        <w:spacing w:line="360" w:lineRule="auto"/>
        <w:ind w:firstLine="480"/>
        <w:jc w:val="left"/>
        <w:rPr>
          <w:rFonts w:eastAsia="Times New Roman"/>
          <w:kern w:val="0"/>
          <w:sz w:val="24"/>
          <w:szCs w:val="24"/>
        </w:rPr>
      </w:pPr>
      <w:r>
        <w:rPr>
          <w:rFonts w:ascii="宋体" w:hAnsi="宋体" w:cs="宋体"/>
          <w:b/>
          <w:bCs/>
          <w:kern w:val="0"/>
          <w:sz w:val="24"/>
          <w:szCs w:val="24"/>
        </w:rPr>
        <w:t>（五）律师事务所和经办律师</w:t>
      </w:r>
    </w:p>
    <w:p w14:paraId="19F560BB"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名称：上海市通力律师事务所</w:t>
      </w:r>
    </w:p>
    <w:p w14:paraId="758C9BCE"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住所：上海市银城中路68号时代金融中心19楼</w:t>
      </w:r>
    </w:p>
    <w:p w14:paraId="2E421EAE"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lastRenderedPageBreak/>
        <w:t>办公地址：上海市银城中路68号时代金融中心19楼</w:t>
      </w:r>
    </w:p>
    <w:p w14:paraId="399FC1F8"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负责人：韩炯</w:t>
      </w:r>
    </w:p>
    <w:p w14:paraId="40E108E2"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电话：（021）31358666</w:t>
      </w:r>
    </w:p>
    <w:p w14:paraId="141E8C03"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传真：（021）31358600</w:t>
      </w:r>
    </w:p>
    <w:p w14:paraId="72EE149F"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经办律师：黎明、陈颖华</w:t>
      </w:r>
    </w:p>
    <w:p w14:paraId="329A072E"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联系人：陈颖华</w:t>
      </w:r>
    </w:p>
    <w:p w14:paraId="5A124D72" w14:textId="77777777" w:rsidR="0038025B" w:rsidRDefault="00BB1FD8">
      <w:pPr>
        <w:pStyle w:val="div"/>
        <w:spacing w:line="360" w:lineRule="auto"/>
        <w:ind w:firstLine="480"/>
        <w:jc w:val="left"/>
        <w:rPr>
          <w:rFonts w:eastAsia="Times New Roman"/>
          <w:kern w:val="0"/>
          <w:sz w:val="24"/>
          <w:szCs w:val="24"/>
        </w:rPr>
      </w:pPr>
      <w:r>
        <w:rPr>
          <w:rFonts w:ascii="宋体" w:hAnsi="宋体" w:cs="宋体"/>
          <w:b/>
          <w:bCs/>
          <w:kern w:val="0"/>
          <w:sz w:val="24"/>
          <w:szCs w:val="24"/>
        </w:rPr>
        <w:t>（六）会计师事务所和经办注册会计师</w:t>
      </w:r>
    </w:p>
    <w:p w14:paraId="0B31F12C"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名称：安永华明会计师事务所（特殊普通合伙）</w:t>
      </w:r>
    </w:p>
    <w:p w14:paraId="15FDE7E6"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住所：北京市东城区东长安街1号东方广场安永大楼17层</w:t>
      </w:r>
    </w:p>
    <w:p w14:paraId="48B61DE6"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办公地址：北京市东城区东长安街1号东方广场安永大楼17层</w:t>
      </w:r>
    </w:p>
    <w:p w14:paraId="0DA5D501"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执行事务合伙人：毛鞍宁</w:t>
      </w:r>
    </w:p>
    <w:p w14:paraId="2DE92FAD"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电话： 010-58153000</w:t>
      </w:r>
    </w:p>
    <w:p w14:paraId="65D6CF0B"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传真： 010-85188298</w:t>
      </w:r>
    </w:p>
    <w:p w14:paraId="7CD1D8F8"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业务联系人：许培菁</w:t>
      </w:r>
    </w:p>
    <w:p w14:paraId="197DAB97" w14:textId="77777777" w:rsidR="0038025B" w:rsidRDefault="00BB1FD8">
      <w:pPr>
        <w:pStyle w:val="div"/>
        <w:spacing w:line="360" w:lineRule="auto"/>
        <w:ind w:firstLine="480"/>
        <w:rPr>
          <w:rFonts w:eastAsia="Times New Roman"/>
          <w:kern w:val="0"/>
          <w:sz w:val="24"/>
          <w:szCs w:val="24"/>
        </w:rPr>
      </w:pPr>
      <w:r>
        <w:rPr>
          <w:rFonts w:ascii="宋体" w:hAnsi="宋体" w:cs="宋体"/>
          <w:kern w:val="0"/>
          <w:sz w:val="24"/>
          <w:szCs w:val="24"/>
        </w:rPr>
        <w:t>经办会计师：许培菁、韩云</w:t>
      </w:r>
    </w:p>
    <w:p w14:paraId="052C7F53" w14:textId="77777777" w:rsidR="0038025B" w:rsidRDefault="0038025B">
      <w:pPr>
        <w:pStyle w:val="p"/>
        <w:spacing w:line="360" w:lineRule="auto"/>
        <w:ind w:firstLine="480"/>
        <w:rPr>
          <w:rFonts w:eastAsia="Times New Roman"/>
          <w:kern w:val="0"/>
          <w:sz w:val="24"/>
          <w:szCs w:val="24"/>
        </w:rPr>
      </w:pPr>
    </w:p>
    <w:p w14:paraId="171D40DD" w14:textId="77777777" w:rsidR="0038025B" w:rsidRDefault="00BB1FD8">
      <w:pPr>
        <w:pStyle w:val="div"/>
        <w:spacing w:line="360" w:lineRule="auto"/>
        <w:ind w:firstLine="480"/>
        <w:jc w:val="right"/>
        <w:rPr>
          <w:rFonts w:eastAsia="Times New Roman"/>
          <w:kern w:val="0"/>
          <w:sz w:val="24"/>
          <w:szCs w:val="24"/>
        </w:rPr>
      </w:pPr>
      <w:r>
        <w:rPr>
          <w:rFonts w:ascii="宋体" w:hAnsi="宋体" w:cs="宋体"/>
          <w:kern w:val="0"/>
          <w:sz w:val="24"/>
          <w:szCs w:val="24"/>
        </w:rPr>
        <w:t>汇添富基金管理股份有限公司</w:t>
      </w:r>
    </w:p>
    <w:p w14:paraId="584E0A1E" w14:textId="6A6D6701" w:rsidR="0038025B" w:rsidRDefault="00EE48A6">
      <w:pPr>
        <w:pStyle w:val="div"/>
        <w:spacing w:line="360" w:lineRule="auto"/>
        <w:ind w:firstLine="480"/>
        <w:jc w:val="right"/>
        <w:rPr>
          <w:rFonts w:eastAsia="Times New Roman"/>
          <w:kern w:val="0"/>
          <w:sz w:val="24"/>
          <w:szCs w:val="24"/>
        </w:rPr>
      </w:pPr>
      <w:r>
        <w:rPr>
          <w:rFonts w:ascii="宋体" w:hAnsi="宋体" w:cs="宋体"/>
          <w:kern w:val="0"/>
          <w:sz w:val="24"/>
          <w:szCs w:val="24"/>
        </w:rPr>
        <w:t>2025</w:t>
      </w:r>
      <w:r w:rsidR="00BB1FD8">
        <w:rPr>
          <w:rFonts w:ascii="宋体" w:hAnsi="宋体" w:cs="宋体"/>
          <w:kern w:val="0"/>
          <w:sz w:val="24"/>
          <w:szCs w:val="24"/>
        </w:rPr>
        <w:t>年</w:t>
      </w:r>
      <w:r>
        <w:rPr>
          <w:rFonts w:ascii="宋体" w:hAnsi="宋体" w:cs="宋体"/>
          <w:kern w:val="0"/>
          <w:sz w:val="24"/>
          <w:szCs w:val="24"/>
        </w:rPr>
        <w:t>4</w:t>
      </w:r>
      <w:r w:rsidR="00BB1FD8">
        <w:rPr>
          <w:rFonts w:ascii="宋体" w:hAnsi="宋体" w:cs="宋体"/>
          <w:kern w:val="0"/>
          <w:sz w:val="24"/>
          <w:szCs w:val="24"/>
        </w:rPr>
        <w:t>月</w:t>
      </w:r>
      <w:r>
        <w:rPr>
          <w:rFonts w:ascii="宋体" w:hAnsi="宋体" w:cs="宋体"/>
          <w:kern w:val="0"/>
          <w:sz w:val="24"/>
          <w:szCs w:val="24"/>
        </w:rPr>
        <w:t>11</w:t>
      </w:r>
      <w:r w:rsidR="00BB1FD8">
        <w:rPr>
          <w:rFonts w:ascii="宋体" w:hAnsi="宋体" w:cs="宋体"/>
          <w:kern w:val="0"/>
          <w:sz w:val="24"/>
          <w:szCs w:val="24"/>
        </w:rPr>
        <w:t>日</w:t>
      </w:r>
      <w:bookmarkStart w:id="0" w:name="_GoBack"/>
      <w:bookmarkEnd w:id="0"/>
    </w:p>
    <w:sectPr w:rsidR="0038025B">
      <w:headerReference w:type="default"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DBA4" w14:textId="77777777" w:rsidR="00E2351D" w:rsidRDefault="00E2351D">
      <w:r>
        <w:separator/>
      </w:r>
    </w:p>
  </w:endnote>
  <w:endnote w:type="continuationSeparator" w:id="0">
    <w:p w14:paraId="4DD09B5D" w14:textId="77777777" w:rsidR="00E2351D" w:rsidRDefault="00E2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F1DBB" w14:textId="6FEADB77" w:rsidR="00497ECB" w:rsidRDefault="00BB1FD8">
    <w:pPr>
      <w:pStyle w:val="a9"/>
      <w:jc w:val="center"/>
      <w:rPr>
        <w:color w:val="000000" w:themeColor="text1"/>
        <w14:shadow w14:blurRad="38100" w14:dist="19050" w14:dir="2700000" w14:sx="100000" w14:sy="100000" w14:kx="0" w14:ky="0" w14:algn="tl">
          <w14:schemeClr w14:val="dk1">
            <w14:alpha w14:val="60000"/>
          </w14:schemeClr>
        </w14:shadow>
      </w:rPr>
    </w:pPr>
    <w:r>
      <w:rPr>
        <w:color w:val="000000" w:themeColor="text1"/>
        <w14:shadow w14:blurRad="38100" w14:dist="19050" w14:dir="2700000" w14:sx="100000" w14:sy="100000" w14:kx="0" w14:ky="0" w14:algn="tl">
          <w14:schemeClr w14:val="dk1">
            <w14:alpha w14:val="60000"/>
          </w14:schemeClr>
        </w14:shadow>
      </w:rPr>
      <w:fldChar w:fldCharType="begin"/>
    </w:r>
    <w:r>
      <w:rPr>
        <w:color w:val="000000" w:themeColor="text1"/>
        <w14:shadow w14:blurRad="38100" w14:dist="19050" w14:dir="2700000" w14:sx="100000" w14:sy="100000" w14:kx="0" w14:ky="0" w14:algn="tl">
          <w14:schemeClr w14:val="dk1">
            <w14:alpha w14:val="60000"/>
          </w14:schemeClr>
        </w14:shadow>
      </w:rPr>
      <w:instrText>PAGE   \* MERGEFORMAT</w:instrText>
    </w:r>
    <w:r>
      <w:rPr>
        <w:color w:val="000000" w:themeColor="text1"/>
        <w14:shadow w14:blurRad="38100" w14:dist="19050" w14:dir="2700000" w14:sx="100000" w14:sy="100000" w14:kx="0" w14:ky="0" w14:algn="tl">
          <w14:schemeClr w14:val="dk1">
            <w14:alpha w14:val="60000"/>
          </w14:schemeClr>
        </w14:shadow>
      </w:rPr>
      <w:fldChar w:fldCharType="separate"/>
    </w:r>
    <w:r w:rsidR="009F2469" w:rsidRPr="009F2469">
      <w:rPr>
        <w:noProof/>
        <w:color w:val="000000" w:themeColor="text1"/>
        <w:lang w:val="zh-CN"/>
        <w14:shadow w14:blurRad="38100" w14:dist="19050" w14:dir="2700000" w14:sx="100000" w14:sy="100000" w14:kx="0" w14:ky="0" w14:algn="tl">
          <w14:schemeClr w14:val="dk1">
            <w14:alpha w14:val="60000"/>
          </w14:schemeClr>
        </w14:shadow>
      </w:rPr>
      <w:t>14</w:t>
    </w:r>
    <w:r>
      <w:rPr>
        <w:color w:val="000000" w:themeColor="text1"/>
        <w14:shadow w14:blurRad="38100" w14:dist="19050" w14:dir="2700000" w14:sx="100000" w14:sy="100000" w14:kx="0" w14:ky="0" w14:algn="tl">
          <w14:schemeClr w14:val="dk1">
            <w14:alpha w14:val="60000"/>
          </w14:schemeClr>
        </w14:shad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762EF" w14:textId="77777777" w:rsidR="00E2351D" w:rsidRDefault="00E2351D">
      <w:r>
        <w:separator/>
      </w:r>
    </w:p>
  </w:footnote>
  <w:footnote w:type="continuationSeparator" w:id="0">
    <w:p w14:paraId="76B199DE" w14:textId="77777777" w:rsidR="00E2351D" w:rsidRDefault="00E23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4630" w14:textId="77777777" w:rsidR="006B2082" w:rsidRDefault="00BB1FD8" w:rsidP="006B2082">
    <w:pPr>
      <w:pStyle w:val="aa"/>
      <w:tabs>
        <w:tab w:val="clear" w:pos="4153"/>
      </w:tabs>
      <w:jc w:val="left"/>
    </w:pPr>
    <w:r>
      <w:rPr>
        <w:noProof/>
      </w:rPr>
      <w:t>汇添富国证自由现金流指数型证券投资基金</w:t>
    </w:r>
    <w:r>
      <w:tab/>
    </w:r>
    <w:r>
      <w:rPr>
        <w:rFonts w:hint="eastAsia"/>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D5F31"/>
    <w:rsid w:val="001E094C"/>
    <w:rsid w:val="001E0FF2"/>
    <w:rsid w:val="001E2C2E"/>
    <w:rsid w:val="001E505C"/>
    <w:rsid w:val="001E5A8A"/>
    <w:rsid w:val="001E5F81"/>
    <w:rsid w:val="001E5F9D"/>
    <w:rsid w:val="001F0926"/>
    <w:rsid w:val="001F0940"/>
    <w:rsid w:val="001F2F71"/>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025B"/>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97ECB"/>
    <w:rsid w:val="004A065C"/>
    <w:rsid w:val="004A1362"/>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365B0"/>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082"/>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53FC"/>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259"/>
    <w:rsid w:val="008A29AF"/>
    <w:rsid w:val="008A3C1F"/>
    <w:rsid w:val="008A664D"/>
    <w:rsid w:val="008B377E"/>
    <w:rsid w:val="008B5538"/>
    <w:rsid w:val="008B69A5"/>
    <w:rsid w:val="008C2DB4"/>
    <w:rsid w:val="008C3F2C"/>
    <w:rsid w:val="008C5E8F"/>
    <w:rsid w:val="008D1538"/>
    <w:rsid w:val="008D4520"/>
    <w:rsid w:val="008D50EB"/>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2469"/>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1FD8"/>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21A7"/>
    <w:rsid w:val="00C44D73"/>
    <w:rsid w:val="00C47105"/>
    <w:rsid w:val="00C47560"/>
    <w:rsid w:val="00C4784C"/>
    <w:rsid w:val="00C526B4"/>
    <w:rsid w:val="00C5320A"/>
    <w:rsid w:val="00C53D24"/>
    <w:rsid w:val="00C55CEE"/>
    <w:rsid w:val="00C606E3"/>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818"/>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351D"/>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286"/>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8A6"/>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3F10"/>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76A5E"/>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2D7"/>
    <w:rsid w:val="00FE13E2"/>
    <w:rsid w:val="00FE42E5"/>
    <w:rsid w:val="00FE66B1"/>
    <w:rsid w:val="00FF3B47"/>
    <w:rsid w:val="00FF41B3"/>
    <w:rsid w:val="00FF516D"/>
    <w:rsid w:val="00FF5DC4"/>
    <w:rsid w:val="00FF7CBD"/>
    <w:rsid w:val="33D1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E28C4"/>
  <w15:docId w15:val="{C2C1A702-7EBD-44AD-99D6-7235CB92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
    <w:uiPriority w:val="99"/>
    <w:qFormat/>
    <w:pPr>
      <w:tabs>
        <w:tab w:val="center" w:pos="4153"/>
        <w:tab w:val="right" w:pos="8306"/>
      </w:tabs>
      <w:snapToGrid w:val="0"/>
      <w:jc w:val="left"/>
    </w:pPr>
    <w:rPr>
      <w:sz w:val="18"/>
    </w:rPr>
  </w:style>
  <w:style w:type="paragraph" w:styleId="aa">
    <w:name w:val="header"/>
    <w:basedOn w:val="a"/>
    <w:link w:val="Char2"/>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pPr>
      <w:spacing w:before="240" w:after="60"/>
      <w:jc w:val="center"/>
      <w:outlineLvl w:val="0"/>
    </w:pPr>
    <w:rPr>
      <w:rFonts w:ascii="Cambria" w:hAnsi="Cambria"/>
      <w:b/>
      <w:sz w:val="32"/>
      <w:lang w:val="zh-CN"/>
    </w:rPr>
  </w:style>
  <w:style w:type="paragraph" w:styleId="ae">
    <w:name w:val="annotation subject"/>
    <w:basedOn w:val="a5"/>
    <w:next w:val="a5"/>
    <w:qFormat/>
    <w:rPr>
      <w:b/>
    </w:rPr>
  </w:style>
  <w:style w:type="character" w:styleId="af">
    <w:name w:val="page number"/>
    <w:basedOn w:val="a0"/>
  </w:style>
  <w:style w:type="character" w:styleId="af0">
    <w:name w:val="Hyperlink"/>
    <w:qFormat/>
    <w:rPr>
      <w:color w:val="0000FF"/>
      <w:u w:val="single"/>
    </w:rPr>
  </w:style>
  <w:style w:type="character" w:styleId="af1">
    <w:name w:val="annotation reference"/>
    <w:rPr>
      <w:sz w:val="21"/>
    </w:rPr>
  </w:style>
  <w:style w:type="character" w:styleId="af2">
    <w:name w:val="footnote reference"/>
    <w:rPr>
      <w:vertAlign w:val="superscript"/>
    </w:rPr>
  </w:style>
  <w:style w:type="character" w:customStyle="1" w:styleId="Char0">
    <w:name w:val="正文文本 Char"/>
    <w:link w:val="a6"/>
    <w:rPr>
      <w:rFonts w:ascii="宋体"/>
      <w:lang w:val="zh-CN" w:eastAsia="zh-CN"/>
    </w:rPr>
  </w:style>
  <w:style w:type="character" w:customStyle="1" w:styleId="unnamed11">
    <w:name w:val="unnamed11"/>
    <w:rPr>
      <w:rFonts w:ascii="宋体" w:eastAsia="宋体" w:hAnsi="宋体" w:hint="eastAsia"/>
      <w:sz w:val="18"/>
    </w:rPr>
  </w:style>
  <w:style w:type="character" w:customStyle="1" w:styleId="Char3">
    <w:name w:val="标题 Char"/>
    <w:link w:val="ad"/>
    <w:rPr>
      <w:rFonts w:ascii="Cambria" w:hAnsi="Cambria"/>
      <w:b/>
      <w:kern w:val="2"/>
      <w:sz w:val="32"/>
      <w:lang w:val="zh-CN" w:eastAsia="zh-CN"/>
    </w:rPr>
  </w:style>
  <w:style w:type="character" w:customStyle="1" w:styleId="Char2">
    <w:name w:val="页眉 Char"/>
    <w:link w:val="aa"/>
    <w:uiPriority w:val="99"/>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
    <w:name w:val="批注文字 Char"/>
    <w:link w:val="a5"/>
    <w:qFormat/>
    <w:rPr>
      <w:kern w:val="2"/>
      <w:sz w:val="21"/>
    </w:rPr>
  </w:style>
  <w:style w:type="paragraph" w:customStyle="1" w:styleId="CharChar2">
    <w:name w:val="Char Char2"/>
    <w:basedOn w:val="a"/>
    <w:qFormat/>
  </w:style>
  <w:style w:type="paragraph" w:customStyle="1" w:styleId="CharChar3">
    <w:name w:val="Char Char3"/>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paragraph" w:customStyle="1" w:styleId="CharChar4">
    <w:name w:val="Char Char4"/>
    <w:basedOn w:val="a"/>
    <w:qFormat/>
  </w:style>
  <w:style w:type="paragraph" w:styleId="af5">
    <w:name w:val="List Paragraph"/>
    <w:basedOn w:val="a"/>
    <w:uiPriority w:val="34"/>
    <w:qFormat/>
    <w:pPr>
      <w:ind w:firstLineChars="200" w:firstLine="420"/>
    </w:pPr>
  </w:style>
  <w:style w:type="paragraph" w:customStyle="1" w:styleId="CharChar12">
    <w:name w:val="Char Char12"/>
    <w:basedOn w:val="a"/>
    <w:qFormat/>
  </w:style>
  <w:style w:type="paragraph" w:customStyle="1" w:styleId="Char30">
    <w:name w:val="Char3"/>
    <w:basedOn w:val="a"/>
    <w:qFormat/>
  </w:style>
  <w:style w:type="paragraph" w:customStyle="1" w:styleId="CharChar13">
    <w:name w:val="Char Char13"/>
    <w:basedOn w:val="a"/>
    <w:qFormat/>
  </w:style>
  <w:style w:type="paragraph" w:customStyle="1" w:styleId="Char40">
    <w:name w:val="Char4"/>
    <w:basedOn w:val="a"/>
    <w:qFormat/>
  </w:style>
  <w:style w:type="paragraph" w:customStyle="1" w:styleId="CharChar14">
    <w:name w:val="Char Char14"/>
    <w:basedOn w:val="a"/>
    <w:qFormat/>
  </w:style>
  <w:style w:type="paragraph" w:customStyle="1" w:styleId="Char5">
    <w:name w:val="Char5"/>
    <w:basedOn w:val="a"/>
    <w:qFormat/>
  </w:style>
  <w:style w:type="paragraph" w:customStyle="1" w:styleId="CharChar5">
    <w:name w:val="Char Char5"/>
    <w:basedOn w:val="a"/>
    <w:qFormat/>
  </w:style>
  <w:style w:type="character" w:customStyle="1" w:styleId="Char1">
    <w:name w:val="页脚 Char"/>
    <w:basedOn w:val="a0"/>
    <w:link w:val="a9"/>
    <w:uiPriority w:val="99"/>
    <w:qFormat/>
    <w:rPr>
      <w:kern w:val="2"/>
      <w:sz w:val="18"/>
    </w:rPr>
  </w:style>
  <w:style w:type="paragraph" w:customStyle="1" w:styleId="div">
    <w:name w:val="div"/>
    <w:basedOn w:val="a"/>
  </w:style>
  <w:style w:type="character" w:customStyle="1" w:styleId="custom">
    <w:name w:val="custom"/>
    <w:basedOn w:val="a0"/>
  </w:style>
  <w:style w:type="paragraph" w:customStyle="1" w:styleId="p">
    <w:name w:val="p"/>
    <w:basedOn w:val="a"/>
  </w:style>
  <w:style w:type="character" w:customStyle="1" w:styleId="custom0">
    <w:name w:val="custom"/>
    <w:basedOn w:val="a0"/>
  </w:style>
  <w:style w:type="character" w:customStyle="1" w:styleId="serial-tag">
    <w:name w:val="serial-tag"/>
    <w:basedOn w:val="a0"/>
  </w:style>
  <w:style w:type="table" w:customStyle="1" w:styleId="table">
    <w:name w:val="table"/>
    <w:basedOn w:val="a1"/>
    <w:tblPr>
      <w:tblInd w:w="0" w:type="dxa"/>
      <w:tblCellMar>
        <w:top w:w="0" w:type="dxa"/>
        <w:left w:w="108" w:type="dxa"/>
        <w:bottom w:w="0" w:type="dxa"/>
        <w:right w:w="108" w:type="dxa"/>
      </w:tblCellMar>
    </w:tblPr>
  </w:style>
  <w:style w:type="paragraph" w:customStyle="1" w:styleId="tableParagraph">
    <w:name w:val="table Paragraph"/>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6E53A-4D42-4E09-8D9D-32948E49A47F}">
  <ds:schemaRefs>
    <ds:schemaRef ds:uri="http://schemas.openxmlformats.org/officeDocument/2006/bibliography"/>
  </ds:schemaRefs>
</ds:datastoreItem>
</file>

<file path=customXml/itemProps2.xml><?xml version="1.0" encoding="utf-8"?>
<ds:datastoreItem xmlns:ds="http://schemas.openxmlformats.org/officeDocument/2006/customXml" ds:itemID="{0FED17EB-25C2-4D35-899A-BCE51676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谭蓉</cp:lastModifiedBy>
  <cp:revision>12</cp:revision>
  <cp:lastPrinted>2020-07-16T11:58:00Z</cp:lastPrinted>
  <dcterms:created xsi:type="dcterms:W3CDTF">2020-07-09T02:06:00Z</dcterms:created>
  <dcterms:modified xsi:type="dcterms:W3CDTF">2025-04-10T12:07:00Z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