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B2B42">
      <w:pPr>
        <w:tabs>
          <w:tab w:val="left" w:pos="6660"/>
        </w:tabs>
        <w:spacing w:line="360" w:lineRule="auto"/>
        <w:jc w:val="center"/>
        <w:rPr>
          <w:rFonts w:ascii="宋体" w:hAnsi="宋体"/>
          <w:b/>
          <w:sz w:val="44"/>
        </w:rPr>
      </w:pPr>
    </w:p>
    <w:p w:rsidR="00AB2B42">
      <w:pPr>
        <w:spacing w:line="360" w:lineRule="auto"/>
        <w:jc w:val="center"/>
        <w:rPr>
          <w:rFonts w:ascii="宋体" w:hAnsi="宋体"/>
          <w:b/>
          <w:sz w:val="24"/>
        </w:rPr>
      </w:pPr>
    </w:p>
    <w:p w:rsidR="00AB2B42">
      <w:pPr>
        <w:widowControl/>
        <w:snapToGrid w:val="0"/>
        <w:spacing w:line="360" w:lineRule="auto"/>
        <w:ind w:firstLine="480" w:firstLineChars="200"/>
        <w:rPr>
          <w:rFonts w:ascii="宋体" w:hAnsi="宋体"/>
          <w:color w:val="000000"/>
          <w:sz w:val="24"/>
        </w:rPr>
      </w:pPr>
    </w:p>
    <w:p w:rsidR="00AB2B42">
      <w:pPr>
        <w:widowControl/>
        <w:snapToGrid w:val="0"/>
        <w:spacing w:line="360" w:lineRule="auto"/>
        <w:ind w:firstLine="480" w:firstLineChars="200"/>
        <w:rPr>
          <w:rFonts w:ascii="宋体" w:hAnsi="宋体"/>
          <w:color w:val="000000"/>
          <w:sz w:val="24"/>
        </w:rPr>
      </w:pPr>
    </w:p>
    <w:p w:rsidR="00AB2B42">
      <w:pPr>
        <w:widowControl/>
        <w:snapToGrid w:val="0"/>
        <w:spacing w:line="360" w:lineRule="auto"/>
        <w:ind w:firstLine="480" w:firstLineChars="200"/>
        <w:rPr>
          <w:rFonts w:ascii="宋体" w:hAnsi="宋体"/>
          <w:color w:val="000000"/>
          <w:sz w:val="24"/>
        </w:rPr>
      </w:pPr>
    </w:p>
    <w:p w:rsidR="00AB2B42">
      <w:pPr>
        <w:widowControl/>
        <w:snapToGrid w:val="0"/>
        <w:spacing w:line="360" w:lineRule="auto"/>
        <w:ind w:firstLine="480" w:firstLineChars="200"/>
        <w:rPr>
          <w:rFonts w:ascii="宋体" w:hAnsi="宋体"/>
          <w:color w:val="000000"/>
          <w:sz w:val="24"/>
        </w:rPr>
      </w:pPr>
    </w:p>
    <w:p w:rsidR="00AB2B42">
      <w:pPr>
        <w:snapToGrid w:val="0"/>
        <w:spacing w:line="360" w:lineRule="auto"/>
        <w:jc w:val="center"/>
        <w:outlineLvl w:val="0"/>
        <w:rPr>
          <w:rFonts w:ascii="黑体" w:eastAsia="黑体" w:hAnsi="黑体"/>
          <w:b/>
          <w:sz w:val="48"/>
          <w:szCs w:val="20"/>
          <w:lang w:eastAsia="zh-CN"/>
        </w:rPr>
      </w:pPr>
      <w:bookmarkStart w:id="0" w:name="_Toc10554386"/>
      <w:bookmarkStart w:id="1" w:name="_Toc10604959"/>
      <w:bookmarkStart w:id="2" w:name="_Toc15987771"/>
      <w:bookmarkStart w:id="3" w:name="_Toc225938616"/>
      <w:bookmarkStart w:id="4" w:name="_Toc270669851"/>
      <w:r>
        <w:rPr>
          <w:rFonts w:ascii="宋体" w:hAnsi="宋体" w:cs="宋体" w:hint="eastAsia"/>
          <w:b/>
          <w:sz w:val="48"/>
          <w:szCs w:val="20"/>
          <w:lang w:eastAsia="zh-CN"/>
        </w:rPr>
        <w:t>易方达上证科创板综合指数增强型证券投资基金</w:t>
      </w:r>
      <w:r>
        <w:rPr>
          <w:rFonts w:ascii="宋体" w:hAnsi="宋体" w:cs="宋体"/>
          <w:b/>
          <w:sz w:val="48"/>
          <w:szCs w:val="20"/>
          <w:highlight w:val="white"/>
          <w:lang w:eastAsia="zh-CN"/>
        </w:rPr>
        <w:t>托管协议</w:t>
      </w:r>
      <w:bookmarkEnd w:id="0"/>
      <w:bookmarkEnd w:id="1"/>
      <w:bookmarkEnd w:id="2"/>
      <w:bookmarkEnd w:id="3"/>
      <w:bookmarkEnd w:id="4"/>
    </w:p>
    <w:p w:rsidR="00AB2B42">
      <w:pPr>
        <w:spacing w:line="720" w:lineRule="auto"/>
        <w:jc w:val="center"/>
        <w:rPr>
          <w:rFonts w:ascii="黑体" w:eastAsia="黑体" w:hAnsi="黑体"/>
          <w:b/>
          <w:sz w:val="48"/>
          <w:szCs w:val="20"/>
          <w:lang w:eastAsia="zh-CN"/>
        </w:rPr>
      </w:pPr>
    </w:p>
    <w:p w:rsidR="00AB2B42">
      <w:pPr>
        <w:spacing w:line="720" w:lineRule="auto"/>
        <w:jc w:val="center"/>
        <w:rPr>
          <w:rFonts w:ascii="黑体" w:eastAsia="黑体" w:hAnsi="黑体"/>
          <w:b/>
          <w:sz w:val="48"/>
          <w:szCs w:val="20"/>
          <w:lang w:eastAsia="zh-CN"/>
        </w:rPr>
      </w:pPr>
    </w:p>
    <w:p w:rsidR="00AB2B42">
      <w:pPr>
        <w:widowControl/>
        <w:snapToGrid w:val="0"/>
        <w:spacing w:line="360" w:lineRule="auto"/>
        <w:ind w:firstLine="480" w:firstLineChars="200"/>
        <w:rPr>
          <w:rFonts w:ascii="宋体" w:hAnsi="宋体"/>
          <w:color w:val="000000"/>
          <w:sz w:val="24"/>
          <w:lang w:eastAsia="zh-CN"/>
        </w:rPr>
      </w:pPr>
    </w:p>
    <w:p w:rsidR="00AB2B42">
      <w:pPr>
        <w:widowControl/>
        <w:snapToGrid w:val="0"/>
        <w:spacing w:line="360" w:lineRule="auto"/>
        <w:ind w:firstLine="480" w:firstLineChars="200"/>
        <w:rPr>
          <w:rFonts w:ascii="宋体" w:hAnsi="宋体"/>
          <w:color w:val="000000"/>
          <w:sz w:val="24"/>
          <w:lang w:eastAsia="zh-CN"/>
        </w:rPr>
      </w:pPr>
    </w:p>
    <w:p w:rsidR="00AB2B42">
      <w:pPr>
        <w:widowControl/>
        <w:snapToGrid w:val="0"/>
        <w:spacing w:line="360" w:lineRule="auto"/>
        <w:ind w:firstLine="480" w:firstLineChars="200"/>
        <w:rPr>
          <w:rFonts w:ascii="宋体" w:hAnsi="宋体"/>
          <w:color w:val="000000"/>
          <w:sz w:val="24"/>
          <w:lang w:eastAsia="zh-CN"/>
        </w:rPr>
      </w:pPr>
    </w:p>
    <w:p w:rsidR="00AB2B42">
      <w:pPr>
        <w:widowControl/>
        <w:snapToGrid w:val="0"/>
        <w:spacing w:line="360" w:lineRule="auto"/>
        <w:ind w:firstLine="480" w:firstLineChars="200"/>
        <w:rPr>
          <w:rFonts w:ascii="宋体" w:hAnsi="宋体"/>
          <w:color w:val="000000"/>
          <w:sz w:val="24"/>
          <w:lang w:eastAsia="zh-CN"/>
        </w:rPr>
      </w:pPr>
    </w:p>
    <w:p w:rsidR="00AB2B42">
      <w:pPr>
        <w:widowControl/>
        <w:snapToGrid w:val="0"/>
        <w:spacing w:line="360" w:lineRule="auto"/>
        <w:ind w:firstLine="480" w:firstLineChars="200"/>
        <w:rPr>
          <w:rFonts w:ascii="宋体" w:hAnsi="宋体"/>
          <w:color w:val="000000"/>
          <w:sz w:val="24"/>
          <w:lang w:eastAsia="zh-CN"/>
        </w:rPr>
      </w:pPr>
    </w:p>
    <w:p w:rsidR="00AB2B42">
      <w:pPr>
        <w:widowControl/>
        <w:snapToGrid w:val="0"/>
        <w:spacing w:line="360" w:lineRule="auto"/>
        <w:ind w:firstLine="480" w:firstLineChars="200"/>
        <w:rPr>
          <w:rFonts w:ascii="宋体" w:hAnsi="宋体"/>
          <w:color w:val="000000"/>
          <w:sz w:val="24"/>
          <w:lang w:eastAsia="zh-CN"/>
        </w:rPr>
      </w:pPr>
    </w:p>
    <w:p w:rsidR="00AB2B42">
      <w:pPr>
        <w:widowControl/>
        <w:snapToGrid w:val="0"/>
        <w:spacing w:line="360" w:lineRule="auto"/>
        <w:ind w:firstLine="480" w:firstLineChars="200"/>
        <w:jc w:val="center"/>
        <w:rPr>
          <w:rFonts w:ascii="宋体" w:hAnsi="宋体"/>
          <w:color w:val="000000"/>
          <w:sz w:val="24"/>
          <w:lang w:eastAsia="zh-CN"/>
        </w:rPr>
      </w:pPr>
    </w:p>
    <w:p w:rsidR="00AB2B42">
      <w:pPr>
        <w:ind w:firstLine="851"/>
        <w:jc w:val="left"/>
        <w:rPr>
          <w:rFonts w:ascii="黑体" w:eastAsia="黑体" w:hAnsi="黑体"/>
          <w:b/>
          <w:sz w:val="36"/>
          <w:szCs w:val="20"/>
          <w:lang w:eastAsia="zh-CN"/>
        </w:rPr>
      </w:pPr>
      <w:r>
        <w:rPr>
          <w:rFonts w:ascii="宋体" w:hAnsi="宋体" w:cs="宋体" w:hint="eastAsia"/>
          <w:b/>
          <w:sz w:val="36"/>
          <w:szCs w:val="20"/>
          <w:highlight w:val="white"/>
          <w:lang w:eastAsia="zh-CN"/>
        </w:rPr>
        <w:t>基金管理人：易方达基金管理有限公司</w:t>
      </w:r>
    </w:p>
    <w:p w:rsidR="00AB2B42">
      <w:pPr>
        <w:ind w:firstLine="851"/>
        <w:jc w:val="left"/>
        <w:rPr>
          <w:rFonts w:ascii="黑体" w:eastAsia="黑体" w:hAnsi="黑体"/>
          <w:b/>
          <w:sz w:val="36"/>
          <w:szCs w:val="20"/>
          <w:lang w:eastAsia="zh-CN"/>
        </w:rPr>
      </w:pPr>
      <w:r>
        <w:rPr>
          <w:rFonts w:ascii="宋体" w:hAnsi="宋体" w:cs="宋体" w:hint="eastAsia"/>
          <w:b/>
          <w:sz w:val="36"/>
          <w:szCs w:val="20"/>
          <w:highlight w:val="white"/>
          <w:lang w:eastAsia="zh-CN"/>
        </w:rPr>
        <w:t>基金托管人：平安银行股份有限公司</w:t>
      </w:r>
    </w:p>
    <w:p w:rsidR="00AB2B42">
      <w:pPr>
        <w:widowControl/>
        <w:snapToGrid w:val="0"/>
        <w:spacing w:line="360" w:lineRule="auto"/>
        <w:ind w:firstLine="480" w:firstLineChars="200"/>
        <w:jc w:val="left"/>
        <w:rPr>
          <w:rFonts w:ascii="宋体" w:hAnsi="宋体"/>
          <w:color w:val="000000"/>
          <w:sz w:val="24"/>
          <w:lang w:eastAsia="zh-CN"/>
        </w:rPr>
      </w:pPr>
    </w:p>
    <w:p w:rsidR="00AB2B42">
      <w:pPr>
        <w:widowControl/>
        <w:snapToGrid w:val="0"/>
        <w:spacing w:line="360" w:lineRule="auto"/>
        <w:ind w:firstLine="480" w:firstLineChars="200"/>
        <w:jc w:val="left"/>
        <w:rPr>
          <w:rFonts w:ascii="宋体" w:hAnsi="宋体"/>
          <w:color w:val="000000"/>
          <w:sz w:val="24"/>
          <w:lang w:eastAsia="zh-CN"/>
        </w:rPr>
      </w:pPr>
    </w:p>
    <w:p w:rsidR="00AB2B42">
      <w:pPr>
        <w:widowControl/>
        <w:snapToGrid w:val="0"/>
        <w:spacing w:line="360" w:lineRule="auto"/>
        <w:ind w:firstLine="480" w:firstLineChars="200"/>
        <w:jc w:val="left"/>
        <w:rPr>
          <w:rFonts w:ascii="宋体" w:hAnsi="宋体"/>
          <w:color w:val="000000"/>
          <w:sz w:val="24"/>
          <w:lang w:eastAsia="zh-CN"/>
        </w:rPr>
      </w:pPr>
    </w:p>
    <w:p w:rsidR="00AB2B42">
      <w:pPr>
        <w:widowControl/>
        <w:snapToGrid w:val="0"/>
        <w:spacing w:line="360" w:lineRule="auto"/>
        <w:ind w:firstLine="560" w:firstLineChars="200"/>
        <w:jc w:val="center"/>
        <w:rPr>
          <w:rFonts w:ascii="宋体" w:hAnsi="宋体"/>
          <w:b/>
          <w:color w:val="000000"/>
          <w:sz w:val="28"/>
        </w:rPr>
      </w:pPr>
      <w:r>
        <w:rPr>
          <w:rFonts w:ascii="宋体" w:hAnsi="宋体" w:hint="eastAsia"/>
          <w:b/>
          <w:color w:val="000000"/>
          <w:sz w:val="28"/>
          <w:highlight w:val="white"/>
        </w:rPr>
        <w:t>二零二五年</w:t>
      </w:r>
      <w:r w:rsidR="00646299">
        <w:rPr>
          <w:rFonts w:ascii="宋体" w:hAnsi="宋体" w:hint="eastAsia"/>
          <w:b/>
          <w:color w:val="000000"/>
          <w:sz w:val="28"/>
          <w:highlight w:val="white"/>
        </w:rPr>
        <w:t>四</w:t>
      </w:r>
      <w:r>
        <w:rPr>
          <w:rFonts w:ascii="宋体" w:hAnsi="宋体" w:hint="eastAsia"/>
          <w:b/>
          <w:color w:val="000000"/>
          <w:sz w:val="28"/>
          <w:highlight w:val="white"/>
        </w:rPr>
        <w:t>月</w:t>
      </w:r>
    </w:p>
    <w:p w:rsidR="00AB2B42">
      <w:pPr>
        <w:spacing w:line="720" w:lineRule="auto"/>
        <w:ind w:firstLine="480"/>
        <w:jc w:val="center"/>
        <w:rPr>
          <w:rFonts w:ascii="宋体" w:hAnsi="宋体"/>
          <w:b/>
          <w:sz w:val="28"/>
          <w:szCs w:val="20"/>
        </w:rPr>
      </w:pPr>
      <w:r>
        <w:rPr>
          <w:rFonts w:ascii="宋体" w:hAnsi="宋体"/>
          <w:color w:val="000000"/>
          <w:sz w:val="24"/>
          <w:highlight w:val="white"/>
        </w:rPr>
        <w:br w:type="page"/>
      </w:r>
      <w:bookmarkStart w:id="5" w:name="_Toc295410859"/>
      <w:r>
        <w:rPr>
          <w:rFonts w:ascii="宋体" w:hAnsi="宋体"/>
          <w:b/>
          <w:sz w:val="28"/>
          <w:szCs w:val="20"/>
          <w:highlight w:val="white"/>
        </w:rPr>
        <w:t>目</w:t>
      </w:r>
      <w:r>
        <w:rPr>
          <w:rFonts w:ascii="宋体" w:hAnsi="宋体" w:hint="eastAsia"/>
          <w:b/>
          <w:sz w:val="28"/>
          <w:szCs w:val="20"/>
          <w:highlight w:val="white"/>
        </w:rPr>
        <w:t xml:space="preserve">  </w:t>
      </w:r>
      <w:r>
        <w:rPr>
          <w:rFonts w:ascii="宋体" w:hAnsi="宋体"/>
          <w:b/>
          <w:sz w:val="28"/>
          <w:szCs w:val="20"/>
          <w:highlight w:val="white"/>
        </w:rPr>
        <w:t>录</w:t>
      </w:r>
      <w:bookmarkEnd w:id="5"/>
    </w:p>
    <w:p w:rsidR="00AB2B42">
      <w:pPr>
        <w:pStyle w:val="TOC1"/>
        <w:tabs>
          <w:tab w:val="left" w:pos="840"/>
          <w:tab w:val="right" w:leader="dot" w:pos="8494"/>
        </w:tabs>
        <w:spacing w:line="360" w:lineRule="auto"/>
        <w:rPr>
          <w:rFonts w:ascii="Calibri" w:hAnsi="Calibri"/>
          <w:noProof/>
          <w:szCs w:val="22"/>
        </w:rPr>
      </w:pPr>
      <w:r>
        <w:rPr>
          <w:rFonts w:ascii="宋体" w:hAnsi="宋体"/>
          <w:b/>
          <w:sz w:val="24"/>
        </w:rPr>
        <w:fldChar w:fldCharType="begin"/>
      </w:r>
      <w:r>
        <w:rPr>
          <w:rFonts w:ascii="宋体" w:hAnsi="宋体"/>
          <w:b/>
          <w:sz w:val="24"/>
          <w:highlight w:val="white"/>
        </w:rPr>
        <w:instrText xml:space="preserve"> TOC \o "1-3" \h \z \u </w:instrText>
      </w:r>
      <w:r>
        <w:rPr>
          <w:rFonts w:ascii="宋体" w:hAnsi="宋体"/>
          <w:b/>
          <w:sz w:val="24"/>
        </w:rPr>
        <w:fldChar w:fldCharType="separate"/>
      </w:r>
      <w:hyperlink w:anchor="_Toc366835695" w:tooltip="Current Document" w:history="1">
        <w:r>
          <w:rPr>
            <w:rStyle w:val="Hyperlink"/>
            <w:rFonts w:ascii="宋体" w:hAnsi="宋体" w:hint="eastAsia"/>
            <w:noProof/>
            <w:highlight w:val="white"/>
          </w:rPr>
          <w:t>一、</w:t>
        </w:r>
        <w:r>
          <w:rPr>
            <w:rFonts w:ascii="宋体" w:hAnsi="宋体" w:cs="宋体"/>
            <w:noProof/>
            <w:szCs w:val="22"/>
            <w:highlight w:val="white"/>
          </w:rPr>
          <w:tab/>
        </w:r>
        <w:r>
          <w:rPr>
            <w:rStyle w:val="Hyperlink"/>
            <w:rFonts w:ascii="宋体" w:hAnsi="宋体" w:hint="eastAsia"/>
            <w:noProof/>
            <w:highlight w:val="white"/>
          </w:rPr>
          <w:t>基金托管协议当事人</w:t>
        </w:r>
        <w:r>
          <w:rPr>
            <w:rFonts w:ascii="宋体" w:hAnsi="宋体" w:cs="宋体"/>
            <w:noProof/>
            <w:highlight w:val="white"/>
          </w:rPr>
          <w:tab/>
        </w:r>
        <w:r>
          <w:rPr>
            <w:noProof/>
          </w:rPr>
          <w:fldChar w:fldCharType="begin"/>
        </w:r>
        <w:r>
          <w:rPr>
            <w:rFonts w:ascii="宋体" w:hAnsi="宋体" w:cs="宋体"/>
            <w:noProof/>
            <w:highlight w:val="white"/>
          </w:rPr>
          <w:instrText xml:space="preserve"> PAGEREF _Toc366835695 \h </w:instrText>
        </w:r>
        <w:r>
          <w:rPr>
            <w:noProof/>
          </w:rPr>
          <w:fldChar w:fldCharType="separate"/>
        </w:r>
        <w:r>
          <w:rPr>
            <w:rFonts w:ascii="宋体" w:hAnsi="宋体" w:cs="宋体"/>
            <w:noProof/>
            <w:highlight w:val="white"/>
          </w:rPr>
          <w:t>2</w:t>
        </w:r>
        <w:r>
          <w:rPr>
            <w:noProof/>
          </w:rPr>
          <w:fldChar w:fldCharType="end"/>
        </w:r>
      </w:hyperlink>
    </w:p>
    <w:p w:rsidR="00AB2B42">
      <w:pPr>
        <w:pStyle w:val="TOC1"/>
        <w:tabs>
          <w:tab w:val="left" w:pos="840"/>
          <w:tab w:val="right" w:leader="dot" w:pos="8494"/>
        </w:tabs>
        <w:spacing w:line="360" w:lineRule="auto"/>
        <w:rPr>
          <w:rFonts w:ascii="Calibri" w:hAnsi="Calibri"/>
          <w:noProof/>
          <w:szCs w:val="22"/>
        </w:rPr>
      </w:pPr>
      <w:hyperlink w:anchor="_Toc366835696" w:tooltip="Current Document" w:history="1">
        <w:r w:rsidR="00516635">
          <w:rPr>
            <w:rStyle w:val="Hyperlink"/>
            <w:rFonts w:ascii="宋体" w:hAnsi="宋体" w:hint="eastAsia"/>
            <w:noProof/>
            <w:highlight w:val="white"/>
          </w:rPr>
          <w:t>二、</w:t>
        </w:r>
        <w:r w:rsidR="00516635">
          <w:rPr>
            <w:rFonts w:ascii="宋体" w:hAnsi="宋体" w:cs="宋体"/>
            <w:noProof/>
            <w:szCs w:val="22"/>
            <w:highlight w:val="white"/>
          </w:rPr>
          <w:tab/>
        </w:r>
        <w:r w:rsidR="00516635">
          <w:rPr>
            <w:rStyle w:val="Hyperlink"/>
            <w:rFonts w:ascii="宋体" w:hAnsi="宋体" w:hint="eastAsia"/>
            <w:noProof/>
            <w:highlight w:val="white"/>
          </w:rPr>
          <w:t>基金托管协议的依据、目的和原则</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_Toc366835696 \h </w:instrText>
        </w:r>
        <w:r w:rsidR="00516635">
          <w:rPr>
            <w:noProof/>
          </w:rPr>
          <w:fldChar w:fldCharType="separate"/>
        </w:r>
        <w:r w:rsidR="004B2C6F">
          <w:rPr>
            <w:rFonts w:ascii="宋体" w:hAnsi="宋体" w:cs="宋体"/>
            <w:noProof/>
            <w:highlight w:val="white"/>
          </w:rPr>
          <w:t>4</w:t>
        </w:r>
        <w:r w:rsidR="00516635">
          <w:rPr>
            <w:noProof/>
          </w:rPr>
          <w:fldChar w:fldCharType="end"/>
        </w:r>
      </w:hyperlink>
    </w:p>
    <w:p w:rsidR="00AB2B42">
      <w:pPr>
        <w:pStyle w:val="TOC1"/>
        <w:tabs>
          <w:tab w:val="left" w:pos="840"/>
          <w:tab w:val="right" w:leader="dot" w:pos="8494"/>
        </w:tabs>
        <w:spacing w:line="360" w:lineRule="auto"/>
        <w:rPr>
          <w:rFonts w:ascii="Calibri" w:hAnsi="Calibri"/>
          <w:noProof/>
          <w:szCs w:val="22"/>
        </w:rPr>
      </w:pPr>
      <w:hyperlink w:anchor="_Toc366835697" w:tooltip="Current Document" w:history="1">
        <w:r w:rsidR="00516635">
          <w:rPr>
            <w:rStyle w:val="Hyperlink"/>
            <w:rFonts w:hint="eastAsia"/>
            <w:noProof/>
            <w:highlight w:val="white"/>
          </w:rPr>
          <w:t>三、</w:t>
        </w:r>
        <w:r w:rsidR="00516635">
          <w:rPr>
            <w:rFonts w:ascii="宋体" w:hAnsi="宋体" w:cs="宋体"/>
            <w:noProof/>
            <w:szCs w:val="22"/>
            <w:highlight w:val="white"/>
          </w:rPr>
          <w:tab/>
        </w:r>
        <w:r w:rsidR="00516635">
          <w:rPr>
            <w:rStyle w:val="Hyperlink"/>
            <w:rFonts w:ascii="宋体" w:hAnsi="宋体" w:hint="eastAsia"/>
            <w:noProof/>
            <w:highlight w:val="white"/>
          </w:rPr>
          <w:t>基金托管人对基金管理人的业务监督和核查</w:t>
        </w:r>
        <w:bookmarkStart w:id="6" w:name="_Hlt76904109"/>
        <w:r w:rsidR="00516635">
          <w:rPr>
            <w:rFonts w:ascii="宋体" w:hAnsi="宋体" w:cs="宋体"/>
            <w:noProof/>
            <w:highlight w:val="white"/>
          </w:rPr>
          <w:tab/>
        </w:r>
        <w:bookmarkEnd w:id="6"/>
        <w:r w:rsidR="00516635">
          <w:rPr>
            <w:noProof/>
          </w:rPr>
          <w:fldChar w:fldCharType="begin"/>
        </w:r>
        <w:r w:rsidR="00516635">
          <w:rPr>
            <w:rFonts w:ascii="宋体" w:hAnsi="宋体" w:cs="宋体"/>
            <w:noProof/>
            <w:highlight w:val="white"/>
          </w:rPr>
          <w:instrText xml:space="preserve"> PAGEREF _Toc366835697 \h </w:instrText>
        </w:r>
        <w:r w:rsidR="00516635">
          <w:rPr>
            <w:noProof/>
          </w:rPr>
          <w:fldChar w:fldCharType="separate"/>
        </w:r>
        <w:r w:rsidR="004B2C6F">
          <w:rPr>
            <w:rFonts w:ascii="宋体" w:hAnsi="宋体" w:cs="宋体"/>
            <w:noProof/>
            <w:highlight w:val="white"/>
          </w:rPr>
          <w:t>5</w:t>
        </w:r>
        <w:r w:rsidR="00516635">
          <w:rPr>
            <w:noProof/>
          </w:rPr>
          <w:fldChar w:fldCharType="end"/>
        </w:r>
      </w:hyperlink>
    </w:p>
    <w:p w:rsidR="00AB2B42">
      <w:pPr>
        <w:pStyle w:val="TOC1"/>
        <w:tabs>
          <w:tab w:val="left" w:pos="840"/>
          <w:tab w:val="right" w:leader="dot" w:pos="8494"/>
        </w:tabs>
        <w:spacing w:line="360" w:lineRule="auto"/>
        <w:rPr>
          <w:rFonts w:ascii="Calibri" w:hAnsi="Calibri"/>
          <w:noProof/>
          <w:szCs w:val="22"/>
        </w:rPr>
      </w:pPr>
      <w:hyperlink w:anchor="_Toc366835698" w:tooltip="Current Document" w:history="1">
        <w:r w:rsidR="00516635">
          <w:rPr>
            <w:rStyle w:val="Hyperlink"/>
            <w:rFonts w:ascii="宋体" w:hAnsi="宋体" w:hint="eastAsia"/>
            <w:noProof/>
            <w:highlight w:val="white"/>
          </w:rPr>
          <w:t>四、</w:t>
        </w:r>
        <w:r w:rsidR="00516635">
          <w:rPr>
            <w:rFonts w:ascii="宋体" w:hAnsi="宋体" w:cs="宋体"/>
            <w:noProof/>
            <w:szCs w:val="22"/>
            <w:highlight w:val="white"/>
          </w:rPr>
          <w:tab/>
        </w:r>
        <w:r w:rsidR="00516635">
          <w:rPr>
            <w:rStyle w:val="Hyperlink"/>
            <w:rFonts w:ascii="宋体" w:hAnsi="宋体" w:hint="eastAsia"/>
            <w:noProof/>
            <w:highlight w:val="white"/>
          </w:rPr>
          <w:t>基金管理人对基金托管人的业务核查</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_Toc366835698 \h </w:instrText>
        </w:r>
        <w:r w:rsidR="00516635">
          <w:rPr>
            <w:noProof/>
          </w:rPr>
          <w:fldChar w:fldCharType="separate"/>
        </w:r>
        <w:r w:rsidR="004B2C6F">
          <w:rPr>
            <w:rFonts w:ascii="宋体" w:hAnsi="宋体" w:cs="宋体"/>
            <w:noProof/>
            <w:highlight w:val="white"/>
          </w:rPr>
          <w:t>12</w:t>
        </w:r>
        <w:r w:rsidR="00516635">
          <w:rPr>
            <w:noProof/>
          </w:rPr>
          <w:fldChar w:fldCharType="end"/>
        </w:r>
      </w:hyperlink>
    </w:p>
    <w:p w:rsidR="00AB2B42">
      <w:pPr>
        <w:pStyle w:val="TOC1"/>
        <w:tabs>
          <w:tab w:val="left" w:pos="840"/>
          <w:tab w:val="right" w:leader="dot" w:pos="8494"/>
        </w:tabs>
        <w:spacing w:line="360" w:lineRule="auto"/>
        <w:rPr>
          <w:rFonts w:ascii="Calibri" w:hAnsi="Calibri"/>
          <w:noProof/>
          <w:szCs w:val="22"/>
        </w:rPr>
      </w:pPr>
      <w:hyperlink w:anchor="_Toc366835699" w:tooltip="Current Document" w:history="1">
        <w:r w:rsidR="00516635">
          <w:rPr>
            <w:rStyle w:val="Hyperlink"/>
            <w:rFonts w:ascii="宋体" w:hAnsi="宋体" w:hint="eastAsia"/>
            <w:noProof/>
            <w:highlight w:val="white"/>
          </w:rPr>
          <w:t>五、</w:t>
        </w:r>
        <w:r w:rsidR="00516635">
          <w:rPr>
            <w:rFonts w:ascii="宋体" w:hAnsi="宋体" w:cs="宋体"/>
            <w:noProof/>
            <w:szCs w:val="22"/>
            <w:highlight w:val="white"/>
          </w:rPr>
          <w:tab/>
        </w:r>
        <w:r w:rsidR="00516635">
          <w:rPr>
            <w:rStyle w:val="Hyperlink"/>
            <w:rFonts w:ascii="宋体" w:hAnsi="宋体" w:hint="eastAsia"/>
            <w:noProof/>
            <w:highlight w:val="white"/>
          </w:rPr>
          <w:t>基金财产的保管</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_Toc366835699 \h </w:instrText>
        </w:r>
        <w:r w:rsidR="00516635">
          <w:rPr>
            <w:noProof/>
          </w:rPr>
          <w:fldChar w:fldCharType="separate"/>
        </w:r>
        <w:r w:rsidR="004B2C6F">
          <w:rPr>
            <w:rFonts w:ascii="宋体" w:hAnsi="宋体" w:cs="宋体"/>
            <w:noProof/>
            <w:highlight w:val="white"/>
          </w:rPr>
          <w:t>13</w:t>
        </w:r>
        <w:r w:rsidR="00516635">
          <w:rPr>
            <w:noProof/>
          </w:rPr>
          <w:fldChar w:fldCharType="end"/>
        </w:r>
      </w:hyperlink>
    </w:p>
    <w:p w:rsidR="00AB2B42">
      <w:pPr>
        <w:pStyle w:val="TOC1"/>
        <w:tabs>
          <w:tab w:val="left" w:pos="840"/>
          <w:tab w:val="right" w:leader="dot" w:pos="8494"/>
        </w:tabs>
        <w:spacing w:line="360" w:lineRule="auto"/>
        <w:rPr>
          <w:rFonts w:ascii="Calibri" w:hAnsi="Calibri"/>
          <w:noProof/>
          <w:szCs w:val="22"/>
        </w:rPr>
      </w:pPr>
      <w:hyperlink w:anchor="_Toc366835700" w:tooltip="Current Document" w:history="1">
        <w:r w:rsidR="00516635">
          <w:rPr>
            <w:rStyle w:val="Hyperlink"/>
            <w:rFonts w:ascii="宋体" w:hAnsi="宋体" w:hint="eastAsia"/>
            <w:noProof/>
            <w:highlight w:val="white"/>
          </w:rPr>
          <w:t>六、</w:t>
        </w:r>
        <w:r w:rsidR="00516635">
          <w:rPr>
            <w:rFonts w:ascii="宋体" w:hAnsi="宋体" w:cs="宋体"/>
            <w:noProof/>
            <w:szCs w:val="22"/>
            <w:highlight w:val="white"/>
          </w:rPr>
          <w:tab/>
        </w:r>
        <w:r w:rsidR="00516635">
          <w:rPr>
            <w:rStyle w:val="Hyperlink"/>
            <w:rFonts w:ascii="宋体" w:hAnsi="宋体" w:hint="eastAsia"/>
            <w:noProof/>
            <w:highlight w:val="white"/>
          </w:rPr>
          <w:t>指令的发送、确认及执行</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_Toc366835700 \h </w:instrText>
        </w:r>
        <w:r w:rsidR="00516635">
          <w:rPr>
            <w:noProof/>
          </w:rPr>
          <w:fldChar w:fldCharType="separate"/>
        </w:r>
        <w:r w:rsidR="004B2C6F">
          <w:rPr>
            <w:rFonts w:ascii="宋体" w:hAnsi="宋体" w:cs="宋体"/>
            <w:noProof/>
            <w:highlight w:val="white"/>
          </w:rPr>
          <w:t>16</w:t>
        </w:r>
        <w:r w:rsidR="00516635">
          <w:rPr>
            <w:noProof/>
          </w:rPr>
          <w:fldChar w:fldCharType="end"/>
        </w:r>
      </w:hyperlink>
    </w:p>
    <w:p w:rsidR="00AB2B42">
      <w:pPr>
        <w:pStyle w:val="TOC1"/>
        <w:tabs>
          <w:tab w:val="left" w:pos="840"/>
          <w:tab w:val="right" w:leader="dot" w:pos="8494"/>
        </w:tabs>
        <w:spacing w:line="360" w:lineRule="auto"/>
        <w:rPr>
          <w:rFonts w:ascii="Calibri" w:hAnsi="Calibri"/>
          <w:noProof/>
          <w:szCs w:val="22"/>
        </w:rPr>
      </w:pPr>
      <w:hyperlink w:anchor="_Toc366835701" w:tooltip="Current Document" w:history="1">
        <w:r w:rsidR="00516635">
          <w:rPr>
            <w:rStyle w:val="Hyperlink"/>
            <w:rFonts w:ascii="宋体" w:hAnsi="宋体" w:hint="eastAsia"/>
            <w:noProof/>
            <w:highlight w:val="white"/>
          </w:rPr>
          <w:t>七、</w:t>
        </w:r>
        <w:r w:rsidR="00516635">
          <w:rPr>
            <w:rFonts w:ascii="宋体" w:hAnsi="宋体" w:cs="宋体"/>
            <w:noProof/>
            <w:szCs w:val="22"/>
            <w:highlight w:val="white"/>
          </w:rPr>
          <w:tab/>
        </w:r>
        <w:r w:rsidR="00516635">
          <w:rPr>
            <w:rStyle w:val="Hyperlink"/>
            <w:rFonts w:ascii="宋体" w:hAnsi="宋体" w:hint="eastAsia"/>
            <w:noProof/>
            <w:highlight w:val="white"/>
          </w:rPr>
          <w:t>交易及清算交收安排</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_Toc366835701 \h </w:instrText>
        </w:r>
        <w:r w:rsidR="00516635">
          <w:rPr>
            <w:noProof/>
          </w:rPr>
          <w:fldChar w:fldCharType="separate"/>
        </w:r>
        <w:r w:rsidR="004B2C6F">
          <w:rPr>
            <w:rFonts w:ascii="宋体" w:hAnsi="宋体" w:cs="宋体"/>
            <w:noProof/>
            <w:highlight w:val="white"/>
          </w:rPr>
          <w:t>20</w:t>
        </w:r>
        <w:r w:rsidR="00516635">
          <w:rPr>
            <w:noProof/>
          </w:rPr>
          <w:fldChar w:fldCharType="end"/>
        </w:r>
      </w:hyperlink>
    </w:p>
    <w:p w:rsidR="00AB2B42">
      <w:pPr>
        <w:pStyle w:val="TOC1"/>
        <w:tabs>
          <w:tab w:val="left" w:pos="840"/>
          <w:tab w:val="right" w:leader="dot" w:pos="8494"/>
        </w:tabs>
        <w:spacing w:line="360" w:lineRule="auto"/>
        <w:rPr>
          <w:rFonts w:ascii="Calibri" w:hAnsi="Calibri"/>
          <w:noProof/>
          <w:szCs w:val="22"/>
        </w:rPr>
      </w:pPr>
      <w:hyperlink w:anchor="_Toc366835702" w:tooltip="Current Document" w:history="1">
        <w:r w:rsidR="00516635">
          <w:rPr>
            <w:rStyle w:val="Hyperlink"/>
            <w:rFonts w:ascii="宋体" w:hAnsi="宋体" w:hint="eastAsia"/>
            <w:noProof/>
            <w:highlight w:val="white"/>
          </w:rPr>
          <w:t>八、</w:t>
        </w:r>
        <w:r w:rsidR="00516635">
          <w:rPr>
            <w:rFonts w:ascii="宋体" w:hAnsi="宋体" w:cs="宋体"/>
            <w:noProof/>
            <w:szCs w:val="22"/>
            <w:highlight w:val="white"/>
          </w:rPr>
          <w:tab/>
        </w:r>
        <w:r w:rsidR="00516635">
          <w:rPr>
            <w:rStyle w:val="Hyperlink"/>
            <w:rFonts w:ascii="宋体" w:hAnsi="宋体" w:hint="eastAsia"/>
            <w:noProof/>
            <w:highlight w:val="white"/>
          </w:rPr>
          <w:t>基金资产净值计算和会计核算</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_Toc366835702 \h </w:instrText>
        </w:r>
        <w:r w:rsidR="00516635">
          <w:rPr>
            <w:noProof/>
          </w:rPr>
          <w:fldChar w:fldCharType="separate"/>
        </w:r>
        <w:r w:rsidR="004B2C6F">
          <w:rPr>
            <w:rFonts w:ascii="宋体" w:hAnsi="宋体" w:cs="宋体"/>
            <w:noProof/>
            <w:highlight w:val="white"/>
          </w:rPr>
          <w:t>24</w:t>
        </w:r>
        <w:r w:rsidR="00516635">
          <w:rPr>
            <w:noProof/>
          </w:rPr>
          <w:fldChar w:fldCharType="end"/>
        </w:r>
      </w:hyperlink>
    </w:p>
    <w:p w:rsidR="00AB2B42">
      <w:pPr>
        <w:pStyle w:val="TOC1"/>
        <w:tabs>
          <w:tab w:val="left" w:pos="840"/>
          <w:tab w:val="right" w:leader="dot" w:pos="8494"/>
        </w:tabs>
        <w:spacing w:line="360" w:lineRule="auto"/>
        <w:rPr>
          <w:rFonts w:ascii="Calibri" w:hAnsi="Calibri"/>
          <w:noProof/>
          <w:szCs w:val="22"/>
        </w:rPr>
      </w:pPr>
      <w:hyperlink w:anchor="_Toc366835703" w:tooltip="Current Document" w:history="1">
        <w:r w:rsidR="00516635">
          <w:rPr>
            <w:rStyle w:val="Hyperlink"/>
            <w:rFonts w:ascii="宋体" w:hAnsi="宋体" w:hint="eastAsia"/>
            <w:noProof/>
            <w:highlight w:val="white"/>
          </w:rPr>
          <w:t>九、</w:t>
        </w:r>
        <w:r w:rsidR="00516635">
          <w:rPr>
            <w:rFonts w:ascii="宋体" w:hAnsi="宋体" w:cs="宋体"/>
            <w:noProof/>
            <w:szCs w:val="22"/>
            <w:highlight w:val="white"/>
          </w:rPr>
          <w:tab/>
        </w:r>
        <w:r w:rsidR="00516635">
          <w:rPr>
            <w:rStyle w:val="Hyperlink"/>
            <w:rFonts w:ascii="宋体" w:hAnsi="宋体" w:hint="eastAsia"/>
            <w:noProof/>
            <w:highlight w:val="white"/>
          </w:rPr>
          <w:t>基金收益分配</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_Toc366835703 \h </w:instrText>
        </w:r>
        <w:r w:rsidR="00516635">
          <w:rPr>
            <w:noProof/>
          </w:rPr>
          <w:fldChar w:fldCharType="separate"/>
        </w:r>
        <w:r w:rsidR="004B2C6F">
          <w:rPr>
            <w:rFonts w:ascii="宋体" w:hAnsi="宋体" w:cs="宋体"/>
            <w:noProof/>
            <w:highlight w:val="white"/>
          </w:rPr>
          <w:t>31</w:t>
        </w:r>
        <w:r w:rsidR="00516635">
          <w:rPr>
            <w:noProof/>
          </w:rPr>
          <w:fldChar w:fldCharType="end"/>
        </w:r>
      </w:hyperlink>
    </w:p>
    <w:p w:rsidR="00AB2B42">
      <w:pPr>
        <w:pStyle w:val="TOC1"/>
        <w:tabs>
          <w:tab w:val="left" w:pos="840"/>
          <w:tab w:val="right" w:leader="dot" w:pos="8494"/>
        </w:tabs>
        <w:spacing w:line="360" w:lineRule="auto"/>
        <w:rPr>
          <w:rFonts w:ascii="Calibri" w:hAnsi="Calibri"/>
          <w:noProof/>
          <w:szCs w:val="22"/>
        </w:rPr>
      </w:pPr>
      <w:hyperlink w:anchor="_Toc366835704" w:tooltip="Current Document" w:history="1">
        <w:r w:rsidR="00516635">
          <w:rPr>
            <w:rStyle w:val="Hyperlink"/>
            <w:rFonts w:ascii="宋体" w:hAnsi="宋体" w:hint="eastAsia"/>
            <w:noProof/>
            <w:highlight w:val="white"/>
          </w:rPr>
          <w:t>十、</w:t>
        </w:r>
        <w:r w:rsidR="00516635">
          <w:rPr>
            <w:rFonts w:ascii="宋体" w:hAnsi="宋体" w:cs="宋体"/>
            <w:noProof/>
            <w:szCs w:val="22"/>
            <w:highlight w:val="white"/>
          </w:rPr>
          <w:tab/>
        </w:r>
        <w:r w:rsidR="00516635">
          <w:rPr>
            <w:rStyle w:val="Hyperlink"/>
            <w:rFonts w:ascii="宋体" w:hAnsi="宋体" w:hint="eastAsia"/>
            <w:noProof/>
            <w:highlight w:val="white"/>
          </w:rPr>
          <w:t>基金信息披露</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_Toc366835704 \h </w:instrText>
        </w:r>
        <w:r w:rsidR="00516635">
          <w:rPr>
            <w:noProof/>
          </w:rPr>
          <w:fldChar w:fldCharType="separate"/>
        </w:r>
        <w:r w:rsidR="004B2C6F">
          <w:rPr>
            <w:rFonts w:ascii="宋体" w:hAnsi="宋体" w:cs="宋体"/>
            <w:noProof/>
            <w:highlight w:val="white"/>
          </w:rPr>
          <w:t>32</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05" w:tooltip="Current Document" w:history="1">
        <w:r w:rsidR="00516635">
          <w:rPr>
            <w:rStyle w:val="Hyperlink"/>
            <w:rFonts w:ascii="宋体" w:hAnsi="宋体" w:hint="eastAsia"/>
            <w:noProof/>
            <w:highlight w:val="white"/>
          </w:rPr>
          <w:t>十一、</w:t>
        </w:r>
        <w:r w:rsidR="00516635">
          <w:rPr>
            <w:rFonts w:ascii="宋体" w:hAnsi="宋体" w:cs="宋体"/>
            <w:noProof/>
            <w:szCs w:val="22"/>
            <w:highlight w:val="white"/>
          </w:rPr>
          <w:tab/>
        </w:r>
        <w:r w:rsidR="00516635">
          <w:rPr>
            <w:rStyle w:val="Hyperlink"/>
            <w:rFonts w:ascii="宋体" w:hAnsi="宋体" w:hint="eastAsia"/>
            <w:noProof/>
            <w:highlight w:val="white"/>
          </w:rPr>
          <w:t>基金费用</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_Toc366835705 \h </w:instrText>
        </w:r>
        <w:r w:rsidR="00516635">
          <w:rPr>
            <w:noProof/>
          </w:rPr>
          <w:fldChar w:fldCharType="separate"/>
        </w:r>
        <w:r w:rsidR="004B2C6F">
          <w:rPr>
            <w:rFonts w:ascii="宋体" w:hAnsi="宋体" w:cs="宋体"/>
            <w:noProof/>
            <w:highlight w:val="white"/>
          </w:rPr>
          <w:t>34</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06" w:tooltip="Current Document" w:history="1">
        <w:r w:rsidR="00516635">
          <w:rPr>
            <w:rStyle w:val="Hyperlink"/>
            <w:rFonts w:ascii="宋体" w:hAnsi="宋体" w:hint="eastAsia"/>
            <w:noProof/>
            <w:highlight w:val="white"/>
          </w:rPr>
          <w:t>十二、</w:t>
        </w:r>
        <w:r w:rsidR="00516635">
          <w:rPr>
            <w:rFonts w:ascii="宋体" w:hAnsi="宋体" w:cs="宋体"/>
            <w:noProof/>
            <w:szCs w:val="22"/>
            <w:highlight w:val="white"/>
          </w:rPr>
          <w:tab/>
        </w:r>
        <w:r w:rsidR="00516635">
          <w:rPr>
            <w:rStyle w:val="Hyperlink"/>
            <w:rFonts w:ascii="宋体" w:hAnsi="宋体" w:hint="eastAsia"/>
            <w:noProof/>
            <w:highlight w:val="white"/>
          </w:rPr>
          <w:t>基金份额持有人名册的保管</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_Toc366835706 \h </w:instrText>
        </w:r>
        <w:r w:rsidR="00516635">
          <w:rPr>
            <w:noProof/>
          </w:rPr>
          <w:fldChar w:fldCharType="separate"/>
        </w:r>
        <w:r w:rsidR="004B2C6F">
          <w:rPr>
            <w:rFonts w:ascii="宋体" w:hAnsi="宋体" w:cs="宋体"/>
            <w:noProof/>
            <w:highlight w:val="white"/>
          </w:rPr>
          <w:t>37</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07" w:tooltip="Current Document" w:history="1">
        <w:r w:rsidR="00516635">
          <w:rPr>
            <w:rStyle w:val="Hyperlink"/>
            <w:rFonts w:ascii="宋体" w:hAnsi="宋体" w:hint="eastAsia"/>
            <w:noProof/>
            <w:highlight w:val="white"/>
          </w:rPr>
          <w:t>十三、</w:t>
        </w:r>
        <w:r w:rsidR="00516635">
          <w:rPr>
            <w:rFonts w:ascii="宋体" w:hAnsi="宋体" w:cs="宋体"/>
            <w:noProof/>
            <w:szCs w:val="22"/>
            <w:highlight w:val="white"/>
          </w:rPr>
          <w:tab/>
        </w:r>
        <w:r w:rsidR="00516635">
          <w:rPr>
            <w:rStyle w:val="Hyperlink"/>
            <w:rFonts w:ascii="宋体" w:hAnsi="宋体" w:hint="eastAsia"/>
            <w:noProof/>
            <w:highlight w:val="white"/>
          </w:rPr>
          <w:t>基金有关文件档案</w:t>
        </w:r>
        <w:r w:rsidR="00516635">
          <w:rPr>
            <w:rStyle w:val="Hyperlink"/>
            <w:rFonts w:ascii="宋体" w:hAnsi="宋体" w:hint="eastAsia"/>
            <w:noProof/>
            <w:highlight w:val="white"/>
          </w:rPr>
          <w:t>的</w:t>
        </w:r>
        <w:r w:rsidR="00516635">
          <w:rPr>
            <w:rStyle w:val="Hyperlink"/>
            <w:rFonts w:ascii="宋体" w:hAnsi="宋体" w:hint="eastAsia"/>
            <w:noProof/>
            <w:highlight w:val="white"/>
          </w:rPr>
          <w:t>保存</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_Toc366835707 \h </w:instrText>
        </w:r>
        <w:r w:rsidR="00516635">
          <w:rPr>
            <w:noProof/>
          </w:rPr>
          <w:fldChar w:fldCharType="separate"/>
        </w:r>
        <w:r w:rsidR="004B2C6F">
          <w:rPr>
            <w:rFonts w:ascii="宋体" w:hAnsi="宋体" w:cs="宋体"/>
            <w:noProof/>
            <w:highlight w:val="white"/>
          </w:rPr>
          <w:t>38</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08" w:tooltip="Current Document" w:history="1">
        <w:r w:rsidR="00516635">
          <w:rPr>
            <w:rStyle w:val="Hyperlink"/>
            <w:rFonts w:hint="eastAsia"/>
            <w:noProof/>
            <w:highlight w:val="white"/>
          </w:rPr>
          <w:t>十四、</w:t>
        </w:r>
        <w:r w:rsidR="00516635">
          <w:rPr>
            <w:rFonts w:ascii="宋体" w:hAnsi="宋体" w:cs="宋体"/>
            <w:noProof/>
            <w:szCs w:val="22"/>
            <w:highlight w:val="white"/>
          </w:rPr>
          <w:tab/>
        </w:r>
        <w:r w:rsidR="00516635">
          <w:rPr>
            <w:rStyle w:val="Hyperlink"/>
            <w:rFonts w:ascii="宋体" w:hAnsi="宋体" w:hint="eastAsia"/>
            <w:noProof/>
            <w:highlight w:val="white"/>
          </w:rPr>
          <w:t>基金管理人和基金托管人的更换</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_Toc366835708 \h </w:instrText>
        </w:r>
        <w:r w:rsidR="00516635">
          <w:rPr>
            <w:noProof/>
          </w:rPr>
          <w:fldChar w:fldCharType="separate"/>
        </w:r>
        <w:r w:rsidR="004B2C6F">
          <w:rPr>
            <w:rFonts w:ascii="宋体" w:hAnsi="宋体" w:cs="宋体"/>
            <w:noProof/>
            <w:highlight w:val="white"/>
          </w:rPr>
          <w:t>39</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09" w:tooltip="Current Document" w:history="1">
        <w:r w:rsidR="00516635">
          <w:rPr>
            <w:rStyle w:val="Hyperlink"/>
            <w:rFonts w:ascii="宋体" w:hAnsi="宋体" w:hint="eastAsia"/>
            <w:noProof/>
            <w:highlight w:val="white"/>
          </w:rPr>
          <w:t>十五、</w:t>
        </w:r>
        <w:r w:rsidR="00516635">
          <w:rPr>
            <w:rFonts w:ascii="宋体" w:hAnsi="宋体" w:cs="宋体"/>
            <w:noProof/>
            <w:szCs w:val="22"/>
            <w:highlight w:val="white"/>
          </w:rPr>
          <w:tab/>
        </w:r>
        <w:r w:rsidR="00516635">
          <w:rPr>
            <w:rStyle w:val="Hyperlink"/>
            <w:rFonts w:ascii="宋体" w:hAnsi="宋体" w:hint="eastAsia"/>
            <w:noProof/>
            <w:highlight w:val="white"/>
          </w:rPr>
          <w:t>禁止行为</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_Toc366835709 \h </w:instrText>
        </w:r>
        <w:r w:rsidR="00516635">
          <w:rPr>
            <w:noProof/>
          </w:rPr>
          <w:fldChar w:fldCharType="separate"/>
        </w:r>
        <w:r w:rsidR="004B2C6F">
          <w:rPr>
            <w:rFonts w:ascii="宋体" w:hAnsi="宋体" w:cs="宋体"/>
            <w:noProof/>
            <w:highlight w:val="white"/>
          </w:rPr>
          <w:t>42</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10" w:tooltip="Current Document" w:history="1">
        <w:r w:rsidR="00516635">
          <w:rPr>
            <w:rStyle w:val="Hyperlink"/>
            <w:rFonts w:ascii="宋体" w:hAnsi="宋体" w:hint="eastAsia"/>
            <w:noProof/>
            <w:highlight w:val="white"/>
          </w:rPr>
          <w:t>十六、</w:t>
        </w:r>
        <w:r w:rsidR="00516635">
          <w:rPr>
            <w:rFonts w:ascii="宋体" w:hAnsi="宋体" w:cs="宋体"/>
            <w:noProof/>
            <w:szCs w:val="22"/>
            <w:highlight w:val="white"/>
          </w:rPr>
          <w:tab/>
        </w:r>
        <w:r w:rsidR="00516635">
          <w:rPr>
            <w:rStyle w:val="Hyperlink"/>
            <w:rFonts w:ascii="宋体" w:hAnsi="宋体" w:hint="eastAsia"/>
            <w:noProof/>
            <w:highlight w:val="white"/>
          </w:rPr>
          <w:t>托管协议的变更、终止与基金财产的清算</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_Toc366835710 \h </w:instrText>
        </w:r>
        <w:r w:rsidR="00516635">
          <w:rPr>
            <w:noProof/>
          </w:rPr>
          <w:fldChar w:fldCharType="separate"/>
        </w:r>
        <w:r w:rsidR="004B2C6F">
          <w:rPr>
            <w:rFonts w:ascii="宋体" w:hAnsi="宋体" w:cs="宋体"/>
            <w:noProof/>
            <w:highlight w:val="white"/>
          </w:rPr>
          <w:t>43</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11" w:tooltip="Current Document" w:history="1">
        <w:r w:rsidR="00516635">
          <w:rPr>
            <w:rStyle w:val="Hyperlink"/>
            <w:rFonts w:ascii="宋体" w:hAnsi="宋体" w:hint="eastAsia"/>
            <w:noProof/>
            <w:highlight w:val="white"/>
          </w:rPr>
          <w:t>十七、</w:t>
        </w:r>
        <w:r w:rsidR="00516635">
          <w:rPr>
            <w:rFonts w:ascii="宋体" w:hAnsi="宋体" w:cs="宋体"/>
            <w:noProof/>
            <w:szCs w:val="22"/>
            <w:highlight w:val="white"/>
          </w:rPr>
          <w:tab/>
        </w:r>
        <w:r w:rsidR="00516635">
          <w:rPr>
            <w:rStyle w:val="Hyperlink"/>
            <w:rFonts w:ascii="宋体" w:hAnsi="宋体" w:hint="eastAsia"/>
            <w:noProof/>
            <w:highlight w:val="white"/>
          </w:rPr>
          <w:t>违约责任</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_Toc366835711 \h </w:instrText>
        </w:r>
        <w:r w:rsidR="00516635">
          <w:rPr>
            <w:noProof/>
          </w:rPr>
          <w:fldChar w:fldCharType="separate"/>
        </w:r>
        <w:r w:rsidR="004B2C6F">
          <w:rPr>
            <w:rFonts w:ascii="宋体" w:hAnsi="宋体" w:cs="宋体"/>
            <w:noProof/>
            <w:highlight w:val="white"/>
          </w:rPr>
          <w:t>45</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12" w:tooltip="Current Document" w:history="1">
        <w:r w:rsidR="00516635">
          <w:rPr>
            <w:rStyle w:val="Hyperlink"/>
            <w:rFonts w:ascii="宋体" w:hAnsi="宋体" w:hint="eastAsia"/>
            <w:noProof/>
            <w:highlight w:val="white"/>
          </w:rPr>
          <w:t>十八、</w:t>
        </w:r>
        <w:r w:rsidR="00516635">
          <w:rPr>
            <w:rFonts w:ascii="宋体" w:hAnsi="宋体" w:cs="宋体"/>
            <w:noProof/>
            <w:szCs w:val="22"/>
            <w:highlight w:val="white"/>
          </w:rPr>
          <w:tab/>
        </w:r>
        <w:r w:rsidR="00516635">
          <w:rPr>
            <w:rStyle w:val="Hyperlink"/>
            <w:rFonts w:ascii="宋体" w:hAnsi="宋体" w:hint="eastAsia"/>
            <w:noProof/>
            <w:highlight w:val="white"/>
          </w:rPr>
          <w:t>争议解决方式</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_Toc366835712 \h </w:instrText>
        </w:r>
        <w:r w:rsidR="00516635">
          <w:rPr>
            <w:noProof/>
          </w:rPr>
          <w:fldChar w:fldCharType="separate"/>
        </w:r>
        <w:r w:rsidR="004B2C6F">
          <w:rPr>
            <w:rFonts w:ascii="宋体" w:hAnsi="宋体" w:cs="宋体"/>
            <w:noProof/>
            <w:highlight w:val="white"/>
          </w:rPr>
          <w:t>46</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13" w:tooltip="Current Document" w:history="1">
        <w:r w:rsidR="00516635">
          <w:rPr>
            <w:rStyle w:val="Hyperlink"/>
            <w:rFonts w:ascii="宋体" w:hAnsi="宋体" w:hint="eastAsia"/>
            <w:noProof/>
            <w:highlight w:val="white"/>
          </w:rPr>
          <w:t>十九、</w:t>
        </w:r>
        <w:r w:rsidR="00516635">
          <w:rPr>
            <w:rFonts w:ascii="宋体" w:hAnsi="宋体" w:cs="宋体"/>
            <w:noProof/>
            <w:szCs w:val="22"/>
            <w:highlight w:val="white"/>
          </w:rPr>
          <w:tab/>
        </w:r>
        <w:r w:rsidR="00516635">
          <w:rPr>
            <w:rStyle w:val="Hyperlink"/>
            <w:rFonts w:ascii="宋体" w:hAnsi="宋体" w:hint="eastAsia"/>
            <w:noProof/>
            <w:highlight w:val="white"/>
          </w:rPr>
          <w:t>托管协议的效力</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_Toc366835713 \h </w:instrText>
        </w:r>
        <w:r w:rsidR="00516635">
          <w:rPr>
            <w:noProof/>
          </w:rPr>
          <w:fldChar w:fldCharType="separate"/>
        </w:r>
        <w:r w:rsidR="004B2C6F">
          <w:rPr>
            <w:rFonts w:ascii="宋体" w:hAnsi="宋体" w:cs="宋体"/>
            <w:noProof/>
            <w:highlight w:val="white"/>
          </w:rPr>
          <w:t>47</w:t>
        </w:r>
        <w:r w:rsidR="00516635">
          <w:rPr>
            <w:noProof/>
          </w:rPr>
          <w:fldChar w:fldCharType="end"/>
        </w:r>
      </w:hyperlink>
    </w:p>
    <w:p w:rsidR="00AB2B42">
      <w:pPr>
        <w:pStyle w:val="TOC1"/>
        <w:tabs>
          <w:tab w:val="left" w:pos="1050"/>
          <w:tab w:val="right" w:leader="dot" w:pos="8494"/>
        </w:tabs>
        <w:spacing w:line="360" w:lineRule="auto"/>
        <w:rPr>
          <w:rFonts w:ascii="Calibri" w:hAnsi="Calibri"/>
          <w:noProof/>
          <w:szCs w:val="22"/>
        </w:rPr>
      </w:pPr>
      <w:hyperlink w:anchor="_Toc366835714" w:tooltip="Current Document" w:history="1">
        <w:r w:rsidR="00516635">
          <w:rPr>
            <w:rStyle w:val="Hyperlink"/>
            <w:rFonts w:ascii="宋体" w:hAnsi="宋体" w:hint="eastAsia"/>
            <w:noProof/>
            <w:highlight w:val="white"/>
          </w:rPr>
          <w:t>二十、</w:t>
        </w:r>
        <w:r w:rsidR="00516635">
          <w:rPr>
            <w:rFonts w:ascii="宋体" w:hAnsi="宋体" w:cs="宋体"/>
            <w:noProof/>
            <w:szCs w:val="22"/>
            <w:highlight w:val="white"/>
          </w:rPr>
          <w:tab/>
        </w:r>
        <w:r w:rsidR="00516635">
          <w:rPr>
            <w:rStyle w:val="Hyperlink"/>
            <w:rFonts w:ascii="宋体" w:hAnsi="宋体" w:hint="eastAsia"/>
            <w:noProof/>
            <w:highlight w:val="white"/>
          </w:rPr>
          <w:t>其他事项</w:t>
        </w:r>
        <w:bookmarkStart w:id="7" w:name="_Hlt76904041"/>
        <w:r w:rsidR="00516635">
          <w:rPr>
            <w:rFonts w:ascii="宋体" w:hAnsi="宋体" w:cs="宋体"/>
            <w:noProof/>
            <w:highlight w:val="white"/>
          </w:rPr>
          <w:tab/>
        </w:r>
        <w:bookmarkEnd w:id="7"/>
        <w:r w:rsidR="00516635">
          <w:rPr>
            <w:noProof/>
          </w:rPr>
          <w:fldChar w:fldCharType="begin"/>
        </w:r>
        <w:r w:rsidR="00516635">
          <w:rPr>
            <w:rFonts w:ascii="宋体" w:hAnsi="宋体" w:cs="宋体"/>
            <w:noProof/>
            <w:highlight w:val="white"/>
          </w:rPr>
          <w:instrText xml:space="preserve"> PAGEREF _Toc366835714 \h </w:instrText>
        </w:r>
        <w:r w:rsidR="00516635">
          <w:rPr>
            <w:noProof/>
          </w:rPr>
          <w:fldChar w:fldCharType="separate"/>
        </w:r>
        <w:r w:rsidR="004B2C6F">
          <w:rPr>
            <w:rFonts w:ascii="宋体" w:hAnsi="宋体" w:cs="宋体"/>
            <w:noProof/>
            <w:highlight w:val="white"/>
          </w:rPr>
          <w:t>48</w:t>
        </w:r>
        <w:r w:rsidR="00516635">
          <w:rPr>
            <w:noProof/>
          </w:rPr>
          <w:fldChar w:fldCharType="end"/>
        </w:r>
      </w:hyperlink>
    </w:p>
    <w:p w:rsidR="00AB2B42">
      <w:pPr>
        <w:pStyle w:val="TOC1"/>
        <w:tabs>
          <w:tab w:val="left" w:pos="1260"/>
          <w:tab w:val="right" w:leader="dot" w:pos="8494"/>
        </w:tabs>
        <w:spacing w:line="360" w:lineRule="auto"/>
        <w:rPr>
          <w:rFonts w:ascii="Calibri" w:hAnsi="Calibri"/>
          <w:noProof/>
          <w:szCs w:val="22"/>
        </w:rPr>
      </w:pPr>
      <w:hyperlink w:anchor="_Toc366835715" w:tooltip="Current Document" w:history="1">
        <w:r w:rsidR="00516635">
          <w:rPr>
            <w:rStyle w:val="Hyperlink"/>
            <w:rFonts w:ascii="宋体" w:hAnsi="宋体" w:hint="eastAsia"/>
            <w:noProof/>
            <w:highlight w:val="white"/>
          </w:rPr>
          <w:t>二十一、</w:t>
        </w:r>
        <w:r w:rsidR="00516635">
          <w:rPr>
            <w:rFonts w:ascii="宋体" w:hAnsi="宋体" w:cs="宋体"/>
            <w:noProof/>
            <w:szCs w:val="22"/>
            <w:highlight w:val="white"/>
          </w:rPr>
          <w:tab/>
        </w:r>
        <w:r w:rsidR="00516635">
          <w:rPr>
            <w:rStyle w:val="Hyperlink"/>
            <w:rFonts w:ascii="宋体" w:hAnsi="宋体" w:hint="eastAsia"/>
            <w:noProof/>
            <w:highlight w:val="white"/>
          </w:rPr>
          <w:t>托管协议的签订</w:t>
        </w:r>
        <w:r w:rsidR="00516635">
          <w:rPr>
            <w:rFonts w:ascii="宋体" w:hAnsi="宋体" w:cs="宋体"/>
            <w:noProof/>
            <w:highlight w:val="white"/>
          </w:rPr>
          <w:tab/>
        </w:r>
        <w:r w:rsidR="00516635">
          <w:rPr>
            <w:noProof/>
          </w:rPr>
          <w:fldChar w:fldCharType="begin"/>
        </w:r>
        <w:r w:rsidR="00516635">
          <w:rPr>
            <w:rFonts w:ascii="宋体" w:hAnsi="宋体" w:cs="宋体"/>
            <w:noProof/>
            <w:highlight w:val="white"/>
          </w:rPr>
          <w:instrText xml:space="preserve"> PAGEREF _Toc366835715 \h </w:instrText>
        </w:r>
        <w:r w:rsidR="00516635">
          <w:rPr>
            <w:noProof/>
          </w:rPr>
          <w:fldChar w:fldCharType="separate"/>
        </w:r>
        <w:r w:rsidR="004B2C6F">
          <w:rPr>
            <w:rFonts w:ascii="宋体" w:hAnsi="宋体" w:cs="宋体"/>
            <w:noProof/>
            <w:highlight w:val="white"/>
          </w:rPr>
          <w:t>50</w:t>
        </w:r>
        <w:r w:rsidR="00516635">
          <w:rPr>
            <w:noProof/>
          </w:rPr>
          <w:fldChar w:fldCharType="end"/>
        </w:r>
      </w:hyperlink>
    </w:p>
    <w:p w:rsidR="00AB2B42">
      <w:pPr>
        <w:spacing w:line="360" w:lineRule="auto"/>
        <w:rPr>
          <w:rFonts w:ascii="宋体" w:hAnsi="宋体"/>
          <w:sz w:val="24"/>
        </w:rPr>
      </w:pPr>
      <w:r>
        <w:rPr>
          <w:rFonts w:ascii="宋体" w:hAnsi="宋体"/>
          <w:b/>
          <w:sz w:val="24"/>
        </w:rPr>
        <w:fldChar w:fldCharType="end"/>
      </w:r>
    </w:p>
    <w:p w:rsidR="004B2C6F">
      <w:pPr>
        <w:snapToGrid w:val="0"/>
        <w:spacing w:line="360" w:lineRule="auto"/>
        <w:rPr>
          <w:rFonts w:ascii="宋体" w:hAnsi="宋体"/>
          <w:sz w:val="24"/>
          <w:highlight w:val="white"/>
        </w:rPr>
        <w:sectPr>
          <w:footerReference w:type="default" r:id="rId5"/>
          <w:pgSz w:w="11906" w:h="16838"/>
          <w:pgMar w:top="1440" w:right="1800" w:bottom="1440" w:left="1800" w:header="851" w:footer="992" w:gutter="0"/>
          <w:cols w:space="425"/>
          <w:docGrid w:type="lines" w:linePitch="312"/>
        </w:sectPr>
      </w:pPr>
      <w:r>
        <w:rPr>
          <w:rFonts w:ascii="宋体" w:hAnsi="宋体"/>
          <w:sz w:val="24"/>
          <w:highlight w:val="white"/>
        </w:rPr>
        <w:br w:type="page"/>
      </w:r>
    </w:p>
    <w:p w:rsidR="00AB2B42">
      <w:pPr>
        <w:snapToGrid w:val="0"/>
        <w:spacing w:line="360" w:lineRule="auto"/>
        <w:rPr>
          <w:rFonts w:ascii="宋体" w:hAnsi="宋体"/>
          <w:sz w:val="24"/>
        </w:rPr>
      </w:pPr>
    </w:p>
    <w:p w:rsidR="00AB2B42">
      <w:pPr>
        <w:widowControl/>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鉴于易方达基金管理有限公司系一家依照中国法律合法成立并有效存续的有限责任公司，按照相关法律法规的规定具备担任基金管理人的资格和能力，拟募集发行</w:t>
      </w:r>
      <w:r>
        <w:rPr>
          <w:rFonts w:ascii="宋体" w:hAnsi="宋体"/>
          <w:sz w:val="24"/>
          <w:lang w:eastAsia="zh-CN"/>
        </w:rPr>
        <w:t>易方达上证科创板综合指数增强型证券投资基金</w:t>
      </w:r>
      <w:r>
        <w:rPr>
          <w:rFonts w:ascii="宋体" w:hAnsi="宋体" w:hint="eastAsia"/>
          <w:sz w:val="24"/>
          <w:highlight w:val="white"/>
          <w:lang w:eastAsia="zh-CN"/>
        </w:rPr>
        <w:t>；</w:t>
      </w:r>
    </w:p>
    <w:p w:rsidR="00AB2B42">
      <w:pPr>
        <w:widowControl/>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鉴于平安银行股份有限公司系一家依照中国法律合法成立并有效存续的银行，按照相关法律法规的规定具备担任基金托管人的资格和能力；</w:t>
      </w:r>
    </w:p>
    <w:p w:rsidR="00AB2B42">
      <w:pPr>
        <w:widowControl/>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鉴于易方达基金管理有限公司拟担任</w:t>
      </w:r>
      <w:r>
        <w:rPr>
          <w:rFonts w:ascii="宋体" w:hAnsi="宋体"/>
          <w:sz w:val="24"/>
          <w:lang w:eastAsia="zh-CN"/>
        </w:rPr>
        <w:t>易方达上证科创板综合指数增强型证券投资基金</w:t>
      </w:r>
      <w:r>
        <w:rPr>
          <w:rFonts w:ascii="宋体" w:hAnsi="宋体" w:hint="eastAsia"/>
          <w:sz w:val="24"/>
          <w:highlight w:val="white"/>
          <w:lang w:eastAsia="zh-CN"/>
        </w:rPr>
        <w:t>的基金管理人，平安银行股份有限公司拟担任</w:t>
      </w:r>
      <w:r>
        <w:rPr>
          <w:rFonts w:ascii="宋体" w:hAnsi="宋体"/>
          <w:sz w:val="24"/>
          <w:lang w:eastAsia="zh-CN"/>
        </w:rPr>
        <w:t>易方达上证科创板综合指数增强型证券投资基金</w:t>
      </w:r>
      <w:r>
        <w:rPr>
          <w:rFonts w:ascii="宋体" w:hAnsi="宋体" w:hint="eastAsia"/>
          <w:sz w:val="24"/>
          <w:highlight w:val="white"/>
          <w:lang w:eastAsia="zh-CN"/>
        </w:rPr>
        <w:t>的基金托管人；</w:t>
      </w:r>
    </w:p>
    <w:p w:rsidR="00AB2B42">
      <w:pPr>
        <w:widowControl/>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为明确</w:t>
      </w:r>
      <w:r>
        <w:rPr>
          <w:rFonts w:ascii="宋体" w:hAnsi="宋体"/>
          <w:sz w:val="24"/>
          <w:lang w:eastAsia="zh-CN"/>
        </w:rPr>
        <w:t>易方达上证科创板综合指数增强型证券投资基金</w:t>
      </w:r>
      <w:r>
        <w:rPr>
          <w:rFonts w:ascii="宋体" w:hAnsi="宋体" w:hint="eastAsia"/>
          <w:sz w:val="24"/>
          <w:highlight w:val="white"/>
          <w:lang w:eastAsia="zh-CN"/>
        </w:rPr>
        <w:t>的基金管理人和基金托管人之间的权利义务关系，特制订本托管协议；</w:t>
      </w:r>
    </w:p>
    <w:p w:rsidR="00AB2B42">
      <w:pPr>
        <w:widowControl/>
        <w:snapToGrid w:val="0"/>
        <w:spacing w:line="360" w:lineRule="auto"/>
        <w:ind w:firstLine="480" w:firstLineChars="200"/>
        <w:rPr>
          <w:rFonts w:ascii="宋体" w:hAnsi="宋体"/>
          <w:sz w:val="24"/>
          <w:lang w:val="en-GB" w:eastAsia="zh-CN"/>
        </w:rPr>
      </w:pPr>
      <w:r>
        <w:rPr>
          <w:rFonts w:ascii="宋体" w:hAnsi="宋体" w:hint="eastAsia"/>
          <w:sz w:val="24"/>
          <w:highlight w:val="white"/>
          <w:lang w:val="en-GB" w:eastAsia="zh-CN"/>
        </w:rPr>
        <w:t>除非另有约定，《</w:t>
      </w:r>
      <w:r>
        <w:rPr>
          <w:rFonts w:ascii="宋体" w:hAnsi="宋体"/>
          <w:sz w:val="24"/>
          <w:lang w:eastAsia="zh-CN"/>
        </w:rPr>
        <w:t>易方达上证科创板综合指数增强型证券投资基金</w:t>
      </w:r>
      <w:r>
        <w:rPr>
          <w:rFonts w:ascii="宋体" w:hAnsi="宋体" w:hint="eastAsia"/>
          <w:sz w:val="24"/>
          <w:highlight w:val="white"/>
          <w:lang w:val="en-GB" w:eastAsia="zh-CN"/>
        </w:rPr>
        <w:t>基金合同》(以下简称“基金合同”</w:t>
      </w:r>
      <w:r>
        <w:rPr>
          <w:rFonts w:ascii="宋体" w:hAnsi="宋体" w:cs="宋体" w:hint="eastAsia"/>
          <w:highlight w:val="white"/>
          <w:lang w:eastAsia="zh-CN"/>
        </w:rPr>
        <w:t xml:space="preserve"> </w:t>
      </w:r>
      <w:r>
        <w:rPr>
          <w:rFonts w:ascii="宋体" w:hAnsi="宋体" w:hint="eastAsia"/>
          <w:sz w:val="24"/>
          <w:highlight w:val="white"/>
          <w:lang w:val="en-GB" w:eastAsia="zh-CN"/>
        </w:rPr>
        <w:t>或“《基金合同》”)中定义的术语在用于本托管协议时应具有相同的含义；若有抵触应以基金合同为准，并依其</w:t>
      </w:r>
      <w:r>
        <w:rPr>
          <w:rFonts w:ascii="宋体" w:hAnsi="宋体" w:hint="eastAsia"/>
          <w:sz w:val="24"/>
          <w:highlight w:val="white"/>
          <w:lang w:eastAsia="zh-CN"/>
        </w:rPr>
        <w:t>条款</w:t>
      </w:r>
      <w:r>
        <w:rPr>
          <w:rFonts w:ascii="宋体" w:hAnsi="宋体" w:hint="eastAsia"/>
          <w:sz w:val="24"/>
          <w:highlight w:val="white"/>
          <w:lang w:val="en-GB" w:eastAsia="zh-CN"/>
        </w:rPr>
        <w:t>解释。</w:t>
      </w:r>
    </w:p>
    <w:p w:rsidR="00AB2B42">
      <w:pPr>
        <w:widowControl/>
        <w:snapToGrid w:val="0"/>
        <w:spacing w:line="360" w:lineRule="auto"/>
        <w:ind w:firstLine="480" w:firstLineChars="200"/>
        <w:rPr>
          <w:rFonts w:ascii="宋体" w:hAnsi="宋体"/>
          <w:sz w:val="24"/>
          <w:lang w:val="en-GB" w:eastAsia="zh-CN"/>
        </w:rPr>
      </w:pPr>
      <w:r>
        <w:rPr>
          <w:rFonts w:ascii="宋体" w:hAnsi="宋体" w:hint="eastAsia"/>
          <w:sz w:val="24"/>
          <w:highlight w:val="white"/>
          <w:lang w:val="en-GB" w:eastAsia="zh-CN"/>
        </w:rPr>
        <w:t>若本基金实施侧袋机制的，侧袋机制实施期间的相关安排见《基金合同》和招募说明书的规定。</w:t>
      </w:r>
    </w:p>
    <w:p w:rsidR="00AB2B42">
      <w:pPr>
        <w:pStyle w:val="Heading1"/>
        <w:numPr>
          <w:ilvl w:val="0"/>
          <w:numId w:val="22"/>
        </w:numPr>
        <w:spacing w:line="360" w:lineRule="auto"/>
        <w:jc w:val="center"/>
        <w:rPr>
          <w:rFonts w:ascii="宋体" w:hAnsi="宋体"/>
          <w:sz w:val="28"/>
          <w:szCs w:val="28"/>
        </w:rPr>
      </w:pPr>
      <w:bookmarkStart w:id="8" w:name="_Toc295832621"/>
      <w:bookmarkStart w:id="9" w:name="_Toc295832928"/>
      <w:bookmarkStart w:id="10" w:name="_Toc295832988"/>
      <w:bookmarkStart w:id="11" w:name="_Toc295833663"/>
      <w:bookmarkStart w:id="12" w:name="_Toc295832622"/>
      <w:bookmarkStart w:id="13" w:name="_Toc295832929"/>
      <w:bookmarkStart w:id="14" w:name="_Toc295832989"/>
      <w:bookmarkStart w:id="15" w:name="_Toc295833664"/>
      <w:bookmarkStart w:id="16" w:name="_Toc295832623"/>
      <w:bookmarkStart w:id="17" w:name="_Toc295832930"/>
      <w:bookmarkStart w:id="18" w:name="_Toc295832990"/>
      <w:bookmarkStart w:id="19" w:name="_Toc295833665"/>
      <w:bookmarkStart w:id="20" w:name="_Toc124325885"/>
      <w:bookmarkStart w:id="21" w:name="_Toc270669852"/>
      <w:bookmarkEnd w:id="8"/>
      <w:bookmarkEnd w:id="9"/>
      <w:bookmarkEnd w:id="10"/>
      <w:bookmarkEnd w:id="11"/>
      <w:bookmarkEnd w:id="12"/>
      <w:bookmarkEnd w:id="13"/>
      <w:bookmarkEnd w:id="14"/>
      <w:bookmarkEnd w:id="15"/>
      <w:bookmarkEnd w:id="16"/>
      <w:bookmarkEnd w:id="17"/>
      <w:bookmarkEnd w:id="18"/>
      <w:bookmarkEnd w:id="19"/>
      <w:r>
        <w:rPr>
          <w:rFonts w:ascii="宋体" w:hAnsi="宋体"/>
          <w:sz w:val="28"/>
          <w:szCs w:val="28"/>
          <w:highlight w:val="white"/>
          <w:lang w:eastAsia="zh-CN"/>
        </w:rPr>
        <w:br w:type="page"/>
      </w:r>
      <w:bookmarkStart w:id="22" w:name="_Toc276739045"/>
      <w:bookmarkStart w:id="23" w:name="_Toc355859314"/>
      <w:bookmarkStart w:id="24" w:name="_Toc366835695"/>
      <w:bookmarkStart w:id="25" w:name="_Toc295833667"/>
      <w:bookmarkEnd w:id="20"/>
      <w:bookmarkEnd w:id="21"/>
      <w:r>
        <w:rPr>
          <w:rFonts w:ascii="宋体" w:hAnsi="宋体"/>
          <w:sz w:val="28"/>
          <w:szCs w:val="28"/>
          <w:highlight w:val="white"/>
        </w:rPr>
        <w:t>基金托管协议当事人</w:t>
      </w:r>
      <w:bookmarkEnd w:id="22"/>
      <w:bookmarkEnd w:id="23"/>
      <w:bookmarkEnd w:id="24"/>
      <w:bookmarkEnd w:id="25"/>
    </w:p>
    <w:p w:rsidR="00AB2B42">
      <w:pPr>
        <w:snapToGrid w:val="0"/>
        <w:spacing w:line="384" w:lineRule="auto"/>
        <w:ind w:firstLine="480" w:firstLineChars="200"/>
        <w:rPr>
          <w:rFonts w:ascii="宋体" w:hAnsi="宋体"/>
          <w:color w:val="000000"/>
          <w:sz w:val="24"/>
        </w:rPr>
      </w:pPr>
      <w:r>
        <w:rPr>
          <w:rFonts w:ascii="宋体" w:hAnsi="宋体" w:hint="eastAsia"/>
          <w:color w:val="000000"/>
          <w:sz w:val="24"/>
          <w:highlight w:val="white"/>
        </w:rPr>
        <w:t>（一）基金管理人</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名称：易方达基金管理有限公司</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住所：广东省珠海市横琴新区荣粤道188号6层</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法定代表人：</w:t>
      </w:r>
      <w:r w:rsidR="006059E3">
        <w:rPr>
          <w:rFonts w:ascii="宋体" w:hAnsi="宋体" w:cs="宋体" w:hint="eastAsia"/>
          <w:sz w:val="24"/>
          <w:highlight w:val="white"/>
          <w:lang w:eastAsia="zh-CN"/>
        </w:rPr>
        <w:t>吴欣荣</w:t>
      </w:r>
      <w:r>
        <w:rPr>
          <w:rFonts w:ascii="宋体" w:hAnsi="宋体" w:hint="eastAsia"/>
          <w:sz w:val="24"/>
          <w:highlight w:val="white"/>
          <w:lang w:eastAsia="zh-CN"/>
        </w:rPr>
        <w:t xml:space="preserve"> </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设立日期：2001年4月17日</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批准设立机关及批准设立文号：中国证券监督管理委员会，证监基金字[2001]4号</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组织形式：有限责任公司</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注册资本：13,244.2万元人民币</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存续期限：持续经营</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联系电话：4008818088</w:t>
      </w:r>
    </w:p>
    <w:p w:rsidR="00AB2B42">
      <w:pPr>
        <w:snapToGrid w:val="0"/>
        <w:spacing w:line="360" w:lineRule="auto"/>
        <w:ind w:firstLine="480" w:firstLineChars="200"/>
        <w:rPr>
          <w:rFonts w:ascii="宋体" w:hAnsi="宋体"/>
          <w:color w:val="000000"/>
          <w:sz w:val="24"/>
          <w:lang w:eastAsia="zh-CN"/>
        </w:rPr>
      </w:pPr>
      <w:r>
        <w:rPr>
          <w:rFonts w:ascii="宋体" w:hAnsi="宋体" w:hint="eastAsia"/>
          <w:color w:val="000000"/>
          <w:sz w:val="24"/>
          <w:highlight w:val="white"/>
          <w:lang w:eastAsia="zh-CN"/>
        </w:rPr>
        <w:t>（二）基金托管人</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名称：平安银行股份有限公司</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注册住所：广东省深圳市罗湖区深南东路5047号</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办公地址：广东省深圳市福田区益田路5023号</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法定代表人：</w:t>
      </w:r>
      <w:r>
        <w:rPr>
          <w:rFonts w:ascii="宋体" w:hAnsi="宋体" w:hint="eastAsia"/>
          <w:color w:val="000000"/>
          <w:sz w:val="24"/>
          <w:highlight w:val="white"/>
          <w:lang w:eastAsia="zh-CN"/>
        </w:rPr>
        <w:t>谢永林</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成立日期：1987 年12 月22 日</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批准设立机关和批准设立文号：银复1987【365】号</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组织形式：股份有限公司</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注册资本：</w:t>
      </w:r>
      <w:r>
        <w:rPr>
          <w:rFonts w:ascii="宋体" w:hAnsi="宋体"/>
          <w:sz w:val="24"/>
          <w:highlight w:val="white"/>
          <w:lang w:eastAsia="zh-CN"/>
        </w:rPr>
        <w:t>19,405,918,198</w:t>
      </w:r>
      <w:r>
        <w:rPr>
          <w:rFonts w:ascii="宋体" w:hAnsi="宋体" w:hint="eastAsia"/>
          <w:sz w:val="24"/>
          <w:highlight w:val="white"/>
          <w:lang w:eastAsia="zh-CN"/>
        </w:rPr>
        <w:t xml:space="preserve"> 元人民币</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存续期间：持续经营</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基金托管资格批文及文号：中国证监会证监许可[2008]1037 号</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联系人：刘华栋</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联系电话：(0755) 22</w:t>
      </w:r>
      <w:r>
        <w:rPr>
          <w:rFonts w:ascii="宋体" w:hAnsi="宋体"/>
          <w:sz w:val="24"/>
          <w:highlight w:val="white"/>
          <w:lang w:eastAsia="zh-CN"/>
        </w:rPr>
        <w:t>16</w:t>
      </w:r>
      <w:r>
        <w:rPr>
          <w:rFonts w:ascii="宋体" w:hAnsi="宋体" w:hint="eastAsia"/>
          <w:sz w:val="24"/>
          <w:highlight w:val="white"/>
          <w:lang w:eastAsia="zh-CN"/>
        </w:rPr>
        <w:t xml:space="preserve"> </w:t>
      </w:r>
      <w:r>
        <w:rPr>
          <w:rFonts w:ascii="宋体" w:hAnsi="宋体"/>
          <w:sz w:val="24"/>
          <w:highlight w:val="white"/>
          <w:lang w:eastAsia="zh-CN"/>
        </w:rPr>
        <w:t>6388</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经营范围：办理人民币存、贷、结算、汇兑业务；人民币票据承兑和贴现；各项信托业务；经监管机构批准发行或买卖人民币有价证券；外汇存款、汇款；境内境外借款；在境内境外发行或代理发行外币有价证券；贸易、非贸易结算；外币票据的承兑和贴现；外汇放款；代客买卖外汇及外币有价证券，自营外汇买卖；资信调查、咨询、见证业务；保险兼业代理业务；黄金进口业务；经有关监管机构批准或允许的其他业务。</w:t>
      </w:r>
    </w:p>
    <w:p w:rsidR="00AB2B42">
      <w:pPr>
        <w:pStyle w:val="Heading1"/>
        <w:numPr>
          <w:ilvl w:val="0"/>
          <w:numId w:val="22"/>
        </w:numPr>
        <w:spacing w:line="360" w:lineRule="auto"/>
        <w:jc w:val="center"/>
        <w:rPr>
          <w:rFonts w:ascii="宋体" w:hAnsi="宋体"/>
          <w:szCs w:val="24"/>
          <w:lang w:eastAsia="zh-CN"/>
        </w:rPr>
      </w:pPr>
      <w:r>
        <w:rPr>
          <w:rFonts w:ascii="宋体" w:hAnsi="宋体"/>
          <w:sz w:val="24"/>
          <w:szCs w:val="24"/>
          <w:highlight w:val="white"/>
          <w:lang w:eastAsia="zh-CN"/>
        </w:rPr>
        <w:br w:type="page"/>
      </w:r>
      <w:bookmarkStart w:id="26" w:name="_Toc295832625"/>
      <w:bookmarkStart w:id="27" w:name="_Toc295832932"/>
      <w:bookmarkStart w:id="28" w:name="_Toc295832992"/>
      <w:bookmarkStart w:id="29" w:name="_Hlt136831053"/>
      <w:bookmarkStart w:id="30" w:name="_Toc124325886"/>
      <w:bookmarkStart w:id="31" w:name="_Toc270669853"/>
      <w:bookmarkStart w:id="32" w:name="_Toc295833668"/>
      <w:bookmarkStart w:id="33" w:name="_Toc355859315"/>
      <w:bookmarkStart w:id="34" w:name="_Toc366835696"/>
      <w:bookmarkEnd w:id="26"/>
      <w:bookmarkEnd w:id="27"/>
      <w:bookmarkEnd w:id="28"/>
      <w:bookmarkEnd w:id="29"/>
      <w:r>
        <w:rPr>
          <w:rFonts w:ascii="宋体" w:hAnsi="宋体" w:hint="eastAsia"/>
          <w:sz w:val="28"/>
          <w:szCs w:val="28"/>
          <w:highlight w:val="white"/>
          <w:lang w:eastAsia="zh-CN"/>
        </w:rPr>
        <w:t>基金托管协议的依据、目的和原则</w:t>
      </w:r>
      <w:bookmarkEnd w:id="30"/>
      <w:bookmarkEnd w:id="31"/>
      <w:bookmarkEnd w:id="32"/>
      <w:bookmarkEnd w:id="33"/>
      <w:bookmarkEnd w:id="34"/>
    </w:p>
    <w:p w:rsidR="00AB2B42">
      <w:pPr>
        <w:spacing w:line="360" w:lineRule="auto"/>
        <w:ind w:firstLine="480" w:firstLineChars="200"/>
        <w:rPr>
          <w:rFonts w:ascii="宋体" w:hAnsi="宋体"/>
          <w:color w:val="000000"/>
          <w:sz w:val="24"/>
          <w:lang w:eastAsia="zh-CN"/>
        </w:rPr>
      </w:pPr>
      <w:r>
        <w:rPr>
          <w:rFonts w:ascii="宋体" w:hAnsi="宋体" w:hint="eastAsia"/>
          <w:color w:val="000000"/>
          <w:sz w:val="24"/>
          <w:highlight w:val="white"/>
          <w:lang w:eastAsia="zh-CN"/>
        </w:rPr>
        <w:t>（一）订立托管协议的依据</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本协议依据《中华人民共和国民法典》、《中华人民共和国证券投资基金法》(以下简称“《基金法》”)、《</w:t>
      </w:r>
      <w:r>
        <w:rPr>
          <w:rFonts w:hint="eastAsia"/>
          <w:bCs/>
          <w:sz w:val="24"/>
          <w:highlight w:val="white"/>
          <w:lang w:eastAsia="zh-CN"/>
        </w:rPr>
        <w:t>公开募集</w:t>
      </w:r>
      <w:r>
        <w:rPr>
          <w:bCs/>
          <w:sz w:val="24"/>
          <w:highlight w:val="white"/>
          <w:lang w:eastAsia="zh-CN"/>
        </w:rPr>
        <w:t>证券投资基金运作管理办法</w:t>
      </w:r>
      <w:r>
        <w:rPr>
          <w:rFonts w:ascii="宋体" w:hAnsi="宋体" w:hint="eastAsia"/>
          <w:sz w:val="24"/>
          <w:highlight w:val="white"/>
          <w:lang w:eastAsia="zh-CN"/>
        </w:rPr>
        <w:t>》（以下简称“《运作办法》”）、《公开募集证券投资基金销售机构监督管理办法》、《公开募集证券投资基金信息披露管理办法》（以下简称“《信息披露办法》”）、</w:t>
      </w:r>
      <w:r>
        <w:rPr>
          <w:rFonts w:ascii="宋体" w:hAnsi="宋体"/>
          <w:bCs/>
          <w:sz w:val="24"/>
          <w:highlight w:val="white"/>
          <w:lang w:eastAsia="zh-CN"/>
        </w:rPr>
        <w:t>《</w:t>
      </w:r>
      <w:r>
        <w:rPr>
          <w:rFonts w:ascii="宋体" w:hAnsi="宋体" w:hint="eastAsia"/>
          <w:bCs/>
          <w:sz w:val="24"/>
          <w:highlight w:val="white"/>
          <w:lang w:eastAsia="zh-CN"/>
        </w:rPr>
        <w:t>公开募集开放式证券投资基金流动性风险管理规定</w:t>
      </w:r>
      <w:r>
        <w:rPr>
          <w:rFonts w:ascii="宋体" w:hAnsi="宋体"/>
          <w:bCs/>
          <w:sz w:val="24"/>
          <w:highlight w:val="white"/>
          <w:lang w:eastAsia="zh-CN"/>
        </w:rPr>
        <w:t>》</w:t>
      </w:r>
      <w:r>
        <w:rPr>
          <w:rFonts w:ascii="宋体" w:hAnsi="宋体" w:hint="eastAsia"/>
          <w:bCs/>
          <w:sz w:val="24"/>
          <w:highlight w:val="white"/>
          <w:lang w:eastAsia="zh-CN"/>
        </w:rPr>
        <w:t>（</w:t>
      </w:r>
      <w:r>
        <w:rPr>
          <w:rFonts w:ascii="宋体" w:hAnsi="宋体"/>
          <w:bCs/>
          <w:sz w:val="24"/>
          <w:highlight w:val="white"/>
          <w:lang w:eastAsia="zh-CN"/>
        </w:rPr>
        <w:t>以下简称</w:t>
      </w:r>
      <w:r>
        <w:rPr>
          <w:rFonts w:ascii="宋体" w:hAnsi="宋体" w:hint="eastAsia"/>
          <w:sz w:val="24"/>
          <w:highlight w:val="white"/>
          <w:lang w:eastAsia="zh-CN"/>
        </w:rPr>
        <w:t>“</w:t>
      </w:r>
      <w:r>
        <w:rPr>
          <w:rFonts w:ascii="宋体" w:hAnsi="宋体" w:hint="eastAsia"/>
          <w:bCs/>
          <w:sz w:val="24"/>
          <w:highlight w:val="white"/>
          <w:lang w:eastAsia="zh-CN"/>
        </w:rPr>
        <w:t>《流动性风险管理规定》</w:t>
      </w:r>
      <w:r>
        <w:rPr>
          <w:rFonts w:ascii="宋体" w:hAnsi="宋体" w:hint="eastAsia"/>
          <w:sz w:val="24"/>
          <w:highlight w:val="white"/>
          <w:lang w:eastAsia="zh-CN"/>
        </w:rPr>
        <w:t>”</w:t>
      </w:r>
      <w:r>
        <w:rPr>
          <w:rFonts w:ascii="宋体" w:hAnsi="宋体" w:hint="eastAsia"/>
          <w:bCs/>
          <w:sz w:val="24"/>
          <w:highlight w:val="white"/>
          <w:lang w:eastAsia="zh-CN"/>
        </w:rPr>
        <w:t>）</w:t>
      </w:r>
      <w:r>
        <w:rPr>
          <w:rFonts w:ascii="宋体" w:hAnsi="宋体"/>
          <w:bCs/>
          <w:sz w:val="24"/>
          <w:highlight w:val="white"/>
          <w:lang w:eastAsia="zh-CN"/>
        </w:rPr>
        <w:t>、</w:t>
      </w:r>
      <w:r>
        <w:rPr>
          <w:rFonts w:ascii="宋体" w:hAnsi="宋体" w:hint="eastAsia"/>
          <w:sz w:val="24"/>
          <w:highlight w:val="white"/>
          <w:lang w:eastAsia="zh-CN"/>
        </w:rPr>
        <w:t>《证券投资基金信息披露内容与格式准则第7号〈托管协议的内容与格式〉》、《公开募集证券投资基金运作指引第3号——指数基金指引》等有关法律法规、《基金合同》及其他有关规定制订。</w:t>
      </w:r>
    </w:p>
    <w:p w:rsidR="00AB2B42">
      <w:pPr>
        <w:spacing w:line="360" w:lineRule="auto"/>
        <w:ind w:firstLine="480" w:firstLineChars="200"/>
        <w:rPr>
          <w:rFonts w:ascii="宋体" w:hAnsi="宋体"/>
          <w:sz w:val="24"/>
          <w:szCs w:val="20"/>
          <w:lang w:eastAsia="zh-CN"/>
        </w:rPr>
      </w:pPr>
      <w:r>
        <w:rPr>
          <w:rFonts w:ascii="宋体" w:hAnsi="宋体" w:hint="eastAsia"/>
          <w:color w:val="000000"/>
          <w:sz w:val="24"/>
          <w:highlight w:val="white"/>
          <w:lang w:eastAsia="zh-CN"/>
        </w:rPr>
        <w:t>（二）订立托管协议的目的</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B2B42">
      <w:pPr>
        <w:spacing w:line="360" w:lineRule="auto"/>
        <w:ind w:firstLine="480" w:firstLineChars="200"/>
        <w:rPr>
          <w:rFonts w:ascii="宋体" w:hAnsi="宋体"/>
          <w:color w:val="000000"/>
          <w:sz w:val="24"/>
          <w:lang w:eastAsia="zh-CN"/>
        </w:rPr>
      </w:pPr>
      <w:r>
        <w:rPr>
          <w:rFonts w:ascii="宋体" w:hAnsi="宋体" w:hint="eastAsia"/>
          <w:color w:val="000000"/>
          <w:sz w:val="24"/>
          <w:highlight w:val="white"/>
          <w:lang w:eastAsia="zh-CN"/>
        </w:rPr>
        <w:t>（三）订立托管协议的原则</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基金管理人和基金托管人本着平等自愿、诚实信用、充分保护基金份额持有人合法权益的原则，经协商一致，签订本协议。</w:t>
      </w:r>
    </w:p>
    <w:p w:rsidR="00AB2B42">
      <w:pPr>
        <w:pStyle w:val="Heading1"/>
        <w:numPr>
          <w:ilvl w:val="0"/>
          <w:numId w:val="22"/>
        </w:numPr>
        <w:spacing w:line="360" w:lineRule="auto"/>
        <w:jc w:val="center"/>
        <w:rPr>
          <w:sz w:val="28"/>
          <w:szCs w:val="28"/>
          <w:lang w:eastAsia="zh-CN"/>
        </w:rPr>
      </w:pPr>
      <w:bookmarkStart w:id="35" w:name="_Toc295832628"/>
      <w:bookmarkStart w:id="36" w:name="_Toc295832935"/>
      <w:bookmarkStart w:id="37" w:name="_Toc295832995"/>
      <w:bookmarkStart w:id="38" w:name="_Toc295832629"/>
      <w:bookmarkStart w:id="39" w:name="_Toc295832936"/>
      <w:bookmarkStart w:id="40" w:name="_Toc295832996"/>
      <w:bookmarkStart w:id="41" w:name="_Toc295832630"/>
      <w:bookmarkStart w:id="42" w:name="_Toc295832937"/>
      <w:bookmarkStart w:id="43" w:name="_Toc295832997"/>
      <w:bookmarkEnd w:id="35"/>
      <w:bookmarkEnd w:id="36"/>
      <w:bookmarkEnd w:id="37"/>
      <w:bookmarkEnd w:id="38"/>
      <w:bookmarkEnd w:id="39"/>
      <w:bookmarkEnd w:id="40"/>
      <w:bookmarkEnd w:id="41"/>
      <w:bookmarkEnd w:id="42"/>
      <w:bookmarkEnd w:id="43"/>
      <w:r>
        <w:rPr>
          <w:rFonts w:ascii="宋体" w:hAnsi="宋体"/>
          <w:sz w:val="24"/>
          <w:szCs w:val="24"/>
          <w:highlight w:val="white"/>
          <w:lang w:eastAsia="zh-CN"/>
        </w:rPr>
        <w:br w:type="page"/>
      </w:r>
      <w:bookmarkStart w:id="44" w:name="_Toc355859316"/>
      <w:bookmarkStart w:id="45" w:name="_Toc366835697"/>
      <w:r>
        <w:rPr>
          <w:rFonts w:ascii="宋体" w:hAnsi="宋体" w:hint="eastAsia"/>
          <w:sz w:val="28"/>
          <w:szCs w:val="28"/>
          <w:highlight w:val="white"/>
          <w:lang w:eastAsia="zh-CN"/>
        </w:rPr>
        <w:t>基金托管人对基金管理人的业务监督和核查</w:t>
      </w:r>
      <w:bookmarkEnd w:id="44"/>
      <w:bookmarkEnd w:id="45"/>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B2B42">
      <w:pPr>
        <w:spacing w:line="360" w:lineRule="auto"/>
        <w:ind w:firstLine="480" w:firstLineChars="200"/>
        <w:rPr>
          <w:rFonts w:ascii="宋体" w:hAnsi="宋体"/>
          <w:sz w:val="24"/>
          <w:lang w:eastAsia="zh-CN"/>
        </w:rPr>
      </w:pPr>
      <w:r>
        <w:rPr>
          <w:rFonts w:ascii="宋体" w:hAnsi="宋体"/>
          <w:sz w:val="24"/>
          <w:lang w:eastAsia="zh-CN"/>
        </w:rPr>
        <w:t>本基金的投资范围包括国内依法发行上市的股票（包括创业板、科创板及其他依法发行上市的股票、存托凭证）、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rsidR="00AB2B42">
      <w:pPr>
        <w:spacing w:line="360" w:lineRule="auto"/>
        <w:ind w:firstLine="480" w:firstLineChars="200"/>
        <w:rPr>
          <w:rFonts w:ascii="宋体" w:hAnsi="宋体"/>
          <w:sz w:val="24"/>
          <w:lang w:eastAsia="zh-CN"/>
        </w:rPr>
      </w:pPr>
      <w:r>
        <w:rPr>
          <w:rFonts w:ascii="宋体" w:hAnsi="宋体"/>
          <w:sz w:val="24"/>
          <w:lang w:eastAsia="zh-CN"/>
        </w:rPr>
        <w:t>如法律法规或监管机构以后允许基金投资其他品种，基金管理人在履行适当程序后，本基金可以将其纳入投资范围。</w:t>
      </w:r>
    </w:p>
    <w:p w:rsidR="00AB2B42">
      <w:pPr>
        <w:spacing w:line="360" w:lineRule="auto"/>
        <w:ind w:firstLine="480" w:firstLineChars="200"/>
        <w:rPr>
          <w:rFonts w:ascii="宋体" w:hAnsi="宋体"/>
          <w:sz w:val="24"/>
          <w:lang w:eastAsia="zh-CN"/>
        </w:rPr>
      </w:pPr>
      <w:r>
        <w:rPr>
          <w:rFonts w:ascii="宋体" w:hAnsi="宋体"/>
          <w:sz w:val="24"/>
          <w:lang w:eastAsia="zh-CN"/>
        </w:rPr>
        <w:t>本基金可参与转融通证券出借及融资业务。</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基金的投资组合比例为：</w:t>
      </w:r>
      <w:r>
        <w:rPr>
          <w:rFonts w:ascii="宋体" w:hAnsi="宋体"/>
          <w:sz w:val="24"/>
          <w:lang w:eastAsia="zh-CN"/>
        </w:rPr>
        <w:t>本基金股票资产占基金资产的比例为80%-95%（其中港股通股票不超过股票资产的50%）；投资于标的指数成份股及备选成份股的资产不低于非现金基金资产的80%；保持不低于基金资产净值5%的现金或者到期日在一年以内的政府债券，其中现金不包括结算备付金、存出保证金和应收申购款等。</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（二）基金托管人根据有关法律法规的规定及基金合同的约定，对基金投资进行监督。基金托管人按下述比例和调整期限进行监督：</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1.本基金股票资产占基金资产的比例为80%-95%（其中港股通股票不超过股票资产的50%）；投资于标的指数成份股及备选成份股的资产不低于非现金基金资产的80%；</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2.保持不低于基金资产净值5％的现金或者到期日在一年以内的政府债券，其中现金不包括结算备付金、存出保证金和应收申购款等；</w:t>
      </w:r>
    </w:p>
    <w:p w:rsidR="00AB2B42">
      <w:pPr>
        <w:pBdr>
          <w:top w:val="nil"/>
          <w:left w:val="nil"/>
          <w:bottom w:val="nil"/>
          <w:right w:val="nil"/>
        </w:pBdr>
        <w:spacing w:line="360" w:lineRule="auto"/>
        <w:ind w:firstLine="480"/>
        <w:rPr>
          <w:rFonts w:ascii="宋体" w:hAnsi="宋体" w:cs="宋体"/>
          <w:color w:val="000000"/>
          <w:sz w:val="24"/>
          <w:lang w:eastAsia="zh-CN"/>
        </w:rPr>
      </w:pPr>
      <w:r>
        <w:rPr>
          <w:rFonts w:ascii="宋体" w:hAnsi="宋体" w:cs="宋体"/>
          <w:color w:val="000000"/>
          <w:sz w:val="24"/>
          <w:highlight w:val="white"/>
          <w:lang w:eastAsia="zh-CN"/>
        </w:rPr>
        <w:t>3.本基金持有一家公司发行的证券（同一家公司在内地和香港同时上市的A+H股合计计算），其市值不超过基金资产净值的10％；</w:t>
      </w:r>
    </w:p>
    <w:p w:rsidR="00AB2B42">
      <w:pPr>
        <w:pBdr>
          <w:top w:val="nil"/>
          <w:left w:val="nil"/>
          <w:bottom w:val="nil"/>
          <w:right w:val="nil"/>
        </w:pBdr>
        <w:spacing w:line="360" w:lineRule="auto"/>
        <w:ind w:firstLine="480"/>
        <w:rPr>
          <w:rFonts w:ascii="宋体" w:hAnsi="宋体" w:cs="宋体"/>
          <w:color w:val="000000"/>
          <w:sz w:val="24"/>
          <w:lang w:eastAsia="zh-CN"/>
        </w:rPr>
      </w:pPr>
      <w:r>
        <w:rPr>
          <w:rFonts w:ascii="宋体" w:hAnsi="宋体" w:cs="宋体"/>
          <w:color w:val="000000"/>
          <w:sz w:val="24"/>
          <w:highlight w:val="white"/>
          <w:lang w:eastAsia="zh-CN"/>
        </w:rPr>
        <w:t>4.本基金管理人管理且由本基金托管人托管的全部基金持有一家公司发行的证券（同一家公司在内地和香港同时上市的A+H股合计计算），不超过该证券的10％，完全按照有关指数的构成比例进行证券投资的基金品种可以不受此条款规定的比例限制；</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5.本基金投资于同一原始权益人的各类资产支持证券的比例，不得超过基金资产净值的10％；</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6.本基金持有的全部资产支持证券，其市值不得超过基金资产净值的20％；</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7.本基金持有的同一(指同一信用级别)资产支持证券的比例，不得超过该资产支持证券规模的10％；</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8.本基金管理人管理且由本基金托管人托管的全部基金投资于同一原始权益人的各类资产支持证券，不得超过其各类资产支持证券合计规模的10％；</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9.本基金应投资于信用级别评级为BBB以上(含BBB)的资产支持证券。基金持有资产支持证券期间，如果其信用等级下降、不再符合投资标准，应在评级报告发布之日起3个月内予以全部卖出；</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10.基金财产参与股票发行申购，本基金所申报的金额不超过本基金的总资产，本基金所申报的股票数量不超过拟发行股票公司本次发行股票的总量；</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11.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13.本基金与私募类证券资管产品及中国证监会认定的其他主体为交易对手开展逆回购交易的，可接受质押品的资质要求应当与基金合同约定的投资范围保持一致；</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14.本基金资产总值不超过基金资产净值的140%；</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15.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16.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18.基金参与融资业务后，在任何交易日日终，持有的融资买入股票与其他有价证券市值之和，不得超过基金资产净值的95%；</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19.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亿元；证券出借的平均剩余期限不得超过30天，平均剩余期限按照市值加权平均计算；</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20.本基金投资存托凭证的比例限制依照境内上市交易的股票执行，与境内上市交易的股票合并计算；</w:t>
      </w:r>
    </w:p>
    <w:p w:rsidR="00AB2B42">
      <w:pPr>
        <w:pBdr>
          <w:top w:val="nil"/>
          <w:left w:val="nil"/>
          <w:bottom w:val="nil"/>
          <w:right w:val="nil"/>
        </w:pBdr>
        <w:spacing w:line="360" w:lineRule="auto"/>
        <w:ind w:firstLine="480"/>
        <w:rPr>
          <w:rFonts w:ascii="宋体" w:hAnsi="宋体" w:cs="宋体"/>
          <w:color w:val="000000"/>
          <w:sz w:val="24"/>
          <w:lang w:eastAsia="zh-CN"/>
        </w:rPr>
      </w:pPr>
      <w:r>
        <w:rPr>
          <w:rFonts w:ascii="宋体" w:hAnsi="宋体" w:cs="宋体"/>
          <w:color w:val="000000"/>
          <w:sz w:val="24"/>
          <w:highlight w:val="white"/>
          <w:lang w:eastAsia="zh-CN"/>
        </w:rPr>
        <w:t>21.法律法规及中国证监会规定的和《基金合同》约定的其他投资限制。</w:t>
      </w:r>
    </w:p>
    <w:p w:rsidR="00AB2B42">
      <w:pPr>
        <w:pBdr>
          <w:top w:val="nil"/>
          <w:left w:val="nil"/>
          <w:bottom w:val="nil"/>
          <w:right w:val="nil"/>
        </w:pBdr>
        <w:spacing w:line="360" w:lineRule="auto"/>
        <w:ind w:firstLine="480"/>
        <w:rPr>
          <w:rFonts w:ascii="宋体" w:hAnsi="宋体" w:cs="宋体"/>
          <w:color w:val="000000"/>
          <w:sz w:val="24"/>
          <w:lang w:eastAsia="zh-CN"/>
        </w:rPr>
      </w:pPr>
      <w:r>
        <w:rPr>
          <w:rFonts w:ascii="宋体" w:hAnsi="宋体" w:cs="宋体"/>
          <w:color w:val="000000"/>
          <w:sz w:val="24"/>
          <w:highlight w:val="white"/>
          <w:lang w:eastAsia="zh-CN"/>
        </w:rPr>
        <w:t>除上述2、9、10、12、13、19情形之外，因证券/期货市场波动、证券发行人合并、基金规模变动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19</w:t>
      </w:r>
      <w:r>
        <w:rPr>
          <w:rFonts w:ascii="宋体" w:hAnsi="宋体" w:cs="宋体"/>
          <w:color w:val="000000"/>
          <w:sz w:val="24"/>
          <w:highlight w:val="white"/>
          <w:lang w:eastAsia="zh-CN"/>
        </w:rPr>
        <w:t>项规定的，基金管理人不得新增出借业务。法律法规或监管部门另有规定的，届时按最新规定执行。</w:t>
      </w:r>
    </w:p>
    <w:p w:rsidR="00AB2B42">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（三）基金托管人根据有关法律法规的规定及基金合同的约定，对基金投资禁止行为进行监督。</w:t>
      </w:r>
    </w:p>
    <w:p w:rsidR="00AB2B42">
      <w:pPr>
        <w:spacing w:line="360" w:lineRule="auto"/>
        <w:ind w:firstLine="480" w:firstLineChars="200"/>
        <w:rPr>
          <w:rFonts w:ascii="宋体" w:hAnsi="宋体" w:cs="宋体"/>
          <w:bCs/>
          <w:sz w:val="24"/>
          <w:lang w:eastAsia="zh-CN"/>
        </w:rPr>
      </w:pPr>
      <w:r>
        <w:rPr>
          <w:rFonts w:ascii="宋体" w:hAnsi="宋体" w:cs="宋体"/>
          <w:bCs/>
          <w:sz w:val="24"/>
          <w:highlight w:val="white"/>
          <w:lang w:eastAsia="zh-CN"/>
        </w:rPr>
        <w:t>1.承销证券；</w:t>
      </w:r>
    </w:p>
    <w:p w:rsidR="00AB2B42">
      <w:pPr>
        <w:spacing w:line="360" w:lineRule="auto"/>
        <w:ind w:firstLine="480" w:firstLineChars="200"/>
        <w:rPr>
          <w:rFonts w:ascii="宋体" w:hAnsi="宋体" w:cs="宋体"/>
          <w:bCs/>
          <w:sz w:val="24"/>
          <w:lang w:eastAsia="zh-CN"/>
        </w:rPr>
      </w:pPr>
      <w:r>
        <w:rPr>
          <w:rFonts w:ascii="宋体" w:hAnsi="宋体" w:cs="宋体"/>
          <w:bCs/>
          <w:sz w:val="24"/>
          <w:highlight w:val="white"/>
          <w:lang w:eastAsia="zh-CN"/>
        </w:rPr>
        <w:t>2.违反规定向他人贷款或者提供担保；</w:t>
      </w:r>
    </w:p>
    <w:p w:rsidR="00AB2B42">
      <w:pPr>
        <w:spacing w:line="360" w:lineRule="auto"/>
        <w:ind w:firstLine="480" w:firstLineChars="200"/>
        <w:rPr>
          <w:rFonts w:ascii="宋体" w:hAnsi="宋体" w:cs="宋体"/>
          <w:bCs/>
          <w:sz w:val="24"/>
          <w:lang w:eastAsia="zh-CN"/>
        </w:rPr>
      </w:pPr>
      <w:r>
        <w:rPr>
          <w:rFonts w:ascii="宋体" w:hAnsi="宋体" w:cs="宋体"/>
          <w:bCs/>
          <w:sz w:val="24"/>
          <w:highlight w:val="white"/>
          <w:lang w:eastAsia="zh-CN"/>
        </w:rPr>
        <w:t>3.从事承担无限责任的投资；</w:t>
      </w:r>
    </w:p>
    <w:p w:rsidR="00AB2B42">
      <w:pPr>
        <w:spacing w:line="360" w:lineRule="auto"/>
        <w:ind w:firstLine="480" w:firstLineChars="200"/>
        <w:rPr>
          <w:rFonts w:ascii="宋体" w:hAnsi="宋体" w:cs="宋体"/>
          <w:bCs/>
          <w:sz w:val="24"/>
          <w:lang w:eastAsia="zh-CN"/>
        </w:rPr>
      </w:pPr>
      <w:r>
        <w:rPr>
          <w:rFonts w:ascii="宋体" w:hAnsi="宋体" w:cs="宋体"/>
          <w:bCs/>
          <w:sz w:val="24"/>
          <w:highlight w:val="white"/>
          <w:lang w:eastAsia="zh-CN"/>
        </w:rPr>
        <w:t>4.向其基金管理人、基金托管人出资；</w:t>
      </w:r>
    </w:p>
    <w:p w:rsidR="00AB2B42">
      <w:pPr>
        <w:spacing w:line="360" w:lineRule="auto"/>
        <w:ind w:firstLine="480" w:firstLineChars="200"/>
        <w:rPr>
          <w:rFonts w:ascii="宋体" w:hAnsi="宋体" w:cs="宋体"/>
          <w:bCs/>
          <w:sz w:val="24"/>
          <w:lang w:eastAsia="zh-CN"/>
        </w:rPr>
      </w:pPr>
      <w:r>
        <w:rPr>
          <w:rFonts w:ascii="宋体" w:hAnsi="宋体" w:cs="宋体"/>
          <w:bCs/>
          <w:sz w:val="24"/>
          <w:highlight w:val="white"/>
          <w:lang w:eastAsia="zh-CN"/>
        </w:rPr>
        <w:t>5.从事内幕交易、操纵证券交易价格及其他不正当的证券交易活动；</w:t>
      </w:r>
    </w:p>
    <w:p w:rsidR="00AB2B42">
      <w:pPr>
        <w:spacing w:line="360" w:lineRule="auto"/>
        <w:ind w:firstLine="480" w:firstLineChars="200"/>
        <w:rPr>
          <w:rFonts w:ascii="宋体" w:hAnsi="宋体" w:cs="宋体"/>
          <w:bCs/>
          <w:sz w:val="24"/>
          <w:lang w:eastAsia="zh-CN"/>
        </w:rPr>
      </w:pPr>
      <w:r>
        <w:rPr>
          <w:rFonts w:ascii="宋体" w:hAnsi="宋体" w:cs="宋体"/>
          <w:bCs/>
          <w:sz w:val="24"/>
          <w:highlight w:val="white"/>
          <w:lang w:eastAsia="zh-CN"/>
        </w:rPr>
        <w:t>6.法律、行政法规和中国证监会规定禁止的其他活动。</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B2B42">
      <w:pPr>
        <w:spacing w:line="360" w:lineRule="auto"/>
        <w:ind w:firstLine="480" w:firstLineChars="200"/>
        <w:rPr>
          <w:bCs/>
          <w:sz w:val="24"/>
          <w:lang w:eastAsia="zh-CN"/>
        </w:rPr>
      </w:pPr>
      <w:r>
        <w:rPr>
          <w:rFonts w:hint="eastAsia"/>
          <w:bCs/>
          <w:sz w:val="24"/>
          <w:highlight w:val="white"/>
          <w:lang w:eastAsia="zh-CN"/>
        </w:rPr>
        <w:t>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AB2B42">
      <w:pPr>
        <w:spacing w:line="360" w:lineRule="auto"/>
        <w:ind w:firstLine="480" w:firstLineChars="200"/>
        <w:rPr>
          <w:rFonts w:ascii="宋体" w:hAnsi="宋体"/>
          <w:sz w:val="24"/>
          <w:lang w:eastAsia="zh-CN"/>
        </w:rPr>
      </w:pPr>
      <w:r>
        <w:rPr>
          <w:rFonts w:ascii="宋体" w:hAnsi="宋体" w:hint="eastAsia"/>
          <w:bCs/>
          <w:sz w:val="24"/>
          <w:highlight w:val="white"/>
          <w:lang w:eastAsia="zh-CN"/>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（四）基金托管人根据有关法律法规的规定及基金合同的约定，对基金管理人参与银行间债券市场进行监督。</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应在参与银行间债券交易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及时向基金托管人说明理由，协商解决。</w:t>
      </w:r>
    </w:p>
    <w:p w:rsidR="00AB2B42">
      <w:pPr>
        <w:spacing w:line="360" w:lineRule="auto"/>
        <w:ind w:firstLine="480" w:firstLineChars="200"/>
        <w:rPr>
          <w:rFonts w:ascii="宋体" w:hAnsi="宋体"/>
          <w:sz w:val="24"/>
          <w:lang w:eastAsia="zh-CN"/>
        </w:rPr>
      </w:pPr>
      <w:r>
        <w:rPr>
          <w:rFonts w:ascii="宋体" w:hAnsi="宋体" w:hint="eastAsia"/>
          <w:color w:val="000000"/>
          <w:sz w:val="24"/>
          <w:highlight w:val="white"/>
          <w:lang w:eastAsia="zh-CN"/>
        </w:rPr>
        <w:t>基金管理人负责对交易对手的资信控制，按银行间债券市场的交易规则进行交易，并</w:t>
      </w:r>
      <w:r>
        <w:rPr>
          <w:rFonts w:ascii="宋体" w:hAnsi="宋体" w:hint="eastAsia"/>
          <w:sz w:val="24"/>
          <w:highlight w:val="white"/>
          <w:lang w:eastAsia="zh-CN"/>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宋体" w:hAnsi="宋体" w:hint="eastAsia"/>
          <w:color w:val="000000"/>
          <w:sz w:val="24"/>
          <w:highlight w:val="white"/>
          <w:lang w:eastAsia="zh-CN"/>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如基金管理人未提供名单，视为可与全市场交易对手进行交易。</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（五）基金托管人根据有关法律法规的规定及基金合同的约定，对基金投资中期票据进行监督。</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六）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七）基金托管人根据有关法律法规的规定及基金合同的约定，对基金资产净值计算、基金份额净值计算、应收资金到账、基金费用开支及收入确定、基金收益分配、相关信息披露、基金产品资料概要、基金清算报告、基金宣传推介材料中登载基金业绩表现数据等进行监督和核查。</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十）若基金托管人发现基金管理人依据交易程序已经生效的指令违反法律、行政法规和其他有关规定，或者违反基金合同约定的，应当立即通知基金管理人，由此造成的损失由基金管理人承担，基金托管人在履行其通知义务后，予以免责。</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B2B42">
      <w:pPr>
        <w:snapToGrid w:val="0"/>
        <w:spacing w:line="360" w:lineRule="auto"/>
        <w:ind w:firstLine="480"/>
        <w:rPr>
          <w:rFonts w:ascii="宋体" w:hAnsi="宋体"/>
          <w:sz w:val="24"/>
          <w:lang w:eastAsia="zh-CN"/>
        </w:rPr>
      </w:pPr>
    </w:p>
    <w:p w:rsidR="00AB2B42">
      <w:pPr>
        <w:pStyle w:val="Heading1"/>
        <w:numPr>
          <w:ilvl w:val="0"/>
          <w:numId w:val="22"/>
        </w:numPr>
        <w:spacing w:line="360" w:lineRule="auto"/>
        <w:jc w:val="center"/>
        <w:rPr>
          <w:rFonts w:ascii="宋体" w:hAnsi="宋体"/>
          <w:sz w:val="28"/>
          <w:szCs w:val="28"/>
          <w:lang w:eastAsia="zh-CN"/>
        </w:rPr>
      </w:pPr>
      <w:r>
        <w:rPr>
          <w:rFonts w:ascii="宋体" w:hAnsi="宋体"/>
          <w:sz w:val="24"/>
          <w:szCs w:val="24"/>
          <w:highlight w:val="white"/>
          <w:lang w:eastAsia="zh-CN"/>
        </w:rPr>
        <w:br w:type="page"/>
      </w:r>
      <w:bookmarkStart w:id="46" w:name="_Toc295832633"/>
      <w:bookmarkStart w:id="47" w:name="_Toc295832940"/>
      <w:bookmarkStart w:id="48" w:name="_Toc295833000"/>
      <w:bookmarkStart w:id="49" w:name="_Toc295833671"/>
      <w:bookmarkStart w:id="50" w:name="_Toc86223242"/>
      <w:bookmarkStart w:id="51" w:name="_Toc86225291"/>
      <w:bookmarkStart w:id="52" w:name="_Toc86649722"/>
      <w:bookmarkStart w:id="53" w:name="_Toc86726439"/>
      <w:bookmarkStart w:id="54" w:name="_Toc86727355"/>
      <w:bookmarkStart w:id="55" w:name="_Toc86737929"/>
      <w:bookmarkStart w:id="56" w:name="_Toc89163368"/>
      <w:bookmarkStart w:id="57" w:name="_Toc108512358"/>
      <w:bookmarkStart w:id="58" w:name="_Toc110761796"/>
      <w:bookmarkStart w:id="59" w:name="_Toc110765660"/>
      <w:bookmarkStart w:id="60" w:name="_Toc110830492"/>
      <w:bookmarkStart w:id="61" w:name="_Toc118212950"/>
      <w:bookmarkStart w:id="62" w:name="_Toc118774803"/>
      <w:bookmarkStart w:id="63" w:name="_Toc118972648"/>
      <w:bookmarkStart w:id="64" w:name="_Toc119402710"/>
      <w:bookmarkStart w:id="65" w:name="_Toc120435783"/>
      <w:bookmarkStart w:id="66" w:name="_Toc124325888"/>
      <w:bookmarkStart w:id="67" w:name="_Toc270669855"/>
      <w:bookmarkStart w:id="68" w:name="_Toc355859317"/>
      <w:bookmarkStart w:id="69" w:name="_Toc366835698"/>
      <w:bookmarkEnd w:id="46"/>
      <w:bookmarkEnd w:id="47"/>
      <w:bookmarkEnd w:id="48"/>
      <w:bookmarkEnd w:id="49"/>
      <w:r>
        <w:rPr>
          <w:rFonts w:ascii="宋体" w:hAnsi="宋体" w:hint="eastAsia"/>
          <w:sz w:val="28"/>
          <w:szCs w:val="28"/>
          <w:highlight w:val="white"/>
          <w:lang w:eastAsia="zh-CN"/>
        </w:rPr>
        <w:t>基金管理人对基金托管人的业务核查</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AB2B42">
      <w:pPr>
        <w:spacing w:line="360" w:lineRule="auto"/>
        <w:ind w:firstLine="482"/>
        <w:rPr>
          <w:rFonts w:ascii="宋体" w:hAnsi="宋体"/>
          <w:sz w:val="24"/>
          <w:lang w:eastAsia="zh-CN"/>
        </w:rPr>
      </w:pPr>
      <w:r>
        <w:rPr>
          <w:rFonts w:ascii="宋体" w:hAnsi="宋体" w:hint="eastAsia"/>
          <w:sz w:val="24"/>
          <w:highlight w:val="white"/>
          <w:lang w:eastAsia="zh-CN"/>
        </w:rPr>
        <w:t>（一）基金管理人对基金托管人履行托管职责情况进行核查，核查事项包括基金托管人安全保管基金财产、开设基金财产的托管账户和证券账户等投资所需账户、</w:t>
      </w:r>
      <w:r>
        <w:rPr>
          <w:rFonts w:hint="eastAsia"/>
          <w:spacing w:val="-4"/>
          <w:sz w:val="24"/>
          <w:highlight w:val="white"/>
          <w:lang w:eastAsia="zh-CN"/>
        </w:rPr>
        <w:t>协助提供开立股指期货业务相关账户及申请交易编码所需的基金托管人相关信息、</w:t>
      </w:r>
      <w:r>
        <w:rPr>
          <w:rFonts w:ascii="宋体" w:hAnsi="宋体" w:hint="eastAsia"/>
          <w:sz w:val="24"/>
          <w:highlight w:val="white"/>
          <w:lang w:eastAsia="zh-CN"/>
        </w:rPr>
        <w:t>复核基金管理人计算的基金资产净值和基金份额净值、根据基金管理人指令办理清算交收、相关信息披露和监督基金投资运作等行为。</w:t>
      </w:r>
    </w:p>
    <w:p w:rsidR="00AB2B42">
      <w:pPr>
        <w:spacing w:line="360" w:lineRule="auto"/>
        <w:ind w:firstLine="482"/>
        <w:rPr>
          <w:rFonts w:ascii="宋体" w:hAnsi="宋体"/>
          <w:sz w:val="24"/>
          <w:lang w:eastAsia="zh-CN"/>
        </w:rPr>
      </w:pPr>
      <w:r>
        <w:rPr>
          <w:rFonts w:ascii="宋体" w:hAnsi="宋体" w:hint="eastAsia"/>
          <w:sz w:val="24"/>
          <w:highlight w:val="white"/>
          <w:lang w:eastAsia="zh-CN"/>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B2B42">
      <w:pPr>
        <w:spacing w:line="360" w:lineRule="auto"/>
        <w:ind w:firstLine="482"/>
        <w:rPr>
          <w:rFonts w:ascii="宋体" w:hAnsi="宋体"/>
          <w:sz w:val="24"/>
          <w:lang w:eastAsia="zh-CN"/>
        </w:rPr>
      </w:pPr>
      <w:r>
        <w:rPr>
          <w:rFonts w:ascii="宋体" w:hAnsi="宋体" w:hint="eastAsia"/>
          <w:sz w:val="24"/>
          <w:highlight w:val="white"/>
          <w:lang w:eastAsia="zh-CN"/>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B2B42">
      <w:pPr>
        <w:pStyle w:val="Heading1"/>
        <w:numPr>
          <w:ilvl w:val="0"/>
          <w:numId w:val="22"/>
        </w:numPr>
        <w:spacing w:line="360" w:lineRule="auto"/>
        <w:jc w:val="center"/>
        <w:rPr>
          <w:rFonts w:ascii="宋体" w:hAnsi="宋体"/>
          <w:sz w:val="28"/>
          <w:szCs w:val="28"/>
        </w:rPr>
      </w:pPr>
      <w:r>
        <w:rPr>
          <w:rFonts w:ascii="宋体" w:hAnsi="宋体"/>
          <w:sz w:val="24"/>
          <w:szCs w:val="24"/>
          <w:highlight w:val="white"/>
          <w:lang w:eastAsia="zh-CN"/>
        </w:rPr>
        <w:br w:type="page"/>
      </w:r>
      <w:bookmarkStart w:id="70" w:name="_Toc295832635"/>
      <w:bookmarkStart w:id="71" w:name="_Toc295832942"/>
      <w:bookmarkStart w:id="72" w:name="_Toc295833002"/>
      <w:bookmarkStart w:id="73" w:name="_Toc295833673"/>
      <w:bookmarkStart w:id="74" w:name="_Toc84133786"/>
      <w:bookmarkStart w:id="75" w:name="_Toc84234388"/>
      <w:bookmarkStart w:id="76" w:name="_Toc84234435"/>
      <w:bookmarkStart w:id="77" w:name="_Toc86204789"/>
      <w:bookmarkStart w:id="78" w:name="_Toc86223243"/>
      <w:bookmarkStart w:id="79" w:name="_Toc86225292"/>
      <w:bookmarkStart w:id="80" w:name="_Toc86649723"/>
      <w:bookmarkStart w:id="81" w:name="_Toc86726440"/>
      <w:bookmarkStart w:id="82" w:name="_Toc86727356"/>
      <w:bookmarkStart w:id="83" w:name="_Toc86737930"/>
      <w:bookmarkStart w:id="84" w:name="_Toc89163369"/>
      <w:bookmarkStart w:id="85" w:name="_Toc108512359"/>
      <w:bookmarkStart w:id="86" w:name="_Toc110761797"/>
      <w:bookmarkStart w:id="87" w:name="_Toc110765661"/>
      <w:bookmarkStart w:id="88" w:name="_Toc110830493"/>
      <w:bookmarkStart w:id="89" w:name="_Toc118212951"/>
      <w:bookmarkStart w:id="90" w:name="_Toc118774804"/>
      <w:bookmarkStart w:id="91" w:name="_Toc118972649"/>
      <w:bookmarkStart w:id="92" w:name="_Toc119402711"/>
      <w:bookmarkStart w:id="93" w:name="_Toc120435784"/>
      <w:bookmarkStart w:id="94" w:name="_Toc124325889"/>
      <w:bookmarkStart w:id="95" w:name="_Toc270669856"/>
      <w:bookmarkStart w:id="96" w:name="_Toc355859318"/>
      <w:bookmarkStart w:id="97" w:name="_Toc366835699"/>
      <w:bookmarkEnd w:id="70"/>
      <w:bookmarkEnd w:id="71"/>
      <w:bookmarkEnd w:id="72"/>
      <w:bookmarkEnd w:id="73"/>
      <w:r>
        <w:rPr>
          <w:rFonts w:ascii="宋体" w:hAnsi="宋体" w:hint="eastAsia"/>
          <w:sz w:val="28"/>
          <w:szCs w:val="28"/>
          <w:highlight w:val="white"/>
        </w:rPr>
        <w:t>基金财产的保管</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AB2B42">
      <w:pPr>
        <w:spacing w:line="360" w:lineRule="auto"/>
        <w:ind w:firstLine="480"/>
        <w:rPr>
          <w:rFonts w:ascii="宋体" w:hAnsi="宋体"/>
          <w:sz w:val="24"/>
          <w:lang w:eastAsia="zh-CN"/>
        </w:rPr>
      </w:pPr>
      <w:r>
        <w:rPr>
          <w:rFonts w:ascii="宋体" w:hAnsi="宋体" w:hint="eastAsia"/>
          <w:sz w:val="24"/>
          <w:highlight w:val="white"/>
          <w:lang w:eastAsia="zh-CN"/>
        </w:rPr>
        <w:t>（一）基金财产保管的原则</w:t>
      </w:r>
    </w:p>
    <w:p w:rsidR="00AB2B42">
      <w:pPr>
        <w:numPr>
          <w:ilvl w:val="0"/>
          <w:numId w:val="1"/>
        </w:numPr>
        <w:spacing w:line="360" w:lineRule="auto"/>
        <w:ind w:left="0" w:firstLine="426"/>
        <w:rPr>
          <w:rFonts w:ascii="宋体" w:hAnsi="宋体"/>
          <w:sz w:val="24"/>
          <w:lang w:eastAsia="zh-CN"/>
        </w:rPr>
      </w:pPr>
      <w:r>
        <w:rPr>
          <w:rFonts w:ascii="宋体" w:hAnsi="宋体" w:hint="eastAsia"/>
          <w:sz w:val="24"/>
          <w:highlight w:val="white"/>
          <w:lang w:eastAsia="zh-CN"/>
        </w:rPr>
        <w:t>基金财产应独立于基金管理人、基金托管人和证券经纪机构的固有财产。</w:t>
      </w:r>
    </w:p>
    <w:p w:rsidR="00AB2B42">
      <w:pPr>
        <w:numPr>
          <w:ilvl w:val="0"/>
          <w:numId w:val="1"/>
        </w:numPr>
        <w:spacing w:line="360" w:lineRule="auto"/>
        <w:ind w:left="0" w:firstLine="426"/>
        <w:rPr>
          <w:rFonts w:ascii="宋体" w:hAnsi="宋体"/>
          <w:sz w:val="24"/>
          <w:lang w:eastAsia="zh-CN"/>
        </w:rPr>
      </w:pPr>
      <w:r>
        <w:rPr>
          <w:rFonts w:ascii="宋体" w:hAnsi="宋体" w:hint="eastAsia"/>
          <w:sz w:val="24"/>
          <w:highlight w:val="white"/>
          <w:lang w:eastAsia="zh-CN"/>
        </w:rPr>
        <w:t>基金托管人应安全保管基金财产。未经基金管理人依据合法程序作出的合法合规指令，基金托管人不得自行运用、处分、分配基金的任何财产。</w:t>
      </w:r>
    </w:p>
    <w:p w:rsidR="00AB2B42">
      <w:pPr>
        <w:numPr>
          <w:ilvl w:val="0"/>
          <w:numId w:val="1"/>
        </w:numPr>
        <w:spacing w:line="360" w:lineRule="auto"/>
        <w:ind w:left="0" w:firstLine="426"/>
        <w:rPr>
          <w:rFonts w:ascii="宋体" w:hAnsi="宋体"/>
          <w:sz w:val="24"/>
          <w:lang w:eastAsia="zh-CN"/>
        </w:rPr>
      </w:pPr>
      <w:r>
        <w:rPr>
          <w:rFonts w:ascii="宋体" w:hAnsi="宋体" w:hint="eastAsia"/>
          <w:sz w:val="24"/>
          <w:highlight w:val="white"/>
          <w:lang w:eastAsia="zh-CN"/>
        </w:rPr>
        <w:t>基金托管人按照规定开设基金财产的托管账户和证券账户</w:t>
      </w:r>
      <w:r>
        <w:rPr>
          <w:spacing w:val="-4"/>
          <w:sz w:val="24"/>
          <w:highlight w:val="white"/>
          <w:lang w:eastAsia="zh-CN"/>
        </w:rPr>
        <w:t>等投资所需账户</w:t>
      </w:r>
      <w:r>
        <w:rPr>
          <w:rFonts w:hint="eastAsia"/>
          <w:spacing w:val="-4"/>
          <w:sz w:val="24"/>
          <w:highlight w:val="white"/>
          <w:lang w:eastAsia="zh-CN"/>
        </w:rPr>
        <w:t>，并协助提供开立股指期货业务相关账户及申请交易编码所需的基金托管人相关信息</w:t>
      </w:r>
      <w:r>
        <w:rPr>
          <w:rFonts w:ascii="宋体" w:hAnsi="宋体" w:hint="eastAsia"/>
          <w:sz w:val="24"/>
          <w:highlight w:val="white"/>
          <w:lang w:eastAsia="zh-CN"/>
        </w:rPr>
        <w:t>。</w:t>
      </w:r>
    </w:p>
    <w:p w:rsidR="00AB2B42">
      <w:pPr>
        <w:numPr>
          <w:ilvl w:val="0"/>
          <w:numId w:val="1"/>
        </w:numPr>
        <w:snapToGrid w:val="0"/>
        <w:spacing w:line="360" w:lineRule="auto"/>
        <w:ind w:left="0" w:firstLine="426"/>
        <w:rPr>
          <w:rFonts w:ascii="宋体" w:hAnsi="宋体"/>
          <w:sz w:val="24"/>
          <w:lang w:eastAsia="zh-CN"/>
        </w:rPr>
      </w:pPr>
      <w:r>
        <w:rPr>
          <w:rFonts w:ascii="宋体" w:hAnsi="宋体" w:hint="eastAsia"/>
          <w:sz w:val="24"/>
          <w:highlight w:val="white"/>
          <w:lang w:eastAsia="zh-CN"/>
        </w:rPr>
        <w:t>基金托管人对所托管的不同基金财产分别设置账户，</w:t>
      </w:r>
      <w:r>
        <w:rPr>
          <w:rFonts w:ascii="宋体" w:hAnsi="宋体" w:hint="eastAsia"/>
          <w:bCs/>
          <w:sz w:val="24"/>
          <w:highlight w:val="white"/>
          <w:lang w:eastAsia="zh-CN"/>
        </w:rPr>
        <w:t>独立核算，分账管理，</w:t>
      </w:r>
      <w:r>
        <w:rPr>
          <w:rFonts w:ascii="宋体" w:hAnsi="宋体" w:hint="eastAsia"/>
          <w:sz w:val="24"/>
          <w:highlight w:val="white"/>
          <w:lang w:eastAsia="zh-CN"/>
        </w:rPr>
        <w:t>确保基金财产的完整与独立。</w:t>
      </w:r>
    </w:p>
    <w:p w:rsidR="00AB2B42">
      <w:pPr>
        <w:numPr>
          <w:ilvl w:val="0"/>
          <w:numId w:val="1"/>
        </w:numPr>
        <w:spacing w:line="360" w:lineRule="auto"/>
        <w:ind w:left="0" w:firstLine="426"/>
        <w:rPr>
          <w:rFonts w:ascii="宋体" w:hAnsi="宋体"/>
          <w:sz w:val="24"/>
          <w:lang w:eastAsia="zh-CN"/>
        </w:rPr>
      </w:pPr>
      <w:r>
        <w:rPr>
          <w:rFonts w:ascii="宋体" w:hAnsi="宋体" w:hint="eastAsia"/>
          <w:sz w:val="24"/>
          <w:highlight w:val="white"/>
          <w:lang w:eastAsia="zh-CN"/>
        </w:rPr>
        <w:t>基金托管人根据基金管理人的指令，按照基金合同和本协议的约定保管基金财产，如有特殊情况双方可另行协商解决。</w:t>
      </w:r>
    </w:p>
    <w:p w:rsidR="00AB2B42">
      <w:pPr>
        <w:numPr>
          <w:ilvl w:val="0"/>
          <w:numId w:val="1"/>
        </w:numPr>
        <w:spacing w:line="360" w:lineRule="auto"/>
        <w:ind w:left="0" w:firstLine="426"/>
        <w:rPr>
          <w:rFonts w:ascii="宋体" w:hAnsi="宋体"/>
          <w:sz w:val="24"/>
          <w:lang w:eastAsia="zh-CN"/>
        </w:rPr>
      </w:pPr>
      <w:r>
        <w:rPr>
          <w:rFonts w:ascii="宋体" w:hAnsi="宋体" w:hint="eastAsia"/>
          <w:sz w:val="24"/>
          <w:highlight w:val="white"/>
          <w:lang w:eastAsia="zh-CN"/>
        </w:rPr>
        <w:t>对于因为基金认（申）购、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基金管理人的追偿行为应予以必要的协助与配合，但对基金财产的损失不承担任何责任。</w:t>
      </w:r>
    </w:p>
    <w:p w:rsidR="00AB2B42">
      <w:pPr>
        <w:numPr>
          <w:ilvl w:val="0"/>
          <w:numId w:val="1"/>
        </w:numPr>
        <w:spacing w:line="360" w:lineRule="auto"/>
        <w:ind w:left="0" w:firstLine="426"/>
        <w:rPr>
          <w:rFonts w:ascii="宋体" w:hAnsi="宋体"/>
          <w:sz w:val="24"/>
          <w:lang w:eastAsia="zh-CN"/>
        </w:rPr>
      </w:pPr>
      <w:r>
        <w:rPr>
          <w:rFonts w:ascii="宋体" w:hAnsi="宋体" w:hint="eastAsia"/>
          <w:sz w:val="24"/>
          <w:highlight w:val="white"/>
          <w:lang w:eastAsia="zh-CN"/>
        </w:rPr>
        <w:t>除依据法律法规和基金合同的规定外，基金托管人不得委托第三人托管基金财产。</w:t>
      </w:r>
    </w:p>
    <w:p w:rsidR="00AB2B42">
      <w:pPr>
        <w:spacing w:line="360" w:lineRule="auto"/>
        <w:ind w:firstLine="480"/>
        <w:rPr>
          <w:rFonts w:ascii="宋体" w:hAnsi="宋体"/>
          <w:sz w:val="24"/>
          <w:lang w:eastAsia="zh-CN"/>
        </w:rPr>
      </w:pPr>
      <w:r>
        <w:rPr>
          <w:rFonts w:ascii="宋体" w:hAnsi="宋体" w:hint="eastAsia"/>
          <w:sz w:val="24"/>
          <w:highlight w:val="white"/>
          <w:lang w:eastAsia="zh-CN"/>
        </w:rPr>
        <w:t>（二）基金募集期间及募集资金的验资</w:t>
      </w:r>
    </w:p>
    <w:p w:rsidR="00AB2B42">
      <w:pPr>
        <w:numPr>
          <w:ilvl w:val="0"/>
          <w:numId w:val="2"/>
        </w:numPr>
        <w:spacing w:line="360" w:lineRule="auto"/>
        <w:ind w:left="0" w:firstLine="426"/>
        <w:rPr>
          <w:rFonts w:ascii="宋体" w:hAnsi="宋体"/>
          <w:sz w:val="24"/>
          <w:lang w:eastAsia="zh-CN"/>
        </w:rPr>
      </w:pPr>
      <w:r>
        <w:rPr>
          <w:rFonts w:ascii="宋体" w:hAnsi="宋体" w:hint="eastAsia"/>
          <w:sz w:val="24"/>
          <w:highlight w:val="white"/>
          <w:lang w:eastAsia="zh-CN"/>
        </w:rPr>
        <w:t>基金募集期间募集的资金应存于</w:t>
      </w:r>
      <w:r>
        <w:rPr>
          <w:rFonts w:ascii="宋体" w:hAnsi="宋体"/>
          <w:sz w:val="24"/>
          <w:highlight w:val="white"/>
          <w:lang w:eastAsia="zh-CN"/>
        </w:rPr>
        <w:t>专门账户</w:t>
      </w:r>
      <w:r>
        <w:rPr>
          <w:rFonts w:ascii="宋体" w:hAnsi="宋体" w:hint="eastAsia"/>
          <w:sz w:val="24"/>
          <w:highlight w:val="white"/>
          <w:lang w:eastAsia="zh-CN"/>
        </w:rPr>
        <w:t>。</w:t>
      </w:r>
    </w:p>
    <w:p w:rsidR="00AB2B42">
      <w:pPr>
        <w:numPr>
          <w:ilvl w:val="0"/>
          <w:numId w:val="2"/>
        </w:numPr>
        <w:spacing w:line="360" w:lineRule="auto"/>
        <w:ind w:left="0" w:firstLine="426"/>
        <w:rPr>
          <w:rFonts w:ascii="宋体" w:hAnsi="宋体"/>
          <w:sz w:val="24"/>
          <w:lang w:eastAsia="zh-CN"/>
        </w:rPr>
      </w:pPr>
      <w:r>
        <w:rPr>
          <w:rFonts w:ascii="宋体" w:hAnsi="宋体" w:hint="eastAsia"/>
          <w:sz w:val="24"/>
          <w:highlight w:val="white"/>
          <w:lang w:eastAsia="zh-CN"/>
        </w:rPr>
        <w:t>基金募集期满或基金停止募集时，募集的基金份额总额、基金募集金额、基金份额持有人人数符合《基金法》、《运作办法》等有关规定后，属于基金财产的全部资金应划入基金托管人开立的基金</w:t>
      </w:r>
      <w:r>
        <w:rPr>
          <w:rFonts w:ascii="宋体" w:hAnsi="宋体"/>
          <w:sz w:val="24"/>
          <w:highlight w:val="white"/>
          <w:lang w:eastAsia="zh-CN"/>
        </w:rPr>
        <w:t>托管</w:t>
      </w:r>
      <w:r>
        <w:rPr>
          <w:rFonts w:ascii="宋体" w:hAnsi="宋体" w:hint="eastAsia"/>
          <w:sz w:val="24"/>
          <w:highlight w:val="white"/>
          <w:lang w:eastAsia="zh-CN"/>
        </w:rPr>
        <w:t>账户，同时在规定时间内，聘请符合《证券法》规定的会计师事务所进行验资，出具验资报告。出具的验资报告由参加验资的2名或2名以上中国注册会计师签字方为有效。</w:t>
      </w:r>
    </w:p>
    <w:p w:rsidR="00AB2B42">
      <w:pPr>
        <w:numPr>
          <w:ilvl w:val="0"/>
          <w:numId w:val="2"/>
        </w:numPr>
        <w:spacing w:line="360" w:lineRule="auto"/>
        <w:ind w:left="0" w:firstLine="426"/>
        <w:rPr>
          <w:rFonts w:ascii="宋体" w:hAnsi="宋体"/>
          <w:sz w:val="24"/>
          <w:lang w:eastAsia="zh-CN"/>
        </w:rPr>
      </w:pPr>
      <w:r>
        <w:rPr>
          <w:rFonts w:ascii="宋体" w:hAnsi="宋体" w:hint="eastAsia"/>
          <w:sz w:val="24"/>
          <w:highlight w:val="white"/>
          <w:lang w:eastAsia="zh-CN"/>
        </w:rPr>
        <w:t>若基金募集期限届满，未能达到基金合同生效的条件，由基金管理人按规定办理退款等事宜，基金托管人应提供充分协助。</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（三）基金银行账户（也可称为“托管账户”）的开立和管理</w:t>
      </w:r>
    </w:p>
    <w:p w:rsidR="00AB2B42">
      <w:pPr>
        <w:numPr>
          <w:ilvl w:val="0"/>
          <w:numId w:val="3"/>
        </w:numPr>
        <w:spacing w:line="360" w:lineRule="auto"/>
        <w:ind w:left="0" w:firstLine="426"/>
        <w:rPr>
          <w:rFonts w:ascii="宋体" w:hAnsi="宋体"/>
          <w:sz w:val="24"/>
          <w:lang w:eastAsia="zh-CN"/>
        </w:rPr>
      </w:pPr>
      <w:r>
        <w:rPr>
          <w:rFonts w:ascii="宋体" w:hAnsi="宋体" w:hint="eastAsia"/>
          <w:sz w:val="24"/>
          <w:highlight w:val="white"/>
          <w:lang w:eastAsia="zh-CN"/>
        </w:rPr>
        <w:t>基金托管人应负责本基金的银行账户的开设和管理。</w:t>
      </w:r>
    </w:p>
    <w:p w:rsidR="00AB2B42">
      <w:pPr>
        <w:numPr>
          <w:ilvl w:val="0"/>
          <w:numId w:val="3"/>
        </w:numPr>
        <w:spacing w:line="360" w:lineRule="auto"/>
        <w:ind w:left="0" w:firstLine="426"/>
        <w:rPr>
          <w:rFonts w:ascii="宋体" w:hAnsi="宋体"/>
          <w:sz w:val="24"/>
          <w:lang w:eastAsia="zh-CN"/>
        </w:rPr>
      </w:pPr>
      <w:r>
        <w:rPr>
          <w:rFonts w:ascii="宋体" w:hAnsi="宋体" w:hint="eastAsia"/>
          <w:sz w:val="24"/>
          <w:highlight w:val="white"/>
          <w:lang w:eastAsia="zh-CN"/>
        </w:rPr>
        <w:t>基金托管人根据有关规定以本基金的名义在其营业机构开立银行账户，并根据基金管理人合法合规的指令办理资金收付。基金管理人授权基金托管人办理本基金银行账户的开立、销户、变更工作，本基金银行账户无需预留印鉴，具体按基金托管人要求办理。基金银行账户的开立和使用，限于满足开展本基金业务的需要。基金托管人和基金管理人不得假借本基金的名义开立任何其他银行账户；亦不得使用基金的任何账户进行本基金业务以外的活动。</w:t>
      </w:r>
    </w:p>
    <w:p w:rsidR="00AB2B42">
      <w:pPr>
        <w:numPr>
          <w:ilvl w:val="0"/>
          <w:numId w:val="3"/>
        </w:numPr>
        <w:spacing w:line="360" w:lineRule="auto"/>
        <w:ind w:left="0" w:firstLine="426"/>
        <w:rPr>
          <w:rFonts w:ascii="宋体" w:hAnsi="宋体"/>
          <w:sz w:val="24"/>
          <w:lang w:eastAsia="zh-CN"/>
        </w:rPr>
      </w:pPr>
      <w:r>
        <w:rPr>
          <w:rFonts w:ascii="宋体" w:hAnsi="宋体" w:hint="eastAsia"/>
          <w:sz w:val="24"/>
          <w:highlight w:val="white"/>
          <w:lang w:eastAsia="zh-CN"/>
        </w:rPr>
        <w:t>基金银行账户的开立和管理应符合银行业监督管理机构的有关规定。</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（四）基金证券账户和证券资金账户的开立和管理</w:t>
      </w:r>
    </w:p>
    <w:p w:rsidR="00AB2B42">
      <w:pPr>
        <w:numPr>
          <w:ilvl w:val="0"/>
          <w:numId w:val="23"/>
        </w:numPr>
        <w:snapToGrid w:val="0"/>
        <w:spacing w:line="360" w:lineRule="auto"/>
        <w:ind w:left="0" w:firstLine="480"/>
        <w:rPr>
          <w:rFonts w:ascii="宋体" w:hAnsi="宋体"/>
          <w:sz w:val="24"/>
          <w:lang w:eastAsia="zh-CN"/>
        </w:rPr>
      </w:pPr>
      <w:r>
        <w:rPr>
          <w:rFonts w:ascii="宋体" w:hAnsi="宋体" w:hint="eastAsia"/>
          <w:sz w:val="24"/>
          <w:highlight w:val="white"/>
          <w:lang w:eastAsia="zh-CN"/>
        </w:rPr>
        <w:t>基金托管人在中国证券登记结算有限责任公司为基金开立基金托管人与本基金联名的证券账户。</w:t>
      </w:r>
    </w:p>
    <w:p w:rsidR="00AB2B42">
      <w:pPr>
        <w:numPr>
          <w:ilvl w:val="0"/>
          <w:numId w:val="23"/>
        </w:numPr>
        <w:snapToGrid w:val="0"/>
        <w:spacing w:line="360" w:lineRule="auto"/>
        <w:ind w:left="0" w:firstLine="480"/>
        <w:rPr>
          <w:rFonts w:ascii="宋体" w:hAnsi="宋体"/>
          <w:sz w:val="24"/>
          <w:lang w:eastAsia="zh-CN"/>
        </w:rPr>
      </w:pPr>
      <w:r>
        <w:rPr>
          <w:rFonts w:ascii="宋体" w:hAnsi="宋体" w:hint="eastAsia"/>
          <w:sz w:val="24"/>
          <w:highlight w:val="white"/>
          <w:lang w:eastAsia="zh-CN"/>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AB2B42">
      <w:pPr>
        <w:numPr>
          <w:ilvl w:val="0"/>
          <w:numId w:val="23"/>
        </w:numPr>
        <w:snapToGrid w:val="0"/>
        <w:spacing w:line="360" w:lineRule="auto"/>
        <w:ind w:left="0" w:firstLine="480"/>
        <w:rPr>
          <w:rFonts w:ascii="宋体" w:hAnsi="宋体"/>
          <w:sz w:val="24"/>
          <w:lang w:eastAsia="zh-CN"/>
        </w:rPr>
      </w:pPr>
      <w:r>
        <w:rPr>
          <w:rFonts w:ascii="宋体" w:hAnsi="宋体" w:hint="eastAsia"/>
          <w:sz w:val="24"/>
          <w:highlight w:val="white"/>
          <w:lang w:eastAsia="zh-CN"/>
        </w:rPr>
        <w:t>基金管理人以基金名义在基金管理人选择的证券经纪机构营业网点开立证券资金账户。证券经纪机构根据相关法律法规、规范性文件为本基金开立相关资金账户，并按照该证券经纪机构开户的流程和要求与基金管理人签订相关协议。</w:t>
      </w:r>
    </w:p>
    <w:p w:rsidR="00AB2B42">
      <w:pPr>
        <w:numPr>
          <w:ilvl w:val="0"/>
          <w:numId w:val="23"/>
        </w:numPr>
        <w:snapToGrid w:val="0"/>
        <w:spacing w:line="360" w:lineRule="auto"/>
        <w:ind w:left="0" w:firstLine="480"/>
        <w:rPr>
          <w:rFonts w:ascii="宋体" w:hAnsi="宋体"/>
          <w:sz w:val="24"/>
          <w:lang w:eastAsia="zh-CN"/>
        </w:rPr>
      </w:pPr>
      <w:r>
        <w:rPr>
          <w:rFonts w:ascii="宋体" w:hAnsi="宋体" w:hint="eastAsia"/>
          <w:sz w:val="24"/>
          <w:highlight w:val="white"/>
          <w:lang w:eastAsia="zh-CN"/>
        </w:rPr>
        <w:t>交易所证券交易资金采用第三方存管模式，即用于证券交易结算资金全额存放在基金管理人为基金开立的证券资金账户中，场内的证券交易资金清算由基金管理人所选择的证券经纪机构负责。基金托管人不负责办理场内的证券交易资金清算，也不负责保管证券资金账户内存放的资金。</w:t>
      </w:r>
    </w:p>
    <w:p w:rsidR="00AB2B42">
      <w:pPr>
        <w:numPr>
          <w:ilvl w:val="0"/>
          <w:numId w:val="23"/>
        </w:numPr>
        <w:snapToGrid w:val="0"/>
        <w:spacing w:line="360" w:lineRule="auto"/>
        <w:ind w:left="0" w:firstLine="480"/>
        <w:rPr>
          <w:rFonts w:ascii="宋体" w:hAnsi="宋体"/>
          <w:sz w:val="24"/>
          <w:lang w:eastAsia="zh-CN"/>
        </w:rPr>
      </w:pPr>
      <w:r>
        <w:rPr>
          <w:rFonts w:ascii="宋体" w:hAnsi="宋体" w:hint="eastAsia"/>
          <w:sz w:val="24"/>
          <w:highlight w:val="white"/>
          <w:lang w:eastAsia="zh-CN"/>
        </w:rPr>
        <w:t>基金托管人与基金管理人应依据相关期货交易所或期货公司的相关规定开立和管理期货结算账户。</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（五）债券托管</w:t>
      </w:r>
      <w:r>
        <w:rPr>
          <w:rFonts w:ascii="宋体" w:hAnsi="宋体"/>
          <w:sz w:val="24"/>
          <w:highlight w:val="white"/>
          <w:lang w:eastAsia="zh-CN"/>
        </w:rPr>
        <w:t>账</w:t>
      </w:r>
      <w:r>
        <w:rPr>
          <w:rFonts w:ascii="宋体" w:hAnsi="宋体" w:hint="eastAsia"/>
          <w:sz w:val="24"/>
          <w:highlight w:val="white"/>
          <w:lang w:eastAsia="zh-CN"/>
        </w:rPr>
        <w:t>户的开设和管理</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合同生效后，基金托管人根据中国人民银行、中央国债登记结算有限责任公司的有关规定，在中央国债登记结算有限责任公司、银行间清算所股份有限公司根据有关规定以本基金的名义为基金开立债券托管账户，并代表本基金进行银行间市场债券的结算。基金管理人代表本基金签订全国银行间债券市场债券回购主协议。</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（六）其他账户的开立和管理</w:t>
      </w:r>
    </w:p>
    <w:p w:rsidR="00AB2B42">
      <w:pPr>
        <w:numPr>
          <w:ilvl w:val="0"/>
          <w:numId w:val="4"/>
        </w:numPr>
        <w:spacing w:line="360" w:lineRule="auto"/>
        <w:ind w:left="0" w:firstLine="426"/>
        <w:rPr>
          <w:rFonts w:ascii="宋体" w:hAnsi="宋体"/>
          <w:sz w:val="24"/>
          <w:lang w:eastAsia="zh-CN"/>
        </w:rPr>
      </w:pPr>
      <w:r>
        <w:rPr>
          <w:rFonts w:ascii="宋体" w:hAnsi="宋体" w:hint="eastAsia"/>
          <w:sz w:val="24"/>
          <w:highlight w:val="white"/>
          <w:lang w:eastAsia="zh-CN"/>
        </w:rPr>
        <w:t>因业务发展需要而开立的其他账户，可以根据法律法规和基金合同的规定开立，在基金管理人和基金托管人商议后由基金托管人负责开立。新账户按有关规定使用并管理。</w:t>
      </w:r>
    </w:p>
    <w:p w:rsidR="00AB2B42">
      <w:pPr>
        <w:numPr>
          <w:ilvl w:val="0"/>
          <w:numId w:val="4"/>
        </w:numPr>
        <w:spacing w:line="360" w:lineRule="auto"/>
        <w:ind w:left="0" w:firstLine="426"/>
        <w:rPr>
          <w:rFonts w:ascii="宋体" w:hAnsi="宋体"/>
          <w:sz w:val="24"/>
          <w:lang w:eastAsia="zh-CN"/>
        </w:rPr>
      </w:pPr>
      <w:r>
        <w:rPr>
          <w:rFonts w:ascii="宋体" w:hAnsi="宋体" w:hint="eastAsia"/>
          <w:sz w:val="24"/>
          <w:highlight w:val="white"/>
          <w:lang w:eastAsia="zh-CN"/>
        </w:rPr>
        <w:t>法律法规等有关规定对相关账户的开立和管理另有规定的，从其规定办理。</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（七）基金财产投资的有关有价凭证等的保管</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财产投资的有关实物证券等有价凭证由基金托管人存放于基金托管人的保管库，也可存入中央国债登记结算有限责任公司、银行间市场清算所股份有限公司、中国证券登记结算有限责任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（八）与基金财产有关的重大合同的保管</w:t>
      </w:r>
    </w:p>
    <w:p w:rsidR="00AB2B42">
      <w:pPr>
        <w:spacing w:line="360" w:lineRule="auto"/>
        <w:ind w:firstLine="480" w:firstLineChars="200"/>
        <w:rPr>
          <w:rFonts w:ascii="宋体" w:hAnsi="宋体"/>
          <w:sz w:val="24"/>
        </w:rPr>
      </w:pPr>
      <w:r>
        <w:rPr>
          <w:rFonts w:ascii="宋体" w:hAnsi="宋体" w:hint="eastAsia"/>
          <w:sz w:val="24"/>
          <w:highlight w:val="white"/>
          <w:lang w:eastAsia="zh-CN"/>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w:t>
      </w:r>
      <w:r>
        <w:rPr>
          <w:rFonts w:ascii="宋体" w:hAnsi="宋体" w:hint="eastAsia"/>
          <w:sz w:val="24"/>
          <w:highlight w:val="white"/>
        </w:rPr>
        <w:t>重大合同的保管期限为基金合同终止后20年。</w:t>
      </w:r>
    </w:p>
    <w:p w:rsidR="00AB2B42">
      <w:pPr>
        <w:pStyle w:val="Heading1"/>
        <w:numPr>
          <w:ilvl w:val="0"/>
          <w:numId w:val="22"/>
        </w:numPr>
        <w:spacing w:line="360" w:lineRule="auto"/>
        <w:jc w:val="center"/>
        <w:rPr>
          <w:rFonts w:ascii="宋体" w:hAnsi="宋体"/>
          <w:sz w:val="28"/>
          <w:szCs w:val="28"/>
          <w:lang w:eastAsia="zh-CN"/>
        </w:rPr>
      </w:pPr>
      <w:bookmarkStart w:id="98" w:name="_Toc295832637"/>
      <w:bookmarkStart w:id="99" w:name="_Toc295832944"/>
      <w:bookmarkStart w:id="100" w:name="_Toc295833004"/>
      <w:bookmarkStart w:id="101" w:name="_Toc295833675"/>
      <w:bookmarkStart w:id="102" w:name="_Toc295832638"/>
      <w:bookmarkStart w:id="103" w:name="_Toc295832945"/>
      <w:bookmarkStart w:id="104" w:name="_Toc295833005"/>
      <w:bookmarkStart w:id="105" w:name="_Toc295833676"/>
      <w:bookmarkStart w:id="106" w:name="_Toc295832639"/>
      <w:bookmarkStart w:id="107" w:name="_Toc295832946"/>
      <w:bookmarkStart w:id="108" w:name="_Toc295833006"/>
      <w:bookmarkStart w:id="109" w:name="_Toc295833677"/>
      <w:bookmarkEnd w:id="98"/>
      <w:bookmarkEnd w:id="99"/>
      <w:bookmarkEnd w:id="100"/>
      <w:bookmarkEnd w:id="101"/>
      <w:bookmarkEnd w:id="102"/>
      <w:bookmarkEnd w:id="103"/>
      <w:bookmarkEnd w:id="104"/>
      <w:bookmarkEnd w:id="105"/>
      <w:bookmarkEnd w:id="106"/>
      <w:bookmarkEnd w:id="107"/>
      <w:bookmarkEnd w:id="108"/>
      <w:bookmarkEnd w:id="109"/>
      <w:r>
        <w:rPr>
          <w:rFonts w:ascii="宋体" w:hAnsi="宋体"/>
          <w:sz w:val="24"/>
          <w:szCs w:val="24"/>
          <w:highlight w:val="white"/>
          <w:lang w:eastAsia="zh-CN"/>
        </w:rPr>
        <w:br w:type="page"/>
      </w:r>
      <w:bookmarkStart w:id="110" w:name="_Toc295832640"/>
      <w:bookmarkStart w:id="111" w:name="_Toc295832947"/>
      <w:bookmarkStart w:id="112" w:name="_Toc295833007"/>
      <w:bookmarkStart w:id="113" w:name="_Toc295833678"/>
      <w:bookmarkStart w:id="114" w:name="_Toc84133787"/>
      <w:bookmarkStart w:id="115" w:name="_Toc84234389"/>
      <w:bookmarkStart w:id="116" w:name="_Toc84234436"/>
      <w:bookmarkStart w:id="117" w:name="_Toc86204790"/>
      <w:bookmarkStart w:id="118" w:name="_Toc86223244"/>
      <w:bookmarkStart w:id="119" w:name="_Toc86225293"/>
      <w:bookmarkStart w:id="120" w:name="_Toc86649724"/>
      <w:bookmarkStart w:id="121" w:name="_Toc86726441"/>
      <w:bookmarkStart w:id="122" w:name="_Toc86727357"/>
      <w:bookmarkStart w:id="123" w:name="_Toc86737931"/>
      <w:bookmarkStart w:id="124" w:name="_Toc89163370"/>
      <w:bookmarkStart w:id="125" w:name="_Toc108512360"/>
      <w:bookmarkStart w:id="126" w:name="_Toc110761798"/>
      <w:bookmarkStart w:id="127" w:name="_Toc110765662"/>
      <w:bookmarkStart w:id="128" w:name="_Toc110830494"/>
      <w:bookmarkStart w:id="129" w:name="_Toc118212952"/>
      <w:bookmarkStart w:id="130" w:name="_Toc118774805"/>
      <w:bookmarkStart w:id="131" w:name="_Toc118972650"/>
      <w:bookmarkStart w:id="132" w:name="_Toc119402712"/>
      <w:bookmarkStart w:id="133" w:name="_Toc120435785"/>
      <w:bookmarkStart w:id="134" w:name="_Toc124325890"/>
      <w:bookmarkStart w:id="135" w:name="_Toc270669857"/>
      <w:bookmarkStart w:id="136" w:name="_Toc355859319"/>
      <w:bookmarkStart w:id="137" w:name="_Toc366835700"/>
      <w:bookmarkEnd w:id="110"/>
      <w:bookmarkEnd w:id="111"/>
      <w:bookmarkEnd w:id="112"/>
      <w:bookmarkEnd w:id="113"/>
      <w:r>
        <w:rPr>
          <w:rFonts w:ascii="宋体" w:hAnsi="宋体" w:hint="eastAsia"/>
          <w:sz w:val="28"/>
          <w:szCs w:val="28"/>
          <w:highlight w:val="white"/>
          <w:lang w:eastAsia="zh-CN"/>
        </w:rPr>
        <w:t>指令的发送、确认及执行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AB2B42">
      <w:pPr>
        <w:spacing w:line="360" w:lineRule="auto"/>
        <w:ind w:firstLine="480"/>
        <w:rPr>
          <w:rFonts w:ascii="宋体" w:hAnsi="宋体"/>
          <w:sz w:val="24"/>
          <w:lang w:eastAsia="zh-CN"/>
        </w:rPr>
      </w:pPr>
      <w:r>
        <w:rPr>
          <w:rFonts w:ascii="宋体" w:hAnsi="宋体" w:hint="eastAsia"/>
          <w:sz w:val="24"/>
          <w:highlight w:val="white"/>
          <w:lang w:eastAsia="zh-CN"/>
        </w:rPr>
        <w:t>基金管理人在运用基金财产时向基金托管人发送资金划拨及其他款项付款指令，基金托管人执行基金管理人的指令、办理基金名下的资金往来等有关事项。</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（一）基金管理人对发送指令人员的书面授权</w:t>
      </w:r>
    </w:p>
    <w:p w:rsidR="00AB2B42">
      <w:pPr>
        <w:numPr>
          <w:ilvl w:val="0"/>
          <w:numId w:val="5"/>
        </w:numPr>
        <w:spacing w:line="360" w:lineRule="auto"/>
        <w:ind w:left="0" w:firstLine="426"/>
        <w:rPr>
          <w:rFonts w:ascii="宋体" w:hAnsi="宋体"/>
          <w:sz w:val="24"/>
          <w:lang w:eastAsia="zh-CN"/>
        </w:rPr>
      </w:pPr>
      <w:r>
        <w:rPr>
          <w:rFonts w:ascii="宋体" w:hAnsi="宋体" w:hint="eastAsia"/>
          <w:sz w:val="24"/>
          <w:highlight w:val="white"/>
          <w:lang w:eastAsia="zh-CN"/>
        </w:rPr>
        <w:t>基金管理人应指定专人向基金托管人发送指令。</w:t>
      </w:r>
    </w:p>
    <w:p w:rsidR="00AB2B42">
      <w:pPr>
        <w:numPr>
          <w:ilvl w:val="0"/>
          <w:numId w:val="5"/>
        </w:numPr>
        <w:spacing w:line="360" w:lineRule="auto"/>
        <w:ind w:left="0" w:firstLine="426"/>
        <w:rPr>
          <w:rFonts w:ascii="宋体" w:hAnsi="宋体"/>
          <w:sz w:val="24"/>
          <w:lang w:eastAsia="zh-CN"/>
        </w:rPr>
      </w:pPr>
      <w:r>
        <w:rPr>
          <w:rFonts w:ascii="宋体" w:hAnsi="宋体" w:hint="eastAsia"/>
          <w:sz w:val="24"/>
          <w:highlight w:val="white"/>
          <w:lang w:eastAsia="zh-CN"/>
        </w:rPr>
        <w:t>基金管理人应于本基金成立前三个工作日内，向基金托管人提供书面授权文件，该文件应加盖公章并由法定代表人或其授权代表签署，若由授权代表签署，还应附上法定代表人的授权委托书。文件内容包括被授权人名单、预留印鉴及被授权人签字样本，授权文件应注明被授权人相应的权限。</w:t>
      </w:r>
    </w:p>
    <w:p w:rsidR="00AB2B42">
      <w:pPr>
        <w:numPr>
          <w:ilvl w:val="0"/>
          <w:numId w:val="5"/>
        </w:numPr>
        <w:spacing w:line="360" w:lineRule="auto"/>
        <w:ind w:left="0" w:firstLine="426"/>
        <w:rPr>
          <w:rFonts w:ascii="宋体" w:hAnsi="宋体"/>
          <w:sz w:val="24"/>
          <w:lang w:eastAsia="zh-CN"/>
        </w:rPr>
      </w:pPr>
      <w:r>
        <w:rPr>
          <w:rFonts w:ascii="宋体" w:hAnsi="宋体" w:hint="eastAsia"/>
          <w:sz w:val="24"/>
          <w:highlight w:val="white"/>
          <w:lang w:eastAsia="zh-CN"/>
        </w:rPr>
        <w:t>授权文件于载明的生效日期生效。授权文件中载明的具体生效时间不得早于基金托管人收到授权文件并经电话确认的时点。如早于，则以基金托管人收到授权文件的时间为生效时间。</w:t>
      </w:r>
    </w:p>
    <w:p w:rsidR="00AB2B42">
      <w:pPr>
        <w:numPr>
          <w:ilvl w:val="0"/>
          <w:numId w:val="5"/>
        </w:numPr>
        <w:spacing w:line="360" w:lineRule="auto"/>
        <w:ind w:left="0" w:firstLine="426"/>
        <w:rPr>
          <w:rFonts w:ascii="宋体" w:hAnsi="宋体"/>
          <w:sz w:val="24"/>
          <w:lang w:eastAsia="zh-CN"/>
        </w:rPr>
      </w:pPr>
      <w:r>
        <w:rPr>
          <w:rFonts w:ascii="宋体" w:hAnsi="宋体" w:hint="eastAsia"/>
          <w:sz w:val="24"/>
          <w:highlight w:val="white"/>
          <w:lang w:eastAsia="zh-CN"/>
        </w:rPr>
        <w:t>基金管理人和基金托管人对授权文件负有保密义务，其内容不得向被授权人及相关操作人员以外的任何人泄漏。但法律法规规定或有权机关要求的除外。</w:t>
      </w:r>
    </w:p>
    <w:p w:rsidR="00AB2B42">
      <w:pPr>
        <w:spacing w:line="360" w:lineRule="auto"/>
        <w:ind w:firstLine="480"/>
        <w:rPr>
          <w:rFonts w:ascii="宋体" w:hAnsi="宋体"/>
          <w:sz w:val="24"/>
        </w:rPr>
      </w:pPr>
      <w:r>
        <w:rPr>
          <w:rFonts w:ascii="宋体" w:hAnsi="宋体" w:hint="eastAsia"/>
          <w:sz w:val="24"/>
          <w:highlight w:val="white"/>
        </w:rPr>
        <w:t>（二）指令的内容</w:t>
      </w:r>
    </w:p>
    <w:p w:rsidR="00AB2B42">
      <w:pPr>
        <w:numPr>
          <w:ilvl w:val="0"/>
          <w:numId w:val="6"/>
        </w:numPr>
        <w:spacing w:line="360" w:lineRule="auto"/>
        <w:ind w:left="0" w:firstLine="426"/>
        <w:rPr>
          <w:rFonts w:ascii="宋体" w:hAnsi="宋体"/>
          <w:sz w:val="24"/>
          <w:lang w:eastAsia="zh-CN"/>
        </w:rPr>
      </w:pPr>
      <w:r>
        <w:rPr>
          <w:rFonts w:ascii="宋体" w:hAnsi="宋体" w:hint="eastAsia"/>
          <w:sz w:val="24"/>
          <w:highlight w:val="white"/>
          <w:lang w:eastAsia="zh-CN"/>
        </w:rPr>
        <w:t>指令包括赎回、分红付款指令、回购到期付款指令、与投资有关的付款指令、实物债券出入库指令以及其他资金划拨指令等。</w:t>
      </w:r>
    </w:p>
    <w:p w:rsidR="00AB2B42">
      <w:pPr>
        <w:numPr>
          <w:ilvl w:val="0"/>
          <w:numId w:val="6"/>
        </w:numPr>
        <w:spacing w:line="360" w:lineRule="auto"/>
        <w:ind w:left="0" w:firstLine="426"/>
        <w:rPr>
          <w:rFonts w:ascii="宋体" w:hAnsi="宋体"/>
          <w:sz w:val="24"/>
          <w:lang w:eastAsia="zh-CN"/>
        </w:rPr>
      </w:pPr>
      <w:r>
        <w:rPr>
          <w:rFonts w:ascii="宋体" w:hAnsi="宋体" w:hint="eastAsia"/>
          <w:sz w:val="24"/>
          <w:highlight w:val="white"/>
          <w:lang w:eastAsia="zh-CN"/>
        </w:rPr>
        <w:t>基金管理人发给基金托管人的指令应写明款项事由、支付时间、到账时间、金额、账户等，加盖预留印鉴并由被授权人签字。</w:t>
      </w:r>
    </w:p>
    <w:p w:rsidR="00AB2B42">
      <w:pPr>
        <w:numPr>
          <w:ilvl w:val="0"/>
          <w:numId w:val="6"/>
        </w:numPr>
        <w:spacing w:line="360" w:lineRule="auto"/>
        <w:ind w:left="0" w:firstLine="426"/>
        <w:rPr>
          <w:rFonts w:ascii="宋体" w:hAnsi="宋体"/>
          <w:sz w:val="24"/>
          <w:lang w:eastAsia="zh-CN"/>
        </w:rPr>
      </w:pPr>
      <w:r>
        <w:rPr>
          <w:rFonts w:ascii="宋体" w:hAnsi="宋体" w:hint="eastAsia"/>
          <w:sz w:val="24"/>
          <w:highlight w:val="white"/>
          <w:lang w:eastAsia="zh-CN"/>
        </w:rPr>
        <w:t>相关登记结算公司向基金托管人发送的结算通知视为基金管理人向基金托管人发出的指令。</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（三）指令的发送、确认及执行的时间和程序</w:t>
      </w:r>
    </w:p>
    <w:p w:rsidR="00AB2B42">
      <w:pPr>
        <w:numPr>
          <w:ilvl w:val="0"/>
          <w:numId w:val="7"/>
        </w:numPr>
        <w:spacing w:line="360" w:lineRule="auto"/>
        <w:rPr>
          <w:rFonts w:ascii="宋体" w:hAnsi="宋体"/>
          <w:sz w:val="24"/>
        </w:rPr>
      </w:pPr>
      <w:r>
        <w:rPr>
          <w:rFonts w:ascii="宋体" w:hAnsi="宋体" w:hint="eastAsia"/>
          <w:sz w:val="24"/>
          <w:highlight w:val="white"/>
        </w:rPr>
        <w:t>指令的发送</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基金管理人发送指令应采用传真方式</w:t>
      </w:r>
      <w:r>
        <w:rPr>
          <w:rFonts w:ascii="宋体" w:hAnsi="宋体"/>
          <w:sz w:val="24"/>
          <w:highlight w:val="white"/>
          <w:lang w:eastAsia="zh-CN"/>
        </w:rPr>
        <w:t>或其他基金管理人和基金托管人双方书面共同确认的</w:t>
      </w:r>
      <w:r>
        <w:rPr>
          <w:rFonts w:ascii="宋体" w:hAnsi="宋体" w:hint="eastAsia"/>
          <w:sz w:val="24"/>
          <w:highlight w:val="white"/>
          <w:lang w:eastAsia="zh-CN"/>
        </w:rPr>
        <w:t>方式。</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且上述授权的撤销或更改基金管理人已在指令执行前按照本协议约定通知基金托管人并经基金托管人根据本协议确认后，则对于此后该交易指令发送人员无权发送的指令，或超权限发送的指令，基金管理人不承担责任，授权已更改但未经基金托管人确认的情况除外。</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基金托管人在复核后应在规定期限内执行，不得延误。基金</w:t>
      </w:r>
      <w:r>
        <w:rPr>
          <w:rFonts w:ascii="宋体" w:hAnsi="宋体" w:hint="eastAsia"/>
          <w:color w:val="000000"/>
          <w:sz w:val="24"/>
          <w:highlight w:val="white"/>
          <w:lang w:eastAsia="zh-CN"/>
        </w:rPr>
        <w:t>托管人仅对基金管理人提交的指令按照本协议的约定进行表面一致性审查，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管理人应于划款前一日向基金托管人发送投资划款指令并确认，如需在划款当日下达投资划款指令，在发送指令时，应为基金托管人留出执行指令所必需的时间，除需考虑资金在途时间外，还需给基金托管人留有至少2个小时的复核和审批时间。划款指令到达时间以基金托管人认定该划款指令为有效划款指令的时间为准。有效划款指令是指指令要素（包括付款人、付款账号、收款人、收款账号、金额（大、小写）、款项事由、支付时间）准确无误、预留印鉴相符、相关的指令附件齐全且头寸充足的划款指令。指令传输不及时、未能留出足够的划款时间，致使资金未能及时到账所造成的损失由基金管理人承担。</w:t>
      </w:r>
    </w:p>
    <w:p w:rsidR="00AB2B42">
      <w:pPr>
        <w:numPr>
          <w:ilvl w:val="0"/>
          <w:numId w:val="7"/>
        </w:numPr>
        <w:spacing w:line="360" w:lineRule="auto"/>
        <w:rPr>
          <w:rFonts w:ascii="宋体" w:hAnsi="宋体"/>
          <w:sz w:val="24"/>
        </w:rPr>
      </w:pPr>
      <w:r>
        <w:rPr>
          <w:rFonts w:ascii="宋体" w:hAnsi="宋体" w:hint="eastAsia"/>
          <w:sz w:val="24"/>
          <w:highlight w:val="white"/>
        </w:rPr>
        <w:t>指令的确认</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托管人应指定专人接收基金管理人的指令，预先通知基金管理人其名单，并与基金管理人商定指令发送和接收方式。指令到达基金托管人后，基金托管人应指定专人立即对有关内容及印鉴和签名进行表面一致性审查，如有疑问必须及时通知基金管理人。</w:t>
      </w:r>
    </w:p>
    <w:p w:rsidR="00AB2B42">
      <w:pPr>
        <w:numPr>
          <w:ilvl w:val="0"/>
          <w:numId w:val="7"/>
        </w:numPr>
        <w:spacing w:line="360" w:lineRule="auto"/>
        <w:rPr>
          <w:rFonts w:ascii="宋体" w:hAnsi="宋体"/>
          <w:sz w:val="24"/>
        </w:rPr>
      </w:pPr>
      <w:r>
        <w:rPr>
          <w:rFonts w:ascii="宋体" w:hAnsi="宋体" w:hint="eastAsia"/>
          <w:sz w:val="24"/>
          <w:highlight w:val="white"/>
        </w:rPr>
        <w:t>指令的时间和执行</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基金托管人对指令验证后，应及时办理。指令执行完毕后，基金托管人应及时通知基金管理人。</w:t>
      </w:r>
    </w:p>
    <w:p w:rsidR="00AB2B42">
      <w:pPr>
        <w:pStyle w:val="BodyTextIndent"/>
        <w:spacing w:after="0" w:line="360" w:lineRule="auto"/>
        <w:rPr>
          <w:rFonts w:hAnsi="宋体"/>
          <w:szCs w:val="24"/>
          <w:lang w:eastAsia="zh-CN"/>
        </w:rPr>
      </w:pPr>
      <w:r>
        <w:rPr>
          <w:rFonts w:hAnsi="宋体"/>
          <w:szCs w:val="24"/>
          <w:highlight w:val="white"/>
          <w:lang w:eastAsia="zh-CN"/>
        </w:rPr>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由基金管理人审核、查明原因，出具书面文件确认此交易指令无效</w:t>
      </w:r>
      <w:r>
        <w:rPr>
          <w:rFonts w:hAnsi="宋体" w:hint="eastAsia"/>
          <w:szCs w:val="24"/>
          <w:highlight w:val="white"/>
          <w:lang w:eastAsia="zh-CN"/>
        </w:rPr>
        <w:t>（取消）</w:t>
      </w:r>
      <w:r>
        <w:rPr>
          <w:rFonts w:hAnsi="宋体"/>
          <w:szCs w:val="24"/>
          <w:highlight w:val="white"/>
          <w:lang w:eastAsia="zh-CN"/>
        </w:rPr>
        <w:t>。在及时通知后，基金托管人不承担因未执行该指令造成</w:t>
      </w:r>
      <w:r>
        <w:rPr>
          <w:rFonts w:hAnsi="宋体" w:hint="eastAsia"/>
          <w:szCs w:val="24"/>
          <w:highlight w:val="white"/>
          <w:lang w:eastAsia="zh-CN"/>
        </w:rPr>
        <w:t>的</w:t>
      </w:r>
      <w:r>
        <w:rPr>
          <w:rFonts w:hAnsi="宋体"/>
          <w:szCs w:val="24"/>
          <w:highlight w:val="white"/>
          <w:lang w:eastAsia="zh-CN"/>
        </w:rPr>
        <w:t>损失。</w:t>
      </w:r>
    </w:p>
    <w:p w:rsidR="00AB2B42">
      <w:pPr>
        <w:pStyle w:val="BodyTextIndent"/>
        <w:spacing w:after="0" w:line="360" w:lineRule="auto"/>
        <w:rPr>
          <w:rFonts w:hAnsi="宋体"/>
          <w:szCs w:val="24"/>
          <w:lang w:eastAsia="zh-CN"/>
        </w:rPr>
      </w:pPr>
      <w:r>
        <w:rPr>
          <w:rFonts w:hAnsi="宋体"/>
          <w:szCs w:val="24"/>
          <w:highlight w:val="white"/>
          <w:lang w:eastAsia="zh-CN"/>
        </w:rPr>
        <w:t>对于发送时资金不足的指令，基金托管人有权不予执行，并应立即通知基金管理人，基金管理人确认该指令不予取消的</w:t>
      </w:r>
      <w:r>
        <w:rPr>
          <w:rFonts w:hAnsi="宋体" w:hint="eastAsia"/>
          <w:szCs w:val="24"/>
          <w:highlight w:val="white"/>
          <w:lang w:eastAsia="zh-CN"/>
        </w:rPr>
        <w:t>（或未及时</w:t>
      </w:r>
      <w:r>
        <w:rPr>
          <w:rFonts w:hAnsi="宋体"/>
          <w:szCs w:val="24"/>
          <w:highlight w:val="white"/>
          <w:lang w:eastAsia="zh-CN"/>
        </w:rPr>
        <w:t>出具书面文件确认</w:t>
      </w:r>
      <w:r>
        <w:rPr>
          <w:rFonts w:hAnsi="宋体" w:hint="eastAsia"/>
          <w:szCs w:val="24"/>
          <w:highlight w:val="white"/>
          <w:lang w:eastAsia="zh-CN"/>
        </w:rPr>
        <w:t>取消</w:t>
      </w:r>
      <w:r>
        <w:rPr>
          <w:rFonts w:hAnsi="宋体"/>
          <w:szCs w:val="24"/>
          <w:highlight w:val="white"/>
          <w:lang w:eastAsia="zh-CN"/>
        </w:rPr>
        <w:t>指令</w:t>
      </w:r>
      <w:r>
        <w:rPr>
          <w:rFonts w:hAnsi="宋体" w:hint="eastAsia"/>
          <w:szCs w:val="24"/>
          <w:highlight w:val="white"/>
          <w:lang w:eastAsia="zh-CN"/>
        </w:rPr>
        <w:t>或指令无效）</w:t>
      </w:r>
      <w:r>
        <w:rPr>
          <w:rFonts w:hAnsi="宋体"/>
          <w:szCs w:val="24"/>
          <w:highlight w:val="white"/>
          <w:lang w:eastAsia="zh-CN"/>
        </w:rPr>
        <w:t>，资金备足并通知基金托管人的时间视为指令收到时间。</w:t>
      </w:r>
    </w:p>
    <w:p w:rsidR="00AB2B42">
      <w:pPr>
        <w:pStyle w:val="BodyTextIndent"/>
        <w:spacing w:after="0" w:line="360" w:lineRule="auto"/>
        <w:rPr>
          <w:rFonts w:hAnsi="宋体"/>
          <w:szCs w:val="24"/>
          <w:shd w:val="pct15" w:color="FFFFFF" w:fill="FFFFFF"/>
          <w:lang w:eastAsia="zh-CN"/>
        </w:rPr>
      </w:pPr>
      <w:r>
        <w:rPr>
          <w:rFonts w:hAnsi="宋体" w:hint="eastAsia"/>
          <w:highlight w:val="white"/>
          <w:lang w:eastAsia="zh-CN"/>
        </w:rPr>
        <w:t>基金托管人对执行基金管理人的合法指令对基金财产造成的损失不承担赔偿责任。</w:t>
      </w:r>
    </w:p>
    <w:p w:rsidR="00AB2B42">
      <w:pPr>
        <w:spacing w:line="360" w:lineRule="auto"/>
        <w:ind w:firstLine="480"/>
        <w:rPr>
          <w:rFonts w:ascii="宋体" w:hAnsi="宋体"/>
          <w:sz w:val="24"/>
          <w:lang w:eastAsia="zh-CN"/>
        </w:rPr>
      </w:pPr>
      <w:r>
        <w:rPr>
          <w:rFonts w:ascii="宋体" w:hAnsi="宋体" w:hint="eastAsia"/>
          <w:sz w:val="24"/>
          <w:highlight w:val="white"/>
          <w:lang w:eastAsia="zh-CN"/>
        </w:rPr>
        <w:t>（四）基金管理人发送错误指令的情形和处理程序</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基金管理人发送错误指令的情形包括指令违反法律法规和基金合同，指令发送人员无权或超越权限发送指令。</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托管人在履行监督职能时，发现基金管理人的指令错误时，有权拒绝执行，并及时通知基金管理人改正。如需撤销指令，基金管理人应出具书面说明，并加盖业务用章。但基金托管人因执行基金管理人的合法指令而对基金财产造成损失的，基金托管人不承担赔偿责任。基金托管人对执行基金管理人的依据交易程序已经生效的指令对本基金资产造成的损失不承担赔偿责任。</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（五）基金托管人依照法律法规暂缓、拒绝执行指令的情形和处理程序</w:t>
      </w:r>
    </w:p>
    <w:p w:rsidR="00AB2B42">
      <w:pPr>
        <w:spacing w:line="360" w:lineRule="auto"/>
        <w:ind w:firstLine="480"/>
        <w:rPr>
          <w:rFonts w:ascii="宋体" w:hAnsi="宋体"/>
          <w:sz w:val="24"/>
          <w:lang w:eastAsia="zh-CN"/>
        </w:rPr>
      </w:pPr>
      <w:r>
        <w:rPr>
          <w:rFonts w:ascii="宋体" w:hAnsi="宋体" w:hint="eastAsia"/>
          <w:sz w:val="24"/>
          <w:highlight w:val="white"/>
          <w:lang w:eastAsia="zh-CN"/>
        </w:rPr>
        <w:t>若基金托管人发现基金管理人的指令违反法律、行政法规和其他有关规定，或者违反基金合同约定的，应当视情况暂缓或拒绝执行，立即通知基金管理人。</w:t>
      </w:r>
    </w:p>
    <w:p w:rsidR="00AB2B42">
      <w:pPr>
        <w:spacing w:line="360" w:lineRule="auto"/>
        <w:ind w:firstLine="480"/>
        <w:rPr>
          <w:rFonts w:ascii="宋体" w:hAnsi="宋体"/>
          <w:sz w:val="24"/>
          <w:lang w:eastAsia="zh-CN"/>
        </w:rPr>
      </w:pPr>
      <w:r>
        <w:rPr>
          <w:rFonts w:ascii="宋体" w:hAnsi="宋体" w:hint="eastAsia"/>
          <w:sz w:val="24"/>
          <w:highlight w:val="white"/>
          <w:lang w:eastAsia="zh-CN"/>
        </w:rPr>
        <w:t>（六）基金托管人未按照基金管理人指令执行的处理方法</w:t>
      </w:r>
    </w:p>
    <w:p w:rsidR="00AB2B42">
      <w:pPr>
        <w:spacing w:line="360" w:lineRule="auto"/>
        <w:ind w:firstLine="480"/>
        <w:rPr>
          <w:rFonts w:ascii="宋体" w:hAnsi="宋体"/>
          <w:sz w:val="24"/>
          <w:lang w:eastAsia="zh-CN"/>
        </w:rPr>
      </w:pPr>
      <w:r>
        <w:rPr>
          <w:rFonts w:ascii="宋体" w:hAnsi="宋体" w:hint="eastAsia"/>
          <w:sz w:val="24"/>
          <w:highlight w:val="white"/>
          <w:lang w:eastAsia="zh-CN"/>
        </w:rPr>
        <w:t>对于基金管理人发送的合法、有效指令，基金托管人由于自身原因，未按照基金管理人发送的指令执行，应在发现后及时采取措施予以弥补；若对基金管理人、基金财产或投资人造成直接损失的，由基金托管人赔偿由此造成的直接损失。</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（七）更换被授权人的程序</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管理人更换被授权人、更改或终止对被授权人的授权，应至少提前一个工作日，以书面方式（以下简称“授权变更通知书”）通知基金托管人，同时基金管理人向基金托管人提供新的被授权人的姓名、权限、预留印鉴和签字样本。基金管理人向基金托管人发出的授权变更通知书应加盖公章并由法定代表人或其授权代表签署，若由授权代表签署，还应附上法定代表人的授权书。授权文件变更通知应载明生效日期，原授权文件同时失效。授权通知及其变更均应以正本形式送达基金托管人。</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基金托管人更换接</w:t>
      </w:r>
      <w:r>
        <w:rPr>
          <w:rFonts w:ascii="宋体" w:hAnsi="宋体"/>
          <w:sz w:val="24"/>
          <w:highlight w:val="white"/>
          <w:lang w:eastAsia="zh-CN"/>
        </w:rPr>
        <w:t>收</w:t>
      </w:r>
      <w:r>
        <w:rPr>
          <w:rFonts w:ascii="宋体" w:hAnsi="宋体" w:hint="eastAsia"/>
          <w:sz w:val="24"/>
          <w:highlight w:val="white"/>
          <w:lang w:eastAsia="zh-CN"/>
        </w:rPr>
        <w:t>基金管理人指令的人员，应提前书面通知基金管理人。</w:t>
      </w:r>
    </w:p>
    <w:p w:rsidR="00AB2B42">
      <w:pPr>
        <w:spacing w:line="360" w:lineRule="auto"/>
        <w:ind w:firstLine="480"/>
        <w:rPr>
          <w:rFonts w:ascii="宋体" w:hAnsi="宋体"/>
          <w:sz w:val="24"/>
          <w:lang w:eastAsia="zh-CN"/>
        </w:rPr>
      </w:pPr>
      <w:r>
        <w:rPr>
          <w:rFonts w:ascii="宋体" w:hAnsi="宋体" w:hint="eastAsia"/>
          <w:sz w:val="24"/>
          <w:highlight w:val="white"/>
          <w:lang w:eastAsia="zh-CN"/>
        </w:rPr>
        <w:t>（八）其他事项</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AB2B42">
      <w:pPr>
        <w:snapToGrid w:val="0"/>
        <w:spacing w:line="360" w:lineRule="auto"/>
        <w:ind w:firstLine="480" w:firstLineChars="200"/>
        <w:jc w:val="left"/>
        <w:rPr>
          <w:rFonts w:ascii="宋体" w:hAnsi="宋体"/>
          <w:sz w:val="24"/>
          <w:lang w:eastAsia="zh-CN"/>
        </w:rPr>
      </w:pPr>
    </w:p>
    <w:p w:rsidR="00AB2B42">
      <w:pPr>
        <w:pStyle w:val="Heading1"/>
        <w:numPr>
          <w:ilvl w:val="0"/>
          <w:numId w:val="22"/>
        </w:numPr>
        <w:spacing w:line="360" w:lineRule="auto"/>
        <w:jc w:val="center"/>
        <w:rPr>
          <w:rFonts w:ascii="宋体" w:hAnsi="宋体"/>
          <w:sz w:val="28"/>
          <w:szCs w:val="28"/>
        </w:rPr>
      </w:pPr>
      <w:r>
        <w:rPr>
          <w:rFonts w:ascii="宋体" w:hAnsi="宋体"/>
          <w:sz w:val="24"/>
          <w:szCs w:val="24"/>
          <w:highlight w:val="white"/>
          <w:lang w:eastAsia="zh-CN"/>
        </w:rPr>
        <w:br w:type="page"/>
      </w:r>
      <w:bookmarkStart w:id="138" w:name="_Toc295832642"/>
      <w:bookmarkStart w:id="139" w:name="_Toc295832949"/>
      <w:bookmarkStart w:id="140" w:name="_Toc295833009"/>
      <w:bookmarkStart w:id="141" w:name="_Toc295833680"/>
      <w:bookmarkStart w:id="142" w:name="_Toc84133788"/>
      <w:bookmarkStart w:id="143" w:name="_Toc84234390"/>
      <w:bookmarkStart w:id="144" w:name="_Toc84234437"/>
      <w:bookmarkStart w:id="145" w:name="_Toc86204791"/>
      <w:bookmarkStart w:id="146" w:name="_Toc86223245"/>
      <w:bookmarkStart w:id="147" w:name="_Toc86225294"/>
      <w:bookmarkStart w:id="148" w:name="_Toc86649725"/>
      <w:bookmarkStart w:id="149" w:name="_Toc86726442"/>
      <w:bookmarkStart w:id="150" w:name="_Toc86727358"/>
      <w:bookmarkStart w:id="151" w:name="_Toc86737932"/>
      <w:bookmarkStart w:id="152" w:name="_Toc89163371"/>
      <w:bookmarkStart w:id="153" w:name="_Toc108512361"/>
      <w:bookmarkStart w:id="154" w:name="_Toc110761799"/>
      <w:bookmarkStart w:id="155" w:name="_Toc110765663"/>
      <w:bookmarkStart w:id="156" w:name="_Toc110830495"/>
      <w:bookmarkStart w:id="157" w:name="_Toc118212953"/>
      <w:bookmarkStart w:id="158" w:name="_Toc118774806"/>
      <w:bookmarkStart w:id="159" w:name="_Toc118972651"/>
      <w:bookmarkStart w:id="160" w:name="_Toc119402713"/>
      <w:bookmarkStart w:id="161" w:name="_Toc120435786"/>
      <w:bookmarkStart w:id="162" w:name="_Toc124325891"/>
      <w:bookmarkStart w:id="163" w:name="_Toc270669858"/>
      <w:bookmarkStart w:id="164" w:name="_Toc355859320"/>
      <w:bookmarkStart w:id="165" w:name="_Toc366835701"/>
      <w:bookmarkEnd w:id="138"/>
      <w:bookmarkEnd w:id="139"/>
      <w:bookmarkEnd w:id="140"/>
      <w:bookmarkEnd w:id="141"/>
      <w:r>
        <w:rPr>
          <w:rFonts w:ascii="宋体" w:hAnsi="宋体" w:hint="eastAsia"/>
          <w:sz w:val="28"/>
          <w:szCs w:val="28"/>
          <w:highlight w:val="white"/>
        </w:rPr>
        <w:t>交易及清算交收安排</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AB2B42">
      <w:pPr>
        <w:spacing w:line="360" w:lineRule="auto"/>
        <w:ind w:firstLine="480"/>
        <w:rPr>
          <w:rFonts w:ascii="宋体" w:hAnsi="宋体"/>
          <w:i/>
          <w:sz w:val="24"/>
          <w:lang w:eastAsia="zh-CN"/>
        </w:rPr>
      </w:pPr>
      <w:r>
        <w:rPr>
          <w:rFonts w:ascii="宋体" w:hAnsi="宋体" w:hint="eastAsia"/>
          <w:sz w:val="24"/>
          <w:highlight w:val="white"/>
          <w:lang w:eastAsia="zh-CN"/>
        </w:rPr>
        <w:t>（一）选择证券买卖的证券、期货经纪机构</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基金管理人负责选择代理本基金证券买卖的证券经纪机构，由基金管理人与基金托管人及证券经纪机构签订本基金的证券经纪服务协议，就基金参与场内证券交易、结算等具体事项进行约定。</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基金管理人负责选择代理本基金期货交易的期货经纪机构，与其签订期货经纪合同，其他事宜根据法律法规和基金合同的相关规定执行，若无明确规定的，可参照有关证券买卖、证券经纪机构选择的规则执行。</w:t>
      </w:r>
    </w:p>
    <w:p w:rsidR="00AB2B42">
      <w:pPr>
        <w:spacing w:line="360" w:lineRule="auto"/>
        <w:ind w:firstLine="480"/>
        <w:rPr>
          <w:rFonts w:ascii="宋体" w:hAnsi="宋体"/>
          <w:sz w:val="24"/>
          <w:lang w:eastAsia="zh-CN"/>
        </w:rPr>
      </w:pPr>
      <w:r>
        <w:rPr>
          <w:rFonts w:ascii="宋体" w:hAnsi="宋体" w:hint="eastAsia"/>
          <w:sz w:val="24"/>
          <w:highlight w:val="white"/>
          <w:lang w:eastAsia="zh-CN"/>
        </w:rPr>
        <w:t>（二）基金投资证券后的清算交收安排</w:t>
      </w:r>
    </w:p>
    <w:p w:rsidR="00AB2B42">
      <w:pPr>
        <w:numPr>
          <w:ilvl w:val="0"/>
          <w:numId w:val="8"/>
        </w:numPr>
        <w:spacing w:line="360" w:lineRule="auto"/>
        <w:rPr>
          <w:rFonts w:ascii="宋体" w:hAnsi="宋体"/>
          <w:sz w:val="24"/>
        </w:rPr>
      </w:pPr>
      <w:r>
        <w:rPr>
          <w:rFonts w:ascii="宋体" w:hAnsi="宋体" w:hint="eastAsia"/>
          <w:sz w:val="24"/>
          <w:highlight w:val="white"/>
        </w:rPr>
        <w:t>清算与交割</w:t>
      </w:r>
    </w:p>
    <w:p w:rsidR="00AB2B42">
      <w:pPr>
        <w:snapToGrid w:val="0"/>
        <w:spacing w:line="360" w:lineRule="auto"/>
        <w:ind w:left="61" w:firstLine="480" w:leftChars="29" w:firstLineChars="200"/>
        <w:rPr>
          <w:rFonts w:ascii="宋体" w:hAnsi="宋体"/>
          <w:sz w:val="24"/>
          <w:lang w:eastAsia="zh-CN"/>
        </w:rPr>
      </w:pPr>
      <w:r>
        <w:rPr>
          <w:rFonts w:ascii="宋体" w:hAnsi="宋体" w:hint="eastAsia"/>
          <w:sz w:val="24"/>
          <w:highlight w:val="white"/>
          <w:lang w:eastAsia="zh-CN"/>
        </w:rPr>
        <w:t>基金投资于证券发生的所有场外交易的清算交割，由基金托管人负责根据相关登记结算公司的结算规则办理；基金投资于证券发生的所有场内交易的清算交割，由基金管理人负责委托代理证券买卖的证券经纪机构根据相关登记结算公司的结算规则办理。</w:t>
      </w:r>
    </w:p>
    <w:p w:rsidR="00AB2B42">
      <w:pPr>
        <w:snapToGrid w:val="0"/>
        <w:spacing w:line="360" w:lineRule="auto"/>
        <w:ind w:left="61" w:firstLine="480" w:leftChars="29" w:firstLineChars="200"/>
        <w:rPr>
          <w:rFonts w:ascii="宋体" w:hAnsi="宋体"/>
          <w:sz w:val="24"/>
          <w:lang w:eastAsia="zh-CN"/>
        </w:rPr>
      </w:pPr>
      <w:r>
        <w:rPr>
          <w:rFonts w:ascii="宋体" w:hAnsi="宋体" w:hint="eastAsia"/>
          <w:sz w:val="24"/>
          <w:highlight w:val="white"/>
          <w:lang w:eastAsia="zh-CN"/>
        </w:rPr>
        <w:t>基金托管人负责基金场外买卖证券的清算交收，场外资金汇划由基金托管人根据基金管理人的场外交易划款指令具体办理。</w:t>
      </w:r>
    </w:p>
    <w:p w:rsidR="00AB2B42">
      <w:pPr>
        <w:snapToGrid w:val="0"/>
        <w:spacing w:line="360" w:lineRule="auto"/>
        <w:ind w:firstLine="480"/>
        <w:rPr>
          <w:rFonts w:ascii="宋体" w:hAnsi="宋体"/>
          <w:sz w:val="24"/>
          <w:lang w:eastAsia="zh-CN"/>
        </w:rPr>
      </w:pPr>
      <w:r>
        <w:rPr>
          <w:rFonts w:ascii="宋体" w:hAnsi="宋体" w:hint="eastAsia"/>
          <w:sz w:val="24"/>
          <w:highlight w:val="white"/>
          <w:lang w:eastAsia="zh-CN"/>
        </w:rPr>
        <w:t>基金管理人应保证基金托管人在执行基金管理人发送的划款指令时，基金银行账户或资金交收账户(除登记公司收保或冻结资金外)上有充足的资金。基金的资金头寸不足时，基金托管人有权拒绝执行基金管理人发送的划款指令并同时通知基金管理人，并视账户余额充足时为指令送达时间。基金管理人在发送划款指令时应充分考虑基金托管人的划款处理时间，一般为2个工作小时。在基金资金头寸充足的情况下，基金托管人对基金管理人符合法律法规、基金合同、本协议的指令不得拖延或拒绝执行。</w:t>
      </w:r>
    </w:p>
    <w:p w:rsidR="00AB2B42">
      <w:pPr>
        <w:numPr>
          <w:ilvl w:val="0"/>
          <w:numId w:val="8"/>
        </w:numPr>
        <w:spacing w:line="360" w:lineRule="auto"/>
        <w:rPr>
          <w:rFonts w:ascii="宋体" w:hAnsi="宋体"/>
          <w:sz w:val="24"/>
          <w:lang w:eastAsia="zh-CN"/>
        </w:rPr>
      </w:pPr>
      <w:r>
        <w:rPr>
          <w:rFonts w:ascii="宋体" w:hAnsi="宋体" w:hint="eastAsia"/>
          <w:sz w:val="24"/>
          <w:highlight w:val="white"/>
          <w:lang w:eastAsia="zh-CN"/>
        </w:rPr>
        <w:t>交易记录、资金和证券账目核对的时间和方式</w:t>
      </w:r>
    </w:p>
    <w:p w:rsidR="00AB2B42">
      <w:pPr>
        <w:numPr>
          <w:ilvl w:val="0"/>
          <w:numId w:val="9"/>
        </w:numPr>
        <w:spacing w:line="360" w:lineRule="auto"/>
        <w:rPr>
          <w:rFonts w:ascii="宋体" w:hAnsi="宋体"/>
          <w:sz w:val="24"/>
        </w:rPr>
      </w:pPr>
      <w:r>
        <w:rPr>
          <w:rFonts w:ascii="宋体" w:hAnsi="宋体" w:hint="eastAsia"/>
          <w:sz w:val="24"/>
          <w:highlight w:val="white"/>
        </w:rPr>
        <w:t>交易记录的核对</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AB2B42">
      <w:pPr>
        <w:numPr>
          <w:ilvl w:val="0"/>
          <w:numId w:val="9"/>
        </w:numPr>
        <w:spacing w:line="360" w:lineRule="auto"/>
        <w:rPr>
          <w:rFonts w:ascii="宋体" w:hAnsi="宋体"/>
          <w:sz w:val="24"/>
        </w:rPr>
      </w:pPr>
      <w:r>
        <w:rPr>
          <w:rFonts w:ascii="宋体" w:hAnsi="宋体" w:hint="eastAsia"/>
          <w:sz w:val="24"/>
          <w:highlight w:val="white"/>
        </w:rPr>
        <w:t>资金账目的核对</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资金账目按日核实，账实相符。基金资金账户的开立网点无需与基金管理人进行银企对账。</w:t>
      </w:r>
    </w:p>
    <w:p w:rsidR="00AB2B42">
      <w:pPr>
        <w:numPr>
          <w:ilvl w:val="0"/>
          <w:numId w:val="9"/>
        </w:numPr>
        <w:spacing w:line="360" w:lineRule="auto"/>
        <w:rPr>
          <w:rFonts w:ascii="宋体" w:hAnsi="宋体"/>
          <w:sz w:val="24"/>
        </w:rPr>
      </w:pPr>
      <w:r>
        <w:rPr>
          <w:rFonts w:ascii="宋体" w:hAnsi="宋体" w:hint="eastAsia"/>
          <w:sz w:val="24"/>
          <w:highlight w:val="white"/>
        </w:rPr>
        <w:t>证券账目的核对</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基金管理人和基金托管人每交易日结束后核对基金证券账目，确保双方账目相符。</w:t>
      </w:r>
    </w:p>
    <w:p w:rsidR="00AB2B42">
      <w:pPr>
        <w:numPr>
          <w:ilvl w:val="0"/>
          <w:numId w:val="9"/>
        </w:numPr>
        <w:spacing w:line="360" w:lineRule="auto"/>
        <w:rPr>
          <w:rFonts w:ascii="宋体" w:hAnsi="宋体"/>
          <w:sz w:val="24"/>
          <w:lang w:eastAsia="zh-CN"/>
        </w:rPr>
      </w:pPr>
      <w:r>
        <w:rPr>
          <w:rFonts w:ascii="宋体" w:hAnsi="宋体" w:hint="eastAsia"/>
          <w:sz w:val="24"/>
          <w:highlight w:val="white"/>
          <w:lang w:eastAsia="zh-CN"/>
        </w:rPr>
        <w:t>基金管理人和基金托管人每月月末核对实物证券账目。</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（三）基金申购和赎回业务处理的基本规定</w:t>
      </w:r>
    </w:p>
    <w:p w:rsidR="00AB2B42">
      <w:pPr>
        <w:numPr>
          <w:ilvl w:val="0"/>
          <w:numId w:val="10"/>
        </w:numPr>
        <w:spacing w:line="360" w:lineRule="auto"/>
        <w:ind w:left="0" w:firstLine="480"/>
        <w:rPr>
          <w:rFonts w:ascii="宋体" w:hAnsi="宋体"/>
          <w:sz w:val="24"/>
          <w:lang w:eastAsia="zh-CN"/>
        </w:rPr>
      </w:pPr>
      <w:r>
        <w:rPr>
          <w:rFonts w:ascii="宋体" w:hAnsi="宋体" w:hint="eastAsia"/>
          <w:sz w:val="24"/>
          <w:highlight w:val="white"/>
          <w:lang w:eastAsia="zh-CN"/>
        </w:rPr>
        <w:t>基金份额申购、赎回的确认、清算由基金管理人或其委托的登记机构负责。</w:t>
      </w:r>
    </w:p>
    <w:p w:rsidR="00AB2B42">
      <w:pPr>
        <w:numPr>
          <w:ilvl w:val="0"/>
          <w:numId w:val="10"/>
        </w:numPr>
        <w:spacing w:line="360" w:lineRule="auto"/>
        <w:ind w:left="0" w:firstLine="480"/>
        <w:rPr>
          <w:rFonts w:ascii="宋体" w:hAnsi="宋体"/>
          <w:sz w:val="24"/>
          <w:lang w:eastAsia="zh-CN"/>
        </w:rPr>
      </w:pPr>
      <w:r>
        <w:rPr>
          <w:rFonts w:ascii="宋体" w:hAnsi="宋体" w:hint="eastAsia"/>
          <w:sz w:val="24"/>
          <w:highlight w:val="white"/>
          <w:lang w:eastAsia="zh-CN"/>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AB2B42">
      <w:pPr>
        <w:numPr>
          <w:ilvl w:val="0"/>
          <w:numId w:val="10"/>
        </w:numPr>
        <w:spacing w:line="360" w:lineRule="auto"/>
        <w:ind w:left="0" w:firstLine="480"/>
        <w:rPr>
          <w:rFonts w:ascii="宋体" w:hAnsi="宋体"/>
          <w:sz w:val="24"/>
          <w:lang w:eastAsia="zh-CN"/>
        </w:rPr>
      </w:pPr>
      <w:r>
        <w:rPr>
          <w:rFonts w:ascii="宋体" w:hAnsi="宋体" w:hint="eastAsia"/>
          <w:sz w:val="24"/>
          <w:highlight w:val="white"/>
          <w:lang w:eastAsia="zh-CN"/>
        </w:rPr>
        <w:t>基金管理人应保证本基金（或本基金管理人委托）的登记机构每个工作日15:00前向基金托管人发送开放日上述有关数据，并保证相关数据的准确、完整。</w:t>
      </w:r>
    </w:p>
    <w:p w:rsidR="00AB2B42">
      <w:pPr>
        <w:numPr>
          <w:ilvl w:val="0"/>
          <w:numId w:val="10"/>
        </w:numPr>
        <w:spacing w:line="360" w:lineRule="auto"/>
        <w:ind w:left="0" w:firstLine="480"/>
        <w:rPr>
          <w:rFonts w:ascii="宋体" w:hAnsi="宋体"/>
          <w:sz w:val="24"/>
          <w:lang w:eastAsia="zh-CN"/>
        </w:rPr>
      </w:pPr>
      <w:r>
        <w:rPr>
          <w:rFonts w:ascii="宋体" w:hAnsi="宋体" w:hint="eastAsia"/>
          <w:sz w:val="24"/>
          <w:highlight w:val="white"/>
          <w:lang w:eastAsia="zh-CN"/>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B2B42">
      <w:pPr>
        <w:numPr>
          <w:ilvl w:val="0"/>
          <w:numId w:val="10"/>
        </w:numPr>
        <w:spacing w:line="360" w:lineRule="auto"/>
        <w:ind w:left="0" w:firstLine="480"/>
        <w:rPr>
          <w:rFonts w:ascii="宋体" w:hAnsi="宋体"/>
          <w:sz w:val="24"/>
          <w:lang w:eastAsia="zh-CN"/>
        </w:rPr>
      </w:pPr>
      <w:r>
        <w:rPr>
          <w:rFonts w:ascii="宋体" w:hAnsi="宋体" w:hint="eastAsia"/>
          <w:sz w:val="24"/>
          <w:highlight w:val="white"/>
          <w:lang w:eastAsia="zh-CN"/>
        </w:rPr>
        <w:t>如基金管理人委托其他机构办理本基金的登记业务，应保证上述相关事宜按时进行。否则，由基金管理人承担相应的责任。</w:t>
      </w:r>
    </w:p>
    <w:p w:rsidR="00AB2B42">
      <w:pPr>
        <w:numPr>
          <w:ilvl w:val="0"/>
          <w:numId w:val="10"/>
        </w:numPr>
        <w:spacing w:line="360" w:lineRule="auto"/>
        <w:ind w:left="0" w:firstLine="480"/>
        <w:rPr>
          <w:rFonts w:ascii="宋体" w:hAnsi="宋体"/>
          <w:sz w:val="24"/>
          <w:lang w:eastAsia="zh-CN"/>
        </w:rPr>
      </w:pPr>
      <w:r>
        <w:rPr>
          <w:rFonts w:ascii="宋体" w:hAnsi="宋体" w:hint="eastAsia"/>
          <w:sz w:val="24"/>
          <w:highlight w:val="white"/>
          <w:lang w:eastAsia="zh-CN"/>
        </w:rPr>
        <w:t>关于清算专用账户的设立和管理</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为满足申购、赎回及分红资金汇划的需要，由基金管理人开立资金清算的专用账户，该账户由登记机构管理。</w:t>
      </w:r>
    </w:p>
    <w:p w:rsidR="00AB2B42">
      <w:pPr>
        <w:numPr>
          <w:ilvl w:val="0"/>
          <w:numId w:val="10"/>
        </w:numPr>
        <w:spacing w:line="360" w:lineRule="auto"/>
        <w:ind w:left="0" w:firstLine="480"/>
        <w:rPr>
          <w:rFonts w:ascii="宋体" w:hAnsi="宋体"/>
          <w:sz w:val="24"/>
          <w:lang w:eastAsia="zh-CN"/>
        </w:rPr>
      </w:pPr>
      <w:r>
        <w:rPr>
          <w:rFonts w:ascii="宋体" w:hAnsi="宋体" w:hint="eastAsia"/>
          <w:sz w:val="24"/>
          <w:highlight w:val="white"/>
          <w:lang w:eastAsia="zh-CN"/>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B2B42">
      <w:pPr>
        <w:numPr>
          <w:ilvl w:val="0"/>
          <w:numId w:val="10"/>
        </w:numPr>
        <w:spacing w:line="360" w:lineRule="auto"/>
        <w:ind w:left="0" w:firstLine="480"/>
        <w:rPr>
          <w:rFonts w:ascii="宋体" w:hAnsi="宋体"/>
          <w:sz w:val="24"/>
          <w:lang w:eastAsia="zh-CN"/>
        </w:rPr>
      </w:pPr>
      <w:r>
        <w:rPr>
          <w:rFonts w:ascii="宋体" w:hAnsi="宋体" w:hint="eastAsia"/>
          <w:sz w:val="24"/>
          <w:highlight w:val="white"/>
          <w:lang w:eastAsia="zh-CN"/>
        </w:rPr>
        <w:t>赎回和分红资金划拨规定</w:t>
      </w:r>
    </w:p>
    <w:p w:rsidR="00AB2B42">
      <w:pPr>
        <w:spacing w:line="360" w:lineRule="auto"/>
        <w:ind w:firstLine="480"/>
        <w:rPr>
          <w:rFonts w:ascii="宋体" w:hAnsi="宋体"/>
          <w:sz w:val="24"/>
          <w:lang w:eastAsia="zh-CN"/>
        </w:rPr>
      </w:pPr>
      <w:r>
        <w:rPr>
          <w:rFonts w:ascii="宋体" w:hAnsi="宋体" w:hint="eastAsia"/>
          <w:sz w:val="24"/>
          <w:highlight w:val="white"/>
          <w:lang w:eastAsia="zh-CN"/>
        </w:rPr>
        <w:t>拨付赎回款或进行基金分红时，如基金资金账户有足够的资金，基金托管人应按时拨付；因基金资金账户没有足够的资金，导致基金托管人不能按时拨付，如系基金管理人的原因造成，责任及相应后果均由基金管理人承担，基金托管人不承担垫款义务。</w:t>
      </w:r>
    </w:p>
    <w:p w:rsidR="00AB2B42">
      <w:pPr>
        <w:numPr>
          <w:ilvl w:val="0"/>
          <w:numId w:val="10"/>
        </w:numPr>
        <w:spacing w:line="360" w:lineRule="auto"/>
        <w:ind w:left="0" w:firstLine="480"/>
        <w:rPr>
          <w:rFonts w:ascii="宋体" w:hAnsi="宋体"/>
          <w:sz w:val="24"/>
        </w:rPr>
      </w:pPr>
      <w:r>
        <w:rPr>
          <w:rFonts w:ascii="宋体" w:hAnsi="宋体" w:hint="eastAsia"/>
          <w:sz w:val="24"/>
          <w:highlight w:val="white"/>
        </w:rPr>
        <w:t>资金指令</w:t>
      </w:r>
    </w:p>
    <w:p w:rsidR="00AB2B42">
      <w:pPr>
        <w:spacing w:line="360" w:lineRule="auto"/>
        <w:ind w:firstLine="480"/>
        <w:rPr>
          <w:rFonts w:ascii="宋体" w:hAnsi="宋体"/>
          <w:sz w:val="24"/>
          <w:lang w:eastAsia="zh-CN"/>
        </w:rPr>
      </w:pPr>
      <w:r>
        <w:rPr>
          <w:rFonts w:ascii="宋体" w:hAnsi="宋体" w:hint="eastAsia"/>
          <w:sz w:val="24"/>
          <w:highlight w:val="white"/>
          <w:lang w:eastAsia="zh-CN"/>
        </w:rPr>
        <w:t>除申购款项到达基金资金账户需双方按约定方式对账外，回购到期付款和与投资有关的付款、赎回和分红资金划拨时，基金管理人需向基金托管人下达指令。</w:t>
      </w:r>
    </w:p>
    <w:p w:rsidR="00AB2B42">
      <w:pPr>
        <w:spacing w:line="360" w:lineRule="auto"/>
        <w:ind w:firstLine="480"/>
        <w:rPr>
          <w:rFonts w:ascii="宋体" w:hAnsi="宋体"/>
          <w:sz w:val="24"/>
          <w:lang w:eastAsia="zh-CN"/>
        </w:rPr>
      </w:pPr>
      <w:r>
        <w:rPr>
          <w:rFonts w:ascii="宋体" w:hAnsi="宋体" w:hint="eastAsia"/>
          <w:sz w:val="24"/>
          <w:highlight w:val="white"/>
          <w:lang w:eastAsia="zh-CN"/>
        </w:rPr>
        <w:t>（四）申赎净额结算</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基金申购、赎回等款项采用基金托管账户与“注册登记清算账户”间轧差交收的结算方式。</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托管账户与“注册登记清算账户”间的资金清算遵循“全额清算、净额交收”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交收日及时从“注册登记清算账户”划往基金托管账户，基金托管人在资金到账后应立即通知基金管理人进行账务处理；当存在托管账户净应付额时，基金管理人应在交收日及时将划款指令发送给基金托管人，基金托管行按管理人的划款指令将托管账户净应付额在交收日及时划往“注册登记清算账户”，基金托管人在资金划出后立即通知基金管理人进行账务处理。</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如果当日基金为净应收款，基金托管人应及时查收资金是否到账，对于因基金管理人的原因未准时到账的资金，应及时通知基金管理人划付，由此产生的责任应由基金管理人承担，基金托管人不承担责任。</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如果当日基金为净应付款，基金托管人应根据基金管理人的指令及时进行划付。对于因基金托管人的原因未准时划付的资金，基金管理人应及时通知基金托管人划付，由此产生的责任应由基金托管人承担。</w:t>
      </w:r>
    </w:p>
    <w:p w:rsidR="00AB2B42">
      <w:pPr>
        <w:spacing w:line="360" w:lineRule="auto"/>
        <w:ind w:firstLine="480"/>
        <w:rPr>
          <w:rFonts w:ascii="宋体" w:hAnsi="宋体"/>
          <w:sz w:val="24"/>
        </w:rPr>
      </w:pPr>
      <w:r>
        <w:rPr>
          <w:rFonts w:ascii="宋体" w:hAnsi="宋体" w:hint="eastAsia"/>
          <w:sz w:val="24"/>
          <w:highlight w:val="white"/>
        </w:rPr>
        <w:t>（五）基金转换</w:t>
      </w:r>
    </w:p>
    <w:p w:rsidR="00AB2B42">
      <w:pPr>
        <w:numPr>
          <w:ilvl w:val="0"/>
          <w:numId w:val="11"/>
        </w:numPr>
        <w:spacing w:line="360" w:lineRule="auto"/>
        <w:ind w:left="0" w:firstLine="480"/>
        <w:rPr>
          <w:rFonts w:ascii="宋体" w:hAnsi="宋体"/>
          <w:sz w:val="24"/>
          <w:lang w:eastAsia="zh-CN"/>
        </w:rPr>
      </w:pPr>
      <w:r>
        <w:rPr>
          <w:rFonts w:ascii="宋体" w:hAnsi="宋体" w:hint="eastAsia"/>
          <w:sz w:val="24"/>
          <w:highlight w:val="white"/>
          <w:lang w:eastAsia="zh-CN"/>
        </w:rPr>
        <w:t>在本基金与基金管理人管理的其它基金开展转换业务之前，基金管理人应函告基金托管人并就相关事宜进行协商。</w:t>
      </w:r>
    </w:p>
    <w:p w:rsidR="00AB2B42">
      <w:pPr>
        <w:numPr>
          <w:ilvl w:val="0"/>
          <w:numId w:val="11"/>
        </w:numPr>
        <w:spacing w:line="360" w:lineRule="auto"/>
        <w:ind w:left="0" w:firstLine="480"/>
        <w:rPr>
          <w:rFonts w:ascii="宋体" w:hAnsi="宋体"/>
          <w:sz w:val="24"/>
          <w:lang w:eastAsia="zh-CN"/>
        </w:rPr>
      </w:pPr>
      <w:r>
        <w:rPr>
          <w:rFonts w:ascii="宋体" w:hAnsi="宋体" w:hint="eastAsia"/>
          <w:sz w:val="24"/>
          <w:highlight w:val="white"/>
          <w:lang w:eastAsia="zh-CN"/>
        </w:rPr>
        <w:t>基金托管人将根据基金管理人传送的基金转换数据进行账务处理，具体资金清算和数据传递的时间、程序及托管协议当事人承担的权责按基金管理人届时的公告执行。</w:t>
      </w:r>
    </w:p>
    <w:p w:rsidR="00AB2B42">
      <w:pPr>
        <w:numPr>
          <w:ilvl w:val="0"/>
          <w:numId w:val="11"/>
        </w:numPr>
        <w:spacing w:line="360" w:lineRule="auto"/>
        <w:ind w:left="0" w:firstLine="480"/>
        <w:rPr>
          <w:rFonts w:ascii="宋体" w:hAnsi="宋体"/>
          <w:sz w:val="24"/>
          <w:lang w:eastAsia="zh-CN"/>
        </w:rPr>
      </w:pPr>
      <w:r>
        <w:rPr>
          <w:rFonts w:ascii="宋体" w:hAnsi="宋体" w:hint="eastAsia"/>
          <w:sz w:val="24"/>
          <w:highlight w:val="white"/>
          <w:lang w:eastAsia="zh-CN"/>
        </w:rPr>
        <w:t>本基金开展基金转换业务应按相关法律法规规定及基金合同的约定进行公告。</w:t>
      </w:r>
    </w:p>
    <w:p w:rsidR="00AB2B42">
      <w:pPr>
        <w:spacing w:line="360" w:lineRule="auto"/>
        <w:ind w:firstLine="480"/>
        <w:rPr>
          <w:rFonts w:ascii="宋体" w:hAnsi="宋体"/>
          <w:sz w:val="24"/>
        </w:rPr>
      </w:pPr>
      <w:r>
        <w:rPr>
          <w:rFonts w:ascii="宋体" w:hAnsi="宋体" w:hint="eastAsia"/>
          <w:sz w:val="24"/>
          <w:highlight w:val="white"/>
        </w:rPr>
        <w:t>（六）基金现金分红</w:t>
      </w:r>
    </w:p>
    <w:p w:rsidR="00AB2B42">
      <w:pPr>
        <w:numPr>
          <w:ilvl w:val="0"/>
          <w:numId w:val="12"/>
        </w:numPr>
        <w:spacing w:line="360" w:lineRule="auto"/>
        <w:ind w:left="0" w:firstLine="480"/>
        <w:rPr>
          <w:rFonts w:ascii="宋体" w:hAnsi="宋体"/>
          <w:sz w:val="24"/>
          <w:lang w:eastAsia="zh-CN"/>
        </w:rPr>
      </w:pPr>
      <w:r>
        <w:rPr>
          <w:rFonts w:ascii="宋体" w:hAnsi="宋体" w:hint="eastAsia"/>
          <w:sz w:val="24"/>
          <w:highlight w:val="white"/>
          <w:lang w:eastAsia="zh-CN"/>
        </w:rPr>
        <w:t>基金管理人确定分红方案通知基金托管人，双方核定后依照《信息披露办法》的有关规定在中国证监会规定媒介上公告。</w:t>
      </w:r>
    </w:p>
    <w:p w:rsidR="00AB2B42">
      <w:pPr>
        <w:numPr>
          <w:ilvl w:val="0"/>
          <w:numId w:val="12"/>
        </w:numPr>
        <w:spacing w:line="360" w:lineRule="auto"/>
        <w:ind w:left="0" w:firstLine="480"/>
        <w:rPr>
          <w:rFonts w:ascii="宋体" w:hAnsi="宋体"/>
          <w:sz w:val="24"/>
          <w:lang w:eastAsia="zh-CN"/>
        </w:rPr>
      </w:pPr>
      <w:r>
        <w:rPr>
          <w:rFonts w:ascii="宋体" w:hAnsi="宋体" w:hint="eastAsia"/>
          <w:sz w:val="24"/>
          <w:highlight w:val="white"/>
          <w:lang w:eastAsia="zh-CN"/>
        </w:rPr>
        <w:t>基金托管人和基金管理人对基金分红进行账务处理并核对后，基金管理人向基金托管人发送现金红利的划款指令，基金托管人应及时将资金划入专用账户。</w:t>
      </w:r>
    </w:p>
    <w:p w:rsidR="00AB2B42">
      <w:pPr>
        <w:numPr>
          <w:ilvl w:val="0"/>
          <w:numId w:val="12"/>
        </w:numPr>
        <w:spacing w:line="360" w:lineRule="auto"/>
        <w:ind w:left="0" w:firstLine="480"/>
        <w:rPr>
          <w:rFonts w:ascii="宋体" w:hAnsi="宋体"/>
          <w:sz w:val="24"/>
          <w:lang w:eastAsia="zh-CN"/>
        </w:rPr>
      </w:pPr>
      <w:r>
        <w:rPr>
          <w:rFonts w:ascii="宋体" w:hAnsi="宋体" w:hint="eastAsia"/>
          <w:sz w:val="24"/>
          <w:highlight w:val="white"/>
          <w:lang w:eastAsia="zh-CN"/>
        </w:rPr>
        <w:t>基金管理人在下达指令时，应给基金托管人留出必需的划款时间。</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（七）基金融资</w:t>
      </w:r>
    </w:p>
    <w:p w:rsidR="00AB2B42">
      <w:pPr>
        <w:spacing w:line="360" w:lineRule="auto"/>
        <w:ind w:firstLine="480"/>
        <w:rPr>
          <w:rFonts w:ascii="宋体" w:hAnsi="宋体"/>
          <w:sz w:val="24"/>
          <w:lang w:eastAsia="zh-CN"/>
        </w:rPr>
      </w:pPr>
      <w:r>
        <w:rPr>
          <w:rFonts w:ascii="宋体" w:hAnsi="宋体" w:hint="eastAsia"/>
          <w:sz w:val="24"/>
          <w:highlight w:val="white"/>
          <w:lang w:eastAsia="zh-CN"/>
        </w:rPr>
        <w:t>如本基金按国家有关规定进行融资时，基金托管人应为基金融资提供必要的协助。</w:t>
      </w:r>
    </w:p>
    <w:p w:rsidR="00AB2B42">
      <w:pPr>
        <w:pStyle w:val="Heading1"/>
        <w:numPr>
          <w:ilvl w:val="0"/>
          <w:numId w:val="22"/>
        </w:numPr>
        <w:spacing w:before="0" w:after="0" w:line="360" w:lineRule="auto"/>
        <w:jc w:val="center"/>
        <w:rPr>
          <w:rFonts w:ascii="宋体" w:hAnsi="宋体"/>
          <w:sz w:val="24"/>
          <w:lang w:eastAsia="zh-CN"/>
        </w:rPr>
      </w:pPr>
      <w:r>
        <w:rPr>
          <w:rFonts w:ascii="宋体" w:hAnsi="宋体"/>
          <w:sz w:val="24"/>
          <w:szCs w:val="24"/>
          <w:highlight w:val="white"/>
          <w:lang w:eastAsia="zh-CN"/>
        </w:rPr>
        <w:br w:type="page"/>
      </w:r>
      <w:bookmarkStart w:id="166" w:name="_Toc295832644"/>
      <w:bookmarkStart w:id="167" w:name="_Toc295832951"/>
      <w:bookmarkStart w:id="168" w:name="_Toc295833011"/>
      <w:bookmarkStart w:id="169" w:name="_Toc295833682"/>
      <w:bookmarkStart w:id="170" w:name="_Toc124325892"/>
      <w:bookmarkStart w:id="171" w:name="_Toc270669859"/>
      <w:bookmarkStart w:id="172" w:name="_Toc355859321"/>
      <w:bookmarkStart w:id="173" w:name="_Toc366835702"/>
      <w:bookmarkEnd w:id="166"/>
      <w:bookmarkEnd w:id="167"/>
      <w:bookmarkEnd w:id="168"/>
      <w:bookmarkEnd w:id="169"/>
      <w:r>
        <w:rPr>
          <w:rFonts w:ascii="宋体" w:hAnsi="宋体" w:hint="eastAsia"/>
          <w:sz w:val="28"/>
          <w:szCs w:val="28"/>
          <w:highlight w:val="white"/>
          <w:lang w:eastAsia="zh-CN"/>
        </w:rPr>
        <w:t>基金资产净值计算和会计核算</w:t>
      </w:r>
      <w:bookmarkEnd w:id="170"/>
      <w:bookmarkEnd w:id="171"/>
      <w:bookmarkEnd w:id="172"/>
      <w:bookmarkEnd w:id="173"/>
    </w:p>
    <w:p w:rsidR="00AB2B42">
      <w:pPr>
        <w:spacing w:line="360" w:lineRule="auto"/>
        <w:ind w:firstLine="480"/>
        <w:rPr>
          <w:rFonts w:ascii="宋体" w:hAnsi="宋体"/>
          <w:sz w:val="24"/>
          <w:lang w:eastAsia="zh-CN"/>
        </w:rPr>
      </w:pPr>
      <w:r>
        <w:rPr>
          <w:rFonts w:ascii="宋体" w:hAnsi="宋体" w:hint="eastAsia"/>
          <w:sz w:val="24"/>
          <w:highlight w:val="white"/>
          <w:lang w:eastAsia="zh-CN"/>
        </w:rPr>
        <w:t>（一）基金资产净值的计算、复核与完成的时间及程序</w:t>
      </w:r>
    </w:p>
    <w:p w:rsidR="00AB2B42">
      <w:pPr>
        <w:numPr>
          <w:ilvl w:val="0"/>
          <w:numId w:val="13"/>
        </w:numPr>
        <w:spacing w:line="360" w:lineRule="auto"/>
        <w:ind w:left="0" w:firstLine="480"/>
        <w:rPr>
          <w:rFonts w:ascii="宋体" w:hAnsi="宋体"/>
          <w:sz w:val="24"/>
        </w:rPr>
      </w:pPr>
      <w:r>
        <w:rPr>
          <w:rFonts w:ascii="宋体" w:hAnsi="宋体" w:hint="eastAsia"/>
          <w:sz w:val="24"/>
          <w:highlight w:val="white"/>
        </w:rPr>
        <w:t>基金资产净值</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基金资产净值是指基金资产总值减去基金负债后的价值。</w:t>
      </w:r>
    </w:p>
    <w:p w:rsidR="00AB2B42">
      <w:pPr>
        <w:spacing w:line="360" w:lineRule="auto"/>
        <w:ind w:firstLine="480" w:firstLineChars="200"/>
        <w:rPr>
          <w:rFonts w:ascii="宋体" w:hAnsi="宋体"/>
          <w:bCs/>
          <w:sz w:val="24"/>
          <w:lang w:eastAsia="zh-CN"/>
        </w:rPr>
      </w:pPr>
      <w:r>
        <w:rPr>
          <w:rFonts w:ascii="宋体" w:hAnsi="宋体"/>
          <w:bCs/>
          <w:sz w:val="24"/>
          <w:highlight w:val="white"/>
          <w:lang w:eastAsia="zh-CN"/>
        </w:rPr>
        <w:t>基金份额净值是按照</w:t>
      </w:r>
      <w:r>
        <w:rPr>
          <w:rFonts w:ascii="宋体" w:hAnsi="宋体" w:hint="eastAsia"/>
          <w:bCs/>
          <w:sz w:val="24"/>
          <w:highlight w:val="white"/>
          <w:lang w:eastAsia="zh-CN"/>
        </w:rPr>
        <w:t>估值日</w:t>
      </w:r>
      <w:r>
        <w:rPr>
          <w:rFonts w:ascii="宋体" w:hAnsi="宋体"/>
          <w:bCs/>
          <w:sz w:val="24"/>
          <w:highlight w:val="white"/>
          <w:lang w:eastAsia="zh-CN"/>
        </w:rPr>
        <w:t>基金资产净值除以</w:t>
      </w:r>
      <w:r>
        <w:rPr>
          <w:rFonts w:ascii="宋体" w:hAnsi="宋体" w:hint="eastAsia"/>
          <w:bCs/>
          <w:sz w:val="24"/>
          <w:highlight w:val="white"/>
          <w:lang w:eastAsia="zh-CN"/>
        </w:rPr>
        <w:t>估值日</w:t>
      </w:r>
      <w:r>
        <w:rPr>
          <w:rFonts w:ascii="宋体" w:hAnsi="宋体"/>
          <w:bCs/>
          <w:sz w:val="24"/>
          <w:highlight w:val="white"/>
          <w:lang w:eastAsia="zh-CN"/>
        </w:rPr>
        <w:t>基金份额的余额数量计算</w:t>
      </w:r>
      <w:r>
        <w:rPr>
          <w:rFonts w:ascii="宋体" w:hAnsi="宋体" w:hint="eastAsia"/>
          <w:bCs/>
          <w:sz w:val="24"/>
          <w:highlight w:val="white"/>
          <w:lang w:eastAsia="zh-CN"/>
        </w:rPr>
        <w:t>，精确到</w:t>
      </w:r>
      <w:r>
        <w:rPr>
          <w:rFonts w:ascii="宋体" w:hAnsi="宋体"/>
          <w:bCs/>
          <w:sz w:val="24"/>
          <w:highlight w:val="white"/>
          <w:lang w:eastAsia="zh-CN"/>
        </w:rPr>
        <w:t>0.0001</w:t>
      </w:r>
      <w:r>
        <w:rPr>
          <w:rFonts w:ascii="宋体" w:hAnsi="宋体" w:hint="eastAsia"/>
          <w:bCs/>
          <w:sz w:val="24"/>
          <w:highlight w:val="white"/>
          <w:lang w:eastAsia="zh-CN"/>
        </w:rPr>
        <w:t>元，小数点后第</w:t>
      </w:r>
      <w:r>
        <w:rPr>
          <w:rFonts w:ascii="宋体" w:hAnsi="宋体"/>
          <w:sz w:val="24"/>
          <w:highlight w:val="white"/>
          <w:lang w:eastAsia="zh-CN"/>
        </w:rPr>
        <w:t>5</w:t>
      </w:r>
      <w:r>
        <w:rPr>
          <w:rFonts w:ascii="宋体" w:hAnsi="宋体" w:hint="eastAsia"/>
          <w:bCs/>
          <w:sz w:val="24"/>
          <w:highlight w:val="white"/>
          <w:lang w:eastAsia="zh-CN"/>
        </w:rPr>
        <w:t>位四舍五入。基金管理人可以设立大额赎回情形下的净值精度应急调整机制。国家另有规定的，从其规定。</w:t>
      </w:r>
    </w:p>
    <w:p w:rsidR="00AB2B42">
      <w:pPr>
        <w:spacing w:line="360" w:lineRule="auto"/>
        <w:ind w:firstLine="480" w:firstLineChars="200"/>
        <w:rPr>
          <w:rFonts w:ascii="宋体" w:hAnsi="宋体"/>
          <w:sz w:val="24"/>
          <w:lang w:eastAsia="zh-CN"/>
        </w:rPr>
      </w:pPr>
      <w:r>
        <w:rPr>
          <w:rFonts w:ascii="宋体" w:hAnsi="宋体"/>
          <w:bCs/>
          <w:sz w:val="24"/>
          <w:highlight w:val="white"/>
          <w:lang w:eastAsia="zh-CN"/>
        </w:rPr>
        <w:t>每个</w:t>
      </w:r>
      <w:r>
        <w:rPr>
          <w:rFonts w:ascii="宋体" w:hAnsi="宋体" w:hint="eastAsia"/>
          <w:bCs/>
          <w:sz w:val="24"/>
          <w:highlight w:val="white"/>
          <w:lang w:eastAsia="zh-CN"/>
        </w:rPr>
        <w:t>估值日计算</w:t>
      </w:r>
      <w:r>
        <w:rPr>
          <w:rFonts w:ascii="宋体" w:hAnsi="宋体"/>
          <w:bCs/>
          <w:sz w:val="24"/>
          <w:highlight w:val="white"/>
          <w:lang w:eastAsia="zh-CN"/>
        </w:rPr>
        <w:t>基金资产净值及基金份额净值</w:t>
      </w:r>
      <w:r>
        <w:rPr>
          <w:rFonts w:ascii="宋体" w:hAnsi="宋体" w:hint="eastAsia"/>
          <w:bCs/>
          <w:sz w:val="24"/>
          <w:highlight w:val="white"/>
          <w:lang w:eastAsia="zh-CN"/>
        </w:rPr>
        <w:t>，并按规定公告。</w:t>
      </w:r>
    </w:p>
    <w:p w:rsidR="00AB2B42">
      <w:pPr>
        <w:numPr>
          <w:ilvl w:val="0"/>
          <w:numId w:val="13"/>
        </w:numPr>
        <w:spacing w:line="360" w:lineRule="auto"/>
        <w:ind w:left="0" w:firstLine="480"/>
        <w:rPr>
          <w:rFonts w:ascii="宋体" w:hAnsi="宋体"/>
          <w:sz w:val="24"/>
        </w:rPr>
      </w:pPr>
      <w:r>
        <w:rPr>
          <w:rFonts w:ascii="宋体" w:hAnsi="宋体" w:hint="eastAsia"/>
          <w:sz w:val="24"/>
          <w:highlight w:val="white"/>
        </w:rPr>
        <w:t>复核程序</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每估值日对基金资产进行估值后，将基金份额净值结果以双方约定的方式提交给基金托管人，经基金托管人复核无误后，以约定的方式将复核结果提交给基金管理人，由基金管理人依据基金合同和有关法律法规对外公布。</w:t>
      </w:r>
    </w:p>
    <w:p w:rsidR="00AB2B42">
      <w:pPr>
        <w:numPr>
          <w:ilvl w:val="0"/>
          <w:numId w:val="13"/>
        </w:numPr>
        <w:spacing w:line="360" w:lineRule="auto"/>
        <w:ind w:left="0" w:firstLine="480"/>
        <w:rPr>
          <w:rFonts w:ascii="宋体" w:hAnsi="宋体"/>
          <w:sz w:val="24"/>
          <w:lang w:eastAsia="zh-CN"/>
        </w:rPr>
      </w:pPr>
      <w:r>
        <w:rPr>
          <w:rFonts w:ascii="宋体" w:hAnsi="宋体" w:hint="eastAsia"/>
          <w:sz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（二）基金资产估值方法和特殊情形的处理</w:t>
      </w:r>
    </w:p>
    <w:p w:rsidR="00AB2B42">
      <w:pPr>
        <w:numPr>
          <w:ilvl w:val="0"/>
          <w:numId w:val="20"/>
        </w:numPr>
        <w:spacing w:line="360" w:lineRule="auto"/>
        <w:rPr>
          <w:rFonts w:ascii="宋体" w:hAnsi="宋体"/>
          <w:sz w:val="24"/>
        </w:rPr>
      </w:pPr>
      <w:r>
        <w:rPr>
          <w:rFonts w:ascii="宋体" w:hAnsi="宋体" w:hint="eastAsia"/>
          <w:sz w:val="24"/>
          <w:highlight w:val="white"/>
        </w:rPr>
        <w:t>估值对象</w:t>
      </w:r>
    </w:p>
    <w:p w:rsidR="00AB2B42">
      <w:pPr>
        <w:spacing w:line="360" w:lineRule="auto"/>
        <w:ind w:firstLine="480" w:firstLineChars="200"/>
        <w:rPr>
          <w:rFonts w:ascii="宋体" w:hAnsi="宋体"/>
          <w:sz w:val="24"/>
          <w:lang w:eastAsia="zh-CN"/>
        </w:rPr>
      </w:pPr>
      <w:r>
        <w:rPr>
          <w:rFonts w:ascii="宋体" w:hAnsi="宋体" w:hint="eastAsia"/>
          <w:bCs/>
          <w:sz w:val="24"/>
          <w:highlight w:val="white"/>
          <w:lang w:eastAsia="zh-CN"/>
        </w:rPr>
        <w:t>基金所拥有的股票、债券和银行存款本息、应收款项、其它投资等资产及负债。</w:t>
      </w:r>
    </w:p>
    <w:p w:rsidR="00AB2B42">
      <w:pPr>
        <w:numPr>
          <w:ilvl w:val="0"/>
          <w:numId w:val="20"/>
        </w:numPr>
        <w:spacing w:line="360" w:lineRule="auto"/>
        <w:rPr>
          <w:rFonts w:ascii="宋体" w:hAnsi="宋体"/>
          <w:sz w:val="24"/>
        </w:rPr>
      </w:pPr>
      <w:r>
        <w:rPr>
          <w:rFonts w:ascii="宋体" w:hAnsi="宋体" w:hint="eastAsia"/>
          <w:sz w:val="24"/>
          <w:highlight w:val="white"/>
        </w:rPr>
        <w:t>估值方法</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2）处于未上市期间的有价证券应区分如下情况处理：</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1）送股、转增股、配股和公开增发的新股，按估值日在证券交易所挂牌的同一股票的估值方法估值；该日无交易的，以最近一日的市价（收盘价）估值；</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2）首次公开发行未上市的股票，采用估值技术确定公允价值；</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3）对于已上市或已挂牌转让的不含权固定收益品种，选取估值日第三方估值基准服务机构提供的相应品种当日的估值全价进行估值。</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4）对于已上市或已挂牌转让的含权固定收益品种，选取估值日第三方估值基准服务机构提供的相应品种当日的唯一估值全价或推荐估值全价进行估值。</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6）对于未上市或未挂牌转让且不存在活跃市场的固定收益品种，采用在当前情况下适用并且有足够可利用数据和其他信息支持的估值技术确定其公允价值。</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7）期货合约以估值当日结算价进行估值，估值当日无结算价的，且最近交易日后经济环境未发生重大变化的，采用最近交易日结算价估值。</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8）本基金投资期权，根据相关法律法规以及监管部门的规定估值。</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9）本基金参与融资业务的，按照相关法律法规、监管部门和行业协会的相关规定进行估值。</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10）本基金投资存托凭证的估值核算，依照境内上市交易的股票执行。</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11）汇率</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如本基金投资股票市场交易互联互通机制允许买卖的境外证券市场上市的股票，涉及相关货币对人民币汇率的，汇率来源详见招募说明书。</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12）税收</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13）如有充分理由表明按上述方法进行估值不能客观反映其公允价值的，基金管理人可根据具体情况与基金托管人商定后，按最能反映公允价值的价格估值。</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14）当发生大额申购或赎回情形时，基金管理人可以采用摆动定价机制，以确保基金估值的公平性。</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15）相关法律法规以及监管部门有强制规定的，从其规定。如有新增事项，按国家最新规定估值。</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B2B42">
      <w:pPr>
        <w:numPr>
          <w:ilvl w:val="0"/>
          <w:numId w:val="20"/>
        </w:numPr>
        <w:spacing w:line="360" w:lineRule="auto"/>
        <w:rPr>
          <w:rFonts w:ascii="宋体" w:hAnsi="宋体"/>
          <w:sz w:val="24"/>
          <w:highlight w:val="white"/>
        </w:rPr>
      </w:pPr>
      <w:r>
        <w:rPr>
          <w:rFonts w:ascii="宋体" w:hAnsi="宋体" w:hint="eastAsia"/>
          <w:sz w:val="24"/>
          <w:highlight w:val="white"/>
        </w:rPr>
        <w:t>特殊情形的处理</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基金管理人、基金托管人按估值方法的第（13）项进行估值时，所造成的误差不作为基金资产估值错误处理。</w:t>
      </w:r>
    </w:p>
    <w:p w:rsidR="00AB2B42">
      <w:pPr>
        <w:spacing w:line="360" w:lineRule="auto"/>
        <w:ind w:firstLine="480" w:firstLineChars="200"/>
        <w:rPr>
          <w:rStyle w:val="read"/>
          <w:rFonts w:ascii="宋体" w:hAnsi="宋体"/>
          <w:sz w:val="24"/>
          <w:lang w:eastAsia="zh-CN"/>
        </w:rPr>
      </w:pPr>
      <w:r>
        <w:rPr>
          <w:rFonts w:hint="eastAsia"/>
          <w:bCs/>
          <w:sz w:val="24"/>
          <w:highlight w:val="white"/>
          <w:lang w:eastAsia="zh-CN"/>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（三）基金份额净值错误的处理方式</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基金管理人和基金托管人将采取必要、适当、合理的措施确保基金资产估值的准确性、及时性。当基金份额净值小数点后4位以内（含第4 位）发生估值错误时，视为基金份额净值错误。</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基金合同的当事人应按照以下约定处理：</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1</w:t>
      </w:r>
      <w:r w:rsidR="00B47DBD">
        <w:rPr>
          <w:rStyle w:val="read"/>
          <w:rFonts w:ascii="宋体" w:hAnsi="宋体" w:hint="eastAsia"/>
          <w:sz w:val="24"/>
          <w:highlight w:val="white"/>
          <w:lang w:eastAsia="zh-CN"/>
        </w:rPr>
        <w:t>．</w:t>
      </w:r>
      <w:r>
        <w:rPr>
          <w:rStyle w:val="read"/>
          <w:rFonts w:ascii="宋体" w:hAnsi="宋体" w:hint="eastAsia"/>
          <w:sz w:val="24"/>
          <w:highlight w:val="white"/>
          <w:lang w:eastAsia="zh-CN"/>
        </w:rPr>
        <w:t>估值错误类型</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上述估值错误的主要类型包括但不限于：资料申报差错、数据传输差错、数据计算差错、系统故障差错、下达指令差错等。</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2</w:t>
      </w:r>
      <w:r w:rsidR="00B47DBD">
        <w:rPr>
          <w:rStyle w:val="read"/>
          <w:rFonts w:ascii="宋体" w:hAnsi="宋体" w:hint="eastAsia"/>
          <w:sz w:val="24"/>
          <w:highlight w:val="white"/>
          <w:lang w:eastAsia="zh-CN"/>
        </w:rPr>
        <w:t>．</w:t>
      </w:r>
      <w:r>
        <w:rPr>
          <w:rStyle w:val="read"/>
          <w:rFonts w:ascii="宋体" w:hAnsi="宋体" w:hint="eastAsia"/>
          <w:sz w:val="24"/>
          <w:highlight w:val="white"/>
          <w:lang w:eastAsia="zh-CN"/>
        </w:rPr>
        <w:t>估值错误处理原则</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（2）估值错误的责任方对有关当事人的直接损失负责，不对间接损失负责，并且仅对估值错误的有关直接当事人负责，不对第三方负责。</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（4）估值错误调整采用尽量恢复至假设未发生估值错误的正确情形的方式。</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3</w:t>
      </w:r>
      <w:r w:rsidR="00B47DBD">
        <w:rPr>
          <w:rStyle w:val="read"/>
          <w:rFonts w:ascii="宋体" w:hAnsi="宋体" w:hint="eastAsia"/>
          <w:sz w:val="24"/>
          <w:highlight w:val="white"/>
          <w:lang w:eastAsia="zh-CN"/>
        </w:rPr>
        <w:t>．</w:t>
      </w:r>
      <w:r>
        <w:rPr>
          <w:rStyle w:val="read"/>
          <w:rFonts w:ascii="宋体" w:hAnsi="宋体" w:hint="eastAsia"/>
          <w:sz w:val="24"/>
          <w:highlight w:val="white"/>
          <w:lang w:eastAsia="zh-CN"/>
        </w:rPr>
        <w:t>估值错误处理程序</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估值错误被发现后，有关的当事人应当及时进行处理，处理的程序如下：</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（1）查明估值错误发生的原因，列明所有的当事人，并根据估值错误发生的原因确定估值错误的责任方；</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（2）根据估值错误处理原则或当事人协商的方法对因估值错误造成的损失进行评估；</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（3）根据估值错误处理原则或当事人协商的方法由估值错误的责任方进行更正和赔偿损失；</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（4）根据估值错误处理的方法，需要修改基金登记机构交易数据的，由基金登记机构进行更正，并就估值错误的更正向有关当事人进行确认。</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4</w:t>
      </w:r>
      <w:r w:rsidR="00B47DBD">
        <w:rPr>
          <w:rStyle w:val="read"/>
          <w:rFonts w:ascii="宋体" w:hAnsi="宋体" w:hint="eastAsia"/>
          <w:sz w:val="24"/>
          <w:highlight w:val="white"/>
          <w:lang w:eastAsia="zh-CN"/>
        </w:rPr>
        <w:t>．</w:t>
      </w:r>
      <w:r>
        <w:rPr>
          <w:rStyle w:val="read"/>
          <w:rFonts w:ascii="宋体" w:hAnsi="宋体" w:hint="eastAsia"/>
          <w:sz w:val="24"/>
          <w:highlight w:val="white"/>
          <w:lang w:eastAsia="zh-CN"/>
        </w:rPr>
        <w:t>基金份额净值估值错误处理的方法如下：</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（1）基金份额净值计算出现错误时，基金管理人应当立即予以纠正，通报基金托管人，并采取合理的措施防止损失进一步扩大。</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（2）错误偏差达到基金份额净值的0.25%时，基金管理人应当通报基金托管人并报中国证监会备案；错误偏差达到基金份额净值的0.5%时，基金管理人应当公告，并报中国证监会备案。</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（3）前述内容如法律法规或监管机关另有规定的，从其规定处理。</w:t>
      </w:r>
    </w:p>
    <w:p w:rsidR="00AB2B42">
      <w:pPr>
        <w:spacing w:line="360" w:lineRule="auto"/>
        <w:ind w:firstLine="480"/>
        <w:rPr>
          <w:rFonts w:ascii="宋体" w:hAnsi="宋体"/>
          <w:sz w:val="24"/>
          <w:lang w:eastAsia="zh-CN"/>
        </w:rPr>
      </w:pPr>
      <w:r>
        <w:rPr>
          <w:rFonts w:ascii="宋体" w:hAnsi="宋体" w:hint="eastAsia"/>
          <w:sz w:val="24"/>
          <w:highlight w:val="white"/>
          <w:lang w:eastAsia="zh-CN"/>
        </w:rPr>
        <w:t>（四）暂停估值的情形</w:t>
      </w:r>
    </w:p>
    <w:p w:rsidR="00AB2B42">
      <w:pPr>
        <w:spacing w:line="360" w:lineRule="auto"/>
        <w:ind w:firstLine="480"/>
        <w:rPr>
          <w:rFonts w:ascii="宋体" w:hAnsi="宋体"/>
          <w:sz w:val="24"/>
          <w:lang w:eastAsia="zh-CN"/>
        </w:rPr>
      </w:pPr>
      <w:r>
        <w:rPr>
          <w:rFonts w:ascii="宋体" w:hAnsi="宋体"/>
          <w:bCs/>
          <w:sz w:val="24"/>
          <w:highlight w:val="white"/>
          <w:lang w:eastAsia="zh-CN"/>
        </w:rPr>
        <w:t>1</w:t>
      </w:r>
      <w:r w:rsidR="00B47DBD">
        <w:rPr>
          <w:rFonts w:ascii="宋体" w:hAnsi="宋体" w:hint="eastAsia"/>
          <w:bCs/>
          <w:sz w:val="24"/>
          <w:highlight w:val="white"/>
          <w:lang w:eastAsia="zh-CN"/>
        </w:rPr>
        <w:t>．</w:t>
      </w:r>
      <w:r>
        <w:rPr>
          <w:rFonts w:ascii="宋体" w:hAnsi="宋体"/>
          <w:bCs/>
          <w:sz w:val="24"/>
          <w:highlight w:val="white"/>
          <w:lang w:eastAsia="zh-CN"/>
        </w:rPr>
        <w:t>基金投资所涉及的证券交易市场遇法定节假日或因其他原因暂停营业时；</w:t>
      </w:r>
    </w:p>
    <w:p w:rsidR="00AB2B42">
      <w:pPr>
        <w:spacing w:line="360" w:lineRule="auto"/>
        <w:ind w:firstLine="480"/>
        <w:rPr>
          <w:rFonts w:ascii="宋体" w:hAnsi="宋体"/>
          <w:sz w:val="24"/>
          <w:lang w:eastAsia="zh-CN"/>
        </w:rPr>
      </w:pPr>
      <w:r>
        <w:rPr>
          <w:rFonts w:ascii="宋体" w:hAnsi="宋体"/>
          <w:bCs/>
          <w:sz w:val="24"/>
          <w:highlight w:val="white"/>
          <w:lang w:eastAsia="zh-CN"/>
        </w:rPr>
        <w:t>2</w:t>
      </w:r>
      <w:r w:rsidR="00B47DBD">
        <w:rPr>
          <w:rFonts w:ascii="宋体" w:hAnsi="宋体" w:hint="eastAsia"/>
          <w:bCs/>
          <w:sz w:val="24"/>
          <w:highlight w:val="white"/>
          <w:lang w:eastAsia="zh-CN"/>
        </w:rPr>
        <w:t>．</w:t>
      </w:r>
      <w:r>
        <w:rPr>
          <w:rFonts w:ascii="宋体" w:hAnsi="宋体"/>
          <w:bCs/>
          <w:sz w:val="24"/>
          <w:highlight w:val="white"/>
          <w:lang w:eastAsia="zh-CN"/>
        </w:rPr>
        <w:t>因不可抗力致使基金管理人、基金托管人无法准确评估基金资产价值时；</w:t>
      </w:r>
    </w:p>
    <w:p w:rsidR="00AB2B42">
      <w:pPr>
        <w:spacing w:line="360" w:lineRule="auto"/>
        <w:ind w:firstLine="480"/>
        <w:rPr>
          <w:rFonts w:ascii="宋体" w:hAnsi="宋体"/>
          <w:sz w:val="24"/>
          <w:lang w:eastAsia="zh-CN"/>
        </w:rPr>
      </w:pPr>
      <w:r>
        <w:rPr>
          <w:rFonts w:ascii="宋体" w:hAnsi="宋体"/>
          <w:bCs/>
          <w:sz w:val="24"/>
          <w:highlight w:val="white"/>
          <w:lang w:eastAsia="zh-CN"/>
        </w:rPr>
        <w:t>3</w:t>
      </w:r>
      <w:r w:rsidR="00B47DBD">
        <w:rPr>
          <w:rFonts w:ascii="宋体" w:hAnsi="宋体" w:hint="eastAsia"/>
          <w:bCs/>
          <w:sz w:val="24"/>
          <w:highlight w:val="white"/>
          <w:lang w:eastAsia="zh-CN"/>
        </w:rPr>
        <w:t>．</w:t>
      </w:r>
      <w:r>
        <w:rPr>
          <w:rFonts w:ascii="宋体" w:hAnsi="宋体"/>
          <w:bCs/>
          <w:sz w:val="24"/>
          <w:highlight w:val="white"/>
          <w:lang w:eastAsia="zh-CN"/>
        </w:rPr>
        <w:t>当特定资产占前一估值日基金资产净值50%以上的，经与基金托管人协商确认后，基金管理人应当暂停估值；</w:t>
      </w:r>
    </w:p>
    <w:p w:rsidR="00AB2B42">
      <w:pPr>
        <w:spacing w:line="360" w:lineRule="auto"/>
        <w:ind w:firstLine="480"/>
        <w:rPr>
          <w:rFonts w:ascii="宋体" w:hAnsi="宋体"/>
          <w:sz w:val="24"/>
          <w:lang w:eastAsia="zh-CN"/>
        </w:rPr>
      </w:pPr>
      <w:r>
        <w:rPr>
          <w:rFonts w:ascii="宋体" w:hAnsi="宋体"/>
          <w:bCs/>
          <w:sz w:val="24"/>
          <w:highlight w:val="white"/>
          <w:lang w:eastAsia="zh-CN"/>
        </w:rPr>
        <w:t>4</w:t>
      </w:r>
      <w:r w:rsidR="00B47DBD">
        <w:rPr>
          <w:rFonts w:ascii="宋体" w:hAnsi="宋体" w:hint="eastAsia"/>
          <w:bCs/>
          <w:sz w:val="24"/>
          <w:highlight w:val="white"/>
          <w:lang w:eastAsia="zh-CN"/>
        </w:rPr>
        <w:t>．</w:t>
      </w:r>
      <w:r>
        <w:rPr>
          <w:rFonts w:ascii="宋体" w:hAnsi="宋体"/>
          <w:bCs/>
          <w:sz w:val="24"/>
          <w:highlight w:val="white"/>
          <w:lang w:eastAsia="zh-CN"/>
        </w:rPr>
        <w:t>中国证监会和基金合同认定的其它情形。</w:t>
      </w:r>
    </w:p>
    <w:p w:rsidR="00AB2B42">
      <w:pPr>
        <w:spacing w:line="360" w:lineRule="auto"/>
        <w:ind w:firstLine="480"/>
        <w:rPr>
          <w:rFonts w:ascii="宋体" w:hAnsi="宋体"/>
          <w:sz w:val="24"/>
          <w:lang w:eastAsia="zh-CN"/>
        </w:rPr>
      </w:pPr>
      <w:r>
        <w:rPr>
          <w:rFonts w:ascii="宋体" w:hAnsi="宋体" w:hint="eastAsia"/>
          <w:sz w:val="24"/>
          <w:highlight w:val="white"/>
          <w:lang w:eastAsia="zh-CN"/>
        </w:rPr>
        <w:t>（五）基金会计制度</w:t>
      </w:r>
    </w:p>
    <w:p w:rsidR="00AB2B42">
      <w:pPr>
        <w:spacing w:line="360" w:lineRule="auto"/>
        <w:ind w:firstLine="480"/>
        <w:rPr>
          <w:rFonts w:ascii="宋体" w:hAnsi="宋体"/>
          <w:sz w:val="24"/>
          <w:lang w:eastAsia="zh-CN"/>
        </w:rPr>
      </w:pPr>
      <w:r>
        <w:rPr>
          <w:rFonts w:ascii="宋体" w:hAnsi="宋体" w:hint="eastAsia"/>
          <w:sz w:val="24"/>
          <w:highlight w:val="white"/>
          <w:lang w:eastAsia="zh-CN"/>
        </w:rPr>
        <w:t>按国家有关部门规定的会计制度执行。</w:t>
      </w:r>
    </w:p>
    <w:p w:rsidR="00AB2B42">
      <w:pPr>
        <w:spacing w:line="360" w:lineRule="auto"/>
        <w:ind w:firstLine="480"/>
        <w:rPr>
          <w:rFonts w:ascii="宋体" w:hAnsi="宋体"/>
          <w:sz w:val="24"/>
          <w:lang w:eastAsia="zh-CN"/>
        </w:rPr>
      </w:pPr>
      <w:r>
        <w:rPr>
          <w:rFonts w:ascii="宋体" w:hAnsi="宋体" w:hint="eastAsia"/>
          <w:sz w:val="24"/>
          <w:highlight w:val="white"/>
          <w:lang w:eastAsia="zh-CN"/>
        </w:rPr>
        <w:t>（六）基金账册的建立</w:t>
      </w:r>
    </w:p>
    <w:p w:rsidR="00AB2B42">
      <w:pPr>
        <w:spacing w:line="360" w:lineRule="auto"/>
        <w:ind w:firstLine="480"/>
        <w:rPr>
          <w:rFonts w:ascii="宋体" w:hAnsi="宋体"/>
          <w:sz w:val="24"/>
          <w:lang w:eastAsia="zh-CN"/>
        </w:rPr>
      </w:pPr>
      <w:r>
        <w:rPr>
          <w:rFonts w:ascii="宋体" w:hAnsi="宋体" w:hint="eastAsia"/>
          <w:sz w:val="24"/>
          <w:highlight w:val="white"/>
          <w:lang w:eastAsia="zh-CN"/>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（七）基金财务报表与报告的编制和复核</w:t>
      </w:r>
    </w:p>
    <w:p w:rsidR="00AB2B42">
      <w:pPr>
        <w:numPr>
          <w:ilvl w:val="0"/>
          <w:numId w:val="14"/>
        </w:numPr>
        <w:spacing w:line="360" w:lineRule="auto"/>
        <w:ind w:left="0" w:firstLine="480"/>
        <w:rPr>
          <w:rStyle w:val="read"/>
          <w:rFonts w:ascii="宋体" w:hAnsi="宋体"/>
          <w:sz w:val="24"/>
        </w:rPr>
      </w:pPr>
      <w:r>
        <w:rPr>
          <w:rStyle w:val="read"/>
          <w:rFonts w:ascii="宋体" w:hAnsi="宋体" w:hint="eastAsia"/>
          <w:sz w:val="24"/>
          <w:highlight w:val="white"/>
        </w:rPr>
        <w:t>财务报表的编制</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基金财务报表由基金管理人编制，基金托管人复核。</w:t>
      </w:r>
    </w:p>
    <w:p w:rsidR="00AB2B42">
      <w:pPr>
        <w:numPr>
          <w:ilvl w:val="0"/>
          <w:numId w:val="14"/>
        </w:numPr>
        <w:spacing w:line="360" w:lineRule="auto"/>
        <w:ind w:left="0" w:firstLine="480"/>
        <w:rPr>
          <w:rStyle w:val="read"/>
          <w:rFonts w:ascii="宋体" w:hAnsi="宋体"/>
          <w:sz w:val="24"/>
        </w:rPr>
      </w:pPr>
      <w:r>
        <w:rPr>
          <w:rStyle w:val="read"/>
          <w:rFonts w:ascii="宋体" w:hAnsi="宋体" w:hint="eastAsia"/>
          <w:sz w:val="24"/>
          <w:highlight w:val="white"/>
        </w:rPr>
        <w:t>报表复核</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基金托管人在收到基金管理人编制的基金财务报表后，进行独立的复核。核对不符时，应及时通知基金管理人共同查出原因，进行调整，直至双方数据完全一致。</w:t>
      </w:r>
    </w:p>
    <w:p w:rsidR="00AB2B42">
      <w:pPr>
        <w:numPr>
          <w:ilvl w:val="0"/>
          <w:numId w:val="14"/>
        </w:numPr>
        <w:spacing w:line="360" w:lineRule="auto"/>
        <w:ind w:left="0" w:firstLine="480"/>
        <w:rPr>
          <w:rStyle w:val="read"/>
          <w:rFonts w:ascii="宋体" w:hAnsi="宋体"/>
          <w:sz w:val="24"/>
          <w:lang w:eastAsia="zh-CN"/>
        </w:rPr>
      </w:pPr>
      <w:r>
        <w:rPr>
          <w:rStyle w:val="read"/>
          <w:rFonts w:ascii="宋体" w:hAnsi="宋体" w:hint="eastAsia"/>
          <w:sz w:val="24"/>
          <w:highlight w:val="white"/>
          <w:lang w:eastAsia="zh-CN"/>
        </w:rPr>
        <w:t>财务报表的编制与复核时间安排</w:t>
      </w:r>
    </w:p>
    <w:p w:rsidR="00AB2B42">
      <w:pPr>
        <w:numPr>
          <w:ilvl w:val="0"/>
          <w:numId w:val="15"/>
        </w:numPr>
        <w:spacing w:line="360" w:lineRule="auto"/>
        <w:rPr>
          <w:rFonts w:ascii="宋体" w:hAnsi="宋体"/>
          <w:sz w:val="24"/>
        </w:rPr>
      </w:pPr>
      <w:r>
        <w:rPr>
          <w:rFonts w:ascii="宋体" w:hAnsi="宋体" w:hint="eastAsia"/>
          <w:sz w:val="24"/>
          <w:highlight w:val="white"/>
        </w:rPr>
        <w:t>报表的编制</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两个月的，基金管理人可以不编制当期季度报告、中期报告或者年度报告。</w:t>
      </w:r>
    </w:p>
    <w:p w:rsidR="00AB2B42">
      <w:pPr>
        <w:numPr>
          <w:ilvl w:val="0"/>
          <w:numId w:val="15"/>
        </w:numPr>
        <w:spacing w:line="360" w:lineRule="auto"/>
        <w:rPr>
          <w:rFonts w:ascii="宋体" w:hAnsi="宋体"/>
          <w:sz w:val="24"/>
        </w:rPr>
      </w:pPr>
      <w:r>
        <w:rPr>
          <w:rFonts w:ascii="宋体" w:hAnsi="宋体" w:hint="eastAsia"/>
          <w:sz w:val="24"/>
          <w:highlight w:val="white"/>
        </w:rPr>
        <w:t>报表的复核</w:t>
      </w:r>
    </w:p>
    <w:p w:rsidR="00AB2B42">
      <w:pPr>
        <w:pStyle w:val="NormalIndent"/>
        <w:spacing w:line="360" w:lineRule="auto"/>
        <w:rPr>
          <w:rFonts w:ascii="宋体" w:hAnsi="宋体"/>
          <w:sz w:val="24"/>
          <w:szCs w:val="24"/>
          <w:lang w:eastAsia="zh-CN"/>
        </w:rPr>
      </w:pPr>
      <w:r>
        <w:rPr>
          <w:rFonts w:ascii="宋体" w:hAnsi="宋体" w:hint="eastAsia"/>
          <w:sz w:val="24"/>
          <w:szCs w:val="24"/>
          <w:highlight w:val="white"/>
          <w:lang w:eastAsia="zh-CN"/>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AB2B42">
      <w:pPr>
        <w:pStyle w:val="NormalIndent"/>
        <w:spacing w:line="360" w:lineRule="auto"/>
        <w:rPr>
          <w:rFonts w:ascii="宋体" w:hAnsi="宋体"/>
          <w:sz w:val="24"/>
          <w:szCs w:val="24"/>
          <w:lang w:eastAsia="zh-CN"/>
        </w:rPr>
      </w:pPr>
      <w:r>
        <w:rPr>
          <w:rFonts w:ascii="宋体" w:hAnsi="宋体" w:hint="eastAsia"/>
          <w:sz w:val="24"/>
          <w:szCs w:val="24"/>
          <w:highlight w:val="white"/>
          <w:lang w:eastAsia="zh-CN"/>
        </w:rPr>
        <w:t>基金管理人应留足充分的时间，便于基金托管人复核相关报表及报告。</w:t>
      </w:r>
    </w:p>
    <w:p w:rsidR="00AB2B42">
      <w:pPr>
        <w:pStyle w:val="NormalIndent"/>
        <w:spacing w:line="360" w:lineRule="auto"/>
        <w:rPr>
          <w:rFonts w:ascii="宋体" w:hAnsi="宋体"/>
          <w:sz w:val="24"/>
          <w:szCs w:val="24"/>
          <w:lang w:eastAsia="zh-CN"/>
        </w:rPr>
      </w:pPr>
      <w:r>
        <w:rPr>
          <w:rFonts w:ascii="宋体" w:hAnsi="宋体" w:hint="eastAsia"/>
          <w:sz w:val="24"/>
          <w:szCs w:val="24"/>
          <w:highlight w:val="white"/>
          <w:lang w:eastAsia="zh-CN"/>
        </w:rPr>
        <w:t>（八）实施侧袋机制期间的基金资产估值</w:t>
      </w:r>
    </w:p>
    <w:p w:rsidR="00AB2B42">
      <w:pPr>
        <w:pStyle w:val="NormalIndent"/>
        <w:spacing w:line="360" w:lineRule="auto"/>
        <w:rPr>
          <w:rFonts w:ascii="宋体" w:hAnsi="宋体"/>
          <w:sz w:val="24"/>
          <w:szCs w:val="24"/>
          <w:lang w:eastAsia="zh-CN"/>
        </w:rPr>
      </w:pPr>
      <w:r>
        <w:rPr>
          <w:rFonts w:ascii="宋体" w:hAnsi="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AB2B42">
      <w:pPr>
        <w:pStyle w:val="NormalIndent"/>
        <w:spacing w:line="360" w:lineRule="auto"/>
        <w:rPr>
          <w:rFonts w:ascii="宋体" w:hAnsi="宋体"/>
          <w:sz w:val="24"/>
          <w:szCs w:val="24"/>
          <w:lang w:eastAsia="zh-CN"/>
        </w:rPr>
      </w:pPr>
    </w:p>
    <w:p w:rsidR="00AB2B42">
      <w:pPr>
        <w:pStyle w:val="NormalIndent"/>
        <w:spacing w:line="360" w:lineRule="auto"/>
        <w:rPr>
          <w:rFonts w:ascii="宋体" w:hAnsi="宋体"/>
          <w:sz w:val="24"/>
          <w:szCs w:val="24"/>
          <w:lang w:eastAsia="zh-CN"/>
        </w:rPr>
      </w:pPr>
    </w:p>
    <w:p w:rsidR="00AB2B42">
      <w:pPr>
        <w:pStyle w:val="Heading1"/>
        <w:numPr>
          <w:ilvl w:val="0"/>
          <w:numId w:val="22"/>
        </w:numPr>
        <w:spacing w:line="360" w:lineRule="auto"/>
        <w:jc w:val="center"/>
        <w:rPr>
          <w:rFonts w:ascii="宋体" w:hAnsi="宋体"/>
          <w:sz w:val="28"/>
          <w:szCs w:val="28"/>
        </w:rPr>
      </w:pPr>
      <w:bookmarkStart w:id="174" w:name="_Toc295832646"/>
      <w:bookmarkStart w:id="175" w:name="_Toc295832953"/>
      <w:bookmarkStart w:id="176" w:name="_Toc295833013"/>
      <w:bookmarkStart w:id="177" w:name="_Toc295833684"/>
      <w:bookmarkStart w:id="178" w:name="_Toc295832647"/>
      <w:bookmarkStart w:id="179" w:name="_Toc295832954"/>
      <w:bookmarkStart w:id="180" w:name="_Toc295833014"/>
      <w:bookmarkStart w:id="181" w:name="_Toc295833685"/>
      <w:bookmarkEnd w:id="174"/>
      <w:bookmarkEnd w:id="175"/>
      <w:bookmarkEnd w:id="176"/>
      <w:bookmarkEnd w:id="177"/>
      <w:bookmarkEnd w:id="178"/>
      <w:bookmarkEnd w:id="179"/>
      <w:bookmarkEnd w:id="180"/>
      <w:bookmarkEnd w:id="181"/>
      <w:r>
        <w:rPr>
          <w:rFonts w:ascii="宋体" w:hAnsi="宋体"/>
          <w:sz w:val="24"/>
          <w:szCs w:val="24"/>
          <w:highlight w:val="white"/>
          <w:lang w:eastAsia="zh-CN"/>
        </w:rPr>
        <w:br w:type="page"/>
      </w:r>
      <w:bookmarkStart w:id="182" w:name="_Toc295832648"/>
      <w:bookmarkStart w:id="183" w:name="_Toc295832955"/>
      <w:bookmarkStart w:id="184" w:name="_Toc295833015"/>
      <w:bookmarkStart w:id="185" w:name="_Toc295833686"/>
      <w:bookmarkStart w:id="186" w:name="_Toc124325893"/>
      <w:bookmarkStart w:id="187" w:name="_Toc270669860"/>
      <w:bookmarkStart w:id="188" w:name="_Toc355859322"/>
      <w:bookmarkStart w:id="189" w:name="_Toc366835703"/>
      <w:bookmarkEnd w:id="182"/>
      <w:bookmarkEnd w:id="183"/>
      <w:bookmarkEnd w:id="184"/>
      <w:bookmarkEnd w:id="185"/>
      <w:r>
        <w:rPr>
          <w:rFonts w:ascii="宋体" w:hAnsi="宋体" w:hint="eastAsia"/>
          <w:sz w:val="28"/>
          <w:szCs w:val="28"/>
          <w:highlight w:val="white"/>
        </w:rPr>
        <w:t>基金收益分配</w:t>
      </w:r>
      <w:bookmarkEnd w:id="186"/>
      <w:bookmarkEnd w:id="187"/>
      <w:bookmarkEnd w:id="188"/>
      <w:bookmarkEnd w:id="189"/>
    </w:p>
    <w:p w:rsidR="00AB2B42">
      <w:pPr>
        <w:spacing w:line="360" w:lineRule="auto"/>
        <w:ind w:firstLine="480"/>
        <w:rPr>
          <w:rFonts w:ascii="宋体" w:hAnsi="宋体"/>
          <w:sz w:val="24"/>
          <w:lang w:eastAsia="zh-CN"/>
        </w:rPr>
      </w:pPr>
      <w:r>
        <w:rPr>
          <w:rFonts w:ascii="宋体" w:hAnsi="宋体" w:hint="eastAsia"/>
          <w:sz w:val="24"/>
          <w:highlight w:val="white"/>
          <w:lang w:eastAsia="zh-CN"/>
        </w:rPr>
        <w:t>（一）基金收益分配的原则</w:t>
      </w:r>
    </w:p>
    <w:p w:rsidR="00AB2B42">
      <w:pPr>
        <w:spacing w:line="360" w:lineRule="auto"/>
        <w:ind w:firstLine="480"/>
        <w:rPr>
          <w:rFonts w:ascii="宋体" w:hAnsi="宋体"/>
          <w:sz w:val="24"/>
          <w:lang w:eastAsia="zh-CN"/>
        </w:rPr>
      </w:pPr>
      <w:r>
        <w:rPr>
          <w:rFonts w:ascii="宋体" w:hAnsi="宋体" w:hint="eastAsia"/>
          <w:sz w:val="24"/>
          <w:highlight w:val="white"/>
          <w:lang w:eastAsia="zh-CN"/>
        </w:rPr>
        <w:t>1</w:t>
      </w:r>
      <w:r w:rsidR="00B47DBD">
        <w:rPr>
          <w:rFonts w:ascii="宋体" w:hAnsi="宋体" w:hint="eastAsia"/>
          <w:sz w:val="24"/>
          <w:highlight w:val="white"/>
          <w:lang w:eastAsia="zh-CN"/>
        </w:rPr>
        <w:t>．</w:t>
      </w:r>
      <w:r>
        <w:rPr>
          <w:rFonts w:ascii="宋体" w:hAnsi="宋体" w:hint="eastAsia"/>
          <w:sz w:val="24"/>
          <w:highlight w:val="white"/>
          <w:lang w:eastAsia="zh-CN"/>
        </w:rPr>
        <w:t>在符合有关基金分红条件的前提下，基金管理人可以根据实际情况进行收益分配，具体分配方案以公告为准，若《基金合同》生效不满3个月可不进行收益分配；</w:t>
      </w:r>
    </w:p>
    <w:p w:rsidR="00AB2B42">
      <w:pPr>
        <w:spacing w:line="360" w:lineRule="auto"/>
        <w:ind w:firstLine="480"/>
        <w:rPr>
          <w:rFonts w:ascii="宋体" w:hAnsi="宋体"/>
          <w:sz w:val="24"/>
          <w:lang w:eastAsia="zh-CN"/>
        </w:rPr>
      </w:pPr>
      <w:r>
        <w:rPr>
          <w:rFonts w:ascii="宋体" w:hAnsi="宋体" w:hint="eastAsia"/>
          <w:sz w:val="24"/>
          <w:highlight w:val="white"/>
          <w:lang w:eastAsia="zh-CN"/>
        </w:rPr>
        <w:t>2</w:t>
      </w:r>
      <w:r w:rsidR="00B47DBD">
        <w:rPr>
          <w:rFonts w:ascii="宋体" w:hAnsi="宋体" w:hint="eastAsia"/>
          <w:sz w:val="24"/>
          <w:highlight w:val="white"/>
          <w:lang w:eastAsia="zh-CN"/>
        </w:rPr>
        <w:t>．</w:t>
      </w:r>
      <w:r>
        <w:rPr>
          <w:rFonts w:ascii="宋体" w:hAnsi="宋体" w:hint="eastAsia"/>
          <w:sz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p>
    <w:p w:rsidR="00AB2B42">
      <w:pPr>
        <w:spacing w:line="360" w:lineRule="auto"/>
        <w:ind w:firstLine="480"/>
        <w:rPr>
          <w:rFonts w:ascii="宋体" w:hAnsi="宋体"/>
          <w:sz w:val="24"/>
          <w:lang w:eastAsia="zh-CN"/>
        </w:rPr>
      </w:pPr>
      <w:r>
        <w:rPr>
          <w:rFonts w:ascii="宋体" w:hAnsi="宋体" w:hint="eastAsia"/>
          <w:sz w:val="24"/>
          <w:highlight w:val="white"/>
          <w:lang w:eastAsia="zh-CN"/>
        </w:rPr>
        <w:t>3</w:t>
      </w:r>
      <w:r w:rsidR="00B47DBD">
        <w:rPr>
          <w:rFonts w:ascii="宋体" w:hAnsi="宋体" w:hint="eastAsia"/>
          <w:sz w:val="24"/>
          <w:highlight w:val="white"/>
          <w:lang w:eastAsia="zh-CN"/>
        </w:rPr>
        <w:t>．</w:t>
      </w:r>
      <w:r>
        <w:rPr>
          <w:rFonts w:ascii="宋体" w:hAnsi="宋体" w:hint="eastAsia"/>
          <w:sz w:val="24"/>
          <w:highlight w:val="white"/>
          <w:lang w:eastAsia="zh-CN"/>
        </w:rPr>
        <w:t>基金收益分配后基金份额净值不能低于面值；即基金收益分配基准日的基金份额净值减去每单位基金份额收益分配金额后不能低于面值；</w:t>
      </w:r>
    </w:p>
    <w:p w:rsidR="00AB2B42">
      <w:pPr>
        <w:spacing w:line="360" w:lineRule="auto"/>
        <w:ind w:firstLine="480"/>
        <w:rPr>
          <w:rFonts w:ascii="宋体" w:hAnsi="宋体"/>
          <w:sz w:val="24"/>
          <w:lang w:eastAsia="zh-CN"/>
        </w:rPr>
      </w:pPr>
      <w:r>
        <w:rPr>
          <w:rFonts w:ascii="宋体" w:hAnsi="宋体" w:hint="eastAsia"/>
          <w:sz w:val="24"/>
          <w:highlight w:val="white"/>
          <w:lang w:eastAsia="zh-CN"/>
        </w:rPr>
        <w:t>4</w:t>
      </w:r>
      <w:r w:rsidR="00B47DBD">
        <w:rPr>
          <w:rFonts w:ascii="宋体" w:hAnsi="宋体" w:hint="eastAsia"/>
          <w:sz w:val="24"/>
          <w:highlight w:val="white"/>
          <w:lang w:eastAsia="zh-CN"/>
        </w:rPr>
        <w:t>．</w:t>
      </w:r>
      <w:r>
        <w:rPr>
          <w:rFonts w:ascii="宋体" w:hAnsi="宋体" w:hint="eastAsia"/>
          <w:sz w:val="24"/>
          <w:highlight w:val="white"/>
          <w:lang w:eastAsia="zh-CN"/>
        </w:rPr>
        <w:t>本基金各基金份额类别在费用收取上不同，其对应的可分配收益可能有所不同。同一类别的每一基金份额享有同等分配权；</w:t>
      </w:r>
    </w:p>
    <w:p w:rsidR="00AB2B42">
      <w:pPr>
        <w:spacing w:line="360" w:lineRule="auto"/>
        <w:ind w:firstLine="480"/>
        <w:rPr>
          <w:rFonts w:ascii="宋体" w:hAnsi="宋体"/>
          <w:sz w:val="24"/>
          <w:lang w:eastAsia="zh-CN"/>
        </w:rPr>
      </w:pPr>
      <w:r>
        <w:rPr>
          <w:rFonts w:ascii="宋体" w:hAnsi="宋体" w:hint="eastAsia"/>
          <w:sz w:val="24"/>
          <w:highlight w:val="white"/>
          <w:lang w:eastAsia="zh-CN"/>
        </w:rPr>
        <w:t>5</w:t>
      </w:r>
      <w:r w:rsidR="00B47DBD">
        <w:rPr>
          <w:rFonts w:ascii="宋体" w:hAnsi="宋体" w:hint="eastAsia"/>
          <w:sz w:val="24"/>
          <w:highlight w:val="white"/>
          <w:lang w:eastAsia="zh-CN"/>
        </w:rPr>
        <w:t>．</w:t>
      </w:r>
      <w:r>
        <w:rPr>
          <w:rFonts w:ascii="宋体" w:hAnsi="宋体" w:hint="eastAsia"/>
          <w:sz w:val="24"/>
          <w:highlight w:val="white"/>
          <w:lang w:eastAsia="zh-CN"/>
        </w:rPr>
        <w:t>在对基金份额持有人利益无实质不利影响的前提下，基金管理人可调整基金收益的分配原则和支付方式</w:t>
      </w:r>
      <w:r>
        <w:rPr>
          <w:rFonts w:ascii="宋体" w:hAnsi="宋体" w:hint="eastAsia"/>
          <w:sz w:val="24"/>
          <w:highlight w:val="white"/>
          <w:lang w:eastAsia="zh-CN"/>
        </w:rPr>
        <w:t>；</w:t>
      </w:r>
    </w:p>
    <w:p w:rsidR="00AB2B42">
      <w:pPr>
        <w:spacing w:line="360" w:lineRule="auto"/>
        <w:ind w:firstLine="480"/>
        <w:rPr>
          <w:rFonts w:ascii="宋体" w:hAnsi="宋体"/>
          <w:sz w:val="24"/>
          <w:lang w:eastAsia="zh-CN"/>
        </w:rPr>
      </w:pPr>
      <w:r>
        <w:rPr>
          <w:rFonts w:ascii="宋体" w:hAnsi="宋体" w:hint="eastAsia"/>
          <w:sz w:val="24"/>
          <w:highlight w:val="white"/>
          <w:lang w:eastAsia="zh-CN"/>
        </w:rPr>
        <w:t>6</w:t>
      </w:r>
      <w:r w:rsidR="00B47DBD">
        <w:rPr>
          <w:rFonts w:ascii="宋体" w:hAnsi="宋体" w:hint="eastAsia"/>
          <w:sz w:val="24"/>
          <w:highlight w:val="white"/>
          <w:lang w:eastAsia="zh-CN"/>
        </w:rPr>
        <w:t>．</w:t>
      </w:r>
      <w:r>
        <w:rPr>
          <w:rFonts w:ascii="宋体" w:hAnsi="宋体" w:hint="eastAsia"/>
          <w:sz w:val="24"/>
          <w:highlight w:val="white"/>
          <w:lang w:eastAsia="zh-CN"/>
        </w:rPr>
        <w:t>法律法规或监管机关另有规定的，从其规定。</w:t>
      </w:r>
    </w:p>
    <w:p w:rsidR="00AB2B42">
      <w:pPr>
        <w:spacing w:line="360" w:lineRule="auto"/>
        <w:ind w:firstLine="480"/>
        <w:rPr>
          <w:rFonts w:ascii="宋体" w:hAnsi="宋体"/>
          <w:sz w:val="24"/>
          <w:lang w:eastAsia="zh-CN"/>
        </w:rPr>
      </w:pPr>
      <w:r>
        <w:rPr>
          <w:rFonts w:ascii="宋体" w:hAnsi="宋体" w:hint="eastAsia"/>
          <w:sz w:val="24"/>
          <w:highlight w:val="white"/>
          <w:lang w:eastAsia="zh-CN"/>
        </w:rPr>
        <w:t>（二）基金收益分配的时间和程序</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1.本基金收益分配方案由基金管理人拟</w:t>
      </w:r>
      <w:r>
        <w:rPr>
          <w:rStyle w:val="read"/>
          <w:rFonts w:ascii="宋体" w:hAnsi="宋体"/>
          <w:sz w:val="24"/>
          <w:highlight w:val="white"/>
          <w:lang w:eastAsia="zh-CN"/>
        </w:rPr>
        <w:t>定，</w:t>
      </w:r>
      <w:r>
        <w:rPr>
          <w:rStyle w:val="read"/>
          <w:rFonts w:ascii="宋体" w:hAnsi="宋体" w:hint="eastAsia"/>
          <w:sz w:val="24"/>
          <w:highlight w:val="white"/>
          <w:lang w:eastAsia="zh-CN"/>
        </w:rPr>
        <w:t>并由基金托管人复核，在2日内在规定媒介公告。基金收益分配方案公告后(依据具体方案的规定)，基金管理人就支付的现金红利向基金托管人发送划款指令，基金托管人按照基金管理人的指令及时进行分红资金的划付。</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2.法律法规或监管机关另有规定的，从其规定。</w:t>
      </w:r>
    </w:p>
    <w:p w:rsidR="00AB2B42">
      <w:pPr>
        <w:spacing w:line="360" w:lineRule="auto"/>
        <w:ind w:firstLine="480"/>
        <w:rPr>
          <w:rFonts w:ascii="宋体" w:hAnsi="宋体"/>
          <w:sz w:val="24"/>
          <w:lang w:eastAsia="zh-CN"/>
        </w:rPr>
      </w:pPr>
      <w:r>
        <w:rPr>
          <w:rFonts w:ascii="宋体" w:hAnsi="宋体" w:hint="eastAsia"/>
          <w:sz w:val="24"/>
          <w:highlight w:val="white"/>
          <w:lang w:eastAsia="zh-CN"/>
        </w:rPr>
        <w:t>（三）实施侧袋机制期间的收益分配</w:t>
      </w:r>
    </w:p>
    <w:p w:rsidR="00AB2B42">
      <w:pPr>
        <w:spacing w:line="360" w:lineRule="auto"/>
        <w:ind w:firstLine="480"/>
        <w:rPr>
          <w:rFonts w:ascii="宋体" w:hAnsi="宋体"/>
          <w:sz w:val="24"/>
          <w:lang w:eastAsia="zh-CN"/>
        </w:rPr>
      </w:pPr>
      <w:r>
        <w:rPr>
          <w:rFonts w:ascii="宋体" w:hAnsi="宋体"/>
          <w:sz w:val="24"/>
          <w:highlight w:val="white"/>
          <w:lang w:eastAsia="zh-CN"/>
        </w:rPr>
        <w:t>本基金实施侧袋机制的，侧袋账户不进行收益分配，详见招募说明书的规定。</w:t>
      </w:r>
    </w:p>
    <w:p w:rsidR="00AB2B42">
      <w:pPr>
        <w:spacing w:line="360" w:lineRule="auto"/>
        <w:ind w:firstLine="480" w:firstLineChars="200"/>
        <w:rPr>
          <w:rStyle w:val="read"/>
          <w:rFonts w:ascii="宋体" w:hAnsi="宋体"/>
          <w:sz w:val="24"/>
          <w:lang w:eastAsia="zh-CN"/>
        </w:rPr>
      </w:pPr>
    </w:p>
    <w:p w:rsidR="00AB2B42">
      <w:pPr>
        <w:pStyle w:val="Heading1"/>
        <w:numPr>
          <w:ilvl w:val="0"/>
          <w:numId w:val="22"/>
        </w:numPr>
        <w:spacing w:line="360" w:lineRule="auto"/>
        <w:jc w:val="center"/>
        <w:rPr>
          <w:rFonts w:ascii="宋体" w:hAnsi="宋体"/>
          <w:sz w:val="28"/>
          <w:szCs w:val="28"/>
        </w:rPr>
      </w:pPr>
      <w:r>
        <w:rPr>
          <w:rFonts w:ascii="宋体" w:hAnsi="宋体"/>
          <w:sz w:val="24"/>
          <w:szCs w:val="24"/>
          <w:highlight w:val="white"/>
          <w:lang w:eastAsia="zh-CN"/>
        </w:rPr>
        <w:br w:type="page"/>
      </w:r>
      <w:bookmarkStart w:id="190" w:name="_Toc295832650"/>
      <w:bookmarkStart w:id="191" w:name="_Toc295832957"/>
      <w:bookmarkStart w:id="192" w:name="_Toc295833017"/>
      <w:bookmarkStart w:id="193" w:name="_Toc295833688"/>
      <w:bookmarkStart w:id="194" w:name="_Toc124325894"/>
      <w:bookmarkStart w:id="195" w:name="_Toc270669861"/>
      <w:bookmarkStart w:id="196" w:name="_Toc355859323"/>
      <w:bookmarkStart w:id="197" w:name="_Toc366835704"/>
      <w:bookmarkEnd w:id="190"/>
      <w:bookmarkEnd w:id="191"/>
      <w:bookmarkEnd w:id="192"/>
      <w:bookmarkEnd w:id="193"/>
      <w:r>
        <w:rPr>
          <w:rFonts w:ascii="宋体" w:hAnsi="宋体" w:hint="eastAsia"/>
          <w:sz w:val="28"/>
          <w:szCs w:val="28"/>
          <w:highlight w:val="white"/>
        </w:rPr>
        <w:t>基金信息披露</w:t>
      </w:r>
      <w:bookmarkEnd w:id="194"/>
      <w:bookmarkEnd w:id="195"/>
      <w:bookmarkEnd w:id="196"/>
      <w:bookmarkEnd w:id="197"/>
    </w:p>
    <w:p w:rsidR="00AB2B42">
      <w:pPr>
        <w:spacing w:line="360" w:lineRule="auto"/>
        <w:ind w:firstLine="480"/>
        <w:rPr>
          <w:rFonts w:ascii="宋体" w:hAnsi="宋体"/>
          <w:sz w:val="24"/>
        </w:rPr>
      </w:pPr>
      <w:r>
        <w:rPr>
          <w:rFonts w:ascii="宋体" w:hAnsi="宋体" w:hint="eastAsia"/>
          <w:sz w:val="24"/>
          <w:highlight w:val="white"/>
        </w:rPr>
        <w:t>（一）保密义务</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托管人和基金管理人应以保护基金份额持有人利益为根本出发点，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AB2B42">
      <w:pPr>
        <w:numPr>
          <w:ilvl w:val="0"/>
          <w:numId w:val="16"/>
        </w:numPr>
        <w:spacing w:line="360" w:lineRule="auto"/>
        <w:ind w:left="0" w:firstLine="480"/>
        <w:rPr>
          <w:rStyle w:val="read"/>
          <w:rFonts w:ascii="宋体" w:hAnsi="宋体"/>
          <w:sz w:val="24"/>
          <w:lang w:eastAsia="zh-CN"/>
        </w:rPr>
      </w:pPr>
      <w:r>
        <w:rPr>
          <w:rStyle w:val="read"/>
          <w:rFonts w:ascii="宋体" w:hAnsi="宋体" w:hint="eastAsia"/>
          <w:sz w:val="24"/>
          <w:highlight w:val="white"/>
          <w:lang w:eastAsia="zh-CN"/>
        </w:rPr>
        <w:t>非因基金管理人和基金托管人的原因导致保密信息被披露、泄露或公开；</w:t>
      </w:r>
    </w:p>
    <w:p w:rsidR="00AB2B42">
      <w:pPr>
        <w:numPr>
          <w:ilvl w:val="0"/>
          <w:numId w:val="16"/>
        </w:numPr>
        <w:spacing w:line="360" w:lineRule="auto"/>
        <w:ind w:left="0" w:firstLine="480"/>
        <w:rPr>
          <w:rStyle w:val="read"/>
          <w:rFonts w:ascii="宋体" w:hAnsi="宋体"/>
          <w:sz w:val="24"/>
          <w:lang w:eastAsia="zh-CN"/>
        </w:rPr>
      </w:pPr>
      <w:r>
        <w:rPr>
          <w:rStyle w:val="read"/>
          <w:rFonts w:ascii="宋体" w:hAnsi="宋体" w:hint="eastAsia"/>
          <w:sz w:val="24"/>
          <w:highlight w:val="white"/>
          <w:lang w:eastAsia="zh-CN"/>
        </w:rPr>
        <w:t>基金管理人和基金托管人为遵守和服从法院判决或裁定、仲裁裁决或中国证监会等监管机构的命令、决定所做出的信息披露或公开。</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（二）信息披露的内容</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w:t>
      </w:r>
      <w:r>
        <w:rPr>
          <w:rFonts w:ascii="宋体" w:hAnsi="宋体"/>
          <w:sz w:val="24"/>
          <w:highlight w:val="white"/>
          <w:lang w:eastAsia="zh-CN"/>
        </w:rPr>
        <w:t>清算报告、</w:t>
      </w:r>
      <w:r>
        <w:rPr>
          <w:rFonts w:ascii="宋体" w:hAnsi="宋体" w:hint="eastAsia"/>
          <w:sz w:val="24"/>
          <w:highlight w:val="white"/>
          <w:lang w:eastAsia="zh-CN"/>
        </w:rPr>
        <w:t>基金份额持有人大会决议、中国证监会规定的其他信息。基金年度报告</w:t>
      </w:r>
      <w:r>
        <w:rPr>
          <w:rFonts w:ascii="宋体" w:cs="宋体" w:hint="eastAsia"/>
          <w:bCs/>
          <w:sz w:val="24"/>
          <w:highlight w:val="white"/>
          <w:lang w:eastAsia="zh-CN"/>
        </w:rPr>
        <w:t>中的财务会计报告</w:t>
      </w:r>
      <w:r>
        <w:rPr>
          <w:rFonts w:ascii="宋体" w:hAnsi="宋体" w:hint="eastAsia"/>
          <w:sz w:val="24"/>
          <w:highlight w:val="white"/>
          <w:lang w:eastAsia="zh-CN"/>
        </w:rPr>
        <w:t>需经符合《证券法》规定的会计师事务所审计后，方可披露。</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（三）基金托管人和基金管理人在信息披露中的职责和信息披露程序</w:t>
      </w:r>
    </w:p>
    <w:p w:rsidR="00AB2B42">
      <w:pPr>
        <w:numPr>
          <w:ilvl w:val="0"/>
          <w:numId w:val="21"/>
        </w:numPr>
        <w:spacing w:line="360" w:lineRule="auto"/>
        <w:rPr>
          <w:rStyle w:val="read"/>
          <w:rFonts w:ascii="宋体" w:hAnsi="宋体"/>
          <w:sz w:val="24"/>
        </w:rPr>
      </w:pPr>
      <w:r>
        <w:rPr>
          <w:rStyle w:val="read"/>
          <w:rFonts w:ascii="宋体" w:hAnsi="宋体" w:hint="eastAsia"/>
          <w:sz w:val="24"/>
          <w:highlight w:val="white"/>
        </w:rPr>
        <w:t>职责</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基金管理人和基金托管人应积极配合、互相监督，保证其履行按照法定方式和限时披露的义务。</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基金管理人应当在中国证监会规定的时间内，将应予披露的基金信息通过规定媒介披露。根据法律法规应由基金托管人公开披露的信息，基金托管人将通过规定媒介公开披露。</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当出现下述情况时，基金管理人和基金托管人可暂停或延迟披露与基金净值相关信息：</w:t>
      </w:r>
    </w:p>
    <w:p w:rsidR="00AB2B42">
      <w:pPr>
        <w:spacing w:line="360" w:lineRule="auto"/>
        <w:ind w:firstLine="480" w:firstLineChars="200"/>
        <w:rPr>
          <w:rFonts w:ascii="宋体" w:hAnsi="宋体"/>
          <w:bCs/>
          <w:sz w:val="24"/>
          <w:lang w:eastAsia="zh-CN"/>
        </w:rPr>
      </w:pPr>
      <w:r>
        <w:rPr>
          <w:rFonts w:ascii="宋体" w:hAnsi="宋体" w:hint="eastAsia"/>
          <w:bCs/>
          <w:sz w:val="24"/>
          <w:lang w:eastAsia="zh-CN"/>
        </w:rPr>
        <w:t>（</w:t>
      </w:r>
      <w:r>
        <w:rPr>
          <w:rFonts w:ascii="宋体" w:hAnsi="宋体" w:hint="eastAsia"/>
          <w:bCs/>
          <w:sz w:val="24"/>
          <w:highlight w:val="white"/>
          <w:lang w:eastAsia="zh-CN"/>
        </w:rPr>
        <w:t>1）基金投资所涉及的证券交易市场遇法定节假日或因其他原因暂停营业时；</w:t>
      </w:r>
    </w:p>
    <w:p w:rsidR="00AB2B42">
      <w:pPr>
        <w:spacing w:line="360" w:lineRule="auto"/>
        <w:ind w:firstLine="480" w:firstLineChars="200"/>
        <w:rPr>
          <w:rFonts w:ascii="宋体" w:hAnsi="宋体"/>
          <w:bCs/>
          <w:sz w:val="24"/>
          <w:lang w:eastAsia="zh-CN"/>
        </w:rPr>
      </w:pPr>
      <w:r>
        <w:rPr>
          <w:rFonts w:ascii="宋体" w:hAnsi="宋体" w:hint="eastAsia"/>
          <w:bCs/>
          <w:sz w:val="24"/>
          <w:lang w:eastAsia="zh-CN"/>
        </w:rPr>
        <w:t>（</w:t>
      </w:r>
      <w:r>
        <w:rPr>
          <w:rFonts w:ascii="宋体" w:hAnsi="宋体" w:hint="eastAsia"/>
          <w:bCs/>
          <w:sz w:val="24"/>
          <w:highlight w:val="white"/>
          <w:lang w:eastAsia="zh-CN"/>
        </w:rPr>
        <w:t>2）因不可抗力致使基金管理人、基金托管人无法准确评估基金资产价值时；</w:t>
      </w:r>
    </w:p>
    <w:p w:rsidR="00AB2B42">
      <w:pPr>
        <w:spacing w:line="360" w:lineRule="auto"/>
        <w:ind w:firstLine="480" w:firstLineChars="200"/>
        <w:rPr>
          <w:rFonts w:ascii="宋体" w:hAnsi="宋体"/>
          <w:bCs/>
          <w:sz w:val="24"/>
          <w:lang w:eastAsia="zh-CN"/>
        </w:rPr>
      </w:pPr>
      <w:r>
        <w:rPr>
          <w:rFonts w:ascii="宋体" w:hAnsi="宋体" w:hint="eastAsia"/>
          <w:bCs/>
          <w:sz w:val="24"/>
          <w:lang w:eastAsia="zh-CN"/>
        </w:rPr>
        <w:t>（</w:t>
      </w:r>
      <w:r>
        <w:rPr>
          <w:rFonts w:ascii="宋体" w:hAnsi="宋体" w:hint="eastAsia"/>
          <w:bCs/>
          <w:sz w:val="24"/>
          <w:highlight w:val="white"/>
          <w:lang w:eastAsia="zh-CN"/>
        </w:rPr>
        <w:t>3）当特定资产占前一估值日基金资产净值50%以上的，经与基金托管人协商确认后，基金管理人应当暂停估值；</w:t>
      </w:r>
    </w:p>
    <w:p w:rsidR="00AB2B42">
      <w:pPr>
        <w:spacing w:line="360" w:lineRule="auto"/>
        <w:ind w:firstLine="480" w:firstLineChars="200"/>
        <w:rPr>
          <w:rFonts w:ascii="宋体" w:hAnsi="宋体"/>
          <w:bCs/>
          <w:sz w:val="24"/>
          <w:lang w:eastAsia="zh-CN"/>
        </w:rPr>
      </w:pPr>
      <w:r>
        <w:rPr>
          <w:rFonts w:ascii="宋体" w:hAnsi="宋体" w:hint="eastAsia"/>
          <w:bCs/>
          <w:sz w:val="24"/>
          <w:lang w:eastAsia="zh-CN"/>
        </w:rPr>
        <w:t>（</w:t>
      </w:r>
      <w:r>
        <w:rPr>
          <w:rFonts w:ascii="宋体" w:hAnsi="宋体" w:hint="eastAsia"/>
          <w:bCs/>
          <w:sz w:val="24"/>
          <w:highlight w:val="white"/>
          <w:lang w:eastAsia="zh-CN"/>
        </w:rPr>
        <w:t>4）中国证监会和基金合同认定的其它情形。</w:t>
      </w:r>
    </w:p>
    <w:p w:rsidR="00AB2B42">
      <w:pPr>
        <w:numPr>
          <w:ilvl w:val="0"/>
          <w:numId w:val="21"/>
        </w:numPr>
        <w:spacing w:line="360" w:lineRule="auto"/>
        <w:rPr>
          <w:rStyle w:val="read"/>
          <w:rFonts w:ascii="宋体" w:hAnsi="宋体"/>
          <w:sz w:val="24"/>
        </w:rPr>
      </w:pPr>
      <w:r>
        <w:rPr>
          <w:rStyle w:val="read"/>
          <w:rFonts w:ascii="宋体" w:hAnsi="宋体" w:hint="eastAsia"/>
          <w:sz w:val="24"/>
          <w:highlight w:val="white"/>
        </w:rPr>
        <w:t>程序</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按有关规定须经基金托管人复核的信息披露文件，由基金管理人起草、并经基金托管人复核后由基金管理人公告。发生基金合同中规定需要披露的事项时，按基金合同规定公布。</w:t>
      </w:r>
    </w:p>
    <w:p w:rsidR="00AB2B42">
      <w:pPr>
        <w:numPr>
          <w:ilvl w:val="0"/>
          <w:numId w:val="21"/>
        </w:numPr>
        <w:spacing w:line="360" w:lineRule="auto"/>
        <w:rPr>
          <w:rStyle w:val="read"/>
          <w:rFonts w:ascii="宋体" w:hAnsi="宋体"/>
          <w:sz w:val="24"/>
        </w:rPr>
      </w:pPr>
      <w:r>
        <w:rPr>
          <w:rStyle w:val="read"/>
          <w:rFonts w:ascii="宋体" w:hAnsi="宋体" w:hint="eastAsia"/>
          <w:sz w:val="24"/>
          <w:highlight w:val="white"/>
        </w:rPr>
        <w:t>信息文本的存放</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依法必须披露的信息发布后，基金管理人、基金托管人应当按照相关法律法规规定将信息置备于各自办公场所，供社会公众查阅、复制。投资者可以免费查阅。在支付工本费后可在合理时间获得上述文件的复制件或复印件。基金管理人和基金托管人应保证文本的内容与所公告的内容完全一致。</w:t>
      </w:r>
    </w:p>
    <w:p w:rsidR="00AB2B42">
      <w:pPr>
        <w:pStyle w:val="NormalIndent"/>
        <w:spacing w:line="360" w:lineRule="auto"/>
        <w:ind w:firstLine="480" w:firstLineChars="200"/>
        <w:rPr>
          <w:rFonts w:ascii="宋体" w:hAnsi="宋体"/>
          <w:sz w:val="24"/>
          <w:szCs w:val="24"/>
          <w:lang w:eastAsia="zh-CN"/>
        </w:rPr>
      </w:pPr>
      <w:r>
        <w:rPr>
          <w:rFonts w:ascii="宋体" w:hAnsi="宋体" w:hint="eastAsia"/>
          <w:sz w:val="24"/>
          <w:szCs w:val="24"/>
          <w:highlight w:val="white"/>
          <w:lang w:eastAsia="zh-CN"/>
        </w:rPr>
        <w:t>（四）实施侧袋机制期间的信息披露</w:t>
      </w:r>
    </w:p>
    <w:p w:rsidR="00AB2B42">
      <w:pPr>
        <w:pStyle w:val="NormalIndent"/>
        <w:spacing w:line="360" w:lineRule="auto"/>
        <w:ind w:firstLine="480" w:firstLineChars="200"/>
        <w:rPr>
          <w:rFonts w:ascii="宋体" w:hAnsi="宋体"/>
          <w:sz w:val="24"/>
          <w:szCs w:val="24"/>
          <w:lang w:eastAsia="zh-CN"/>
        </w:rPr>
      </w:pPr>
      <w:r>
        <w:rPr>
          <w:rFonts w:ascii="宋体" w:hAnsi="宋体" w:hint="eastAsia"/>
          <w:sz w:val="24"/>
          <w:szCs w:val="24"/>
          <w:highlight w:val="white"/>
          <w:lang w:eastAsia="zh-CN"/>
        </w:rPr>
        <w:t>本基金实施侧袋机制的，相关信息披露义务人应当根据法律法规、基金合同和招募说明书的规定进行信息披露，详见招募说明书的规定。</w:t>
      </w:r>
    </w:p>
    <w:p w:rsidR="00AB2B42">
      <w:pPr>
        <w:pStyle w:val="Heading1"/>
        <w:numPr>
          <w:ilvl w:val="0"/>
          <w:numId w:val="22"/>
        </w:numPr>
        <w:spacing w:line="360" w:lineRule="auto"/>
        <w:jc w:val="center"/>
        <w:rPr>
          <w:rFonts w:ascii="宋体" w:hAnsi="宋体"/>
          <w:sz w:val="28"/>
          <w:szCs w:val="28"/>
        </w:rPr>
      </w:pPr>
      <w:r>
        <w:rPr>
          <w:rFonts w:ascii="宋体" w:hAnsi="宋体"/>
          <w:sz w:val="24"/>
          <w:szCs w:val="24"/>
          <w:highlight w:val="white"/>
          <w:lang w:eastAsia="zh-CN"/>
        </w:rPr>
        <w:br w:type="page"/>
      </w:r>
      <w:bookmarkStart w:id="198" w:name="_Toc295832652"/>
      <w:bookmarkStart w:id="199" w:name="_Toc295832959"/>
      <w:bookmarkStart w:id="200" w:name="_Toc295833019"/>
      <w:bookmarkStart w:id="201" w:name="_Toc295833690"/>
      <w:bookmarkStart w:id="202" w:name="_Toc124325895"/>
      <w:bookmarkStart w:id="203" w:name="_Toc270669862"/>
      <w:bookmarkStart w:id="204" w:name="_Toc355859324"/>
      <w:bookmarkStart w:id="205" w:name="_Toc366835705"/>
      <w:bookmarkEnd w:id="198"/>
      <w:bookmarkEnd w:id="199"/>
      <w:bookmarkEnd w:id="200"/>
      <w:bookmarkEnd w:id="201"/>
      <w:r>
        <w:rPr>
          <w:rFonts w:ascii="宋体" w:hAnsi="宋体" w:hint="eastAsia"/>
          <w:sz w:val="28"/>
          <w:szCs w:val="28"/>
          <w:highlight w:val="white"/>
        </w:rPr>
        <w:t>基金费用</w:t>
      </w:r>
      <w:bookmarkEnd w:id="202"/>
      <w:bookmarkEnd w:id="203"/>
      <w:bookmarkEnd w:id="204"/>
      <w:bookmarkEnd w:id="205"/>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（一）基金管理费的计提比例和计提方法</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本基金的管理费按前一日基金资产净值的0.80%年费率计提。管理费的计算方法如下：</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H＝E×0.80%÷当年天数</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H为每日应计提的基金管理费</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E为前一日的基金资产净值</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基金管理费每日计提，</w:t>
      </w:r>
      <w:r>
        <w:rPr>
          <w:rFonts w:ascii="宋体" w:hAnsi="宋体" w:cs="宋体" w:hint="eastAsia"/>
          <w:sz w:val="24"/>
          <w:highlight w:val="white"/>
          <w:lang w:eastAsia="zh-CN"/>
        </w:rPr>
        <w:t>逐日累计至每月月末，</w:t>
      </w:r>
      <w:r>
        <w:rPr>
          <w:rFonts w:ascii="宋体" w:hAnsi="宋体" w:hint="eastAsia"/>
          <w:sz w:val="24"/>
          <w:highlight w:val="white"/>
          <w:lang w:eastAsia="zh-CN"/>
        </w:rPr>
        <w:t>按月支付，</w:t>
      </w:r>
      <w:r>
        <w:rPr>
          <w:rFonts w:ascii="宋体" w:hAnsi="宋体" w:hint="eastAsia"/>
          <w:bCs/>
          <w:sz w:val="24"/>
          <w:highlight w:val="white"/>
          <w:lang w:eastAsia="zh-CN"/>
        </w:rPr>
        <w:t>由基金托管人根据与基金管理人核对一致的财务数据，自动在月初5个工作日内，按照指定的账户路径进行资金支付。</w:t>
      </w:r>
      <w:r>
        <w:rPr>
          <w:rFonts w:ascii="宋体" w:hAnsi="宋体" w:hint="eastAsia"/>
          <w:sz w:val="24"/>
          <w:highlight w:val="white"/>
          <w:lang w:eastAsia="zh-CN"/>
        </w:rPr>
        <w:t>若遇法定节假日、休息日或不可抗力等致使无法按时支付的，顺延至最近可支付日支付。</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（二）基金托管费的计提比例和计提方法</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本基金的托管费按前一日基金资产净值的0.10%年费率计提。托管费的计算方法如下：</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H＝E×0.10%÷当年天数</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H为每日应计提的基金托管费</w:t>
      </w:r>
    </w:p>
    <w:p w:rsidR="00AB2B42">
      <w:pPr>
        <w:spacing w:line="360" w:lineRule="auto"/>
        <w:ind w:firstLine="480" w:firstLineChars="200"/>
        <w:rPr>
          <w:rFonts w:ascii="宋体" w:hAnsi="宋体"/>
          <w:bCs/>
          <w:sz w:val="24"/>
          <w:lang w:eastAsia="zh-CN"/>
        </w:rPr>
      </w:pPr>
      <w:r>
        <w:rPr>
          <w:rFonts w:ascii="宋体" w:hAnsi="宋体" w:hint="eastAsia"/>
          <w:bCs/>
          <w:sz w:val="24"/>
          <w:highlight w:val="white"/>
          <w:lang w:eastAsia="zh-CN"/>
        </w:rPr>
        <w:t>E为前一日的基金资产净值</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基金托管费每日计提，</w:t>
      </w:r>
      <w:r>
        <w:rPr>
          <w:rFonts w:ascii="宋体" w:hAnsi="宋体" w:cs="宋体" w:hint="eastAsia"/>
          <w:sz w:val="24"/>
          <w:highlight w:val="white"/>
          <w:lang w:eastAsia="zh-CN"/>
        </w:rPr>
        <w:t>逐日累计至每月月末，</w:t>
      </w:r>
      <w:r>
        <w:rPr>
          <w:rFonts w:ascii="宋体" w:hAnsi="宋体" w:hint="eastAsia"/>
          <w:sz w:val="24"/>
          <w:highlight w:val="white"/>
          <w:lang w:eastAsia="zh-CN"/>
        </w:rPr>
        <w:t>按月支付，</w:t>
      </w:r>
      <w:r>
        <w:rPr>
          <w:rFonts w:ascii="宋体" w:hAnsi="宋体" w:hint="eastAsia"/>
          <w:bCs/>
          <w:sz w:val="24"/>
          <w:highlight w:val="white"/>
          <w:lang w:eastAsia="zh-CN"/>
        </w:rPr>
        <w:t>由基金托管人根据与基金管理人核对一致的财务数据，自动在月初5个工作日内，按照指定的账户路径进行资金支付。</w:t>
      </w:r>
      <w:r>
        <w:rPr>
          <w:rFonts w:ascii="宋体" w:hAnsi="宋体" w:hint="eastAsia"/>
          <w:sz w:val="24"/>
          <w:highlight w:val="white"/>
          <w:lang w:eastAsia="zh-CN"/>
        </w:rPr>
        <w:t>若遇法定节假日、休息日或不可抗力等致使无法按时支付的，顺延至最近可支付日支付。</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（三）销售服务费</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本基金A类基金份额不收取销售服务费，C类基金份额的销售服务费年费率为0.40%，按前一日C类基金资产净值的0.40%年费率计提。</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销售服务费的计算方法如下：</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H＝E×0.40%÷当年天数</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H 为C类基金份额每日应计提的销售服务费</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E 为C类基金份额前一日基金资产净值</w:t>
      </w:r>
    </w:p>
    <w:p w:rsidR="00AB2B42">
      <w:pPr>
        <w:spacing w:line="360" w:lineRule="auto"/>
        <w:ind w:firstLine="480" w:firstLineChars="200"/>
        <w:rPr>
          <w:rFonts w:ascii="宋体" w:hAnsi="宋体"/>
          <w:sz w:val="24"/>
          <w:lang w:eastAsia="zh-CN"/>
        </w:rPr>
      </w:pP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销售服务费每日计提，</w:t>
      </w:r>
      <w:r>
        <w:rPr>
          <w:rFonts w:ascii="宋体" w:hAnsi="宋体" w:cs="宋体" w:hint="eastAsia"/>
          <w:sz w:val="24"/>
          <w:highlight w:val="white"/>
          <w:lang w:eastAsia="zh-CN"/>
        </w:rPr>
        <w:t>逐日累计至每月月末，</w:t>
      </w:r>
      <w:r>
        <w:rPr>
          <w:rFonts w:ascii="宋体" w:hAnsi="宋体" w:hint="eastAsia"/>
          <w:sz w:val="24"/>
          <w:highlight w:val="white"/>
          <w:lang w:eastAsia="zh-CN"/>
        </w:rPr>
        <w:t>按月支付，</w:t>
      </w:r>
      <w:r>
        <w:rPr>
          <w:rFonts w:ascii="宋体" w:hAnsi="宋体" w:hint="eastAsia"/>
          <w:bCs/>
          <w:sz w:val="24"/>
          <w:highlight w:val="white"/>
          <w:lang w:eastAsia="zh-CN"/>
        </w:rPr>
        <w:t>由基金托管人根据与基金管理人核对一致的财务数据，自动在月初5个工作日内，按照指定的账户路径进行资金支付。</w:t>
      </w:r>
      <w:r>
        <w:rPr>
          <w:rFonts w:ascii="宋体" w:hAnsi="宋体" w:hint="eastAsia"/>
          <w:sz w:val="24"/>
          <w:highlight w:val="white"/>
          <w:lang w:eastAsia="zh-CN"/>
        </w:rPr>
        <w:t>若遇法定节假日、休息日或不可抗力等致使无法按时支付的，顺延至最近可支付日支付。</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w:t>
      </w:r>
      <w:r>
        <w:rPr>
          <w:rFonts w:ascii="宋体" w:hAnsi="宋体"/>
          <w:sz w:val="24"/>
          <w:highlight w:val="white"/>
          <w:lang w:eastAsia="zh-CN"/>
        </w:rPr>
        <w:t>四</w:t>
      </w:r>
      <w:r>
        <w:rPr>
          <w:rFonts w:ascii="宋体" w:hAnsi="宋体" w:hint="eastAsia"/>
          <w:sz w:val="24"/>
          <w:highlight w:val="white"/>
          <w:lang w:eastAsia="zh-CN"/>
        </w:rPr>
        <w:t>）证券账户开户费用、证券交易费用、基金的银行汇划费用、银行账户维护费、基金合同生效后的信息披露费用、基金份额持有人大会费用、基金合同生效后与基金有关的会计师费、律师费、诉讼费</w:t>
      </w:r>
      <w:r>
        <w:rPr>
          <w:rFonts w:ascii="宋体" w:hAnsi="宋体" w:cs="宋体" w:hint="eastAsia"/>
          <w:sz w:val="24"/>
          <w:highlight w:val="white"/>
          <w:lang w:eastAsia="zh-CN"/>
        </w:rPr>
        <w:t>和</w:t>
      </w:r>
      <w:r>
        <w:rPr>
          <w:rFonts w:ascii="宋体" w:hAnsi="宋体" w:cs="宋体" w:hint="eastAsia"/>
          <w:bCs/>
          <w:sz w:val="24"/>
          <w:highlight w:val="white"/>
          <w:lang w:eastAsia="zh-CN"/>
        </w:rPr>
        <w:t>仲裁</w:t>
      </w:r>
      <w:r>
        <w:rPr>
          <w:rFonts w:ascii="宋体" w:hAnsi="宋体" w:cs="宋体" w:hint="eastAsia"/>
          <w:sz w:val="24"/>
          <w:highlight w:val="white"/>
          <w:lang w:eastAsia="zh-CN"/>
        </w:rPr>
        <w:t>费、</w:t>
      </w:r>
      <w:r>
        <w:rPr>
          <w:rFonts w:ascii="宋体" w:hAnsi="宋体" w:cs="宋体" w:hint="eastAsia"/>
          <w:bCs/>
          <w:sz w:val="24"/>
          <w:highlight w:val="white"/>
          <w:lang w:eastAsia="zh-CN"/>
        </w:rPr>
        <w:t>因投资内地与香港股票市场交易互联互通机制允许买卖的香港证券市场股票而产生的各项合理费用</w:t>
      </w:r>
      <w:r>
        <w:rPr>
          <w:rFonts w:ascii="宋体" w:hAnsi="宋体" w:hint="eastAsia"/>
          <w:sz w:val="24"/>
          <w:highlight w:val="white"/>
          <w:lang w:eastAsia="zh-CN"/>
        </w:rPr>
        <w:t>等根据有关法律法规、基金合同及相应协议的规定，列入当期基金费用。</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（五）不列入基金费用的项目</w:t>
      </w:r>
    </w:p>
    <w:p w:rsidR="00AB2B42">
      <w:pPr>
        <w:spacing w:line="360" w:lineRule="auto"/>
        <w:ind w:left="426"/>
        <w:rPr>
          <w:rStyle w:val="read"/>
          <w:rFonts w:ascii="宋体" w:hAnsi="宋体"/>
          <w:sz w:val="24"/>
          <w:lang w:eastAsia="zh-CN"/>
        </w:rPr>
      </w:pPr>
      <w:r>
        <w:rPr>
          <w:rStyle w:val="read"/>
          <w:rFonts w:ascii="宋体" w:hAnsi="宋体" w:hint="eastAsia"/>
          <w:sz w:val="24"/>
          <w:highlight w:val="white"/>
          <w:lang w:eastAsia="zh-CN"/>
        </w:rPr>
        <w:t>下列费用不列入基金费用：</w:t>
      </w:r>
    </w:p>
    <w:p w:rsidR="00AB2B42">
      <w:pPr>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1.基金管理人和基金托管人因未履行或未完全履行义务导致的费用支出或基金财产的损失；</w:t>
      </w:r>
    </w:p>
    <w:p w:rsidR="00AB2B42">
      <w:pPr>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2.基金管理人和基金托管人处理与基金运作无关的事项发生的费用；</w:t>
      </w:r>
    </w:p>
    <w:p w:rsidR="00AB2B42">
      <w:pPr>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3.《基金合同》生效前的相关费用；</w:t>
      </w:r>
    </w:p>
    <w:p w:rsidR="00AB2B42">
      <w:pPr>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4.标的指数许可使用费；标的指数许可使用费由基金管理人承担，不得从基金财产中列支；</w:t>
      </w:r>
    </w:p>
    <w:p w:rsidR="00AB2B42">
      <w:pPr>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5.其他根据相关法律法规及中国证监会的有关规定不得列入基金费用的项目。</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（六）基金管理费、基金托管费和销售服务费的调整</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基金管理人和基金托管人可根据基金发展情况调整基金管理费率、基金托管费率和销售服务费率。基金管理人必须依照《信息披露办法》的有关规定于新的费率实施前在规定媒介上刊登公告。</w:t>
      </w:r>
    </w:p>
    <w:p w:rsidR="00AB2B42">
      <w:pPr>
        <w:snapToGrid w:val="0"/>
        <w:spacing w:line="360" w:lineRule="auto"/>
        <w:ind w:firstLine="480" w:firstLineChars="200"/>
        <w:rPr>
          <w:rFonts w:ascii="宋体" w:hAnsi="宋体"/>
          <w:sz w:val="24"/>
          <w:lang w:eastAsia="zh-CN"/>
        </w:rPr>
      </w:pPr>
      <w:r>
        <w:rPr>
          <w:rFonts w:ascii="宋体" w:hAnsi="宋体" w:hint="eastAsia"/>
          <w:sz w:val="24"/>
          <w:highlight w:val="white"/>
          <w:lang w:eastAsia="zh-CN"/>
        </w:rPr>
        <w:t>（七）本基金运作前产生的</w:t>
      </w:r>
      <w:r>
        <w:rPr>
          <w:spacing w:val="-4"/>
          <w:sz w:val="24"/>
          <w:highlight w:val="white"/>
          <w:lang w:eastAsia="zh-CN"/>
        </w:rPr>
        <w:t>根据《基金合同》约定</w:t>
      </w:r>
      <w:r>
        <w:rPr>
          <w:rFonts w:ascii="宋体" w:hAnsi="宋体" w:hint="eastAsia"/>
          <w:sz w:val="24"/>
          <w:highlight w:val="white"/>
          <w:lang w:eastAsia="zh-CN"/>
        </w:rPr>
        <w:t>可以从基金财产中列支的相关费用由基金管理人垫付，运作后由基金管理人于次日起三个工作日内向基金托管人发送划付指令，经基金托管人复核后于三个工作日内从基金资产中一次性支付给基金管理人。</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（八）实施侧袋机制期间的基金费用</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（九）违规处理方式</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基金托管人发现基金管理人违反《基金法》、基金合同、《运作办法》及其他有关规定从基金财产中列支费用时，基金托管人可要求基金管理人予以说明解释，如基金管理人无正当理由，基金托管人可拒绝支付。</w:t>
      </w:r>
    </w:p>
    <w:p w:rsidR="00AB2B42">
      <w:pPr>
        <w:spacing w:line="360" w:lineRule="auto"/>
        <w:ind w:firstLine="480" w:firstLineChars="200"/>
        <w:rPr>
          <w:rFonts w:ascii="宋体" w:hAnsi="宋体"/>
          <w:sz w:val="24"/>
          <w:lang w:eastAsia="zh-CN"/>
        </w:rPr>
      </w:pPr>
    </w:p>
    <w:p w:rsidR="00AB2B42">
      <w:pPr>
        <w:pStyle w:val="Heading1"/>
        <w:numPr>
          <w:ilvl w:val="0"/>
          <w:numId w:val="22"/>
        </w:numPr>
        <w:spacing w:line="360" w:lineRule="auto"/>
        <w:jc w:val="center"/>
        <w:rPr>
          <w:rFonts w:ascii="宋体" w:hAnsi="宋体"/>
          <w:sz w:val="28"/>
          <w:szCs w:val="28"/>
          <w:lang w:eastAsia="zh-CN"/>
        </w:rPr>
      </w:pPr>
      <w:bookmarkStart w:id="206" w:name="_Toc295832961"/>
      <w:bookmarkStart w:id="207" w:name="_Toc295833021"/>
      <w:bookmarkStart w:id="208" w:name="_Toc295833692"/>
      <w:bookmarkStart w:id="209" w:name="_Toc295832962"/>
      <w:bookmarkStart w:id="210" w:name="_Toc295833022"/>
      <w:bookmarkStart w:id="211" w:name="_Toc295833693"/>
      <w:bookmarkStart w:id="212" w:name="_Toc295832963"/>
      <w:bookmarkStart w:id="213" w:name="_Toc295833023"/>
      <w:bookmarkStart w:id="214" w:name="_Toc295833694"/>
      <w:bookmarkEnd w:id="206"/>
      <w:bookmarkEnd w:id="207"/>
      <w:bookmarkEnd w:id="208"/>
      <w:bookmarkEnd w:id="209"/>
      <w:bookmarkEnd w:id="210"/>
      <w:bookmarkEnd w:id="211"/>
      <w:bookmarkEnd w:id="212"/>
      <w:bookmarkEnd w:id="213"/>
      <w:bookmarkEnd w:id="214"/>
      <w:r>
        <w:rPr>
          <w:rFonts w:ascii="宋体" w:hAnsi="宋体"/>
          <w:sz w:val="24"/>
          <w:highlight w:val="white"/>
          <w:lang w:eastAsia="zh-CN"/>
        </w:rPr>
        <w:br w:type="page"/>
      </w:r>
      <w:bookmarkStart w:id="215" w:name="_Toc124325896"/>
      <w:bookmarkStart w:id="216" w:name="_Toc270669863"/>
      <w:bookmarkStart w:id="217" w:name="_Toc355859325"/>
      <w:bookmarkStart w:id="218" w:name="_Toc366835706"/>
      <w:r>
        <w:rPr>
          <w:rFonts w:ascii="宋体" w:hAnsi="宋体" w:hint="eastAsia"/>
          <w:sz w:val="28"/>
          <w:szCs w:val="28"/>
          <w:highlight w:val="white"/>
          <w:lang w:eastAsia="zh-CN"/>
        </w:rPr>
        <w:t>基金份额持有人名册的保管</w:t>
      </w:r>
      <w:bookmarkEnd w:id="215"/>
      <w:bookmarkEnd w:id="216"/>
      <w:bookmarkEnd w:id="217"/>
      <w:bookmarkEnd w:id="218"/>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份额持有人名册至少应包括基金份额持有人的名称和持有的基金份额。基金份额持有人名册由登记机构根据基金管理人的指令编制和保管，基金管理人和基金托管人应分别保管基金份额持有人名册，保存期不少于20年。如不能妥善保管，则按相关法律法规承担责任。</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托管人依法编制中期报告和年度报告前有向基金管理人搜集资料的权利，基金管理人应在收到基金托管人通知后及时将有关资料送交基金托管人，不得无故拒绝或延误提供，并保证其的真实性、准确性和完整性。基金托管人不得将所保管的基金份额持有人名册用于基金托管业务以外的其他用途，并应遵守保密义务。</w:t>
      </w:r>
    </w:p>
    <w:p w:rsidR="00AB2B42">
      <w:pPr>
        <w:pStyle w:val="Heading1"/>
        <w:numPr>
          <w:ilvl w:val="0"/>
          <w:numId w:val="22"/>
        </w:numPr>
        <w:spacing w:line="360" w:lineRule="auto"/>
        <w:jc w:val="center"/>
        <w:rPr>
          <w:rFonts w:ascii="宋体" w:hAnsi="宋体"/>
          <w:sz w:val="28"/>
          <w:szCs w:val="28"/>
          <w:lang w:eastAsia="zh-CN"/>
        </w:rPr>
      </w:pPr>
      <w:bookmarkStart w:id="219" w:name="_Toc295832965"/>
      <w:bookmarkStart w:id="220" w:name="_Toc295833025"/>
      <w:bookmarkStart w:id="221" w:name="_Toc295833696"/>
      <w:bookmarkStart w:id="222" w:name="_Toc295832966"/>
      <w:bookmarkStart w:id="223" w:name="_Toc295833026"/>
      <w:bookmarkStart w:id="224" w:name="_Toc295833697"/>
      <w:bookmarkEnd w:id="219"/>
      <w:bookmarkEnd w:id="220"/>
      <w:bookmarkEnd w:id="221"/>
      <w:bookmarkEnd w:id="222"/>
      <w:bookmarkEnd w:id="223"/>
      <w:bookmarkEnd w:id="224"/>
      <w:r>
        <w:rPr>
          <w:rFonts w:ascii="宋体" w:hAnsi="宋体"/>
          <w:sz w:val="24"/>
          <w:szCs w:val="24"/>
          <w:highlight w:val="white"/>
          <w:lang w:eastAsia="zh-CN"/>
        </w:rPr>
        <w:br w:type="page"/>
      </w:r>
      <w:bookmarkStart w:id="225" w:name="_Toc295832967"/>
      <w:bookmarkStart w:id="226" w:name="_Toc295833027"/>
      <w:bookmarkStart w:id="227" w:name="_Toc295833698"/>
      <w:bookmarkStart w:id="228" w:name="_Toc124325897"/>
      <w:bookmarkStart w:id="229" w:name="_Toc270669864"/>
      <w:bookmarkStart w:id="230" w:name="_Toc355859326"/>
      <w:bookmarkStart w:id="231" w:name="_Toc366835707"/>
      <w:bookmarkEnd w:id="225"/>
      <w:bookmarkEnd w:id="226"/>
      <w:bookmarkEnd w:id="227"/>
      <w:r>
        <w:rPr>
          <w:rFonts w:ascii="宋体" w:hAnsi="宋体" w:hint="eastAsia"/>
          <w:sz w:val="28"/>
          <w:szCs w:val="28"/>
          <w:highlight w:val="white"/>
          <w:lang w:eastAsia="zh-CN"/>
        </w:rPr>
        <w:t>基金有关文件档案的保存</w:t>
      </w:r>
      <w:bookmarkEnd w:id="228"/>
      <w:bookmarkEnd w:id="229"/>
      <w:bookmarkEnd w:id="230"/>
      <w:bookmarkEnd w:id="231"/>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（一）档案保存</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20年。如不能妥善保管，则按相关法律法规承担责任</w:t>
      </w:r>
      <w:r w:rsidR="00887E33">
        <w:rPr>
          <w:rFonts w:ascii="宋体" w:hAnsi="宋体" w:hint="eastAsia"/>
          <w:sz w:val="24"/>
          <w:highlight w:val="white"/>
          <w:lang w:eastAsia="zh-CN"/>
        </w:rPr>
        <w:t>。</w:t>
      </w:r>
    </w:p>
    <w:p w:rsidR="00AB2B42">
      <w:pPr>
        <w:spacing w:line="360" w:lineRule="auto"/>
        <w:ind w:firstLine="480" w:firstLineChars="200"/>
        <w:rPr>
          <w:rFonts w:ascii="宋体" w:hAnsi="宋体"/>
          <w:sz w:val="24"/>
        </w:rPr>
      </w:pPr>
      <w:r>
        <w:rPr>
          <w:rFonts w:ascii="宋体" w:hAnsi="宋体" w:hint="eastAsia"/>
          <w:sz w:val="24"/>
          <w:highlight w:val="white"/>
        </w:rPr>
        <w:t>（二）合同档案的建立</w:t>
      </w:r>
    </w:p>
    <w:p w:rsidR="00AB2B42">
      <w:pPr>
        <w:numPr>
          <w:ilvl w:val="0"/>
          <w:numId w:val="17"/>
        </w:numPr>
        <w:spacing w:line="360" w:lineRule="auto"/>
        <w:ind w:left="0" w:firstLine="567"/>
        <w:rPr>
          <w:rStyle w:val="read"/>
          <w:rFonts w:ascii="宋体" w:hAnsi="宋体"/>
          <w:sz w:val="24"/>
          <w:lang w:eastAsia="zh-CN"/>
        </w:rPr>
      </w:pPr>
      <w:r>
        <w:rPr>
          <w:rStyle w:val="read"/>
          <w:rFonts w:ascii="宋体" w:hAnsi="宋体" w:hint="eastAsia"/>
          <w:sz w:val="24"/>
          <w:highlight w:val="white"/>
          <w:lang w:eastAsia="zh-CN"/>
        </w:rPr>
        <w:t>基金管理人签署重大合同文本后，应及时将合同文本正本送达基金托管人处。</w:t>
      </w:r>
    </w:p>
    <w:p w:rsidR="00AB2B42">
      <w:pPr>
        <w:numPr>
          <w:ilvl w:val="0"/>
          <w:numId w:val="17"/>
        </w:numPr>
        <w:spacing w:line="360" w:lineRule="auto"/>
        <w:ind w:left="0" w:firstLine="567"/>
        <w:rPr>
          <w:rStyle w:val="read"/>
          <w:rFonts w:ascii="宋体" w:hAnsi="宋体"/>
          <w:sz w:val="24"/>
          <w:lang w:eastAsia="zh-CN"/>
        </w:rPr>
      </w:pPr>
      <w:r>
        <w:rPr>
          <w:rStyle w:val="read"/>
          <w:rFonts w:ascii="宋体" w:hAnsi="宋体" w:hint="eastAsia"/>
          <w:sz w:val="24"/>
          <w:highlight w:val="white"/>
          <w:lang w:eastAsia="zh-CN"/>
        </w:rPr>
        <w:t>基金管理人应及时将与本基金账务处理、资金划拨等有关的合同、协议传真基金托管人。</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（三）变更与协助</w:t>
      </w:r>
    </w:p>
    <w:p w:rsidR="00AB2B42">
      <w:pPr>
        <w:spacing w:line="360" w:lineRule="auto"/>
        <w:ind w:firstLine="480" w:firstLineChars="200"/>
        <w:rPr>
          <w:rFonts w:ascii="宋体" w:hAnsi="宋体"/>
          <w:b/>
          <w:bCs/>
          <w:sz w:val="24"/>
          <w:lang w:eastAsia="zh-CN"/>
        </w:rPr>
      </w:pPr>
      <w:r>
        <w:rPr>
          <w:rFonts w:ascii="宋体" w:hAnsi="宋体" w:hint="eastAsia"/>
          <w:sz w:val="24"/>
          <w:highlight w:val="white"/>
          <w:lang w:eastAsia="zh-CN"/>
        </w:rPr>
        <w:t>若基金管理人/基金托管人发生变更，未变更的一方有义务协助变更后的接任人接收相应文件。</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（四）基金管理人和基金托管人应按各自职责完整保存原始凭证、记账凭证、基金账册、交易记录和重要合同等，承担保密义务并保存至少二十年</w:t>
      </w:r>
      <w:bookmarkStart w:id="232" w:name="_GoBack"/>
      <w:bookmarkEnd w:id="232"/>
      <w:r>
        <w:rPr>
          <w:rFonts w:ascii="宋体" w:hAnsi="宋体" w:hint="eastAsia"/>
          <w:sz w:val="24"/>
          <w:highlight w:val="white"/>
          <w:lang w:eastAsia="zh-CN"/>
        </w:rPr>
        <w:t>。</w:t>
      </w:r>
    </w:p>
    <w:p w:rsidR="00AB2B42">
      <w:pPr>
        <w:pStyle w:val="Heading1"/>
        <w:numPr>
          <w:ilvl w:val="0"/>
          <w:numId w:val="22"/>
        </w:numPr>
        <w:spacing w:line="360" w:lineRule="auto"/>
        <w:jc w:val="center"/>
        <w:rPr>
          <w:szCs w:val="24"/>
          <w:lang w:eastAsia="zh-CN"/>
        </w:rPr>
      </w:pPr>
      <w:r>
        <w:rPr>
          <w:rFonts w:ascii="宋体" w:hAnsi="宋体"/>
          <w:sz w:val="24"/>
          <w:szCs w:val="24"/>
          <w:highlight w:val="white"/>
          <w:lang w:eastAsia="zh-CN"/>
        </w:rPr>
        <w:br w:type="page"/>
      </w:r>
      <w:r>
        <w:rPr>
          <w:rFonts w:ascii="宋体" w:hAnsi="宋体" w:hint="eastAsia"/>
          <w:sz w:val="28"/>
          <w:szCs w:val="28"/>
          <w:highlight w:val="white"/>
          <w:lang w:eastAsia="zh-CN"/>
        </w:rPr>
        <w:t xml:space="preserve"> </w:t>
      </w:r>
      <w:bookmarkStart w:id="233" w:name="_Toc295832969"/>
      <w:bookmarkStart w:id="234" w:name="_Toc295833029"/>
      <w:bookmarkStart w:id="235" w:name="_Toc295833700"/>
      <w:bookmarkStart w:id="236" w:name="_Toc124325898"/>
      <w:bookmarkStart w:id="237" w:name="_Toc270669865"/>
      <w:bookmarkStart w:id="238" w:name="_Toc295833701"/>
      <w:bookmarkStart w:id="239" w:name="_Toc355859327"/>
      <w:bookmarkStart w:id="240" w:name="_Toc366835708"/>
      <w:bookmarkEnd w:id="233"/>
      <w:bookmarkEnd w:id="234"/>
      <w:bookmarkEnd w:id="235"/>
      <w:r>
        <w:rPr>
          <w:rFonts w:ascii="宋体" w:hAnsi="宋体" w:hint="eastAsia"/>
          <w:sz w:val="28"/>
          <w:szCs w:val="28"/>
          <w:highlight w:val="white"/>
          <w:lang w:eastAsia="zh-CN"/>
        </w:rPr>
        <w:t>基金管理人和基金托管人的更换</w:t>
      </w:r>
      <w:bookmarkEnd w:id="236"/>
      <w:bookmarkEnd w:id="237"/>
      <w:bookmarkEnd w:id="238"/>
      <w:bookmarkEnd w:id="239"/>
      <w:bookmarkEnd w:id="240"/>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（一）基金管理人的更换</w:t>
      </w:r>
    </w:p>
    <w:p w:rsidR="00AB2B42">
      <w:pPr>
        <w:numPr>
          <w:ilvl w:val="0"/>
          <w:numId w:val="18"/>
        </w:numPr>
        <w:spacing w:line="360" w:lineRule="auto"/>
        <w:ind w:left="0" w:firstLine="480"/>
        <w:rPr>
          <w:rStyle w:val="read"/>
          <w:rFonts w:ascii="宋体" w:hAnsi="宋体"/>
          <w:sz w:val="24"/>
        </w:rPr>
      </w:pPr>
      <w:r>
        <w:rPr>
          <w:rStyle w:val="read"/>
          <w:rFonts w:ascii="宋体" w:hAnsi="宋体" w:hint="eastAsia"/>
          <w:sz w:val="24"/>
          <w:highlight w:val="white"/>
        </w:rPr>
        <w:t>基金管理人的更换条件</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有下列情形之一的，基金管理人职责终止：</w:t>
      </w:r>
    </w:p>
    <w:p w:rsidR="00AB2B42">
      <w:pPr>
        <w:spacing w:line="360" w:lineRule="auto"/>
        <w:ind w:firstLine="480" w:firstLineChars="200"/>
        <w:rPr>
          <w:rFonts w:ascii="宋体" w:hAnsi="宋体"/>
          <w:sz w:val="24"/>
          <w:lang w:eastAsia="zh-CN"/>
        </w:rPr>
      </w:pPr>
      <w:r>
        <w:rPr>
          <w:rFonts w:ascii="宋体" w:hAnsi="宋体" w:hint="eastAsia"/>
          <w:sz w:val="24"/>
          <w:lang w:eastAsia="zh-CN"/>
        </w:rPr>
        <w:t>（1）</w:t>
      </w:r>
      <w:r>
        <w:rPr>
          <w:rFonts w:ascii="宋体" w:hAnsi="宋体" w:hint="eastAsia"/>
          <w:sz w:val="24"/>
          <w:highlight w:val="white"/>
          <w:lang w:eastAsia="zh-CN"/>
        </w:rPr>
        <w:t>被依法取消基金管理资格；</w:t>
      </w:r>
    </w:p>
    <w:p w:rsidR="00AB2B42">
      <w:pPr>
        <w:spacing w:line="360" w:lineRule="auto"/>
        <w:ind w:firstLine="480" w:firstLineChars="200"/>
        <w:rPr>
          <w:rFonts w:ascii="宋体" w:hAnsi="宋体"/>
          <w:sz w:val="24"/>
          <w:lang w:eastAsia="zh-CN"/>
        </w:rPr>
      </w:pPr>
      <w:r>
        <w:rPr>
          <w:rFonts w:ascii="宋体" w:hAnsi="宋体" w:hint="eastAsia"/>
          <w:sz w:val="24"/>
          <w:lang w:eastAsia="zh-CN"/>
        </w:rPr>
        <w:t>（2）</w:t>
      </w:r>
      <w:r>
        <w:rPr>
          <w:rFonts w:ascii="宋体" w:hAnsi="宋体" w:hint="eastAsia"/>
          <w:sz w:val="24"/>
          <w:highlight w:val="white"/>
          <w:lang w:eastAsia="zh-CN"/>
        </w:rPr>
        <w:t>被基金份额持有人大会解任；</w:t>
      </w:r>
    </w:p>
    <w:p w:rsidR="00AB2B42">
      <w:pPr>
        <w:spacing w:line="360" w:lineRule="auto"/>
        <w:ind w:firstLine="480" w:firstLineChars="200"/>
        <w:rPr>
          <w:rFonts w:ascii="宋体" w:hAnsi="宋体"/>
          <w:sz w:val="24"/>
          <w:lang w:eastAsia="zh-CN"/>
        </w:rPr>
      </w:pPr>
      <w:r>
        <w:rPr>
          <w:rFonts w:ascii="宋体" w:hAnsi="宋体" w:hint="eastAsia"/>
          <w:sz w:val="24"/>
          <w:lang w:eastAsia="zh-CN"/>
        </w:rPr>
        <w:t>（3）</w:t>
      </w:r>
      <w:r>
        <w:rPr>
          <w:rFonts w:ascii="宋体" w:hAnsi="宋体" w:hint="eastAsia"/>
          <w:sz w:val="24"/>
          <w:highlight w:val="white"/>
          <w:lang w:eastAsia="zh-CN"/>
        </w:rPr>
        <w:t>依法解散、被依法撤销或被依法宣告破产；</w:t>
      </w:r>
    </w:p>
    <w:p w:rsidR="00AB2B42">
      <w:pPr>
        <w:spacing w:line="360" w:lineRule="auto"/>
        <w:ind w:firstLine="480" w:firstLineChars="200"/>
        <w:rPr>
          <w:rFonts w:ascii="宋体" w:hAnsi="宋体"/>
          <w:sz w:val="24"/>
          <w:lang w:eastAsia="zh-CN"/>
        </w:rPr>
      </w:pPr>
      <w:r>
        <w:rPr>
          <w:rFonts w:ascii="宋体" w:hAnsi="宋体" w:hint="eastAsia"/>
          <w:sz w:val="24"/>
          <w:lang w:eastAsia="zh-CN"/>
        </w:rPr>
        <w:t>（4）</w:t>
      </w:r>
      <w:r>
        <w:rPr>
          <w:rFonts w:ascii="宋体" w:hAnsi="宋体" w:hint="eastAsia"/>
          <w:sz w:val="24"/>
          <w:highlight w:val="white"/>
          <w:lang w:eastAsia="zh-CN"/>
        </w:rPr>
        <w:t>法律法规及中国证监会规定的和《基金合同》约定的其他情形。</w:t>
      </w:r>
    </w:p>
    <w:p w:rsidR="00AB2B42">
      <w:pPr>
        <w:numPr>
          <w:ilvl w:val="0"/>
          <w:numId w:val="18"/>
        </w:numPr>
        <w:spacing w:line="360" w:lineRule="auto"/>
        <w:ind w:left="0" w:firstLine="480"/>
        <w:rPr>
          <w:rStyle w:val="read"/>
          <w:rFonts w:ascii="宋体" w:hAnsi="宋体"/>
          <w:sz w:val="24"/>
        </w:rPr>
      </w:pPr>
      <w:r>
        <w:rPr>
          <w:rStyle w:val="read"/>
          <w:rFonts w:ascii="宋体" w:hAnsi="宋体" w:hint="eastAsia"/>
          <w:sz w:val="24"/>
          <w:highlight w:val="white"/>
        </w:rPr>
        <w:t>基金管理人的更换程序</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1）提名：新任基金管理人由基金托管人或由单独或合计持有10%以上（含10%）基金份额的基金份额持有人提名；</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AB2B42">
      <w:pPr>
        <w:spacing w:line="360" w:lineRule="auto"/>
        <w:ind w:firstLine="480" w:firstLineChars="200"/>
        <w:rPr>
          <w:rFonts w:ascii="宋体" w:hAnsi="宋体"/>
          <w:sz w:val="24"/>
          <w:lang w:eastAsia="zh-CN"/>
        </w:rPr>
      </w:pPr>
      <w:r>
        <w:rPr>
          <w:rFonts w:ascii="宋体" w:hAnsi="宋体" w:hint="eastAsia"/>
          <w:sz w:val="24"/>
          <w:lang w:eastAsia="zh-CN"/>
        </w:rPr>
        <w:t>（</w:t>
      </w:r>
      <w:r>
        <w:rPr>
          <w:rFonts w:ascii="宋体" w:hAnsi="宋体" w:hint="eastAsia"/>
          <w:sz w:val="24"/>
          <w:highlight w:val="white"/>
          <w:lang w:eastAsia="zh-CN"/>
        </w:rPr>
        <w:t>3）临时基金管理人：新任基金管理人产生之前，由中国证监会指定临时基金管理人；</w:t>
      </w:r>
    </w:p>
    <w:p w:rsidR="00AB2B42">
      <w:pPr>
        <w:spacing w:line="360" w:lineRule="auto"/>
        <w:ind w:firstLine="480" w:firstLineChars="200"/>
        <w:rPr>
          <w:rFonts w:ascii="宋体" w:hAnsi="宋体"/>
          <w:sz w:val="24"/>
          <w:lang w:eastAsia="zh-CN"/>
        </w:rPr>
      </w:pPr>
      <w:r>
        <w:rPr>
          <w:rFonts w:ascii="宋体" w:hAnsi="宋体" w:hint="eastAsia"/>
          <w:sz w:val="24"/>
          <w:lang w:eastAsia="zh-CN"/>
        </w:rPr>
        <w:t>（4）</w:t>
      </w:r>
      <w:r>
        <w:rPr>
          <w:rFonts w:ascii="宋体" w:hAnsi="宋体" w:hint="eastAsia"/>
          <w:sz w:val="24"/>
          <w:highlight w:val="white"/>
          <w:lang w:eastAsia="zh-CN"/>
        </w:rPr>
        <w:t>备案：基金份额持有人大会更换基金管理人的决议须报中国证监会备案；</w:t>
      </w:r>
    </w:p>
    <w:p w:rsidR="00AB2B42">
      <w:pPr>
        <w:spacing w:line="360" w:lineRule="auto"/>
        <w:ind w:firstLine="480" w:firstLineChars="200"/>
        <w:rPr>
          <w:rFonts w:ascii="宋体" w:hAnsi="宋体"/>
          <w:sz w:val="24"/>
          <w:lang w:eastAsia="zh-CN"/>
        </w:rPr>
      </w:pPr>
      <w:r>
        <w:rPr>
          <w:rFonts w:ascii="宋体" w:hAnsi="宋体" w:hint="eastAsia"/>
          <w:sz w:val="24"/>
          <w:lang w:eastAsia="zh-CN"/>
        </w:rPr>
        <w:t>（5）</w:t>
      </w:r>
      <w:r>
        <w:rPr>
          <w:rFonts w:ascii="宋体" w:hAnsi="宋体" w:hint="eastAsia"/>
          <w:sz w:val="24"/>
          <w:highlight w:val="white"/>
          <w:lang w:eastAsia="zh-CN"/>
        </w:rPr>
        <w:t>公告：基金管理人更换后，由基金托管人在更换基金管理人的基金份额持有人大会决议生效后2日内在规定媒介公告；</w:t>
      </w:r>
    </w:p>
    <w:p w:rsidR="00AB2B42">
      <w:pPr>
        <w:spacing w:line="360" w:lineRule="auto"/>
        <w:ind w:firstLine="480" w:firstLineChars="200"/>
        <w:rPr>
          <w:rFonts w:ascii="宋体" w:hAnsi="宋体"/>
          <w:sz w:val="24"/>
          <w:lang w:eastAsia="zh-CN"/>
        </w:rPr>
      </w:pPr>
      <w:r>
        <w:rPr>
          <w:rFonts w:ascii="宋体" w:hAnsi="宋体" w:hint="eastAsia"/>
          <w:sz w:val="24"/>
          <w:lang w:eastAsia="zh-CN"/>
        </w:rPr>
        <w:t>（6）</w:t>
      </w:r>
      <w:r>
        <w:rPr>
          <w:rFonts w:ascii="宋体" w:hAnsi="宋体" w:hint="eastAsia"/>
          <w:sz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AB2B42">
      <w:pPr>
        <w:spacing w:line="360" w:lineRule="auto"/>
        <w:ind w:firstLine="480" w:firstLineChars="200"/>
        <w:rPr>
          <w:rFonts w:ascii="宋体" w:hAnsi="宋体"/>
          <w:sz w:val="24"/>
          <w:lang w:eastAsia="zh-CN"/>
        </w:rPr>
      </w:pPr>
      <w:r>
        <w:rPr>
          <w:rFonts w:ascii="宋体" w:hAnsi="宋体" w:hint="eastAsia"/>
          <w:sz w:val="24"/>
          <w:lang w:eastAsia="zh-CN"/>
        </w:rPr>
        <w:t>（7）</w:t>
      </w:r>
      <w:r>
        <w:rPr>
          <w:rFonts w:ascii="宋体" w:hAnsi="宋体" w:hint="eastAsia"/>
          <w:sz w:val="24"/>
          <w:highlight w:val="white"/>
          <w:lang w:eastAsia="zh-CN"/>
        </w:rPr>
        <w:t>审计：基金管理人职责终止的，应当按照法律法规规定聘请会计师事务所对基金财产进行审计，并将审计结果予以公告，同时报中国证监会备案。审计费用从基金财产中列支；</w:t>
      </w:r>
    </w:p>
    <w:p w:rsidR="00AB2B42">
      <w:pPr>
        <w:spacing w:line="360" w:lineRule="auto"/>
        <w:ind w:firstLine="480" w:firstLineChars="200"/>
        <w:rPr>
          <w:rFonts w:ascii="宋体" w:hAnsi="宋体"/>
          <w:sz w:val="24"/>
          <w:lang w:eastAsia="zh-CN"/>
        </w:rPr>
      </w:pPr>
      <w:r>
        <w:rPr>
          <w:rFonts w:ascii="宋体" w:hAnsi="宋体" w:hint="eastAsia"/>
          <w:sz w:val="24"/>
          <w:lang w:eastAsia="zh-CN"/>
        </w:rPr>
        <w:t>（8）</w:t>
      </w:r>
      <w:r>
        <w:rPr>
          <w:rFonts w:ascii="宋体" w:hAnsi="宋体" w:hint="eastAsia"/>
          <w:sz w:val="24"/>
          <w:highlight w:val="white"/>
          <w:lang w:eastAsia="zh-CN"/>
        </w:rPr>
        <w:t>基金名称变更：基金管理人更换后，如果原任或新任基金管理人要求，应按其要求替换或删除基金名称中与原基金管理人有关的名称字样。</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（二）基金托管人的更换</w:t>
      </w:r>
    </w:p>
    <w:p w:rsidR="00AB2B42">
      <w:pPr>
        <w:numPr>
          <w:ilvl w:val="0"/>
          <w:numId w:val="19"/>
        </w:numPr>
        <w:spacing w:line="360" w:lineRule="auto"/>
        <w:ind w:left="0" w:firstLine="480"/>
        <w:rPr>
          <w:rStyle w:val="read"/>
          <w:rFonts w:ascii="宋体" w:hAnsi="宋体"/>
          <w:sz w:val="24"/>
        </w:rPr>
      </w:pPr>
      <w:r>
        <w:rPr>
          <w:rStyle w:val="read"/>
          <w:rFonts w:ascii="宋体" w:hAnsi="宋体" w:hint="eastAsia"/>
          <w:sz w:val="24"/>
          <w:highlight w:val="white"/>
        </w:rPr>
        <w:t>基金托管人的更换条件</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有下列情形之一的，基金托管人职责终止：</w:t>
      </w:r>
    </w:p>
    <w:p w:rsidR="00AB2B42">
      <w:pPr>
        <w:spacing w:line="360" w:lineRule="auto"/>
        <w:ind w:firstLine="480" w:firstLineChars="200"/>
        <w:rPr>
          <w:rFonts w:ascii="宋体" w:hAnsi="宋体"/>
          <w:sz w:val="24"/>
          <w:lang w:eastAsia="zh-CN"/>
        </w:rPr>
      </w:pPr>
      <w:r>
        <w:rPr>
          <w:rFonts w:ascii="宋体" w:hAnsi="宋体" w:hint="eastAsia"/>
          <w:sz w:val="24"/>
          <w:lang w:eastAsia="zh-CN"/>
        </w:rPr>
        <w:t>（1）</w:t>
      </w:r>
      <w:r>
        <w:rPr>
          <w:rFonts w:ascii="宋体" w:hAnsi="宋体" w:hint="eastAsia"/>
          <w:sz w:val="24"/>
          <w:highlight w:val="white"/>
          <w:lang w:eastAsia="zh-CN"/>
        </w:rPr>
        <w:t>被依法取消基金托管资格；</w:t>
      </w:r>
    </w:p>
    <w:p w:rsidR="00AB2B42">
      <w:pPr>
        <w:spacing w:line="360" w:lineRule="auto"/>
        <w:ind w:firstLine="480" w:firstLineChars="200"/>
        <w:rPr>
          <w:rFonts w:ascii="宋体" w:hAnsi="宋体"/>
          <w:sz w:val="24"/>
          <w:lang w:eastAsia="zh-CN"/>
        </w:rPr>
      </w:pPr>
      <w:r>
        <w:rPr>
          <w:rFonts w:ascii="宋体" w:hAnsi="宋体" w:hint="eastAsia"/>
          <w:sz w:val="24"/>
          <w:lang w:eastAsia="zh-CN"/>
        </w:rPr>
        <w:t>（2）</w:t>
      </w:r>
      <w:r>
        <w:rPr>
          <w:rFonts w:ascii="宋体" w:hAnsi="宋体" w:hint="eastAsia"/>
          <w:sz w:val="24"/>
          <w:highlight w:val="white"/>
          <w:lang w:eastAsia="zh-CN"/>
        </w:rPr>
        <w:t>被基金份额持有人大会解任；</w:t>
      </w:r>
    </w:p>
    <w:p w:rsidR="00AB2B42">
      <w:pPr>
        <w:spacing w:line="360" w:lineRule="auto"/>
        <w:ind w:firstLine="480" w:firstLineChars="200"/>
        <w:rPr>
          <w:rFonts w:ascii="宋体" w:hAnsi="宋体"/>
          <w:sz w:val="24"/>
          <w:lang w:eastAsia="zh-CN"/>
        </w:rPr>
      </w:pPr>
      <w:r>
        <w:rPr>
          <w:rFonts w:ascii="宋体" w:hAnsi="宋体" w:hint="eastAsia"/>
          <w:sz w:val="24"/>
          <w:lang w:eastAsia="zh-CN"/>
        </w:rPr>
        <w:t>（3）</w:t>
      </w:r>
      <w:r>
        <w:rPr>
          <w:rFonts w:ascii="宋体" w:hAnsi="宋体" w:hint="eastAsia"/>
          <w:sz w:val="24"/>
          <w:highlight w:val="white"/>
          <w:lang w:eastAsia="zh-CN"/>
        </w:rPr>
        <w:t>依法解散、被依法撤销或被依法宣告破产；</w:t>
      </w:r>
    </w:p>
    <w:p w:rsidR="00AB2B42">
      <w:pPr>
        <w:spacing w:line="360" w:lineRule="auto"/>
        <w:ind w:firstLine="480" w:firstLineChars="200"/>
        <w:rPr>
          <w:rFonts w:ascii="宋体" w:hAnsi="宋体"/>
          <w:sz w:val="24"/>
          <w:lang w:eastAsia="zh-CN"/>
        </w:rPr>
      </w:pPr>
      <w:r>
        <w:rPr>
          <w:rFonts w:ascii="宋体" w:hAnsi="宋体" w:hint="eastAsia"/>
          <w:sz w:val="24"/>
          <w:lang w:eastAsia="zh-CN"/>
        </w:rPr>
        <w:t>（4）</w:t>
      </w:r>
      <w:r>
        <w:rPr>
          <w:rFonts w:ascii="宋体" w:hAnsi="宋体" w:hint="eastAsia"/>
          <w:sz w:val="24"/>
          <w:highlight w:val="white"/>
          <w:lang w:eastAsia="zh-CN"/>
        </w:rPr>
        <w:t>法律法规及中国证监会规定的和《基金合同》约定的其他情形。</w:t>
      </w:r>
    </w:p>
    <w:p w:rsidR="00AB2B42">
      <w:pPr>
        <w:numPr>
          <w:ilvl w:val="0"/>
          <w:numId w:val="19"/>
        </w:numPr>
        <w:spacing w:line="360" w:lineRule="auto"/>
        <w:ind w:left="0" w:firstLine="480"/>
        <w:rPr>
          <w:rStyle w:val="read"/>
          <w:rFonts w:ascii="宋体" w:hAnsi="宋体"/>
          <w:sz w:val="24"/>
        </w:rPr>
      </w:pPr>
      <w:r>
        <w:rPr>
          <w:rStyle w:val="read"/>
          <w:rFonts w:ascii="宋体" w:hAnsi="宋体" w:hint="eastAsia"/>
          <w:sz w:val="24"/>
          <w:highlight w:val="white"/>
        </w:rPr>
        <w:t>基金托管人的更换程序</w:t>
      </w:r>
    </w:p>
    <w:p w:rsidR="00AB2B42">
      <w:pPr>
        <w:spacing w:line="360" w:lineRule="auto"/>
        <w:ind w:firstLine="480" w:firstLineChars="200"/>
        <w:rPr>
          <w:rFonts w:ascii="宋体" w:hAnsi="宋体"/>
          <w:sz w:val="24"/>
          <w:lang w:eastAsia="zh-CN"/>
        </w:rPr>
      </w:pPr>
      <w:r>
        <w:rPr>
          <w:rFonts w:ascii="宋体" w:hAnsi="宋体" w:hint="eastAsia"/>
          <w:sz w:val="24"/>
          <w:lang w:eastAsia="zh-CN"/>
        </w:rPr>
        <w:t>（1）</w:t>
      </w:r>
      <w:r>
        <w:rPr>
          <w:rFonts w:ascii="宋体" w:hAnsi="宋体" w:hint="eastAsia"/>
          <w:sz w:val="24"/>
          <w:highlight w:val="white"/>
          <w:lang w:eastAsia="zh-CN"/>
        </w:rPr>
        <w:t>提名：新任基金托管人由基金管理人或由单独或合计持有10%以上（含10%）基金份额的基金份额持有人提名；</w:t>
      </w:r>
    </w:p>
    <w:p w:rsidR="00AB2B42">
      <w:pPr>
        <w:spacing w:line="360" w:lineRule="auto"/>
        <w:ind w:firstLine="480" w:firstLineChars="200"/>
        <w:rPr>
          <w:rFonts w:ascii="宋体" w:hAnsi="宋体"/>
          <w:sz w:val="24"/>
          <w:lang w:eastAsia="zh-CN"/>
        </w:rPr>
      </w:pPr>
      <w:r>
        <w:rPr>
          <w:rFonts w:ascii="宋体" w:hAnsi="宋体" w:hint="eastAsia"/>
          <w:sz w:val="24"/>
          <w:lang w:eastAsia="zh-CN"/>
        </w:rPr>
        <w:t>（2）</w:t>
      </w:r>
      <w:r>
        <w:rPr>
          <w:rFonts w:ascii="宋体" w:hAnsi="宋体" w:hint="eastAsia"/>
          <w:sz w:val="24"/>
          <w:highlight w:val="white"/>
          <w:lang w:eastAsia="zh-CN"/>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AB2B42">
      <w:pPr>
        <w:spacing w:line="360" w:lineRule="auto"/>
        <w:ind w:firstLine="480" w:firstLineChars="200"/>
        <w:rPr>
          <w:rFonts w:ascii="宋体" w:hAnsi="宋体"/>
          <w:sz w:val="24"/>
          <w:lang w:eastAsia="zh-CN"/>
        </w:rPr>
      </w:pPr>
      <w:r>
        <w:rPr>
          <w:rFonts w:ascii="宋体" w:hAnsi="宋体" w:hint="eastAsia"/>
          <w:sz w:val="24"/>
          <w:lang w:eastAsia="zh-CN"/>
        </w:rPr>
        <w:t>（3）</w:t>
      </w:r>
      <w:r>
        <w:rPr>
          <w:rFonts w:ascii="宋体" w:hAnsi="宋体" w:hint="eastAsia"/>
          <w:sz w:val="24"/>
          <w:highlight w:val="white"/>
          <w:lang w:eastAsia="zh-CN"/>
        </w:rPr>
        <w:t>临时基金托管人：新任基金托管人产生之前，由中国证监会指定临时基金托管人；</w:t>
      </w:r>
    </w:p>
    <w:p w:rsidR="00AB2B42">
      <w:pPr>
        <w:spacing w:line="360" w:lineRule="auto"/>
        <w:ind w:firstLine="480" w:firstLineChars="200"/>
        <w:rPr>
          <w:rFonts w:ascii="宋体" w:hAnsi="宋体"/>
          <w:sz w:val="24"/>
          <w:lang w:eastAsia="zh-CN"/>
        </w:rPr>
      </w:pPr>
      <w:r>
        <w:rPr>
          <w:rFonts w:ascii="宋体" w:hAnsi="宋体" w:hint="eastAsia"/>
          <w:sz w:val="24"/>
          <w:lang w:eastAsia="zh-CN"/>
        </w:rPr>
        <w:t>（4）</w:t>
      </w:r>
      <w:r>
        <w:rPr>
          <w:rFonts w:ascii="宋体" w:hAnsi="宋体" w:hint="eastAsia"/>
          <w:sz w:val="24"/>
          <w:highlight w:val="white"/>
          <w:lang w:eastAsia="zh-CN"/>
        </w:rPr>
        <w:t>备案：基金份额持有人大会更换基金托管人的决议须报中国证监会备案；</w:t>
      </w:r>
    </w:p>
    <w:p w:rsidR="00AB2B42">
      <w:pPr>
        <w:spacing w:line="360" w:lineRule="auto"/>
        <w:ind w:firstLine="480" w:firstLineChars="200"/>
        <w:rPr>
          <w:rFonts w:ascii="宋体" w:hAnsi="宋体"/>
          <w:sz w:val="24"/>
          <w:lang w:eastAsia="zh-CN"/>
        </w:rPr>
      </w:pPr>
      <w:r>
        <w:rPr>
          <w:rFonts w:ascii="宋体" w:hAnsi="宋体" w:hint="eastAsia"/>
          <w:sz w:val="24"/>
          <w:lang w:eastAsia="zh-CN"/>
        </w:rPr>
        <w:t>（5）</w:t>
      </w:r>
      <w:r>
        <w:rPr>
          <w:rFonts w:ascii="宋体" w:hAnsi="宋体" w:hint="eastAsia"/>
          <w:sz w:val="24"/>
          <w:highlight w:val="white"/>
          <w:lang w:eastAsia="zh-CN"/>
        </w:rPr>
        <w:t>公告：基金托管人更换后，由基金管理人在更换基金托管人的基金份额持有人大会决议生效后2日内在规定媒介公告；</w:t>
      </w:r>
    </w:p>
    <w:p w:rsidR="00AB2B42">
      <w:pPr>
        <w:spacing w:line="360" w:lineRule="auto"/>
        <w:ind w:firstLine="480" w:firstLineChars="200"/>
        <w:rPr>
          <w:rFonts w:ascii="宋体" w:hAnsi="宋体"/>
          <w:sz w:val="24"/>
          <w:lang w:eastAsia="zh-CN"/>
        </w:rPr>
      </w:pPr>
      <w:r>
        <w:rPr>
          <w:rFonts w:ascii="宋体" w:hAnsi="宋体" w:hint="eastAsia"/>
          <w:sz w:val="24"/>
          <w:lang w:eastAsia="zh-CN"/>
        </w:rPr>
        <w:t>（6）</w:t>
      </w:r>
      <w:r>
        <w:rPr>
          <w:rFonts w:ascii="宋体" w:hAnsi="宋体" w:hint="eastAsia"/>
          <w:sz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AB2B42">
      <w:pPr>
        <w:spacing w:line="360" w:lineRule="auto"/>
        <w:ind w:firstLine="480" w:firstLineChars="200"/>
        <w:rPr>
          <w:rFonts w:ascii="宋体" w:hAnsi="宋体"/>
          <w:sz w:val="24"/>
          <w:lang w:eastAsia="zh-CN"/>
        </w:rPr>
      </w:pPr>
      <w:r>
        <w:rPr>
          <w:rFonts w:ascii="宋体" w:hAnsi="宋体" w:hint="eastAsia"/>
          <w:sz w:val="24"/>
          <w:lang w:eastAsia="zh-CN"/>
        </w:rPr>
        <w:t>（7）</w:t>
      </w:r>
      <w:r>
        <w:rPr>
          <w:rFonts w:ascii="宋体" w:hAnsi="宋体" w:hint="eastAsia"/>
          <w:sz w:val="24"/>
          <w:highlight w:val="white"/>
          <w:lang w:eastAsia="zh-CN"/>
        </w:rPr>
        <w:t>审计：基金托管人职责终止的，应当按照法律法规规定聘请会计师事务所对基金财产进行审计，并将审计结果予以公告，同时报中国证监会备案。审计费用从基金财产中列支。</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（三）基金管理人与基金托管人同时更换</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1.提名：如果基金管理人和基金托管人同时更换，由单独或合计持有基金总份额10%以上（含10%）的基金份额持有人提名新的基金管理人和基金托管人；</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2.基金管理人和基金托管人的更换分别按上述程序进行；</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3.公告：新任基金管理人和新任基金托管人应在更换基金管理人和基金托管人的基金份额持有人大会决议生效后2日内在规定媒介上联合公告。</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（四）新基金管理人接收基金管理业务或新基金托管人接收基金财产和基金托管业务前，</w:t>
      </w:r>
      <w:r>
        <w:rPr>
          <w:rFonts w:ascii="宋体" w:hAnsi="宋体" w:hint="eastAsia"/>
          <w:sz w:val="24"/>
          <w:szCs w:val="20"/>
          <w:highlight w:val="white"/>
          <w:lang w:eastAsia="zh-CN"/>
        </w:rPr>
        <w:t>原任</w:t>
      </w:r>
      <w:r>
        <w:rPr>
          <w:rFonts w:ascii="宋体" w:hAnsi="宋体" w:hint="eastAsia"/>
          <w:sz w:val="24"/>
          <w:highlight w:val="white"/>
          <w:lang w:eastAsia="zh-CN"/>
        </w:rPr>
        <w:t>基金管理人或</w:t>
      </w:r>
      <w:r>
        <w:rPr>
          <w:rFonts w:ascii="宋体" w:hAnsi="宋体" w:hint="eastAsia"/>
          <w:sz w:val="24"/>
          <w:szCs w:val="20"/>
          <w:highlight w:val="white"/>
          <w:lang w:eastAsia="zh-CN"/>
        </w:rPr>
        <w:t>原任</w:t>
      </w:r>
      <w:r>
        <w:rPr>
          <w:rFonts w:ascii="宋体" w:hAnsi="宋体" w:hint="eastAsia"/>
          <w:sz w:val="24"/>
          <w:highlight w:val="white"/>
          <w:lang w:eastAsia="zh-CN"/>
        </w:rPr>
        <w:t>基金托管人应继续履行相关职责，并保证不做出对基金份额持有人的利益造成损害的行为。</w:t>
      </w:r>
    </w:p>
    <w:p w:rsidR="00AB2B42">
      <w:pPr>
        <w:snapToGrid w:val="0"/>
        <w:spacing w:line="360" w:lineRule="auto"/>
        <w:ind w:firstLine="480" w:firstLineChars="200"/>
        <w:rPr>
          <w:rFonts w:ascii="宋体" w:hAnsi="宋体"/>
          <w:sz w:val="24"/>
          <w:lang w:eastAsia="zh-CN"/>
        </w:rPr>
      </w:pPr>
    </w:p>
    <w:p w:rsidR="00AB2B42">
      <w:pPr>
        <w:pStyle w:val="Heading1"/>
        <w:numPr>
          <w:ilvl w:val="0"/>
          <w:numId w:val="22"/>
        </w:numPr>
        <w:spacing w:line="360" w:lineRule="auto"/>
        <w:jc w:val="center"/>
        <w:rPr>
          <w:rFonts w:ascii="宋体" w:hAnsi="宋体"/>
          <w:sz w:val="28"/>
          <w:szCs w:val="28"/>
        </w:rPr>
      </w:pPr>
      <w:r>
        <w:rPr>
          <w:rFonts w:ascii="宋体" w:hAnsi="宋体"/>
          <w:sz w:val="24"/>
          <w:szCs w:val="24"/>
          <w:highlight w:val="white"/>
          <w:lang w:eastAsia="zh-CN"/>
        </w:rPr>
        <w:br w:type="page"/>
      </w:r>
      <w:bookmarkStart w:id="241" w:name="_Toc295832972"/>
      <w:bookmarkStart w:id="242" w:name="_Toc295833032"/>
      <w:bookmarkStart w:id="243" w:name="_Toc295833703"/>
      <w:bookmarkStart w:id="244" w:name="_Toc124325899"/>
      <w:bookmarkStart w:id="245" w:name="_Toc270669866"/>
      <w:bookmarkStart w:id="246" w:name="_Toc355859328"/>
      <w:bookmarkStart w:id="247" w:name="_Toc366835709"/>
      <w:bookmarkEnd w:id="241"/>
      <w:bookmarkEnd w:id="242"/>
      <w:bookmarkEnd w:id="243"/>
      <w:r>
        <w:rPr>
          <w:rFonts w:ascii="宋体" w:hAnsi="宋体" w:hint="eastAsia"/>
          <w:sz w:val="28"/>
          <w:szCs w:val="28"/>
          <w:highlight w:val="white"/>
        </w:rPr>
        <w:t>禁止行为</w:t>
      </w:r>
      <w:bookmarkEnd w:id="244"/>
      <w:bookmarkEnd w:id="245"/>
      <w:bookmarkEnd w:id="246"/>
      <w:bookmarkEnd w:id="247"/>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本协议当事人禁止从事的行为，包括但不限于：</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（一）基金管理人、基金托管人将其固有财产或者他人财产混同于基金财产从事证券投资。</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（二）基金管理人不公平地对待其管理的不同基金财产，基金托管人不公平地对待其托管的不同基金财产。</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（三）基金管理人、基金托管人利用基金财产为基金份额持有人以外的第三人牟取利益。</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（四）基金管理人、基金托管人向基金份额持有人违规承诺收益或者承担损失。</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（五）基金管理人、基金托管人对他人泄漏基金运作和管理过程中任何尚未按法律法规规定的方式公开披露的信息。</w:t>
      </w:r>
    </w:p>
    <w:p w:rsidR="00AB2B42">
      <w:pPr>
        <w:spacing w:line="360" w:lineRule="auto"/>
        <w:ind w:firstLine="480" w:firstLineChars="200"/>
        <w:rPr>
          <w:rFonts w:ascii="宋体" w:hAnsi="宋体"/>
          <w:sz w:val="24"/>
          <w:lang w:eastAsia="zh-CN"/>
        </w:rPr>
      </w:pPr>
      <w:r>
        <w:rPr>
          <w:rFonts w:ascii="宋体" w:hAnsi="宋体"/>
          <w:sz w:val="24"/>
          <w:highlight w:val="white"/>
          <w:lang w:eastAsia="zh-CN"/>
        </w:rPr>
        <w:t>（六）基金管理人在没有充足资金的情况下向基金托管人发出投资指令和赎回、分红资金的划拨指令，或违规向基金托管人发出指令。</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（七）基金管理人、基金托管人在行政上、财务上不独立，其高级管理人员和其他从业人员相互兼职。</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（八）基金托管人私自动用或处分基金财产，根据基金管理人的合法指令、基金合同或托管协议的规定进行处分的除外。</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（九）基金财产用于下列投资或者活动：</w:t>
      </w:r>
    </w:p>
    <w:p w:rsidR="00AB2B42">
      <w:pPr>
        <w:spacing w:line="360" w:lineRule="auto"/>
        <w:ind w:left="480"/>
        <w:rPr>
          <w:rStyle w:val="read"/>
          <w:rFonts w:ascii="宋体" w:hAnsi="宋体"/>
          <w:sz w:val="24"/>
          <w:lang w:eastAsia="zh-CN"/>
        </w:rPr>
      </w:pPr>
      <w:r>
        <w:rPr>
          <w:rStyle w:val="read"/>
          <w:rFonts w:ascii="宋体" w:hAnsi="宋体" w:hint="eastAsia"/>
          <w:sz w:val="24"/>
          <w:lang w:eastAsia="zh-CN"/>
        </w:rPr>
        <w:t>1.</w:t>
      </w:r>
      <w:r>
        <w:rPr>
          <w:rStyle w:val="read"/>
          <w:rFonts w:ascii="宋体" w:hAnsi="宋体" w:hint="eastAsia"/>
          <w:sz w:val="24"/>
          <w:highlight w:val="white"/>
          <w:lang w:eastAsia="zh-CN"/>
        </w:rPr>
        <w:t>承销证券；</w:t>
      </w:r>
    </w:p>
    <w:p w:rsidR="00AB2B42">
      <w:pPr>
        <w:spacing w:line="360" w:lineRule="auto"/>
        <w:ind w:left="480"/>
        <w:rPr>
          <w:rStyle w:val="read"/>
          <w:rFonts w:ascii="宋体" w:hAnsi="宋体"/>
          <w:sz w:val="24"/>
          <w:lang w:eastAsia="zh-CN"/>
        </w:rPr>
      </w:pPr>
      <w:r>
        <w:rPr>
          <w:rStyle w:val="read"/>
          <w:rFonts w:ascii="宋体" w:hAnsi="宋体" w:hint="eastAsia"/>
          <w:sz w:val="24"/>
          <w:lang w:eastAsia="zh-CN"/>
        </w:rPr>
        <w:t>2.</w:t>
      </w:r>
      <w:r>
        <w:rPr>
          <w:rStyle w:val="read"/>
          <w:rFonts w:ascii="宋体" w:hAnsi="宋体" w:hint="eastAsia"/>
          <w:sz w:val="24"/>
          <w:highlight w:val="white"/>
          <w:lang w:eastAsia="zh-CN"/>
        </w:rPr>
        <w:t>违反规定向他人贷款或者提供担保；</w:t>
      </w:r>
    </w:p>
    <w:p w:rsidR="00AB2B42">
      <w:pPr>
        <w:spacing w:line="360" w:lineRule="auto"/>
        <w:ind w:left="480"/>
        <w:rPr>
          <w:rStyle w:val="read"/>
          <w:rFonts w:ascii="宋体" w:hAnsi="宋体"/>
          <w:sz w:val="24"/>
          <w:lang w:eastAsia="zh-CN"/>
        </w:rPr>
      </w:pPr>
      <w:r>
        <w:rPr>
          <w:rStyle w:val="read"/>
          <w:rFonts w:ascii="宋体" w:hAnsi="宋体" w:hint="eastAsia"/>
          <w:sz w:val="24"/>
          <w:lang w:eastAsia="zh-CN"/>
        </w:rPr>
        <w:t>3.</w:t>
      </w:r>
      <w:r>
        <w:rPr>
          <w:rStyle w:val="read"/>
          <w:rFonts w:ascii="宋体" w:hAnsi="宋体" w:hint="eastAsia"/>
          <w:sz w:val="24"/>
          <w:highlight w:val="white"/>
          <w:lang w:eastAsia="zh-CN"/>
        </w:rPr>
        <w:t>从事承担无限责任的投资；</w:t>
      </w:r>
    </w:p>
    <w:p w:rsidR="00AB2B42">
      <w:pPr>
        <w:spacing w:line="360" w:lineRule="auto"/>
        <w:ind w:left="480"/>
        <w:rPr>
          <w:rStyle w:val="read"/>
          <w:rFonts w:ascii="宋体" w:hAnsi="宋体"/>
          <w:sz w:val="24"/>
          <w:lang w:eastAsia="zh-CN"/>
        </w:rPr>
      </w:pPr>
      <w:r>
        <w:rPr>
          <w:rStyle w:val="read"/>
          <w:rFonts w:ascii="宋体" w:hAnsi="宋体" w:hint="eastAsia"/>
          <w:sz w:val="24"/>
          <w:lang w:eastAsia="zh-CN"/>
        </w:rPr>
        <w:t>4.</w:t>
      </w:r>
      <w:r>
        <w:rPr>
          <w:rStyle w:val="read"/>
          <w:rFonts w:ascii="宋体" w:hAnsi="宋体" w:hint="eastAsia"/>
          <w:sz w:val="24"/>
          <w:highlight w:val="white"/>
          <w:lang w:eastAsia="zh-CN"/>
        </w:rPr>
        <w:t>向其基金管理人、基金托管人出资；</w:t>
      </w:r>
    </w:p>
    <w:p w:rsidR="00AB2B42">
      <w:pPr>
        <w:spacing w:line="360" w:lineRule="auto"/>
        <w:ind w:left="480"/>
        <w:rPr>
          <w:rStyle w:val="read"/>
          <w:rFonts w:ascii="宋体" w:hAnsi="宋体"/>
          <w:sz w:val="24"/>
          <w:lang w:eastAsia="zh-CN"/>
        </w:rPr>
      </w:pPr>
      <w:r>
        <w:rPr>
          <w:rStyle w:val="read"/>
          <w:rFonts w:ascii="宋体" w:hAnsi="宋体" w:hint="eastAsia"/>
          <w:sz w:val="24"/>
          <w:lang w:eastAsia="zh-CN"/>
        </w:rPr>
        <w:t>5.</w:t>
      </w:r>
      <w:r>
        <w:rPr>
          <w:rStyle w:val="read"/>
          <w:rFonts w:ascii="宋体" w:hAnsi="宋体" w:hint="eastAsia"/>
          <w:sz w:val="24"/>
          <w:highlight w:val="white"/>
          <w:lang w:eastAsia="zh-CN"/>
        </w:rPr>
        <w:t>从事内幕交易、操纵证券交易价格及其他不正当的证券交易活动；</w:t>
      </w:r>
    </w:p>
    <w:p w:rsidR="00AB2B42">
      <w:pPr>
        <w:spacing w:line="360" w:lineRule="auto"/>
        <w:ind w:left="480"/>
        <w:rPr>
          <w:rStyle w:val="read"/>
          <w:rFonts w:ascii="宋体" w:hAnsi="宋体"/>
          <w:sz w:val="24"/>
          <w:lang w:eastAsia="zh-CN"/>
        </w:rPr>
      </w:pPr>
      <w:r>
        <w:rPr>
          <w:rStyle w:val="read"/>
          <w:rFonts w:ascii="宋体" w:hAnsi="宋体" w:hint="eastAsia"/>
          <w:sz w:val="24"/>
          <w:lang w:eastAsia="zh-CN"/>
        </w:rPr>
        <w:t>6.</w:t>
      </w:r>
      <w:r>
        <w:rPr>
          <w:rStyle w:val="read"/>
          <w:rFonts w:ascii="宋体" w:hAnsi="宋体" w:hint="eastAsia"/>
          <w:sz w:val="24"/>
          <w:highlight w:val="white"/>
          <w:lang w:eastAsia="zh-CN"/>
        </w:rPr>
        <w:t>法律、行政法规和中国证监会规定禁止的其他活动。</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（十）法律法规和基金合同禁止的其他行为，以及依照法律、行政法规有关规定，由</w:t>
      </w:r>
      <w:r>
        <w:rPr>
          <w:rStyle w:val="read"/>
          <w:rFonts w:ascii="宋体" w:hAnsi="宋体" w:hint="eastAsia"/>
          <w:sz w:val="24"/>
          <w:highlight w:val="white"/>
          <w:lang w:eastAsia="zh-CN"/>
        </w:rPr>
        <w:t>中国证监会</w:t>
      </w:r>
      <w:r>
        <w:rPr>
          <w:rFonts w:ascii="宋体" w:hAnsi="宋体" w:hint="eastAsia"/>
          <w:sz w:val="24"/>
          <w:highlight w:val="white"/>
          <w:lang w:eastAsia="zh-CN"/>
        </w:rPr>
        <w:t>规定禁止基金管理人、基金托管人从事的其他行为。</w:t>
      </w:r>
    </w:p>
    <w:p w:rsidR="00AB2B42">
      <w:pPr>
        <w:snapToGrid w:val="0"/>
        <w:spacing w:line="360" w:lineRule="auto"/>
        <w:ind w:firstLine="480" w:firstLineChars="200"/>
        <w:rPr>
          <w:rFonts w:ascii="宋体" w:hAnsi="宋体"/>
          <w:sz w:val="24"/>
          <w:lang w:eastAsia="zh-CN"/>
        </w:rPr>
      </w:pPr>
    </w:p>
    <w:p w:rsidR="00AB2B42">
      <w:pPr>
        <w:pStyle w:val="Heading1"/>
        <w:numPr>
          <w:ilvl w:val="0"/>
          <w:numId w:val="22"/>
        </w:numPr>
        <w:spacing w:line="360" w:lineRule="auto"/>
        <w:jc w:val="center"/>
        <w:rPr>
          <w:rFonts w:ascii="宋体" w:hAnsi="宋体"/>
          <w:sz w:val="28"/>
          <w:szCs w:val="28"/>
          <w:lang w:eastAsia="zh-CN"/>
        </w:rPr>
      </w:pPr>
      <w:r>
        <w:rPr>
          <w:rFonts w:ascii="宋体" w:hAnsi="宋体"/>
          <w:sz w:val="24"/>
          <w:szCs w:val="24"/>
          <w:highlight w:val="white"/>
          <w:lang w:eastAsia="zh-CN"/>
        </w:rPr>
        <w:br w:type="page"/>
      </w:r>
      <w:bookmarkStart w:id="248" w:name="_Toc295832974"/>
      <w:bookmarkStart w:id="249" w:name="_Toc295833034"/>
      <w:bookmarkStart w:id="250" w:name="_Toc295833705"/>
      <w:bookmarkStart w:id="251" w:name="_Toc124325900"/>
      <w:bookmarkStart w:id="252" w:name="_Toc270669867"/>
      <w:bookmarkStart w:id="253" w:name="_Toc355859329"/>
      <w:bookmarkStart w:id="254" w:name="_Toc366835710"/>
      <w:bookmarkEnd w:id="248"/>
      <w:bookmarkEnd w:id="249"/>
      <w:bookmarkEnd w:id="250"/>
      <w:r>
        <w:rPr>
          <w:rFonts w:ascii="宋体" w:hAnsi="宋体" w:hint="eastAsia"/>
          <w:sz w:val="28"/>
          <w:szCs w:val="28"/>
          <w:highlight w:val="white"/>
          <w:lang w:eastAsia="zh-CN"/>
        </w:rPr>
        <w:t>托管协议的变更、终止与基金财产的清算</w:t>
      </w:r>
      <w:bookmarkEnd w:id="251"/>
      <w:bookmarkEnd w:id="252"/>
      <w:bookmarkEnd w:id="253"/>
      <w:bookmarkEnd w:id="254"/>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（一）托管协议的变更程序</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本协议双方当事人经协商一致，可以对协议进行修改。修改后的新协议，其内容不得与基金合同的规定有任何冲突。</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（二）基金托管协议终止出现的情形</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1.基金合同终止；</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2.基金托管人解散、依法被撤销、破产或由其他基金托管人接管基金资产；</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3.基金管理人解散、依法被撤销、破产或由其他基金管理人接管基金管理权；</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4.发生法律法规或基金合同规定的终止事项。</w:t>
      </w:r>
    </w:p>
    <w:p w:rsidR="00AB2B42">
      <w:pPr>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（三）基金财产的清算</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1.基金财产清算小组：自出现《基金合同》终止事由之日起30个工作日内成立清算小组，基金管理人组织基金财产清算小组并在中国证监会的监督下进行基金清算。</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3.基金财产清算小组职责：基金财产清算小组负责基金财产的保管、清理、估价、变现和分配。基金财产清算小组可以依法进行必要的民事活动。</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4.基金财产清算程序：</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（1）《基金合同》终止情形出现时，由基金财产清算小组统一接管基金；</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（2）对基金财产和债权债务进行清理和确认；</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（3）对基金财产进行估值和变现；</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（4）制作清算报告；</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（5）聘请会计师事务所对清算报告进行外部审计，聘请律师事务所对清算报告出具法律意见书；</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（6）将清算报告报中国证监会备案并公告；</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（7）对基金剩余财产进行分配。</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5.基金财产清算的期限为6个月，但因本基金所持证券的流动性受到限制而不能及时变现的，清算期限相应顺延。</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（四）清算费用</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清算费用是指基金财产清算小组在进行基金清算过程中发生的所有合理费用，清算费用由基金财产清算小组优先从基金财产中支付。</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（五）基金财产清算剩余资产的分配</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（六）基金财产清算的公告</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（七）基金财产清算账册及文件的保存</w:t>
      </w:r>
    </w:p>
    <w:p w:rsidR="00AB2B42">
      <w:pPr>
        <w:autoSpaceDE w:val="0"/>
        <w:autoSpaceDN w:val="0"/>
        <w:spacing w:line="360" w:lineRule="auto"/>
        <w:ind w:firstLine="480" w:firstLineChars="200"/>
        <w:rPr>
          <w:rFonts w:ascii="宋体" w:hAnsi="宋体"/>
          <w:sz w:val="24"/>
          <w:highlight w:val="white"/>
          <w:lang w:eastAsia="zh-CN"/>
        </w:rPr>
      </w:pPr>
      <w:r>
        <w:rPr>
          <w:rFonts w:ascii="宋体" w:hAnsi="宋体" w:hint="eastAsia"/>
          <w:sz w:val="24"/>
          <w:highlight w:val="white"/>
          <w:lang w:eastAsia="zh-CN"/>
        </w:rPr>
        <w:t>基金财产清算账册及有关文件由基金托管人保存20年以上。</w:t>
      </w:r>
    </w:p>
    <w:p w:rsidR="00AB2B42">
      <w:pPr>
        <w:spacing w:line="360" w:lineRule="auto"/>
        <w:ind w:left="425"/>
        <w:jc w:val="left"/>
        <w:rPr>
          <w:rFonts w:ascii="宋体" w:hAnsi="宋体"/>
          <w:sz w:val="24"/>
          <w:lang w:eastAsia="zh-CN"/>
        </w:rPr>
      </w:pPr>
    </w:p>
    <w:p w:rsidR="00AB2B42">
      <w:pPr>
        <w:spacing w:line="360" w:lineRule="auto"/>
        <w:ind w:left="425"/>
        <w:jc w:val="left"/>
        <w:rPr>
          <w:rFonts w:ascii="宋体" w:hAnsi="宋体"/>
          <w:sz w:val="24"/>
          <w:lang w:eastAsia="zh-CN"/>
        </w:rPr>
      </w:pPr>
    </w:p>
    <w:p w:rsidR="00AB2B42">
      <w:pPr>
        <w:spacing w:line="360" w:lineRule="auto"/>
        <w:ind w:firstLine="480" w:firstLineChars="200"/>
        <w:rPr>
          <w:rFonts w:ascii="宋体" w:hAnsi="宋体"/>
          <w:sz w:val="24"/>
          <w:lang w:eastAsia="zh-CN"/>
        </w:rPr>
      </w:pPr>
    </w:p>
    <w:p w:rsidR="00AB2B42">
      <w:pPr>
        <w:pStyle w:val="Heading1"/>
        <w:numPr>
          <w:ilvl w:val="0"/>
          <w:numId w:val="22"/>
        </w:numPr>
        <w:spacing w:line="360" w:lineRule="auto"/>
        <w:jc w:val="center"/>
        <w:rPr>
          <w:rFonts w:ascii="宋体" w:hAnsi="宋体"/>
          <w:sz w:val="28"/>
          <w:szCs w:val="28"/>
        </w:rPr>
      </w:pPr>
      <w:r>
        <w:rPr>
          <w:rFonts w:ascii="宋体" w:hAnsi="宋体"/>
          <w:sz w:val="24"/>
          <w:szCs w:val="24"/>
          <w:highlight w:val="white"/>
          <w:lang w:eastAsia="zh-CN"/>
        </w:rPr>
        <w:br w:type="page"/>
      </w:r>
      <w:bookmarkStart w:id="255" w:name="_Toc295832976"/>
      <w:bookmarkStart w:id="256" w:name="_Toc295833036"/>
      <w:bookmarkStart w:id="257" w:name="_Toc295833707"/>
      <w:bookmarkStart w:id="258" w:name="_Toc124325901"/>
      <w:bookmarkStart w:id="259" w:name="_Toc270669868"/>
      <w:bookmarkStart w:id="260" w:name="_Toc355859330"/>
      <w:bookmarkStart w:id="261" w:name="_Toc366835711"/>
      <w:bookmarkEnd w:id="255"/>
      <w:bookmarkEnd w:id="256"/>
      <w:bookmarkEnd w:id="257"/>
      <w:r>
        <w:rPr>
          <w:rFonts w:ascii="宋体" w:hAnsi="宋体" w:hint="eastAsia"/>
          <w:sz w:val="28"/>
          <w:szCs w:val="28"/>
          <w:highlight w:val="white"/>
        </w:rPr>
        <w:t>违约责任</w:t>
      </w:r>
      <w:bookmarkEnd w:id="258"/>
      <w:bookmarkEnd w:id="259"/>
      <w:bookmarkEnd w:id="260"/>
      <w:bookmarkEnd w:id="261"/>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（一）</w:t>
      </w:r>
      <w:r>
        <w:rPr>
          <w:rFonts w:ascii="宋体" w:hAnsi="宋体"/>
          <w:sz w:val="24"/>
          <w:highlight w:val="white"/>
          <w:lang w:eastAsia="zh-CN"/>
        </w:rPr>
        <w:t>基金管理人、基金托管人</w:t>
      </w:r>
      <w:r>
        <w:rPr>
          <w:rFonts w:ascii="宋体" w:hAnsi="宋体" w:hint="eastAsia"/>
          <w:sz w:val="24"/>
          <w:highlight w:val="white"/>
          <w:lang w:eastAsia="zh-CN"/>
        </w:rPr>
        <w:t>不</w:t>
      </w:r>
      <w:r>
        <w:rPr>
          <w:rFonts w:ascii="宋体" w:hAnsi="宋体"/>
          <w:sz w:val="24"/>
          <w:highlight w:val="white"/>
          <w:lang w:eastAsia="zh-CN"/>
        </w:rPr>
        <w:t>履行</w:t>
      </w:r>
      <w:r>
        <w:rPr>
          <w:rFonts w:ascii="宋体" w:hAnsi="宋体" w:hint="eastAsia"/>
          <w:sz w:val="24"/>
          <w:highlight w:val="white"/>
          <w:lang w:eastAsia="zh-CN"/>
        </w:rPr>
        <w:t>本协议或履行本协议不符合约定的，应当承担违约责任。</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二）基金管理人、基金托管人在履行各自职责的过程中，违反《基金法》或者基金合同和本托管协议约定，给基金财产或者基金份额持有人造成损害的，应当分别对各自的行为依法承担相应赔偿责任；因共同行为给基金财产或者基金份额持有人造成损害的，应当承担连带赔偿责任，对损失的赔偿，仅限于直接损失。</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三）一方当事人违约，给另一方当事人造成损失的，应就直接损失（含对外赔偿）进行赔偿；给基金财产造成损失的，应就直接损失进行赔偿，另一方当事人有权利及义务代表基金向违约方追偿。但是如发生下列情况，当事人免责：</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1.不可抗力；</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2.基金管理人和/或基金托管人按照当时有效的法律法规或中国证监会的规定作为或不作为而造成的损失等；</w:t>
      </w:r>
    </w:p>
    <w:p w:rsidR="00AB2B42">
      <w:pPr>
        <w:spacing w:line="360" w:lineRule="auto"/>
        <w:ind w:firstLine="480" w:firstLineChars="200"/>
        <w:rPr>
          <w:rStyle w:val="read"/>
          <w:rFonts w:ascii="宋体" w:hAnsi="宋体"/>
          <w:sz w:val="24"/>
          <w:lang w:eastAsia="zh-CN"/>
        </w:rPr>
      </w:pPr>
      <w:r>
        <w:rPr>
          <w:rStyle w:val="read"/>
          <w:rFonts w:ascii="宋体" w:hAnsi="宋体" w:hint="eastAsia"/>
          <w:sz w:val="24"/>
          <w:highlight w:val="white"/>
          <w:lang w:eastAsia="zh-CN"/>
        </w:rPr>
        <w:t>3.基金管理人由于按照基金合同规定的投资原则投资或不投资造成的损失等。</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（四）一方当事人违约，另一方当事人在职责范围内有义务及时采取必要的措施，尽力防止损失的扩大。</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（五）违约行为虽已发生，但本托管协议能够继续履行的，在最大限度地保护基金份额持有人利益的前提下，基金管理人和基金托管人应当继续履行本协议。</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AB2B42">
      <w:pPr>
        <w:snapToGrid w:val="0"/>
        <w:spacing w:line="360" w:lineRule="auto"/>
        <w:ind w:firstLine="480" w:firstLineChars="200"/>
        <w:rPr>
          <w:rFonts w:ascii="宋体" w:hAnsi="宋体"/>
          <w:sz w:val="24"/>
          <w:lang w:eastAsia="zh-CN"/>
        </w:rPr>
      </w:pPr>
    </w:p>
    <w:p w:rsidR="00AB2B42">
      <w:pPr>
        <w:pStyle w:val="Heading1"/>
        <w:numPr>
          <w:ilvl w:val="0"/>
          <w:numId w:val="22"/>
        </w:numPr>
        <w:spacing w:line="360" w:lineRule="auto"/>
        <w:jc w:val="center"/>
        <w:rPr>
          <w:rFonts w:ascii="宋体" w:hAnsi="宋体"/>
          <w:sz w:val="24"/>
        </w:rPr>
      </w:pPr>
      <w:r>
        <w:rPr>
          <w:rFonts w:ascii="宋体" w:hAnsi="宋体"/>
          <w:sz w:val="24"/>
          <w:szCs w:val="24"/>
          <w:highlight w:val="white"/>
          <w:lang w:eastAsia="zh-CN"/>
        </w:rPr>
        <w:br w:type="page"/>
      </w:r>
      <w:bookmarkStart w:id="262" w:name="_Toc295832978"/>
      <w:bookmarkStart w:id="263" w:name="_Toc295833038"/>
      <w:bookmarkStart w:id="264" w:name="_Toc295833709"/>
      <w:bookmarkStart w:id="265" w:name="_Toc124325902"/>
      <w:bookmarkStart w:id="266" w:name="_Toc270669869"/>
      <w:bookmarkStart w:id="267" w:name="_Toc355859331"/>
      <w:bookmarkStart w:id="268" w:name="_Toc366835712"/>
      <w:bookmarkEnd w:id="262"/>
      <w:bookmarkEnd w:id="263"/>
      <w:bookmarkEnd w:id="264"/>
      <w:r>
        <w:rPr>
          <w:rFonts w:ascii="宋体" w:hAnsi="宋体" w:hint="eastAsia"/>
          <w:sz w:val="28"/>
          <w:szCs w:val="28"/>
          <w:highlight w:val="white"/>
        </w:rPr>
        <w:t>争议解决方式</w:t>
      </w:r>
      <w:bookmarkEnd w:id="265"/>
      <w:bookmarkEnd w:id="266"/>
      <w:bookmarkEnd w:id="267"/>
      <w:bookmarkEnd w:id="268"/>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因本协议产生或与之相关的争议，双方当事人应通过协商解决，协商不能解决的，任何一方均有权将争议提交</w:t>
      </w:r>
      <w:r>
        <w:rPr>
          <w:rFonts w:hint="eastAsia"/>
          <w:spacing w:val="-4"/>
          <w:sz w:val="24"/>
          <w:highlight w:val="white"/>
          <w:lang w:eastAsia="zh-CN"/>
        </w:rPr>
        <w:t>上海国际经济贸易仲裁委员会（上海国际仲裁中心）</w:t>
      </w:r>
      <w:r>
        <w:rPr>
          <w:rFonts w:ascii="宋体" w:hAnsi="宋体" w:hint="eastAsia"/>
          <w:sz w:val="24"/>
          <w:highlight w:val="white"/>
          <w:lang w:eastAsia="zh-CN"/>
        </w:rPr>
        <w:t>，仲裁地点为上海市，按照</w:t>
      </w:r>
      <w:r>
        <w:rPr>
          <w:rFonts w:hint="eastAsia"/>
          <w:spacing w:val="-4"/>
          <w:sz w:val="24"/>
          <w:highlight w:val="white"/>
          <w:lang w:eastAsia="zh-CN"/>
        </w:rPr>
        <w:t>上海国际经济贸易仲裁委员会（上海国际仲裁中心）</w:t>
      </w:r>
      <w:r>
        <w:rPr>
          <w:spacing w:val="-4"/>
          <w:sz w:val="24"/>
          <w:highlight w:val="white"/>
          <w:lang w:eastAsia="zh-CN"/>
        </w:rPr>
        <w:t>届时有效的</w:t>
      </w:r>
      <w:r>
        <w:rPr>
          <w:rFonts w:ascii="宋体" w:hAnsi="宋体" w:hint="eastAsia"/>
          <w:sz w:val="24"/>
          <w:highlight w:val="white"/>
          <w:lang w:eastAsia="zh-CN"/>
        </w:rPr>
        <w:t>仲裁规则进行仲裁。仲裁裁决是终局的，对双方当事人均有约束力，除非仲裁裁决另有决定，仲裁费用由败诉方承担。</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争议处理期间，双方当事人应恪守基金管理人和基金托管人职责，各自继续忠实、勤勉、尽责地履行基金合同和本托管协议规定的义务，维护基金份额持有人的合法权益。</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本协议受中国法律管辖。</w:t>
      </w:r>
    </w:p>
    <w:p w:rsidR="00AB2B42">
      <w:pPr>
        <w:spacing w:line="360" w:lineRule="auto"/>
        <w:rPr>
          <w:rFonts w:ascii="宋体" w:hAnsi="宋体"/>
          <w:sz w:val="24"/>
          <w:lang w:eastAsia="zh-CN"/>
        </w:rPr>
      </w:pPr>
    </w:p>
    <w:p w:rsidR="00AB2B42">
      <w:pPr>
        <w:snapToGrid w:val="0"/>
        <w:spacing w:line="360" w:lineRule="auto"/>
        <w:ind w:firstLine="480" w:firstLineChars="200"/>
        <w:rPr>
          <w:rFonts w:ascii="宋体" w:hAnsi="宋体"/>
          <w:sz w:val="24"/>
          <w:lang w:eastAsia="zh-CN"/>
        </w:rPr>
      </w:pPr>
    </w:p>
    <w:p w:rsidR="00AB2B42">
      <w:pPr>
        <w:pStyle w:val="Heading1"/>
        <w:numPr>
          <w:ilvl w:val="0"/>
          <w:numId w:val="22"/>
        </w:numPr>
        <w:spacing w:line="360" w:lineRule="auto"/>
        <w:jc w:val="center"/>
        <w:rPr>
          <w:rFonts w:ascii="宋体" w:hAnsi="宋体"/>
          <w:sz w:val="28"/>
          <w:szCs w:val="28"/>
        </w:rPr>
      </w:pPr>
      <w:r>
        <w:rPr>
          <w:rFonts w:ascii="宋体" w:hAnsi="宋体"/>
          <w:sz w:val="24"/>
          <w:szCs w:val="24"/>
          <w:highlight w:val="white"/>
          <w:lang w:eastAsia="zh-CN"/>
        </w:rPr>
        <w:br w:type="page"/>
      </w:r>
      <w:bookmarkStart w:id="269" w:name="_Toc295832980"/>
      <w:bookmarkStart w:id="270" w:name="_Toc295833040"/>
      <w:bookmarkStart w:id="271" w:name="_Toc295833711"/>
      <w:bookmarkStart w:id="272" w:name="_Toc124325903"/>
      <w:bookmarkStart w:id="273" w:name="_Toc270669870"/>
      <w:bookmarkStart w:id="274" w:name="_Toc355859332"/>
      <w:bookmarkStart w:id="275" w:name="_Toc366835713"/>
      <w:bookmarkEnd w:id="269"/>
      <w:bookmarkEnd w:id="270"/>
      <w:bookmarkEnd w:id="271"/>
      <w:r>
        <w:rPr>
          <w:rFonts w:ascii="宋体" w:hAnsi="宋体" w:hint="eastAsia"/>
          <w:sz w:val="28"/>
          <w:szCs w:val="28"/>
          <w:highlight w:val="white"/>
        </w:rPr>
        <w:t>托管协议的效力</w:t>
      </w:r>
      <w:bookmarkEnd w:id="272"/>
      <w:bookmarkEnd w:id="273"/>
      <w:bookmarkEnd w:id="274"/>
      <w:bookmarkEnd w:id="275"/>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双方对托管协议的效力约定如下：</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一）基金管理人在向中国证监会申请发售基金份额时提交的托管协议草案，应经托管协议当事人双方盖章以及双方法定代表人或授权代表签字或签章，协议当事人双方根据中国证监会的意见修改托管协议草案。托管协议以中国证监会注册的文本为正式文本。</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二）托管协议自基金管理人、基金托管人盖章以及双方法定代表人或授权代表签字或签章之日起成立，自基金合同生效之日起生效。托管协议的有效期自其生效之日起至基金财产清算结果报中国证监会备案并公告之日止。</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（三）托管协议自生效之日起对托管协议当事人具有同等的法律约束力。</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（四）本协议一式三份，协议双方各持一份，上报监管部门一份，每份具有同等的法律效力。</w:t>
      </w:r>
    </w:p>
    <w:p w:rsidR="00AB2B42">
      <w:pPr>
        <w:snapToGrid w:val="0"/>
        <w:spacing w:line="360" w:lineRule="auto"/>
        <w:ind w:firstLine="480" w:firstLineChars="200"/>
        <w:rPr>
          <w:rFonts w:ascii="宋体" w:hAnsi="宋体"/>
          <w:sz w:val="24"/>
          <w:lang w:eastAsia="zh-CN"/>
        </w:rPr>
      </w:pPr>
    </w:p>
    <w:p w:rsidR="00AB2B42">
      <w:pPr>
        <w:pStyle w:val="Heading1"/>
        <w:numPr>
          <w:ilvl w:val="0"/>
          <w:numId w:val="22"/>
        </w:numPr>
        <w:spacing w:line="360" w:lineRule="auto"/>
        <w:jc w:val="center"/>
        <w:rPr>
          <w:rFonts w:ascii="宋体" w:hAnsi="宋体"/>
          <w:sz w:val="28"/>
          <w:szCs w:val="28"/>
        </w:rPr>
      </w:pPr>
      <w:r>
        <w:rPr>
          <w:rFonts w:ascii="宋体" w:hAnsi="宋体"/>
          <w:sz w:val="24"/>
          <w:szCs w:val="24"/>
          <w:highlight w:val="white"/>
          <w:lang w:eastAsia="zh-CN"/>
        </w:rPr>
        <w:br w:type="page"/>
      </w:r>
      <w:bookmarkStart w:id="276" w:name="_Toc295832982"/>
      <w:bookmarkStart w:id="277" w:name="_Toc295833042"/>
      <w:bookmarkStart w:id="278" w:name="_Toc295833713"/>
      <w:bookmarkStart w:id="279" w:name="_Toc124325904"/>
      <w:bookmarkStart w:id="280" w:name="_Toc270669871"/>
      <w:bookmarkStart w:id="281" w:name="_Toc355859333"/>
      <w:bookmarkStart w:id="282" w:name="_Toc366835714"/>
      <w:bookmarkEnd w:id="276"/>
      <w:bookmarkEnd w:id="277"/>
      <w:bookmarkEnd w:id="278"/>
      <w:r>
        <w:rPr>
          <w:rFonts w:ascii="宋体" w:hAnsi="宋体" w:hint="eastAsia"/>
          <w:sz w:val="28"/>
          <w:szCs w:val="28"/>
          <w:highlight w:val="white"/>
        </w:rPr>
        <w:t>其他事项</w:t>
      </w:r>
      <w:bookmarkEnd w:id="279"/>
      <w:bookmarkEnd w:id="280"/>
      <w:bookmarkEnd w:id="281"/>
      <w:bookmarkEnd w:id="282"/>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如发生有权司法机关依法冻结基金份额持有人的基金份额时，基金管理人应予以配合，承担司法协助义务。</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除本协议有明确定义外，本协议的用语定义适用基金合同的约定。本协议未尽事宜，当事人依据基金合同、有关法律法规等规定协商办理。</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理解、认可并同意反洗钱、反恐怖融资及反逃税系中华人民共和国法律法规及监管要求，基金托管人作为金融机构须根据该等规定进行相关管理，并有权依该等规定对相关合约的签约主体进行风险告知、提示、并要求基金管理人遵守和符合该等规定。</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同意接受基金托管人在反洗钱、反恐怖融资及反逃税方面的监管。基金管理人在此确认和承诺，基金托管人已明确向其提出反洗钱、反恐怖融资及反逃税相关要求；基金管理人亦进一步在此确认和同意，其将严格遵守《中华人民共和国反洗钱法》、《金融机构反洗钱规定》、《金融机构客户身份识别和客户身份资料及交易记录保存管理办法》、《金融机构大额交易和可疑交易报告管理办法》、《中华人民共和国反恐怖主义法》以及其他相关法律法规中有关被监管方的要求和规定，以及基金托管人基于反洗钱、反恐怖融资及/或反逃税不时发布的相关政策、规则或办法，且其在通过基金托管人办理相关业务时，认可基金管理人履行合规义务是基金托管人提供相关业务服务的前提。</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基金管理人承诺将依法合规地向基金托管人开展或办理各类业务、目的合法、背景真实、所提交申请材料均准确、合法、有效且无重大遗漏，不存在直接或间接以合法形式掩盖非法或不合规目的之情形。</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基金管理人同意，反洗钱、反恐怖融资及反逃税方面具有协助和配合基金托管人工作的义务。</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承诺其知晓并同意其有义务协助及配合基金托管人履行所有以反洗钱、反恐怖融资及/或反逃税为目的的检查、调查、额外业务流程或程序、按要求补充提供相关材料、并同意承担由此等合规目的可能带来的处理时间或成本的合理增加。</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基金管理人承诺其知晓并同意基金托管人在法律法规允许的范围内，有权为反洗钱、反恐怖融资及/或反逃税目的使用、汇总或向有权监管机构报送与基金管理人有关的数据、信息。</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承诺其知晓并同意在基金托管人与其任何业务关系存续期间，如基金管理人发生或卷入（或涉嫌发生或卷入）任何与基金托管人（或其他银行等金融机构）反洗钱及/或反恐怖融资及/或反逃税事项或调查的，由此产生的不利后果由基金管理人自行承担。如基金管理人已被证实（包括通过新闻等公开渠道或信息）受到涉及洗钱及/或恐怖融资及/或逃税相关正式调查、立案、处罚或来自政府机构的其他正式官方程序的，视为构成基金管理人对银行每一交易或业务文件项下违反，基金托管人有权宣布基金管理人违约并追究违约责任；如约定的违约金（若有）不足以弥补银行由此受到的损失的，基金管理人还应当承担相应的赔偿责任。</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理解上述反洗钱、反恐怖融资及反逃税要求可能根据相关法律法规及监管规定及宏观金融环境的变迁而不时更新和完善，基金管理人承诺将持续关注和了解该等法律法规及监管规定之最新版本，并在与基金托管人开展业务期间保持持续合规。</w:t>
      </w:r>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基金管理人明白和理解反恐反洗钱及反逃税作为一项复杂工程，可能涉及跨境跨主权合作，并可能受限于国际组织及/或其他主权国家相关法律规定之要求；基金管理人在此确认，在法律法规允许的前提下，上述反恐反洗钱及反洗钱特别条款同样适用于国际反恐反洗钱及/或反逃税合规要求；当基金托管人涉及国际反恐反洗钱协作时，基金托管人有权依据上述条款进行相应的调查、检查或采取适当的行动。</w:t>
      </w:r>
    </w:p>
    <w:p w:rsidR="00AB2B42">
      <w:pPr>
        <w:spacing w:line="360" w:lineRule="auto"/>
        <w:ind w:firstLine="480" w:firstLineChars="200"/>
        <w:rPr>
          <w:rFonts w:ascii="宋体" w:hAnsi="宋体"/>
          <w:sz w:val="24"/>
          <w:lang w:eastAsia="zh-CN"/>
        </w:rPr>
      </w:pPr>
    </w:p>
    <w:p w:rsidR="00AB2B42">
      <w:pPr>
        <w:pStyle w:val="Heading1"/>
        <w:numPr>
          <w:ilvl w:val="0"/>
          <w:numId w:val="22"/>
        </w:numPr>
        <w:spacing w:before="0" w:after="0" w:line="360" w:lineRule="auto"/>
        <w:jc w:val="center"/>
        <w:rPr>
          <w:rFonts w:ascii="宋体" w:hAnsi="宋体"/>
          <w:sz w:val="28"/>
          <w:szCs w:val="28"/>
        </w:rPr>
      </w:pPr>
      <w:bookmarkStart w:id="283" w:name="_Toc295832984"/>
      <w:bookmarkStart w:id="284" w:name="_Toc295833044"/>
      <w:bookmarkStart w:id="285" w:name="_Toc295833715"/>
      <w:bookmarkStart w:id="286" w:name="_Toc295832985"/>
      <w:bookmarkStart w:id="287" w:name="_Toc295833045"/>
      <w:bookmarkStart w:id="288" w:name="_Toc295833716"/>
      <w:bookmarkEnd w:id="283"/>
      <w:bookmarkEnd w:id="284"/>
      <w:bookmarkEnd w:id="285"/>
      <w:bookmarkEnd w:id="286"/>
      <w:bookmarkEnd w:id="287"/>
      <w:bookmarkEnd w:id="288"/>
      <w:r>
        <w:rPr>
          <w:rFonts w:ascii="宋体" w:hAnsi="宋体"/>
          <w:sz w:val="24"/>
          <w:szCs w:val="24"/>
          <w:highlight w:val="white"/>
          <w:lang w:eastAsia="zh-CN"/>
        </w:rPr>
        <w:br w:type="page"/>
      </w:r>
      <w:bookmarkStart w:id="289" w:name="_Toc295832986"/>
      <w:bookmarkStart w:id="290" w:name="_Toc295833046"/>
      <w:bookmarkStart w:id="291" w:name="_Toc295833717"/>
      <w:bookmarkStart w:id="292" w:name="_Toc124325905"/>
      <w:bookmarkStart w:id="293" w:name="_Toc270669872"/>
      <w:bookmarkStart w:id="294" w:name="_Toc355859334"/>
      <w:bookmarkStart w:id="295" w:name="_Toc366835715"/>
      <w:bookmarkEnd w:id="289"/>
      <w:bookmarkEnd w:id="290"/>
      <w:bookmarkEnd w:id="291"/>
      <w:r>
        <w:rPr>
          <w:rFonts w:ascii="宋体" w:hAnsi="宋体" w:hint="eastAsia"/>
          <w:sz w:val="28"/>
          <w:szCs w:val="28"/>
          <w:highlight w:val="white"/>
        </w:rPr>
        <w:t>托管协议的签订</w:t>
      </w:r>
      <w:bookmarkEnd w:id="292"/>
      <w:bookmarkEnd w:id="293"/>
      <w:bookmarkEnd w:id="294"/>
      <w:bookmarkEnd w:id="295"/>
    </w:p>
    <w:p w:rsidR="00AB2B42">
      <w:pPr>
        <w:spacing w:line="360" w:lineRule="auto"/>
        <w:ind w:firstLine="480" w:firstLineChars="200"/>
        <w:rPr>
          <w:rFonts w:ascii="宋体" w:hAnsi="宋体"/>
          <w:sz w:val="24"/>
          <w:lang w:eastAsia="zh-CN"/>
        </w:rPr>
      </w:pPr>
      <w:r>
        <w:rPr>
          <w:rFonts w:ascii="宋体" w:hAnsi="宋体" w:hint="eastAsia"/>
          <w:sz w:val="24"/>
          <w:highlight w:val="white"/>
          <w:lang w:eastAsia="zh-CN"/>
        </w:rPr>
        <w:t>本协议双方法定代表人或授权代表人签章、签订地、签订日</w:t>
      </w:r>
    </w:p>
    <w:p w:rsidR="00AB2B42">
      <w:pPr>
        <w:snapToGrid w:val="0"/>
        <w:spacing w:line="360" w:lineRule="auto"/>
        <w:ind w:right="26"/>
        <w:rPr>
          <w:rFonts w:ascii="宋体" w:hAnsi="宋体"/>
          <w:sz w:val="24"/>
          <w:lang w:eastAsia="zh-CN"/>
        </w:rPr>
      </w:pPr>
      <w:r>
        <w:rPr>
          <w:rFonts w:ascii="宋体" w:hAnsi="宋体"/>
          <w:sz w:val="24"/>
          <w:highlight w:val="white"/>
          <w:lang w:eastAsia="zh-CN"/>
        </w:rPr>
        <w:br w:type="page"/>
      </w:r>
      <w:r>
        <w:rPr>
          <w:rFonts w:ascii="宋体" w:hAnsi="宋体" w:hint="eastAsia"/>
          <w:sz w:val="24"/>
          <w:highlight w:val="white"/>
          <w:lang w:eastAsia="zh-CN"/>
        </w:rPr>
        <w:t>本页无正文，为《</w:t>
      </w:r>
      <w:r>
        <w:rPr>
          <w:rFonts w:ascii="宋体" w:hAnsi="宋体"/>
          <w:sz w:val="24"/>
          <w:lang w:eastAsia="zh-CN"/>
        </w:rPr>
        <w:t>易方达上证科创板综合指数增强型证券投资基金</w:t>
      </w:r>
      <w:r>
        <w:rPr>
          <w:rFonts w:ascii="宋体" w:hAnsi="宋体" w:hint="eastAsia"/>
          <w:sz w:val="24"/>
          <w:highlight w:val="white"/>
          <w:lang w:eastAsia="zh-CN"/>
        </w:rPr>
        <w:t>托管协议》的签字盖章页</w:t>
      </w: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r>
        <w:rPr>
          <w:rFonts w:ascii="宋体" w:hAnsi="宋体" w:hint="eastAsia"/>
          <w:sz w:val="24"/>
          <w:highlight w:val="white"/>
          <w:lang w:eastAsia="zh-CN"/>
        </w:rPr>
        <w:t>《托管协议》当事人盖章及法定代表人或授权代表</w:t>
      </w:r>
      <w:r>
        <w:rPr>
          <w:rFonts w:ascii="宋体" w:hAnsi="宋体"/>
          <w:sz w:val="24"/>
          <w:highlight w:val="white"/>
          <w:lang w:eastAsia="zh-CN"/>
        </w:rPr>
        <w:t>签字/签章、签订地、签订日</w:t>
      </w: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r>
        <w:rPr>
          <w:rFonts w:ascii="宋体" w:hAnsi="宋体" w:hint="eastAsia"/>
          <w:sz w:val="24"/>
          <w:highlight w:val="white"/>
          <w:lang w:eastAsia="zh-CN"/>
        </w:rPr>
        <w:t>基金管理人：易方达基金管理有限公司（章）</w:t>
      </w: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r>
        <w:rPr>
          <w:rFonts w:ascii="宋体" w:hAnsi="宋体" w:hint="eastAsia"/>
          <w:sz w:val="24"/>
          <w:highlight w:val="white"/>
          <w:lang w:eastAsia="zh-CN"/>
        </w:rPr>
        <w:t>法定代表人或授权代表（签字</w:t>
      </w:r>
      <w:r>
        <w:rPr>
          <w:rFonts w:ascii="宋体" w:hAnsi="宋体"/>
          <w:sz w:val="24"/>
          <w:highlight w:val="white"/>
          <w:lang w:eastAsia="zh-CN"/>
        </w:rPr>
        <w:t>/</w:t>
      </w:r>
      <w:r>
        <w:rPr>
          <w:rFonts w:ascii="宋体" w:hAnsi="宋体" w:hint="eastAsia"/>
          <w:sz w:val="24"/>
          <w:highlight w:val="white"/>
          <w:lang w:eastAsia="zh-CN"/>
        </w:rPr>
        <w:t>签章）：</w:t>
      </w: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r>
        <w:rPr>
          <w:rFonts w:ascii="宋体" w:hAnsi="宋体" w:hint="eastAsia"/>
          <w:sz w:val="24"/>
          <w:highlight w:val="white"/>
          <w:lang w:eastAsia="zh-CN"/>
        </w:rPr>
        <w:t>签订日期：</w:t>
      </w:r>
      <w:r>
        <w:rPr>
          <w:rFonts w:ascii="宋体" w:hAnsi="宋体"/>
          <w:sz w:val="24"/>
          <w:highlight w:val="white"/>
          <w:lang w:eastAsia="zh-CN"/>
        </w:rPr>
        <w:t xml:space="preserve">   </w:t>
      </w:r>
      <w:r>
        <w:rPr>
          <w:rFonts w:ascii="宋体" w:hAnsi="宋体" w:hint="eastAsia"/>
          <w:sz w:val="24"/>
          <w:highlight w:val="white"/>
          <w:lang w:eastAsia="zh-CN"/>
        </w:rPr>
        <w:t>年</w:t>
      </w:r>
      <w:r>
        <w:rPr>
          <w:rFonts w:ascii="宋体" w:hAnsi="宋体"/>
          <w:sz w:val="24"/>
          <w:highlight w:val="white"/>
          <w:lang w:eastAsia="zh-CN"/>
        </w:rPr>
        <w:t xml:space="preserve">   </w:t>
      </w:r>
      <w:r>
        <w:rPr>
          <w:rFonts w:ascii="宋体" w:hAnsi="宋体" w:hint="eastAsia"/>
          <w:sz w:val="24"/>
          <w:highlight w:val="white"/>
          <w:lang w:eastAsia="zh-CN"/>
        </w:rPr>
        <w:t>月</w:t>
      </w:r>
      <w:r>
        <w:rPr>
          <w:rFonts w:ascii="宋体" w:hAnsi="宋体"/>
          <w:sz w:val="24"/>
          <w:highlight w:val="white"/>
          <w:lang w:eastAsia="zh-CN"/>
        </w:rPr>
        <w:t xml:space="preserve">   </w:t>
      </w:r>
      <w:r>
        <w:rPr>
          <w:rFonts w:ascii="宋体" w:hAnsi="宋体" w:hint="eastAsia"/>
          <w:sz w:val="24"/>
          <w:highlight w:val="white"/>
          <w:lang w:eastAsia="zh-CN"/>
        </w:rPr>
        <w:t>日</w:t>
      </w: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r>
        <w:rPr>
          <w:rFonts w:ascii="宋体" w:hAnsi="宋体" w:hint="eastAsia"/>
          <w:sz w:val="24"/>
          <w:highlight w:val="white"/>
          <w:lang w:eastAsia="zh-CN"/>
        </w:rPr>
        <w:t>基金托管人：平安银行股份有限公司（章）</w:t>
      </w: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r>
        <w:rPr>
          <w:rFonts w:ascii="宋体" w:hAnsi="宋体" w:hint="eastAsia"/>
          <w:sz w:val="24"/>
          <w:highlight w:val="white"/>
          <w:lang w:eastAsia="zh-CN"/>
        </w:rPr>
        <w:t>法定代表人或授权代表（签字</w:t>
      </w:r>
      <w:r>
        <w:rPr>
          <w:rFonts w:ascii="宋体" w:hAnsi="宋体"/>
          <w:sz w:val="24"/>
          <w:highlight w:val="white"/>
          <w:lang w:eastAsia="zh-CN"/>
        </w:rPr>
        <w:t>/</w:t>
      </w:r>
      <w:r>
        <w:rPr>
          <w:rFonts w:ascii="宋体" w:hAnsi="宋体" w:hint="eastAsia"/>
          <w:sz w:val="24"/>
          <w:highlight w:val="white"/>
          <w:lang w:eastAsia="zh-CN"/>
        </w:rPr>
        <w:t>签章）：</w:t>
      </w: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r>
        <w:rPr>
          <w:rFonts w:ascii="宋体" w:hAnsi="宋体" w:hint="eastAsia"/>
          <w:sz w:val="24"/>
          <w:highlight w:val="white"/>
          <w:lang w:eastAsia="zh-CN"/>
        </w:rPr>
        <w:t>签订地点：</w:t>
      </w: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p>
    <w:p w:rsidR="00AB2B42">
      <w:pPr>
        <w:snapToGrid w:val="0"/>
        <w:spacing w:line="360" w:lineRule="auto"/>
        <w:ind w:right="26"/>
        <w:rPr>
          <w:rFonts w:ascii="宋体" w:hAnsi="宋体"/>
          <w:sz w:val="24"/>
          <w:lang w:eastAsia="zh-CN"/>
        </w:rPr>
      </w:pPr>
      <w:r>
        <w:rPr>
          <w:rFonts w:ascii="宋体" w:hAnsi="宋体" w:hint="eastAsia"/>
          <w:sz w:val="24"/>
          <w:highlight w:val="white"/>
          <w:lang w:eastAsia="zh-CN"/>
        </w:rPr>
        <w:t>签订日期：</w:t>
      </w:r>
      <w:r>
        <w:rPr>
          <w:rFonts w:ascii="宋体" w:hAnsi="宋体"/>
          <w:sz w:val="24"/>
          <w:highlight w:val="white"/>
          <w:lang w:eastAsia="zh-CN"/>
        </w:rPr>
        <w:t xml:space="preserve">   </w:t>
      </w:r>
      <w:r>
        <w:rPr>
          <w:rFonts w:ascii="宋体" w:hAnsi="宋体" w:hint="eastAsia"/>
          <w:sz w:val="24"/>
          <w:highlight w:val="white"/>
          <w:lang w:eastAsia="zh-CN"/>
        </w:rPr>
        <w:t>年</w:t>
      </w:r>
      <w:r>
        <w:rPr>
          <w:rFonts w:ascii="宋体" w:hAnsi="宋体"/>
          <w:sz w:val="24"/>
          <w:highlight w:val="white"/>
          <w:lang w:eastAsia="zh-CN"/>
        </w:rPr>
        <w:t xml:space="preserve">   </w:t>
      </w:r>
      <w:r>
        <w:rPr>
          <w:rFonts w:ascii="宋体" w:hAnsi="宋体" w:hint="eastAsia"/>
          <w:sz w:val="24"/>
          <w:highlight w:val="white"/>
          <w:lang w:eastAsia="zh-CN"/>
        </w:rPr>
        <w:t>月</w:t>
      </w:r>
      <w:r>
        <w:rPr>
          <w:rFonts w:ascii="宋体" w:hAnsi="宋体"/>
          <w:sz w:val="24"/>
          <w:highlight w:val="white"/>
          <w:lang w:eastAsia="zh-CN"/>
        </w:rPr>
        <w:t xml:space="preserve">   </w:t>
      </w:r>
      <w:r>
        <w:rPr>
          <w:rFonts w:ascii="宋体" w:hAnsi="宋体" w:hint="eastAsia"/>
          <w:sz w:val="24"/>
          <w:highlight w:val="white"/>
          <w:lang w:eastAsia="zh-CN"/>
        </w:rPr>
        <w:t>日</w:t>
      </w:r>
    </w:p>
    <w:sectPr w:rsidSect="00B47DBD">
      <w:footerReference w:type="default" r:id="rId6"/>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Georgia"/>
    <w:panose1 w:val="0204050305040603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B42">
    <w:pPr>
      <w:pStyle w:val="Footer"/>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2C6F">
    <w:pPr>
      <w:pStyle w:val="Footer"/>
      <w:snapToGrid/>
      <w:jc w:val="center"/>
    </w:pPr>
    <w:r>
      <w:fldChar w:fldCharType="begin"/>
    </w:r>
    <w:r>
      <w:rPr>
        <w:highlight w:val="white"/>
      </w:rPr>
      <w:instrText xml:space="preserve"> PAGE   \* MERGEFORMAT </w:instrText>
    </w:r>
    <w:r>
      <w:fldChar w:fldCharType="separate"/>
    </w:r>
    <w:r w:rsidRPr="00463D95" w:rsidR="00463D95">
      <w:rPr>
        <w:noProof/>
        <w:highlight w:val="white"/>
        <w:lang w:val="zh-CN"/>
      </w:rPr>
      <w:t>51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8FF908"/>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
    <w:nsid w:val="07F80301"/>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2">
    <w:nsid w:val="0C5D28B8"/>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3">
    <w:nsid w:val="0C68D5D0"/>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4">
    <w:nsid w:val="0F5B060E"/>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5">
    <w:nsid w:val="11529C52"/>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6">
    <w:nsid w:val="13A0F1FF"/>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7">
    <w:nsid w:val="14B4975E"/>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8">
    <w:nsid w:val="23C9D876"/>
    <w:multiLevelType w:val="hybridMultilevel"/>
    <w:tmpl w:val="00000000"/>
    <w:lvl w:ilvl="0">
      <w:start w:val="1"/>
      <w:numFmt w:val="decimal"/>
      <w:lvlText w:val="%1."/>
      <w:lvlJc w:val="left"/>
      <w:pPr>
        <w:snapToGrid/>
        <w:ind w:left="900" w:hanging="420"/>
      </w:pPr>
    </w:lvl>
    <w:lvl w:ilvl="1">
      <w:start w:val="2"/>
      <w:numFmt w:val="chineseCounting"/>
      <w:lvlText w:val="（%2）"/>
      <w:lvlJc w:val="left"/>
      <w:pPr>
        <w:snapToGrid/>
        <w:ind w:left="1713" w:hanging="720"/>
      </w:pPr>
      <w:rPr>
        <w:rFonts w:hint="default"/>
      </w:r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9">
    <w:nsid w:val="2483CAAD"/>
    <w:multiLevelType w:val="hybridMultilevel"/>
    <w:tmpl w:val="00000000"/>
    <w:lvl w:ilvl="0">
      <w:start w:val="1"/>
      <w:numFmt w:val="chineseCountingThousand"/>
      <w:lvlText w:val="%1、"/>
      <w:lvlJc w:val="left"/>
      <w:pPr>
        <w:snapToGrid/>
        <w:ind w:left="420" w:hanging="420"/>
      </w:pPr>
      <w:rPr>
        <w:sz w:val="28"/>
        <w:szCs w:val="28"/>
      </w:rPr>
    </w:lvl>
    <w:lvl w:ilvl="1">
      <w:start w:val="1"/>
      <w:numFmt w:val="lowerLetter"/>
      <w:lvlText w:val="%2)"/>
      <w:lvlJc w:val="left"/>
      <w:pPr>
        <w:snapToGrid/>
        <w:ind w:left="840" w:hanging="420"/>
      </w:pPr>
    </w:lvl>
    <w:lvl w:ilvl="2">
      <w:start w:val="1"/>
      <w:numFmt w:val="lowerRoman"/>
      <w:lvlText w:val="%3."/>
      <w:lvlJc w:val="right"/>
      <w:pPr>
        <w:snapToGrid/>
        <w:ind w:left="1260" w:hanging="420"/>
      </w:pPr>
    </w:lvl>
    <w:lvl w:ilvl="3">
      <w:start w:val="1"/>
      <w:numFmt w:val="decimal"/>
      <w:lvlText w:val="%4."/>
      <w:lvlJc w:val="left"/>
      <w:pPr>
        <w:snapToGrid/>
        <w:ind w:left="1680" w:hanging="420"/>
      </w:pPr>
    </w:lvl>
    <w:lvl w:ilvl="4">
      <w:start w:val="1"/>
      <w:numFmt w:val="lowerLetter"/>
      <w:lvlText w:val="%5)"/>
      <w:lvlJc w:val="left"/>
      <w:pPr>
        <w:snapToGrid/>
        <w:ind w:left="2100" w:hanging="420"/>
      </w:pPr>
    </w:lvl>
    <w:lvl w:ilvl="5">
      <w:start w:val="1"/>
      <w:numFmt w:val="lowerRoman"/>
      <w:lvlText w:val="%6."/>
      <w:lvlJc w:val="right"/>
      <w:pPr>
        <w:snapToGrid/>
        <w:ind w:left="2520" w:hanging="420"/>
      </w:pPr>
    </w:lvl>
    <w:lvl w:ilvl="6">
      <w:start w:val="1"/>
      <w:numFmt w:val="decimal"/>
      <w:lvlText w:val="%7."/>
      <w:lvlJc w:val="left"/>
      <w:pPr>
        <w:snapToGrid/>
        <w:ind w:left="2940" w:hanging="420"/>
      </w:pPr>
    </w:lvl>
    <w:lvl w:ilvl="7">
      <w:start w:val="1"/>
      <w:numFmt w:val="lowerLetter"/>
      <w:lvlText w:val="%8)"/>
      <w:lvlJc w:val="left"/>
      <w:pPr>
        <w:snapToGrid/>
        <w:ind w:left="3360" w:hanging="420"/>
      </w:pPr>
    </w:lvl>
    <w:lvl w:ilvl="8">
      <w:start w:val="1"/>
      <w:numFmt w:val="lowerRoman"/>
      <w:lvlText w:val="%9."/>
      <w:lvlJc w:val="right"/>
      <w:pPr>
        <w:snapToGrid/>
        <w:ind w:left="3780" w:hanging="420"/>
      </w:pPr>
    </w:lvl>
  </w:abstractNum>
  <w:abstractNum w:abstractNumId="10">
    <w:nsid w:val="274887AB"/>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1">
    <w:nsid w:val="3359D478"/>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2">
    <w:nsid w:val="3C3B8DC5"/>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3">
    <w:nsid w:val="3E7ED87A"/>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4">
    <w:nsid w:val="54BE99BA"/>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5">
    <w:nsid w:val="59AA18BC"/>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6">
    <w:nsid w:val="59E587E4"/>
    <w:multiLevelType w:val="hybridMultilevel"/>
    <w:tmpl w:val="00000000"/>
    <w:lvl w:ilvl="0">
      <w:start w:val="1"/>
      <w:numFmt w:val="decimal"/>
      <w:lvlText w:val="%1."/>
      <w:lvlJc w:val="left"/>
      <w:pPr>
        <w:snapToGrid/>
        <w:ind w:left="900" w:hanging="420"/>
      </w:pPr>
      <w:rPr>
        <w:rFonts w:ascii="宋体" w:eastAsia="宋体" w:hAnsi="宋体"/>
      </w:r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7">
    <w:nsid w:val="5C49BBF7"/>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8">
    <w:nsid w:val="65FCBFA8"/>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19">
    <w:nsid w:val="69ABFD8B"/>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20">
    <w:nsid w:val="7717D5FE"/>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21">
    <w:nsid w:val="78C635A5"/>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abstractNum w:abstractNumId="22">
    <w:nsid w:val="79D9CD54"/>
    <w:multiLevelType w:val="hybridMultilevel"/>
    <w:tmpl w:val="00000000"/>
    <w:lvl w:ilvl="0">
      <w:start w:val="1"/>
      <w:numFmt w:val="decimal"/>
      <w:lvlText w:val="%1."/>
      <w:lvlJc w:val="left"/>
      <w:pPr>
        <w:snapToGrid/>
        <w:ind w:left="900" w:hanging="420"/>
      </w:p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num w:numId="1">
    <w:abstractNumId w:val="4"/>
  </w:num>
  <w:num w:numId="2">
    <w:abstractNumId w:val="22"/>
  </w:num>
  <w:num w:numId="3">
    <w:abstractNumId w:val="11"/>
  </w:num>
  <w:num w:numId="4">
    <w:abstractNumId w:val="13"/>
  </w:num>
  <w:num w:numId="5">
    <w:abstractNumId w:val="1"/>
  </w:num>
  <w:num w:numId="6">
    <w:abstractNumId w:val="6"/>
  </w:num>
  <w:num w:numId="7">
    <w:abstractNumId w:val="3"/>
  </w:num>
  <w:num w:numId="8">
    <w:abstractNumId w:val="21"/>
  </w:num>
  <w:num w:numId="9">
    <w:abstractNumId w:val="5"/>
  </w:num>
  <w:num w:numId="10">
    <w:abstractNumId w:val="19"/>
  </w:num>
  <w:num w:numId="11">
    <w:abstractNumId w:val="10"/>
  </w:num>
  <w:num w:numId="12">
    <w:abstractNumId w:val="17"/>
  </w:num>
  <w:num w:numId="13">
    <w:abstractNumId w:val="2"/>
  </w:num>
  <w:num w:numId="14">
    <w:abstractNumId w:val="8"/>
  </w:num>
  <w:num w:numId="15">
    <w:abstractNumId w:val="14"/>
  </w:num>
  <w:num w:numId="16">
    <w:abstractNumId w:val="15"/>
  </w:num>
  <w:num w:numId="17">
    <w:abstractNumId w:val="18"/>
  </w:num>
  <w:num w:numId="18">
    <w:abstractNumId w:val="20"/>
  </w:num>
  <w:num w:numId="19">
    <w:abstractNumId w:val="7"/>
  </w:num>
  <w:num w:numId="20">
    <w:abstractNumId w:val="16"/>
  </w:num>
  <w:num w:numId="21">
    <w:abstractNumId w:val="0"/>
  </w:num>
  <w:num w:numId="22">
    <w:abstractNumId w:val="9"/>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characterSpacingControl w:val="compressPunctuation"/>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42"/>
    <w:rsid w:val="001947C6"/>
    <w:rsid w:val="002E680D"/>
    <w:rsid w:val="00463D95"/>
    <w:rsid w:val="004B2C6F"/>
    <w:rsid w:val="00516635"/>
    <w:rsid w:val="005E59BF"/>
    <w:rsid w:val="006059E3"/>
    <w:rsid w:val="00646299"/>
    <w:rsid w:val="007364E3"/>
    <w:rsid w:val="007C0052"/>
    <w:rsid w:val="00887E33"/>
    <w:rsid w:val="008A37A3"/>
    <w:rsid w:val="0099173A"/>
    <w:rsid w:val="009D2208"/>
    <w:rsid w:val="00AB2B42"/>
    <w:rsid w:val="00B47DBD"/>
    <w:rsid w:val="00CC1644"/>
    <w:rsid w:val="00ED66AF"/>
    <w:rsid w:val="00F225B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EAAED05B-1951-4E5F-A6B1-3FF78133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4"/>
    </w:rPr>
  </w:style>
  <w:style w:type="paragraph" w:styleId="Heading1">
    <w:name w:val="heading 1"/>
    <w:basedOn w:val="Normal"/>
    <w:next w:val="Normal"/>
    <w:link w:val="1Char"/>
    <w:qFormat/>
    <w:pPr>
      <w:keepNext/>
      <w:keepLines/>
      <w:spacing w:before="340" w:after="330" w:line="576" w:lineRule="auto"/>
      <w:outlineLvl w:val="0"/>
    </w:pPr>
    <w:rPr>
      <w:b/>
      <w:bCs/>
      <w:sz w:val="44"/>
      <w:szCs w:val="44"/>
    </w:rPr>
  </w:style>
  <w:style w:type="paragraph" w:styleId="Heading2">
    <w:name w:val="heading 2"/>
    <w:basedOn w:val="Normal"/>
    <w:next w:val="Normal"/>
    <w:link w:val="2Char"/>
    <w:qFormat/>
    <w:pPr>
      <w:keepNext/>
      <w:keepLines/>
      <w:spacing w:before="260" w:after="260" w:line="415" w:lineRule="auto"/>
      <w:outlineLvl w:val="1"/>
    </w:pPr>
    <w:rPr>
      <w:rFonts w:eastAsia="黑体"/>
      <w:b/>
      <w:bCs/>
      <w:sz w:val="32"/>
      <w:szCs w:val="32"/>
    </w:rPr>
  </w:style>
  <w:style w:type="paragraph" w:styleId="Heading3">
    <w:name w:val="heading 3"/>
    <w:basedOn w:val="Normal"/>
    <w:next w:val="Normal"/>
    <w:link w:val="3Char"/>
    <w:uiPriority w:val="9"/>
    <w:unhideWhenUsed/>
    <w:qFormat/>
    <w:pPr>
      <w:keepNext/>
      <w:keepLines/>
      <w:spacing w:before="320" w:after="200"/>
      <w:outlineLvl w:val="2"/>
    </w:pPr>
    <w:rPr>
      <w:sz w:val="30"/>
      <w:szCs w:val="30"/>
    </w:rPr>
  </w:style>
  <w:style w:type="paragraph" w:styleId="Heading4">
    <w:name w:val="heading 4"/>
    <w:basedOn w:val="Normal"/>
    <w:next w:val="Normal"/>
    <w:link w:val="4Char"/>
    <w:uiPriority w:val="9"/>
    <w:unhideWhenUsed/>
    <w:qFormat/>
    <w:pPr>
      <w:keepNext/>
      <w:keepLines/>
      <w:spacing w:before="320" w:after="200"/>
      <w:outlineLvl w:val="3"/>
    </w:pPr>
    <w:rPr>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b/>
      <w:bCs/>
      <w:sz w:val="24"/>
    </w:rPr>
  </w:style>
  <w:style w:type="paragraph" w:styleId="Heading6">
    <w:name w:val="heading 6"/>
    <w:basedOn w:val="Normal"/>
    <w:next w:val="Normal"/>
    <w:link w:val="6Char"/>
    <w:uiPriority w:val="9"/>
    <w:unhideWhenUsed/>
    <w:qFormat/>
    <w:pPr>
      <w:keepNext/>
      <w:keepLines/>
      <w:spacing w:before="320" w:after="200"/>
      <w:outlineLvl w:val="5"/>
    </w:pPr>
    <w:rPr>
      <w:b/>
      <w:bCs/>
      <w:sz w:val="22"/>
      <w:szCs w:val="22"/>
    </w:rPr>
  </w:style>
  <w:style w:type="paragraph" w:styleId="Heading7">
    <w:name w:val="heading 7"/>
    <w:basedOn w:val="Normal"/>
    <w:next w:val="Normal"/>
    <w:link w:val="7Char"/>
    <w:uiPriority w:val="9"/>
    <w:unhideWhenUsed/>
    <w:qFormat/>
    <w:pPr>
      <w:keepNext/>
      <w:keepLines/>
      <w:spacing w:before="320" w:after="200"/>
      <w:outlineLvl w:val="6"/>
    </w:pPr>
    <w:rPr>
      <w:b/>
      <w:bCs/>
      <w:i/>
      <w:iCs/>
      <w:sz w:val="22"/>
      <w:szCs w:val="22"/>
    </w:rPr>
  </w:style>
  <w:style w:type="paragraph" w:styleId="Heading8">
    <w:name w:val="heading 8"/>
    <w:basedOn w:val="Normal"/>
    <w:next w:val="Normal"/>
    <w:link w:val="8Char"/>
    <w:uiPriority w:val="9"/>
    <w:unhideWhenUsed/>
    <w:qFormat/>
    <w:pPr>
      <w:keepNext/>
      <w:keepLines/>
      <w:spacing w:before="320" w:after="200"/>
      <w:outlineLvl w:val="7"/>
    </w:pPr>
    <w:rPr>
      <w:i/>
      <w:iCs/>
      <w:sz w:val="22"/>
      <w:szCs w:val="22"/>
    </w:rPr>
  </w:style>
  <w:style w:type="paragraph" w:styleId="Heading9">
    <w:name w:val="heading 9"/>
    <w:basedOn w:val="Normal"/>
    <w:next w:val="Normal"/>
    <w:link w:val="9Char"/>
    <w:uiPriority w:val="9"/>
    <w:unhideWhenUsed/>
    <w:qFormat/>
    <w:pPr>
      <w:keepNext/>
      <w:keepLines/>
      <w:spacing w:before="320" w:after="200"/>
      <w:outlineLvl w:val="8"/>
    </w:pPr>
    <w:rPr>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Char">
    <w:name w:val="标题 3 Char"/>
    <w:basedOn w:val="DefaultParagraphFont"/>
    <w:link w:val="Heading3"/>
    <w:uiPriority w:val="9"/>
    <w:rPr>
      <w:rFonts w:ascii="Arial" w:hAnsi="Arial" w:cs="Arial"/>
      <w:sz w:val="30"/>
      <w:szCs w:val="30"/>
    </w:rPr>
  </w:style>
  <w:style w:type="character" w:customStyle="1" w:styleId="4Char">
    <w:name w:val="标题 4 Char"/>
    <w:basedOn w:val="DefaultParagraphFont"/>
    <w:link w:val="Heading4"/>
    <w:uiPriority w:val="9"/>
    <w:rPr>
      <w:rFonts w:ascii="Arial" w:hAnsi="Arial" w:cs="Arial"/>
      <w:b/>
      <w:bCs/>
      <w:sz w:val="26"/>
      <w:szCs w:val="26"/>
    </w:rPr>
  </w:style>
  <w:style w:type="character" w:customStyle="1" w:styleId="5Char">
    <w:name w:val="标题 5 Char"/>
    <w:basedOn w:val="DefaultParagraphFont"/>
    <w:link w:val="Heading5"/>
    <w:uiPriority w:val="9"/>
    <w:rPr>
      <w:rFonts w:ascii="Arial" w:hAnsi="Arial" w:cs="Arial"/>
      <w:b/>
      <w:bCs/>
      <w:sz w:val="24"/>
      <w:szCs w:val="24"/>
    </w:rPr>
  </w:style>
  <w:style w:type="character" w:customStyle="1" w:styleId="6Char">
    <w:name w:val="标题 6 Char"/>
    <w:basedOn w:val="DefaultParagraphFont"/>
    <w:link w:val="Heading6"/>
    <w:uiPriority w:val="9"/>
    <w:rPr>
      <w:rFonts w:ascii="Arial" w:hAnsi="Arial" w:cs="Arial"/>
      <w:b/>
      <w:bCs/>
      <w:sz w:val="22"/>
      <w:szCs w:val="22"/>
    </w:rPr>
  </w:style>
  <w:style w:type="character" w:customStyle="1" w:styleId="7Char">
    <w:name w:val="标题 7 Char"/>
    <w:basedOn w:val="DefaultParagraphFont"/>
    <w:link w:val="Heading7"/>
    <w:uiPriority w:val="9"/>
    <w:rPr>
      <w:rFonts w:ascii="Arial" w:hAnsi="Arial" w:cs="Arial"/>
      <w:b/>
      <w:bCs/>
      <w:i/>
      <w:iCs/>
      <w:sz w:val="22"/>
      <w:szCs w:val="22"/>
    </w:rPr>
  </w:style>
  <w:style w:type="character" w:customStyle="1" w:styleId="8Char">
    <w:name w:val="标题 8 Char"/>
    <w:basedOn w:val="DefaultParagraphFont"/>
    <w:link w:val="Heading8"/>
    <w:uiPriority w:val="9"/>
    <w:rPr>
      <w:rFonts w:ascii="Arial" w:hAnsi="Arial" w:cs="Arial"/>
      <w:i/>
      <w:iCs/>
      <w:sz w:val="22"/>
      <w:szCs w:val="22"/>
    </w:rPr>
  </w:style>
  <w:style w:type="character" w:customStyle="1" w:styleId="9Char">
    <w:name w:val="标题 9 Char"/>
    <w:basedOn w:val="DefaultParagraphFont"/>
    <w:link w:val="Heading9"/>
    <w:uiPriority w:val="9"/>
    <w:rPr>
      <w:rFonts w:ascii="Arial" w:hAnsi="Arial" w:cs="Arial"/>
      <w:i/>
      <w:iCs/>
      <w:sz w:val="21"/>
      <w:szCs w:val="21"/>
    </w:rPr>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Char3"/>
    <w:uiPriority w:val="99"/>
    <w:semiHidden/>
    <w:unhideWhenUsed/>
    <w:pPr>
      <w:spacing w:after="40"/>
    </w:pPr>
    <w:rPr>
      <w:sz w:val="18"/>
    </w:rPr>
  </w:style>
  <w:style w:type="character" w:customStyle="1" w:styleId="Char3">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4"/>
    <w:uiPriority w:val="99"/>
    <w:semiHidden/>
    <w:unhideWhenUsed/>
    <w:rPr>
      <w:sz w:val="20"/>
    </w:rPr>
  </w:style>
  <w:style w:type="character" w:customStyle="1" w:styleId="Char4">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style>
  <w:style w:type="character" w:customStyle="1" w:styleId="1Char">
    <w:name w:val="标题 1 Char"/>
    <w:link w:val="Heading1"/>
    <w:rPr>
      <w:b/>
      <w:bCs/>
      <w:sz w:val="44"/>
      <w:szCs w:val="44"/>
    </w:rPr>
  </w:style>
  <w:style w:type="character" w:customStyle="1" w:styleId="2Char">
    <w:name w:val="标题 2 Char"/>
    <w:link w:val="Heading2"/>
    <w:rPr>
      <w:rFonts w:ascii="Arial" w:eastAsia="黑体" w:hAnsi="Arial"/>
      <w:b/>
      <w:bCs/>
      <w:sz w:val="32"/>
      <w:szCs w:val="32"/>
    </w:rPr>
  </w:style>
  <w:style w:type="paragraph" w:styleId="NormalIndent">
    <w:name w:val="Normal Indent"/>
    <w:basedOn w:val="Normal"/>
    <w:pPr>
      <w:ind w:firstLine="420"/>
    </w:pPr>
    <w:rPr>
      <w:szCs w:val="20"/>
    </w:rPr>
  </w:style>
  <w:style w:type="paragraph" w:styleId="BodyText">
    <w:name w:val="Body Text"/>
    <w:basedOn w:val="Normal"/>
    <w:link w:val="Char5"/>
    <w:pPr>
      <w:spacing w:line="360" w:lineRule="auto"/>
    </w:pPr>
    <w:rPr>
      <w:sz w:val="24"/>
    </w:rPr>
  </w:style>
  <w:style w:type="character" w:customStyle="1" w:styleId="Char5">
    <w:name w:val="正文文本 Char"/>
    <w:link w:val="BodyText"/>
    <w:rPr>
      <w:sz w:val="24"/>
      <w:szCs w:val="24"/>
    </w:rPr>
  </w:style>
  <w:style w:type="paragraph" w:styleId="BodyTextIndent">
    <w:name w:val="Body Text Indent"/>
    <w:basedOn w:val="Normal"/>
    <w:link w:val="Char6"/>
    <w:pPr>
      <w:autoSpaceDE w:val="0"/>
      <w:autoSpaceDN w:val="0"/>
      <w:spacing w:after="120" w:line="440" w:lineRule="atLeast"/>
      <w:ind w:firstLine="539"/>
    </w:pPr>
    <w:rPr>
      <w:rFonts w:ascii="宋体"/>
      <w:sz w:val="24"/>
      <w:szCs w:val="20"/>
    </w:rPr>
  </w:style>
  <w:style w:type="character" w:customStyle="1" w:styleId="Char6">
    <w:name w:val="正文文本缩进 Char"/>
    <w:link w:val="BodyTextIndent"/>
    <w:rPr>
      <w:rFonts w:ascii="宋体"/>
      <w:sz w:val="24"/>
    </w:rPr>
  </w:style>
  <w:style w:type="character" w:customStyle="1" w:styleId="read">
    <w:name w:val="read"/>
    <w:basedOn w:val="DefaultParagraphFont"/>
  </w:style>
  <w:style w:type="paragraph" w:styleId="DocumentMap">
    <w:name w:val="Document Map"/>
    <w:basedOn w:val="Normal"/>
    <w:link w:val="Char7"/>
    <w:rPr>
      <w:rFonts w:ascii="宋体"/>
      <w:sz w:val="18"/>
      <w:szCs w:val="18"/>
    </w:rPr>
  </w:style>
  <w:style w:type="character" w:customStyle="1" w:styleId="Char7">
    <w:name w:val="文档结构图 Char"/>
    <w:link w:val="DocumentMap"/>
    <w:rPr>
      <w:rFonts w:ascii="宋体"/>
      <w:sz w:val="18"/>
      <w:szCs w:val="18"/>
    </w:rPr>
  </w:style>
  <w:style w:type="paragraph" w:styleId="BalloonText">
    <w:name w:val="Balloon Text"/>
    <w:basedOn w:val="Normal"/>
    <w:link w:val="Char8"/>
    <w:rPr>
      <w:sz w:val="18"/>
      <w:szCs w:val="18"/>
    </w:rPr>
  </w:style>
  <w:style w:type="character" w:customStyle="1" w:styleId="Char8">
    <w:name w:val="批注框文本 Char"/>
    <w:link w:val="BalloonText"/>
    <w:rPr>
      <w:sz w:val="18"/>
      <w:szCs w:val="18"/>
    </w:rPr>
  </w:style>
  <w:style w:type="paragraph" w:styleId="TOCHeading">
    <w:name w:val="TOC Heading"/>
    <w:basedOn w:val="Heading1"/>
    <w:next w:val="Normal"/>
    <w:uiPriority w:val="39"/>
    <w:qFormat/>
    <w:pPr>
      <w:widowControl/>
      <w:spacing w:before="480" w:after="0" w:line="276" w:lineRule="auto"/>
      <w:jc w:val="left"/>
      <w:outlineLvl w:val="9"/>
    </w:pPr>
    <w:rPr>
      <w:rFonts w:ascii="Cambria" w:hAnsi="Cambria"/>
      <w:color w:val="365F91"/>
      <w:sz w:val="28"/>
      <w:szCs w:val="28"/>
    </w:rPr>
  </w:style>
  <w:style w:type="paragraph" w:styleId="TOC2">
    <w:name w:val="toc 2"/>
    <w:basedOn w:val="Normal"/>
    <w:next w:val="Normal"/>
    <w:uiPriority w:val="39"/>
    <w:pPr>
      <w:tabs>
        <w:tab w:val="left" w:pos="1050"/>
        <w:tab w:val="right" w:leader="dot" w:pos="8494"/>
      </w:tabs>
      <w:spacing w:line="360" w:lineRule="auto"/>
      <w:ind w:left="420" w:leftChars="200"/>
    </w:pPr>
  </w:style>
  <w:style w:type="character" w:styleId="Hyperlink">
    <w:name w:val="Hyperlink"/>
    <w:uiPriority w:val="99"/>
    <w:unhideWhenUsed/>
    <w:rPr>
      <w:color w:val="0000FF"/>
      <w:u w:val="single"/>
    </w:rPr>
  </w:style>
  <w:style w:type="paragraph" w:styleId="Header">
    <w:name w:val="header"/>
    <w:basedOn w:val="Normal"/>
    <w:link w:val="Char9"/>
    <w:pPr>
      <w:pBdr>
        <w:bottom w:val="single" w:sz="6" w:space="1" w:color="auto"/>
      </w:pBdr>
      <w:tabs>
        <w:tab w:val="center" w:pos="4153"/>
        <w:tab w:val="right" w:pos="8306"/>
      </w:tabs>
      <w:snapToGrid w:val="0"/>
      <w:jc w:val="center"/>
    </w:pPr>
    <w:rPr>
      <w:sz w:val="18"/>
      <w:szCs w:val="18"/>
    </w:rPr>
  </w:style>
  <w:style w:type="character" w:customStyle="1" w:styleId="Char9">
    <w:name w:val="页眉 Char"/>
    <w:link w:val="Header"/>
    <w:rPr>
      <w:sz w:val="18"/>
      <w:szCs w:val="18"/>
    </w:rPr>
  </w:style>
  <w:style w:type="paragraph" w:styleId="Footer">
    <w:name w:val="footer"/>
    <w:basedOn w:val="Normal"/>
    <w:link w:val="Char10"/>
    <w:uiPriority w:val="99"/>
    <w:pPr>
      <w:tabs>
        <w:tab w:val="center" w:pos="4153"/>
        <w:tab w:val="right" w:pos="8306"/>
      </w:tabs>
      <w:snapToGrid w:val="0"/>
      <w:jc w:val="left"/>
    </w:pPr>
    <w:rPr>
      <w:sz w:val="18"/>
      <w:szCs w:val="18"/>
    </w:rPr>
  </w:style>
  <w:style w:type="character" w:customStyle="1" w:styleId="Char10">
    <w:name w:val="页脚 Char"/>
    <w:link w:val="Footer"/>
    <w:uiPriority w:val="99"/>
    <w:rPr>
      <w:sz w:val="18"/>
      <w:szCs w:val="18"/>
    </w:rPr>
  </w:style>
  <w:style w:type="paragraph" w:styleId="BodyTextIndent3">
    <w:name w:val="Body Text Indent 3"/>
    <w:basedOn w:val="Normal"/>
    <w:link w:val="3Char0"/>
    <w:pPr>
      <w:spacing w:line="400" w:lineRule="atLeast"/>
      <w:ind w:firstLine="600"/>
    </w:pPr>
    <w:rPr>
      <w:rFonts w:ascii="宋体"/>
      <w:sz w:val="28"/>
      <w:szCs w:val="20"/>
    </w:rPr>
  </w:style>
  <w:style w:type="character" w:customStyle="1" w:styleId="3Char0">
    <w:name w:val="正文文本缩进 3 Char"/>
    <w:link w:val="BodyTextIndent3"/>
    <w:rPr>
      <w:rFonts w:ascii="宋体"/>
      <w:sz w:val="28"/>
    </w:rPr>
  </w:style>
  <w:style w:type="paragraph" w:styleId="TOC1">
    <w:name w:val="toc 1"/>
    <w:basedOn w:val="Normal"/>
    <w:next w:val="Normal"/>
    <w:uiPriority w:val="39"/>
  </w:style>
  <w:style w:type="character" w:styleId="CommentReference">
    <w:name w:val="annotation reference"/>
    <w:rPr>
      <w:sz w:val="21"/>
      <w:szCs w:val="21"/>
    </w:rPr>
  </w:style>
  <w:style w:type="paragraph" w:styleId="CommentText">
    <w:name w:val="annotation text"/>
    <w:basedOn w:val="Normal"/>
    <w:link w:val="Char11"/>
    <w:pPr>
      <w:jc w:val="left"/>
    </w:pPr>
  </w:style>
  <w:style w:type="character" w:customStyle="1" w:styleId="Char11">
    <w:name w:val="批注文字 Char"/>
    <w:link w:val="CommentText"/>
    <w:rPr>
      <w:sz w:val="21"/>
      <w:szCs w:val="24"/>
    </w:rPr>
  </w:style>
  <w:style w:type="paragraph" w:styleId="CommentSubject">
    <w:name w:val="annotation subject"/>
    <w:basedOn w:val="CommentText"/>
    <w:next w:val="CommentText"/>
    <w:link w:val="Char12"/>
    <w:rPr>
      <w:b/>
      <w:bCs/>
    </w:rPr>
  </w:style>
  <w:style w:type="character" w:customStyle="1" w:styleId="Char12">
    <w:name w:val="批注主题 Char"/>
    <w:link w:val="CommentSubject"/>
    <w:rPr>
      <w:b/>
      <w:bCs/>
      <w:sz w:val="21"/>
      <w:szCs w:val="24"/>
    </w:rPr>
  </w:style>
  <w:style w:type="paragraph" w:styleId="Revision">
    <w:name w:val="Revision"/>
    <w:hidden/>
    <w:uiPriority w:val="99"/>
    <w:semiHidden/>
    <w:rPr>
      <w:sz w:val="21"/>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53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