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E1BAB">
      <w:pPr>
        <w:rPr>
          <w:rFonts w:ascii="宋体" w:hAnsi="宋体"/>
          <w:sz w:val="52"/>
          <w:szCs w:val="52"/>
        </w:rPr>
      </w:pPr>
    </w:p>
    <w:p w:rsidR="008E1BAB">
      <w:pPr>
        <w:tabs>
          <w:tab w:val="left" w:pos="3495"/>
        </w:tabs>
        <w:rPr>
          <w:rFonts w:ascii="宋体" w:hAnsi="宋体"/>
          <w:sz w:val="52"/>
          <w:szCs w:val="52"/>
        </w:rPr>
      </w:pPr>
    </w:p>
    <w:p w:rsidR="008E1BAB">
      <w:pPr>
        <w:tabs>
          <w:tab w:val="center" w:pos="4164"/>
          <w:tab w:val="left" w:pos="5455"/>
        </w:tabs>
        <w:ind w:right="-17"/>
        <w:jc w:val="center"/>
        <w:rPr>
          <w:rFonts w:ascii="宋体" w:hAnsi="宋体"/>
          <w:sz w:val="52"/>
          <w:szCs w:val="52"/>
        </w:rPr>
      </w:pPr>
    </w:p>
    <w:p w:rsidR="008E1BAB">
      <w:pPr>
        <w:tabs>
          <w:tab w:val="center" w:pos="4164"/>
          <w:tab w:val="left" w:pos="5455"/>
        </w:tabs>
        <w:ind w:right="-17"/>
        <w:jc w:val="center"/>
        <w:rPr>
          <w:rFonts w:ascii="宋体" w:hAnsi="宋体"/>
          <w:sz w:val="52"/>
          <w:szCs w:val="52"/>
        </w:rPr>
      </w:pPr>
    </w:p>
    <w:p w:rsidR="008E1BAB">
      <w:pPr>
        <w:jc w:val="center"/>
        <w:rPr>
          <w:rFonts w:ascii="宋体" w:hAnsi="宋体"/>
          <w:b/>
          <w:sz w:val="32"/>
          <w:szCs w:val="32"/>
        </w:rPr>
      </w:pPr>
    </w:p>
    <w:p w:rsidR="008E1BAB">
      <w:pPr>
        <w:jc w:val="center"/>
        <w:rPr>
          <w:rFonts w:ascii="宋体" w:hAnsi="宋体"/>
          <w:b/>
          <w:sz w:val="44"/>
          <w:szCs w:val="44"/>
          <w:lang w:eastAsia="zh-CN"/>
        </w:rPr>
      </w:pPr>
      <w:r>
        <w:rPr>
          <w:rFonts w:ascii="宋体" w:hAnsi="宋体" w:hint="eastAsia"/>
          <w:b/>
          <w:sz w:val="44"/>
          <w:szCs w:val="44"/>
          <w:lang w:eastAsia="zh-CN"/>
        </w:rPr>
        <w:t>易方达上证科创板人工智能交易型开放式指数证券投资基金联接基金</w:t>
      </w:r>
      <w:r>
        <w:rPr>
          <w:rFonts w:ascii="宋体" w:hAnsi="宋体" w:hint="eastAsia"/>
          <w:b/>
          <w:sz w:val="44"/>
          <w:szCs w:val="44"/>
          <w:highlight w:val="white"/>
          <w:lang w:eastAsia="zh-CN"/>
        </w:rPr>
        <w:t>托管协议</w:t>
      </w:r>
    </w:p>
    <w:p w:rsidR="008E1BAB">
      <w:pPr>
        <w:jc w:val="center"/>
        <w:rPr>
          <w:rFonts w:ascii="宋体" w:hAnsi="宋体"/>
          <w:b/>
          <w:sz w:val="44"/>
          <w:szCs w:val="44"/>
          <w:lang w:eastAsia="zh-CN"/>
        </w:rPr>
      </w:pPr>
    </w:p>
    <w:p w:rsidR="008E1BAB">
      <w:pPr>
        <w:jc w:val="center"/>
        <w:rPr>
          <w:rFonts w:ascii="宋体" w:hAnsi="宋体"/>
          <w:sz w:val="44"/>
          <w:szCs w:val="44"/>
          <w:lang w:eastAsia="zh-CN"/>
        </w:rPr>
      </w:pPr>
    </w:p>
    <w:p w:rsidR="008E1BAB">
      <w:pPr>
        <w:jc w:val="center"/>
        <w:rPr>
          <w:rFonts w:ascii="宋体" w:hAnsi="宋体"/>
          <w:sz w:val="44"/>
          <w:szCs w:val="44"/>
          <w:lang w:eastAsia="zh-CN"/>
        </w:rPr>
      </w:pPr>
    </w:p>
    <w:p w:rsidR="008E1BAB">
      <w:pPr>
        <w:jc w:val="center"/>
        <w:rPr>
          <w:rFonts w:ascii="宋体" w:hAnsi="宋体"/>
          <w:sz w:val="44"/>
          <w:szCs w:val="44"/>
          <w:lang w:eastAsia="zh-CN"/>
        </w:rPr>
      </w:pPr>
    </w:p>
    <w:p w:rsidR="008E1BAB">
      <w:pPr>
        <w:jc w:val="center"/>
        <w:rPr>
          <w:rFonts w:ascii="宋体" w:hAnsi="宋体"/>
          <w:sz w:val="44"/>
          <w:szCs w:val="44"/>
          <w:lang w:eastAsia="zh-CN"/>
        </w:rPr>
      </w:pPr>
    </w:p>
    <w:p w:rsidR="008E1BAB">
      <w:pPr>
        <w:jc w:val="center"/>
        <w:rPr>
          <w:rFonts w:ascii="宋体" w:hAnsi="宋体"/>
          <w:sz w:val="44"/>
          <w:szCs w:val="44"/>
          <w:lang w:eastAsia="zh-CN"/>
        </w:rPr>
      </w:pPr>
    </w:p>
    <w:p w:rsidR="008E1BAB">
      <w:pPr>
        <w:jc w:val="center"/>
        <w:rPr>
          <w:rFonts w:ascii="宋体" w:hAnsi="宋体"/>
          <w:sz w:val="44"/>
          <w:szCs w:val="44"/>
          <w:lang w:eastAsia="zh-CN"/>
        </w:rPr>
      </w:pPr>
    </w:p>
    <w:p w:rsidR="008E1BAB">
      <w:pPr>
        <w:rPr>
          <w:rFonts w:ascii="宋体" w:hAnsi="宋体"/>
          <w:sz w:val="30"/>
          <w:lang w:eastAsia="zh-CN"/>
        </w:rPr>
      </w:pPr>
    </w:p>
    <w:p w:rsidR="008E1BAB">
      <w:pPr>
        <w:spacing w:line="360" w:lineRule="auto"/>
        <w:ind w:right="26" w:firstLine="1280"/>
        <w:outlineLvl w:val="0"/>
        <w:rPr>
          <w:rFonts w:ascii="宋体" w:hAnsi="宋体"/>
          <w:sz w:val="32"/>
          <w:szCs w:val="32"/>
          <w:lang w:eastAsia="zh-CN"/>
        </w:rPr>
      </w:pPr>
      <w:bookmarkStart w:id="0" w:name="_Toc382819065"/>
      <w:bookmarkStart w:id="1" w:name="_Toc382818591"/>
      <w:bookmarkStart w:id="2" w:name="_Toc69134051"/>
      <w:r>
        <w:rPr>
          <w:rFonts w:ascii="宋体" w:hAnsi="宋体" w:hint="eastAsia"/>
          <w:sz w:val="32"/>
          <w:szCs w:val="32"/>
          <w:highlight w:val="white"/>
          <w:lang w:eastAsia="zh-CN"/>
        </w:rPr>
        <w:t>基金管理人：</w:t>
      </w:r>
      <w:bookmarkEnd w:id="0"/>
      <w:bookmarkEnd w:id="1"/>
      <w:r>
        <w:rPr>
          <w:rFonts w:ascii="宋体" w:hAnsi="宋体" w:hint="eastAsia"/>
          <w:sz w:val="32"/>
          <w:szCs w:val="32"/>
          <w:highlight w:val="white"/>
          <w:lang w:eastAsia="zh-CN"/>
        </w:rPr>
        <w:t>易方达基金管理有限公司</w:t>
      </w:r>
      <w:bookmarkEnd w:id="2"/>
    </w:p>
    <w:p w:rsidR="008E1BAB">
      <w:pPr>
        <w:spacing w:line="360" w:lineRule="auto"/>
        <w:ind w:right="26" w:firstLine="1280"/>
        <w:outlineLvl w:val="0"/>
        <w:rPr>
          <w:rFonts w:ascii="宋体" w:hAnsi="宋体"/>
          <w:sz w:val="32"/>
          <w:szCs w:val="32"/>
          <w:lang w:eastAsia="zh-CN"/>
        </w:rPr>
      </w:pPr>
      <w:bookmarkStart w:id="3" w:name="_Toc69134052"/>
      <w:bookmarkStart w:id="4" w:name="_Toc382819066"/>
      <w:bookmarkStart w:id="5" w:name="_Toc382818592"/>
      <w:r>
        <w:rPr>
          <w:rFonts w:ascii="宋体" w:hAnsi="宋体" w:hint="eastAsia"/>
          <w:sz w:val="32"/>
          <w:szCs w:val="32"/>
          <w:highlight w:val="white"/>
          <w:lang w:eastAsia="zh-CN"/>
        </w:rPr>
        <w:t>基金托管人：上海浦东发展银行股份有限公司</w:t>
      </w:r>
      <w:bookmarkEnd w:id="3"/>
      <w:bookmarkEnd w:id="4"/>
      <w:bookmarkEnd w:id="5"/>
    </w:p>
    <w:p w:rsidR="008E1BAB">
      <w:pPr>
        <w:spacing w:line="500" w:lineRule="atLeast"/>
        <w:ind w:left="2698" w:hanging="2698"/>
        <w:jc w:val="center"/>
        <w:outlineLvl w:val="0"/>
        <w:rPr>
          <w:rFonts w:ascii="宋体" w:hAnsi="宋体"/>
          <w:b/>
          <w:sz w:val="30"/>
          <w:szCs w:val="30"/>
          <w:lang w:eastAsia="zh-CN"/>
        </w:rPr>
      </w:pPr>
    </w:p>
    <w:p w:rsidR="008E1BAB">
      <w:pPr>
        <w:jc w:val="center"/>
      </w:pPr>
      <w:r>
        <w:rPr>
          <w:rFonts w:ascii="宋体" w:hAnsi="宋体" w:cs="宋体"/>
          <w:color w:val="000000"/>
          <w:sz w:val="28"/>
          <w:highlight w:val="white"/>
        </w:rPr>
        <w:t>二〇二</w:t>
      </w:r>
      <w:r w:rsidR="00CC0FE3">
        <w:rPr>
          <w:rFonts w:ascii="宋体" w:hAnsi="宋体" w:cs="宋体" w:hint="eastAsia"/>
          <w:color w:val="000000"/>
          <w:sz w:val="28"/>
          <w:highlight w:val="white"/>
          <w:lang w:eastAsia="zh-CN"/>
        </w:rPr>
        <w:t>五</w:t>
      </w:r>
      <w:r>
        <w:rPr>
          <w:rFonts w:ascii="宋体" w:hAnsi="宋体" w:cs="宋体"/>
          <w:color w:val="000000"/>
          <w:sz w:val="28"/>
          <w:highlight w:val="white"/>
        </w:rPr>
        <w:t>年</w:t>
      </w:r>
      <w:r w:rsidR="00CC0FE3">
        <w:rPr>
          <w:rFonts w:ascii="宋体" w:hAnsi="宋体" w:cs="宋体"/>
          <w:color w:val="000000"/>
          <w:sz w:val="28"/>
          <w:highlight w:val="white"/>
        </w:rPr>
        <w:t>三</w:t>
      </w:r>
      <w:r>
        <w:rPr>
          <w:rFonts w:ascii="宋体" w:hAnsi="宋体" w:cs="宋体"/>
          <w:color w:val="000000"/>
          <w:sz w:val="28"/>
          <w:highlight w:val="white"/>
        </w:rPr>
        <w:t>月</w:t>
      </w:r>
    </w:p>
    <w:p w:rsidR="008E1BAB">
      <w:pPr>
        <w:jc w:val="center"/>
        <w:rPr>
          <w:rFonts w:ascii="宋体" w:hAnsi="宋体"/>
          <w:bCs/>
          <w:sz w:val="28"/>
        </w:rPr>
      </w:pPr>
    </w:p>
    <w:p w:rsidR="008E1BAB">
      <w:pPr>
        <w:spacing w:line="500" w:lineRule="atLeast"/>
        <w:jc w:val="center"/>
        <w:outlineLvl w:val="0"/>
        <w:rPr>
          <w:rFonts w:ascii="宋体" w:hAnsi="宋体"/>
          <w:b/>
          <w:sz w:val="36"/>
          <w:szCs w:val="28"/>
        </w:rPr>
      </w:pPr>
      <w:bookmarkStart w:id="6" w:name="_Toc69134053"/>
      <w:r>
        <w:rPr>
          <w:rFonts w:ascii="宋体" w:hAnsi="宋体" w:hint="eastAsia"/>
          <w:b/>
          <w:sz w:val="32"/>
          <w:szCs w:val="28"/>
          <w:highlight w:val="white"/>
        </w:rPr>
        <w:t>目 录</w:t>
      </w:r>
      <w:bookmarkEnd w:id="6"/>
    </w:p>
    <w:p w:rsidR="008E1BAB">
      <w:pPr>
        <w:pStyle w:val="TOC1"/>
        <w:tabs>
          <w:tab w:val="right" w:leader="dot" w:pos="8296"/>
        </w:tabs>
        <w:spacing w:line="360" w:lineRule="auto"/>
        <w:rPr>
          <w:rFonts w:ascii="宋体" w:hAnsi="宋体"/>
          <w:noProof/>
        </w:rPr>
      </w:pPr>
      <w:r>
        <w:rPr>
          <w:rFonts w:ascii="宋体" w:hAnsi="宋体" w:hint="eastAsia"/>
          <w:sz w:val="20"/>
          <w:szCs w:val="21"/>
        </w:rPr>
        <w:fldChar w:fldCharType="begin"/>
      </w:r>
      <w:r>
        <w:rPr>
          <w:rFonts w:ascii="宋体" w:hAnsi="宋体" w:hint="eastAsia"/>
          <w:sz w:val="20"/>
          <w:szCs w:val="21"/>
          <w:highlight w:val="white"/>
        </w:rPr>
        <w:instrText xml:space="preserve"> TOC \o "1-3" \h \z \u </w:instrText>
      </w:r>
      <w:r>
        <w:rPr>
          <w:rFonts w:ascii="宋体" w:hAnsi="宋体" w:hint="eastAsia"/>
          <w:sz w:val="20"/>
          <w:szCs w:val="21"/>
        </w:rPr>
        <w:fldChar w:fldCharType="separate"/>
      </w:r>
    </w:p>
    <w:p w:rsidR="008E1BAB">
      <w:pPr>
        <w:pStyle w:val="TOC1"/>
        <w:tabs>
          <w:tab w:val="right" w:leader="dot" w:pos="8296"/>
        </w:tabs>
        <w:spacing w:line="360" w:lineRule="auto"/>
        <w:rPr>
          <w:rFonts w:ascii="宋体" w:hAnsi="宋体" w:cs="Calibri"/>
          <w:noProof/>
          <w:sz w:val="22"/>
          <w:szCs w:val="22"/>
        </w:rPr>
      </w:pPr>
      <w:hyperlink w:anchor="_Toc69134058" w:tooltip="Current Document" w:history="1">
        <w:r w:rsidR="00D236CA">
          <w:rPr>
            <w:rStyle w:val="Hyperlink"/>
            <w:rFonts w:ascii="宋体" w:hAnsi="宋体" w:cs="Arial" w:hint="eastAsia"/>
            <w:noProof/>
            <w:highlight w:val="white"/>
          </w:rPr>
          <w:t>一、 基金托管协议的依据、目的、原则和解释</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_Toc69134058 \h </w:instrText>
        </w:r>
        <w:r w:rsidR="00D236CA">
          <w:rPr>
            <w:rFonts w:ascii="宋体" w:hAnsi="宋体"/>
            <w:noProof/>
          </w:rPr>
          <w:fldChar w:fldCharType="separate"/>
        </w:r>
        <w:r w:rsidR="00D236CA">
          <w:rPr>
            <w:rFonts w:ascii="宋体" w:hAnsi="宋体"/>
            <w:noProof/>
            <w:highlight w:val="white"/>
          </w:rPr>
          <w:t>2</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059" w:tooltip="Current Document" w:history="1">
        <w:r w:rsidR="00D236CA">
          <w:rPr>
            <w:rStyle w:val="Hyperlink"/>
            <w:rFonts w:ascii="宋体" w:hAnsi="宋体" w:cs="Arial" w:hint="eastAsia"/>
            <w:noProof/>
            <w:highlight w:val="white"/>
          </w:rPr>
          <w:t>二、 基金托管人对基金管理人的业务监督和核查</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_Toc69134059 \h </w:instrText>
        </w:r>
        <w:r w:rsidR="00D236CA">
          <w:rPr>
            <w:rFonts w:ascii="宋体" w:hAnsi="宋体"/>
            <w:noProof/>
          </w:rPr>
          <w:fldChar w:fldCharType="separate"/>
        </w:r>
        <w:r w:rsidR="00D236CA">
          <w:rPr>
            <w:rFonts w:ascii="宋体" w:hAnsi="宋体"/>
            <w:noProof/>
            <w:highlight w:val="white"/>
          </w:rPr>
          <w:t>2</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060" w:tooltip="Current Document" w:history="1">
        <w:r w:rsidR="00D236CA">
          <w:rPr>
            <w:rStyle w:val="Hyperlink"/>
            <w:rFonts w:ascii="宋体" w:hAnsi="宋体" w:cs="Arial" w:hint="eastAsia"/>
            <w:noProof/>
            <w:highlight w:val="white"/>
          </w:rPr>
          <w:t>三、 基金管理人对基金托管人的业务核查</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_Toc69134060 \h </w:instrText>
        </w:r>
        <w:r w:rsidR="00D236CA">
          <w:rPr>
            <w:rFonts w:ascii="宋体" w:hAnsi="宋体"/>
            <w:noProof/>
          </w:rPr>
          <w:fldChar w:fldCharType="separate"/>
        </w:r>
        <w:r w:rsidR="00D236CA">
          <w:rPr>
            <w:rFonts w:ascii="宋体" w:hAnsi="宋体"/>
            <w:noProof/>
            <w:highlight w:val="white"/>
          </w:rPr>
          <w:t>9</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061" w:tooltip="Current Document" w:history="1">
        <w:r w:rsidR="00D236CA">
          <w:rPr>
            <w:rStyle w:val="Hyperlink"/>
            <w:rFonts w:ascii="宋体" w:hAnsi="宋体" w:cs="Arial" w:hint="eastAsia"/>
            <w:noProof/>
            <w:highlight w:val="white"/>
          </w:rPr>
          <w:t>四、 基金财产保管</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_Toc69134061 \h </w:instrText>
        </w:r>
        <w:r w:rsidR="00D236CA">
          <w:rPr>
            <w:rFonts w:ascii="宋体" w:hAnsi="宋体"/>
            <w:noProof/>
          </w:rPr>
          <w:fldChar w:fldCharType="separate"/>
        </w:r>
        <w:r w:rsidR="00D236CA">
          <w:rPr>
            <w:rFonts w:ascii="宋体" w:hAnsi="宋体"/>
            <w:noProof/>
            <w:highlight w:val="white"/>
          </w:rPr>
          <w:t>10</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072" w:tooltip="Current Document" w:history="1">
        <w:r w:rsidR="00D236CA">
          <w:rPr>
            <w:rStyle w:val="Hyperlink"/>
            <w:rFonts w:ascii="宋体" w:hAnsi="宋体" w:cs="Arial" w:hint="eastAsia"/>
            <w:noProof/>
            <w:highlight w:val="white"/>
          </w:rPr>
          <w:t>五、 指令的发送、确认和执行</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_Toc69134072 \h </w:instrText>
        </w:r>
        <w:r w:rsidR="00D236CA">
          <w:rPr>
            <w:rFonts w:ascii="宋体" w:hAnsi="宋体"/>
            <w:noProof/>
          </w:rPr>
          <w:fldChar w:fldCharType="separate"/>
        </w:r>
        <w:r w:rsidR="00D236CA">
          <w:rPr>
            <w:rFonts w:ascii="宋体" w:hAnsi="宋体"/>
            <w:noProof/>
            <w:highlight w:val="white"/>
          </w:rPr>
          <w:t>13</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079" w:tooltip="Current Document" w:history="1">
        <w:r w:rsidR="00D236CA">
          <w:rPr>
            <w:rStyle w:val="Hyperlink"/>
            <w:rFonts w:ascii="宋体" w:hAnsi="宋体" w:hint="eastAsia"/>
            <w:noProof/>
            <w:highlight w:val="white"/>
          </w:rPr>
          <w:t>六、 交易及清算交收安排</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_Toc69134079 \h </w:instrText>
        </w:r>
        <w:r w:rsidR="00D236CA">
          <w:rPr>
            <w:rFonts w:ascii="宋体" w:hAnsi="宋体"/>
            <w:noProof/>
          </w:rPr>
          <w:fldChar w:fldCharType="separate"/>
        </w:r>
        <w:r w:rsidR="00D236CA">
          <w:rPr>
            <w:rFonts w:ascii="宋体" w:hAnsi="宋体"/>
            <w:noProof/>
            <w:highlight w:val="white"/>
          </w:rPr>
          <w:t>16</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083" w:tooltip="Current Document" w:history="1">
        <w:r w:rsidR="00D236CA">
          <w:rPr>
            <w:rStyle w:val="Hyperlink"/>
            <w:rFonts w:ascii="宋体" w:hAnsi="宋体" w:cs="Arial" w:hint="eastAsia"/>
            <w:noProof/>
            <w:highlight w:val="white"/>
          </w:rPr>
          <w:t>七、 基金资产净值计算和会计核算</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_Toc69134083 \h </w:instrText>
        </w:r>
        <w:r w:rsidR="00D236CA">
          <w:rPr>
            <w:rFonts w:ascii="宋体" w:hAnsi="宋体"/>
            <w:noProof/>
          </w:rPr>
          <w:fldChar w:fldCharType="separate"/>
        </w:r>
        <w:r w:rsidR="00D236CA">
          <w:rPr>
            <w:rFonts w:ascii="宋体" w:hAnsi="宋体"/>
            <w:noProof/>
            <w:highlight w:val="white"/>
          </w:rPr>
          <w:t>21</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091" w:tooltip="Current Document" w:history="1">
        <w:r w:rsidR="00D236CA">
          <w:rPr>
            <w:rStyle w:val="Hyperlink"/>
            <w:rFonts w:ascii="宋体" w:hAnsi="宋体" w:cs="Arial" w:hint="eastAsia"/>
            <w:noProof/>
            <w:highlight w:val="white"/>
          </w:rPr>
          <w:t>八、 基金收益分配</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_Toc69134091 \h </w:instrText>
        </w:r>
        <w:r w:rsidR="00D236CA">
          <w:rPr>
            <w:rFonts w:ascii="宋体" w:hAnsi="宋体"/>
            <w:noProof/>
          </w:rPr>
          <w:fldChar w:fldCharType="separate"/>
        </w:r>
        <w:r w:rsidR="00D236CA">
          <w:rPr>
            <w:rFonts w:ascii="宋体" w:hAnsi="宋体"/>
            <w:noProof/>
            <w:highlight w:val="white"/>
          </w:rPr>
          <w:t>24</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094" w:tooltip="Current Document" w:history="1">
        <w:r w:rsidR="00D236CA">
          <w:rPr>
            <w:rStyle w:val="Hyperlink"/>
            <w:rFonts w:ascii="宋体" w:hAnsi="宋体" w:cs="Arial" w:hint="eastAsia"/>
            <w:noProof/>
            <w:highlight w:val="white"/>
          </w:rPr>
          <w:t>九、 信息披露</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_Toc69134094 \h </w:instrText>
        </w:r>
        <w:r w:rsidR="00D236CA">
          <w:rPr>
            <w:rFonts w:ascii="宋体" w:hAnsi="宋体"/>
            <w:noProof/>
          </w:rPr>
          <w:fldChar w:fldCharType="separate"/>
        </w:r>
        <w:r w:rsidR="00D236CA">
          <w:rPr>
            <w:rFonts w:ascii="宋体" w:hAnsi="宋体"/>
            <w:noProof/>
            <w:highlight w:val="white"/>
          </w:rPr>
          <w:t>25</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099" w:tooltip="Current Document" w:history="1">
        <w:r w:rsidR="00D236CA">
          <w:rPr>
            <w:rStyle w:val="Hyperlink"/>
            <w:rFonts w:ascii="宋体" w:hAnsi="宋体" w:cs="Arial" w:hint="eastAsia"/>
            <w:noProof/>
            <w:highlight w:val="white"/>
          </w:rPr>
          <w:t>十、 基金费用</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_Toc69134099 \h </w:instrText>
        </w:r>
        <w:r w:rsidR="00D236CA">
          <w:rPr>
            <w:rFonts w:ascii="宋体" w:hAnsi="宋体"/>
            <w:noProof/>
          </w:rPr>
          <w:fldChar w:fldCharType="separate"/>
        </w:r>
        <w:r w:rsidR="00D236CA">
          <w:rPr>
            <w:rFonts w:ascii="宋体" w:hAnsi="宋体"/>
            <w:noProof/>
            <w:highlight w:val="white"/>
          </w:rPr>
          <w:t>27</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100" w:tooltip="Current Document" w:history="1">
        <w:r w:rsidR="00D236CA">
          <w:rPr>
            <w:rStyle w:val="Hyperlink"/>
            <w:rFonts w:ascii="宋体" w:hAnsi="宋体" w:cs="Arial" w:hint="eastAsia"/>
            <w:noProof/>
            <w:highlight w:val="white"/>
          </w:rPr>
          <w:t>十一、 基金份额持有人名册的保管</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_Toc69134100 \h </w:instrText>
        </w:r>
        <w:r w:rsidR="00D236CA">
          <w:rPr>
            <w:rFonts w:ascii="宋体" w:hAnsi="宋体"/>
            <w:noProof/>
          </w:rPr>
          <w:fldChar w:fldCharType="separate"/>
        </w:r>
        <w:r w:rsidR="00D236CA">
          <w:rPr>
            <w:rFonts w:ascii="宋体" w:hAnsi="宋体"/>
            <w:noProof/>
            <w:highlight w:val="white"/>
          </w:rPr>
          <w:t>27</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101" w:tooltip="Current Document" w:history="1">
        <w:r w:rsidR="00D236CA">
          <w:rPr>
            <w:rStyle w:val="Hyperlink"/>
            <w:rFonts w:ascii="宋体" w:hAnsi="宋体" w:cs="Arial" w:hint="eastAsia"/>
            <w:noProof/>
            <w:highlight w:val="white"/>
          </w:rPr>
          <w:t>十二、 基金有关文件和档案的保存</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_Toc69134101 \h </w:instrText>
        </w:r>
        <w:r w:rsidR="00D236CA">
          <w:rPr>
            <w:rFonts w:ascii="宋体" w:hAnsi="宋体"/>
            <w:noProof/>
          </w:rPr>
          <w:fldChar w:fldCharType="separate"/>
        </w:r>
        <w:r w:rsidR="00D236CA">
          <w:rPr>
            <w:rFonts w:ascii="宋体" w:hAnsi="宋体"/>
            <w:noProof/>
            <w:highlight w:val="white"/>
          </w:rPr>
          <w:t>28</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102" w:tooltip="Current Document" w:history="1">
        <w:r w:rsidR="00D236CA">
          <w:rPr>
            <w:rStyle w:val="Hyperlink"/>
            <w:rFonts w:ascii="宋体" w:hAnsi="宋体" w:cs="Arial" w:hint="eastAsia"/>
            <w:noProof/>
            <w:highlight w:val="white"/>
          </w:rPr>
          <w:t>十三、 基金管理人和基金托管人的更换</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_Toc69134102 \h </w:instrText>
        </w:r>
        <w:r w:rsidR="00D236CA">
          <w:rPr>
            <w:rFonts w:ascii="宋体" w:hAnsi="宋体"/>
            <w:noProof/>
          </w:rPr>
          <w:fldChar w:fldCharType="separate"/>
        </w:r>
        <w:r w:rsidR="00D236CA">
          <w:rPr>
            <w:rFonts w:ascii="宋体" w:hAnsi="宋体"/>
            <w:noProof/>
            <w:highlight w:val="white"/>
          </w:rPr>
          <w:t>28</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105" w:tooltip="Current Document" w:history="1">
        <w:r w:rsidR="00D236CA">
          <w:rPr>
            <w:rStyle w:val="Hyperlink"/>
            <w:rFonts w:ascii="宋体" w:hAnsi="宋体" w:cs="Arial" w:hint="eastAsia"/>
            <w:noProof/>
            <w:highlight w:val="white"/>
          </w:rPr>
          <w:t>十四、 禁止行为</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_Toc69134105 \h </w:instrText>
        </w:r>
        <w:r w:rsidR="00D236CA">
          <w:rPr>
            <w:rFonts w:ascii="宋体" w:hAnsi="宋体"/>
            <w:noProof/>
          </w:rPr>
          <w:fldChar w:fldCharType="separate"/>
        </w:r>
        <w:r w:rsidR="00D236CA">
          <w:rPr>
            <w:rFonts w:ascii="宋体" w:hAnsi="宋体"/>
            <w:noProof/>
            <w:highlight w:val="white"/>
          </w:rPr>
          <w:t>31</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106" w:tooltip="Current Document" w:history="1">
        <w:r w:rsidR="00D236CA">
          <w:rPr>
            <w:rStyle w:val="Hyperlink"/>
            <w:rFonts w:ascii="宋体" w:hAnsi="宋体" w:cs="Arial" w:hint="eastAsia"/>
            <w:noProof/>
            <w:highlight w:val="white"/>
          </w:rPr>
          <w:t>十五、 基金托管协议的变更、终止与基金财产的清算</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_Toc69134106 \h </w:instrText>
        </w:r>
        <w:r w:rsidR="00D236CA">
          <w:rPr>
            <w:rFonts w:ascii="宋体" w:hAnsi="宋体"/>
            <w:noProof/>
          </w:rPr>
          <w:fldChar w:fldCharType="separate"/>
        </w:r>
        <w:r w:rsidR="00D236CA">
          <w:rPr>
            <w:rFonts w:ascii="宋体" w:hAnsi="宋体"/>
            <w:noProof/>
            <w:highlight w:val="white"/>
          </w:rPr>
          <w:t>32</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107" w:tooltip="Current Document" w:history="1">
        <w:r w:rsidR="00D236CA">
          <w:rPr>
            <w:rStyle w:val="Hyperlink"/>
            <w:rFonts w:ascii="宋体" w:hAnsi="宋体" w:cs="Arial" w:hint="eastAsia"/>
            <w:noProof/>
            <w:highlight w:val="white"/>
          </w:rPr>
          <w:t>十六、 违约责任</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_Toc69134107 \h </w:instrText>
        </w:r>
        <w:r w:rsidR="00D236CA">
          <w:rPr>
            <w:rFonts w:ascii="宋体" w:hAnsi="宋体"/>
            <w:noProof/>
          </w:rPr>
          <w:fldChar w:fldCharType="separate"/>
        </w:r>
        <w:r w:rsidR="00D236CA">
          <w:rPr>
            <w:rFonts w:ascii="宋体" w:hAnsi="宋体"/>
            <w:noProof/>
            <w:highlight w:val="white"/>
          </w:rPr>
          <w:t>33</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108" w:tooltip="Current Document" w:history="1">
        <w:r w:rsidR="00D236CA">
          <w:rPr>
            <w:rStyle w:val="Hyperlink"/>
            <w:rFonts w:ascii="宋体" w:hAnsi="宋体" w:hint="eastAsia"/>
            <w:noProof/>
            <w:highlight w:val="white"/>
          </w:rPr>
          <w:t>十七、</w:t>
        </w:r>
        <w:r w:rsidR="00D236CA">
          <w:rPr>
            <w:rStyle w:val="Hyperlink"/>
            <w:rFonts w:ascii="宋体" w:hAnsi="宋体" w:cs="Arial" w:hint="eastAsia"/>
            <w:noProof/>
            <w:highlight w:val="white"/>
          </w:rPr>
          <w:t xml:space="preserve"> 适用法律及争议解决方式</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_Toc69134108 \h </w:instrText>
        </w:r>
        <w:r w:rsidR="00D236CA">
          <w:rPr>
            <w:rFonts w:ascii="宋体" w:hAnsi="宋体"/>
            <w:noProof/>
          </w:rPr>
          <w:fldChar w:fldCharType="separate"/>
        </w:r>
        <w:r w:rsidR="00D236CA">
          <w:rPr>
            <w:rFonts w:ascii="宋体" w:hAnsi="宋体"/>
            <w:noProof/>
            <w:highlight w:val="white"/>
          </w:rPr>
          <w:t>34</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109" w:tooltip="Current Document" w:history="1">
        <w:r w:rsidR="00D236CA">
          <w:rPr>
            <w:rStyle w:val="Hyperlink"/>
            <w:rFonts w:ascii="宋体" w:hAnsi="宋体" w:cs="Arial" w:hint="eastAsia"/>
            <w:noProof/>
            <w:highlight w:val="white"/>
          </w:rPr>
          <w:t>十八、 基金托管协议的效力和文本</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_Toc69134109 \h </w:instrText>
        </w:r>
        <w:r w:rsidR="00D236CA">
          <w:rPr>
            <w:rFonts w:ascii="宋体" w:hAnsi="宋体"/>
            <w:noProof/>
          </w:rPr>
          <w:fldChar w:fldCharType="separate"/>
        </w:r>
        <w:r w:rsidR="00D236CA">
          <w:rPr>
            <w:rFonts w:ascii="宋体" w:hAnsi="宋体"/>
            <w:noProof/>
            <w:highlight w:val="white"/>
          </w:rPr>
          <w:t>34</w:t>
        </w:r>
        <w:r w:rsidR="00D236CA">
          <w:rPr>
            <w:rFonts w:ascii="宋体" w:hAnsi="宋体"/>
            <w:noProof/>
          </w:rPr>
          <w:fldChar w:fldCharType="end"/>
        </w:r>
      </w:hyperlink>
    </w:p>
    <w:p w:rsidR="008E1BAB">
      <w:pPr>
        <w:pStyle w:val="TOC1"/>
        <w:tabs>
          <w:tab w:val="right" w:leader="dot" w:pos="8296"/>
        </w:tabs>
        <w:spacing w:line="360" w:lineRule="auto"/>
        <w:rPr>
          <w:rFonts w:ascii="宋体" w:hAnsi="宋体" w:cs="Calibri"/>
          <w:noProof/>
          <w:sz w:val="22"/>
          <w:szCs w:val="22"/>
        </w:rPr>
      </w:pPr>
      <w:hyperlink w:anchor="_Toc69134110" w:tooltip="Current Document" w:history="1">
        <w:r w:rsidR="00D236CA">
          <w:rPr>
            <w:rStyle w:val="Hyperlink"/>
            <w:rFonts w:ascii="宋体" w:hAnsi="宋体" w:cs="Arial" w:hint="eastAsia"/>
            <w:noProof/>
            <w:highlight w:val="white"/>
          </w:rPr>
          <w:t>十九、 其他事项</w:t>
        </w:r>
        <w:r w:rsidR="00D236CA">
          <w:rPr>
            <w:rFonts w:ascii="宋体" w:hAnsi="宋体"/>
            <w:noProof/>
            <w:highlight w:val="white"/>
          </w:rPr>
          <w:tab/>
        </w:r>
        <w:r w:rsidR="00D236CA">
          <w:rPr>
            <w:rFonts w:ascii="宋体" w:hAnsi="宋体"/>
            <w:noProof/>
          </w:rPr>
          <w:fldChar w:fldCharType="begin"/>
        </w:r>
        <w:r w:rsidR="00D236CA">
          <w:rPr>
            <w:rFonts w:ascii="宋体" w:hAnsi="宋体"/>
            <w:noProof/>
            <w:highlight w:val="white"/>
          </w:rPr>
          <w:instrText xml:space="preserve"> PAGEREF _Toc69134110 \h </w:instrText>
        </w:r>
        <w:r w:rsidR="00D236CA">
          <w:rPr>
            <w:rFonts w:ascii="宋体" w:hAnsi="宋体"/>
            <w:noProof/>
          </w:rPr>
          <w:fldChar w:fldCharType="separate"/>
        </w:r>
        <w:r w:rsidR="00D236CA">
          <w:rPr>
            <w:rFonts w:ascii="宋体" w:hAnsi="宋体"/>
            <w:noProof/>
            <w:highlight w:val="white"/>
          </w:rPr>
          <w:t>35</w:t>
        </w:r>
        <w:r w:rsidR="00D236CA">
          <w:rPr>
            <w:rFonts w:ascii="宋体" w:hAnsi="宋体"/>
            <w:noProof/>
          </w:rPr>
          <w:fldChar w:fldCharType="end"/>
        </w:r>
      </w:hyperlink>
    </w:p>
    <w:p w:rsidR="008E1BAB">
      <w:pPr>
        <w:spacing w:line="360" w:lineRule="auto"/>
        <w:rPr>
          <w:rFonts w:ascii="宋体" w:hAnsi="宋体"/>
          <w:sz w:val="24"/>
        </w:rPr>
      </w:pPr>
      <w:r>
        <w:rPr>
          <w:rFonts w:ascii="宋体" w:hAnsi="宋体" w:hint="eastAsia"/>
          <w:sz w:val="20"/>
          <w:szCs w:val="21"/>
        </w:rPr>
        <w:fldChar w:fldCharType="end"/>
      </w:r>
    </w:p>
    <w:p w:rsidR="008E1BAB">
      <w:pPr>
        <w:widowControl/>
        <w:jc w:val="left"/>
        <w:rPr>
          <w:rFonts w:ascii="宋体" w:hAnsi="宋体"/>
          <w:sz w:val="24"/>
        </w:rPr>
        <w:sectPr>
          <w:footerReference w:type="default" r:id="rId6"/>
          <w:pgSz w:w="11906" w:h="16838"/>
          <w:pgMar w:top="1440" w:right="1800" w:bottom="1440" w:left="1800" w:header="851" w:footer="992" w:gutter="0"/>
          <w:pgNumType w:start="1"/>
          <w:cols w:space="720"/>
          <w:docGrid w:type="lines" w:linePitch="312"/>
        </w:sectPr>
      </w:pPr>
    </w:p>
    <w:p w:rsidR="008E1BAB">
      <w:pPr>
        <w:pStyle w:val="11"/>
        <w:keepNext w:val="0"/>
        <w:keepLines w:val="0"/>
        <w:numPr>
          <w:ilvl w:val="0"/>
          <w:numId w:val="0"/>
        </w:numPr>
        <w:tabs>
          <w:tab w:val="left" w:pos="420"/>
        </w:tabs>
        <w:spacing w:before="360" w:after="360"/>
        <w:rPr>
          <w:rFonts w:ascii="宋体" w:eastAsia="宋体" w:hAnsi="宋体"/>
          <w:b w:val="0"/>
          <w:szCs w:val="32"/>
          <w:lang w:val="en-US" w:eastAsia="zh-CN"/>
        </w:rPr>
      </w:pPr>
      <w:bookmarkStart w:id="7" w:name="_Toc69134054"/>
      <w:bookmarkStart w:id="8" w:name="_Toc382818594"/>
      <w:bookmarkStart w:id="9" w:name="_Toc382819068"/>
      <w:r>
        <w:rPr>
          <w:rFonts w:ascii="宋体" w:eastAsia="宋体" w:hAnsi="宋体" w:hint="eastAsia"/>
          <w:b w:val="0"/>
          <w:szCs w:val="32"/>
          <w:lang w:val="en-US" w:eastAsia="zh-CN"/>
        </w:rPr>
        <w:t>易方达上证科创板人工智能交易型开放式指数证券投资基金联接基金</w:t>
      </w:r>
      <w:bookmarkEnd w:id="7"/>
    </w:p>
    <w:p w:rsidR="008E1BAB">
      <w:pPr>
        <w:pStyle w:val="11"/>
        <w:keepNext w:val="0"/>
        <w:keepLines w:val="0"/>
        <w:numPr>
          <w:ilvl w:val="0"/>
          <w:numId w:val="0"/>
        </w:numPr>
        <w:tabs>
          <w:tab w:val="left" w:pos="420"/>
        </w:tabs>
        <w:spacing w:before="360" w:after="360"/>
        <w:rPr>
          <w:rFonts w:ascii="宋体" w:eastAsia="宋体" w:hAnsi="宋体"/>
          <w:b w:val="0"/>
          <w:szCs w:val="32"/>
        </w:rPr>
      </w:pPr>
      <w:bookmarkStart w:id="10" w:name="_Toc69134055"/>
      <w:r>
        <w:rPr>
          <w:rFonts w:ascii="宋体" w:eastAsia="宋体" w:hAnsi="宋体" w:hint="eastAsia"/>
          <w:b w:val="0"/>
          <w:szCs w:val="32"/>
          <w:highlight w:val="white"/>
        </w:rPr>
        <w:t>托管协议</w:t>
      </w:r>
      <w:bookmarkEnd w:id="8"/>
      <w:bookmarkEnd w:id="9"/>
      <w:bookmarkEnd w:id="10"/>
    </w:p>
    <w:p w:rsidR="008E1BAB">
      <w:pPr>
        <w:rPr>
          <w:rFonts w:ascii="宋体" w:hAnsi="宋体"/>
          <w:lang w:val="zh-CN"/>
        </w:rPr>
      </w:pPr>
    </w:p>
    <w:p w:rsidR="008E1BAB">
      <w:pPr>
        <w:pStyle w:val="21"/>
        <w:keepNext w:val="0"/>
        <w:keepLines w:val="0"/>
        <w:spacing w:before="0" w:after="0" w:line="360" w:lineRule="auto"/>
        <w:ind w:firstLine="433"/>
        <w:rPr>
          <w:rFonts w:ascii="宋体" w:eastAsia="宋体" w:hAnsi="宋体"/>
          <w:sz w:val="21"/>
          <w:szCs w:val="21"/>
          <w:lang w:eastAsia="zh-CN"/>
        </w:rPr>
      </w:pPr>
      <w:bookmarkStart w:id="11" w:name="_Toc382819069"/>
      <w:bookmarkStart w:id="12" w:name="_Toc69134056"/>
      <w:r>
        <w:rPr>
          <w:rFonts w:ascii="宋体" w:eastAsia="宋体" w:hAnsi="宋体" w:hint="eastAsia"/>
          <w:sz w:val="21"/>
          <w:szCs w:val="21"/>
          <w:highlight w:val="white"/>
          <w:lang w:eastAsia="zh-CN"/>
        </w:rPr>
        <w:t>基金管理人：</w:t>
      </w:r>
      <w:bookmarkEnd w:id="11"/>
      <w:r>
        <w:rPr>
          <w:rFonts w:ascii="宋体" w:eastAsia="宋体" w:hAnsi="宋体" w:cs="Arial" w:hint="eastAsia"/>
          <w:sz w:val="21"/>
          <w:szCs w:val="21"/>
          <w:highlight w:val="white"/>
          <w:lang w:eastAsia="zh-CN"/>
        </w:rPr>
        <w:t>易方达基金管理有限公司</w:t>
      </w:r>
      <w:bookmarkEnd w:id="12"/>
      <w:r>
        <w:rPr>
          <w:rFonts w:ascii="宋体" w:eastAsia="宋体" w:hAnsi="宋体"/>
          <w:sz w:val="21"/>
          <w:szCs w:val="21"/>
          <w:highlight w:val="white"/>
          <w:lang w:eastAsia="zh-CN"/>
        </w:rPr>
        <w:t xml:space="preserve"> </w:t>
      </w:r>
    </w:p>
    <w:p w:rsidR="008E1BAB">
      <w:pPr>
        <w:spacing w:line="360" w:lineRule="auto"/>
        <w:ind w:firstLine="480"/>
        <w:rPr>
          <w:rFonts w:ascii="宋体" w:hAnsi="宋体"/>
          <w:bCs/>
          <w:szCs w:val="21"/>
          <w:lang w:eastAsia="zh-CN"/>
        </w:rPr>
      </w:pPr>
      <w:r>
        <w:rPr>
          <w:rFonts w:ascii="宋体" w:hAnsi="宋体" w:hint="eastAsia"/>
          <w:szCs w:val="21"/>
          <w:highlight w:val="white"/>
          <w:lang w:eastAsia="zh-CN"/>
        </w:rPr>
        <w:t>住所：广东省珠海市横琴新区荣粤道188号6层</w:t>
      </w:r>
    </w:p>
    <w:p w:rsidR="008E1BAB">
      <w:pPr>
        <w:spacing w:line="360" w:lineRule="auto"/>
        <w:ind w:firstLine="480"/>
        <w:rPr>
          <w:rFonts w:ascii="宋体" w:hAnsi="宋体"/>
          <w:bCs/>
          <w:szCs w:val="21"/>
          <w:lang w:eastAsia="zh-CN"/>
        </w:rPr>
      </w:pPr>
      <w:r>
        <w:rPr>
          <w:rFonts w:ascii="宋体" w:hAnsi="宋体" w:hint="eastAsia"/>
          <w:szCs w:val="21"/>
          <w:highlight w:val="white"/>
          <w:lang w:eastAsia="zh-CN"/>
        </w:rPr>
        <w:t xml:space="preserve">法定代表人：刘晓艳 </w:t>
      </w:r>
    </w:p>
    <w:p w:rsidR="008E1BAB">
      <w:pPr>
        <w:spacing w:line="360" w:lineRule="auto"/>
        <w:ind w:firstLine="480"/>
        <w:rPr>
          <w:rFonts w:ascii="宋体" w:hAnsi="宋体"/>
          <w:bCs/>
          <w:szCs w:val="21"/>
          <w:lang w:eastAsia="zh-CN"/>
        </w:rPr>
      </w:pPr>
      <w:r>
        <w:rPr>
          <w:rFonts w:ascii="宋体" w:hAnsi="宋体" w:hint="eastAsia"/>
          <w:szCs w:val="21"/>
          <w:highlight w:val="white"/>
          <w:lang w:eastAsia="zh-CN"/>
        </w:rPr>
        <w:t>设立日期：2001年4月17日</w:t>
      </w:r>
    </w:p>
    <w:p w:rsidR="008E1BAB">
      <w:pPr>
        <w:spacing w:line="360" w:lineRule="auto"/>
        <w:ind w:firstLine="480"/>
        <w:rPr>
          <w:rFonts w:ascii="宋体" w:hAnsi="宋体"/>
          <w:bCs/>
          <w:szCs w:val="21"/>
          <w:lang w:eastAsia="zh-CN"/>
        </w:rPr>
      </w:pPr>
      <w:r>
        <w:rPr>
          <w:rFonts w:ascii="宋体" w:hAnsi="宋体" w:hint="eastAsia"/>
          <w:szCs w:val="21"/>
          <w:highlight w:val="white"/>
          <w:lang w:eastAsia="zh-CN"/>
        </w:rPr>
        <w:t>批准设立机关及批准设立文号：中国证券监督管理委员会，证监基金字[2001]4号</w:t>
      </w:r>
    </w:p>
    <w:p w:rsidR="008E1BAB">
      <w:pPr>
        <w:spacing w:line="360" w:lineRule="auto"/>
        <w:ind w:firstLine="480"/>
        <w:rPr>
          <w:rFonts w:ascii="宋体" w:hAnsi="宋体"/>
          <w:bCs/>
          <w:szCs w:val="21"/>
          <w:lang w:eastAsia="zh-CN"/>
        </w:rPr>
      </w:pPr>
      <w:r>
        <w:rPr>
          <w:rFonts w:ascii="宋体" w:hAnsi="宋体" w:hint="eastAsia"/>
          <w:szCs w:val="21"/>
          <w:highlight w:val="white"/>
          <w:lang w:eastAsia="zh-CN"/>
        </w:rPr>
        <w:t>组织形式：有限责任公司</w:t>
      </w:r>
    </w:p>
    <w:p w:rsidR="008E1BAB">
      <w:pPr>
        <w:spacing w:line="360" w:lineRule="auto"/>
        <w:ind w:firstLine="480"/>
        <w:rPr>
          <w:rFonts w:ascii="宋体" w:hAnsi="宋体"/>
          <w:bCs/>
          <w:szCs w:val="21"/>
          <w:lang w:eastAsia="zh-CN"/>
        </w:rPr>
      </w:pPr>
      <w:r>
        <w:rPr>
          <w:rFonts w:ascii="宋体" w:hAnsi="宋体" w:hint="eastAsia"/>
          <w:szCs w:val="21"/>
          <w:highlight w:val="white"/>
          <w:lang w:eastAsia="zh-CN"/>
        </w:rPr>
        <w:t>注册资本：13,244.2万元人民币</w:t>
      </w:r>
    </w:p>
    <w:p w:rsidR="008E1BAB">
      <w:pPr>
        <w:spacing w:line="360" w:lineRule="auto"/>
        <w:ind w:firstLine="480"/>
        <w:rPr>
          <w:rFonts w:ascii="宋体" w:hAnsi="宋体"/>
          <w:bCs/>
          <w:szCs w:val="21"/>
          <w:lang w:eastAsia="zh-CN"/>
        </w:rPr>
      </w:pPr>
      <w:r>
        <w:rPr>
          <w:rFonts w:ascii="宋体" w:hAnsi="宋体" w:hint="eastAsia"/>
          <w:szCs w:val="21"/>
          <w:highlight w:val="white"/>
          <w:lang w:eastAsia="zh-CN"/>
        </w:rPr>
        <w:t>存续期限：持续经营</w:t>
      </w:r>
    </w:p>
    <w:p w:rsidR="008E1BAB">
      <w:pPr>
        <w:spacing w:line="360" w:lineRule="auto"/>
        <w:ind w:firstLine="480"/>
        <w:rPr>
          <w:rFonts w:ascii="宋体" w:hAnsi="宋体"/>
          <w:bCs/>
          <w:szCs w:val="21"/>
          <w:lang w:eastAsia="zh-CN"/>
        </w:rPr>
      </w:pPr>
      <w:r>
        <w:rPr>
          <w:rFonts w:ascii="宋体" w:hAnsi="宋体" w:hint="eastAsia"/>
          <w:szCs w:val="21"/>
          <w:highlight w:val="white"/>
          <w:lang w:eastAsia="zh-CN"/>
        </w:rPr>
        <w:t>联系电话：4008818088</w:t>
      </w:r>
    </w:p>
    <w:p w:rsidR="008E1BAB">
      <w:pPr>
        <w:spacing w:line="360" w:lineRule="auto"/>
        <w:ind w:firstLine="630"/>
        <w:rPr>
          <w:rFonts w:ascii="宋体" w:hAnsi="宋体"/>
          <w:szCs w:val="21"/>
          <w:lang w:eastAsia="zh-CN"/>
        </w:rPr>
      </w:pPr>
    </w:p>
    <w:p w:rsidR="008E1BAB">
      <w:pPr>
        <w:spacing w:line="360" w:lineRule="auto"/>
        <w:ind w:firstLine="442"/>
        <w:rPr>
          <w:rFonts w:ascii="宋体" w:hAnsi="宋体"/>
          <w:b/>
          <w:szCs w:val="21"/>
          <w:lang w:eastAsia="zh-CN"/>
        </w:rPr>
      </w:pPr>
    </w:p>
    <w:p w:rsidR="008E1BAB">
      <w:pPr>
        <w:pStyle w:val="21"/>
        <w:keepNext w:val="0"/>
        <w:keepLines w:val="0"/>
        <w:spacing w:before="0" w:after="0" w:line="360" w:lineRule="auto"/>
        <w:ind w:firstLine="433"/>
        <w:rPr>
          <w:rFonts w:ascii="宋体" w:eastAsia="宋体" w:hAnsi="宋体"/>
          <w:sz w:val="21"/>
          <w:szCs w:val="21"/>
          <w:lang w:eastAsia="zh-CN"/>
        </w:rPr>
      </w:pPr>
      <w:bookmarkStart w:id="13" w:name="_Toc382819070"/>
      <w:bookmarkStart w:id="14" w:name="_Toc69134057"/>
      <w:r>
        <w:rPr>
          <w:rFonts w:ascii="宋体" w:eastAsia="宋体" w:hAnsi="宋体" w:hint="eastAsia"/>
          <w:sz w:val="21"/>
          <w:szCs w:val="21"/>
          <w:highlight w:val="white"/>
          <w:lang w:eastAsia="zh-CN"/>
        </w:rPr>
        <w:t>基金托管人：上海浦东发展银行股份有限公司</w:t>
      </w:r>
      <w:bookmarkEnd w:id="13"/>
      <w:bookmarkEnd w:id="14"/>
    </w:p>
    <w:p w:rsidR="008E1BAB">
      <w:pPr>
        <w:spacing w:line="360" w:lineRule="auto"/>
        <w:ind w:firstLine="440"/>
        <w:rPr>
          <w:rFonts w:ascii="宋体" w:hAnsi="宋体"/>
          <w:szCs w:val="21"/>
          <w:lang w:eastAsia="zh-CN"/>
        </w:rPr>
      </w:pPr>
      <w:r>
        <w:rPr>
          <w:rFonts w:ascii="宋体" w:hAnsi="宋体" w:cs="宋体"/>
          <w:color w:val="000000"/>
          <w:highlight w:val="white"/>
          <w:lang w:eastAsia="zh-CN"/>
        </w:rPr>
        <w:t>住所</w:t>
      </w:r>
      <w:r>
        <w:rPr>
          <w:rFonts w:ascii="宋体" w:hAnsi="宋体"/>
          <w:szCs w:val="21"/>
          <w:highlight w:val="white"/>
          <w:lang w:eastAsia="zh-CN"/>
        </w:rPr>
        <w:t>：上海市中山东一路12号</w:t>
      </w:r>
    </w:p>
    <w:p w:rsidR="008E1BAB">
      <w:pPr>
        <w:spacing w:line="360" w:lineRule="auto"/>
        <w:ind w:firstLine="440"/>
        <w:rPr>
          <w:rFonts w:ascii="宋体" w:hAnsi="宋体"/>
          <w:szCs w:val="21"/>
          <w:lang w:eastAsia="zh-CN"/>
        </w:rPr>
      </w:pPr>
      <w:r>
        <w:rPr>
          <w:rFonts w:ascii="宋体" w:hAnsi="宋体" w:hint="eastAsia"/>
          <w:szCs w:val="21"/>
          <w:highlight w:val="white"/>
          <w:lang w:eastAsia="zh-CN"/>
        </w:rPr>
        <w:t>法定代表人：</w:t>
      </w:r>
      <w:r>
        <w:rPr>
          <w:rFonts w:ascii="宋体" w:hAnsi="宋体" w:cs="宋体"/>
          <w:color w:val="000000"/>
          <w:highlight w:val="white"/>
          <w:lang w:eastAsia="zh-CN"/>
        </w:rPr>
        <w:t>张为忠</w:t>
      </w:r>
    </w:p>
    <w:p w:rsidR="008E1BAB">
      <w:pPr>
        <w:spacing w:line="360" w:lineRule="auto"/>
        <w:ind w:firstLine="440"/>
        <w:rPr>
          <w:rFonts w:ascii="宋体" w:hAnsi="宋体"/>
          <w:szCs w:val="21"/>
          <w:lang w:eastAsia="zh-CN"/>
        </w:rPr>
      </w:pPr>
      <w:r>
        <w:rPr>
          <w:rFonts w:ascii="宋体" w:hAnsi="宋体" w:hint="eastAsia"/>
          <w:szCs w:val="21"/>
          <w:highlight w:val="white"/>
          <w:lang w:eastAsia="zh-CN"/>
        </w:rPr>
        <w:t>成立日期：</w:t>
      </w:r>
      <w:r>
        <w:rPr>
          <w:rFonts w:ascii="宋体" w:hAnsi="宋体"/>
          <w:szCs w:val="21"/>
          <w:highlight w:val="white"/>
          <w:lang w:eastAsia="zh-CN"/>
        </w:rPr>
        <w:t>1992年10月19日</w:t>
      </w:r>
    </w:p>
    <w:p w:rsidR="008E1BAB">
      <w:pPr>
        <w:spacing w:line="360" w:lineRule="auto"/>
        <w:ind w:firstLine="440"/>
        <w:rPr>
          <w:szCs w:val="21"/>
          <w:lang w:eastAsia="zh-CN"/>
        </w:rPr>
      </w:pPr>
      <w:r>
        <w:rPr>
          <w:rFonts w:ascii="宋体" w:hAnsi="宋体" w:cs="宋体"/>
          <w:color w:val="000000"/>
          <w:highlight w:val="white"/>
          <w:lang w:eastAsia="zh-CN"/>
        </w:rPr>
        <w:t>基金托管资格批文及文号：中国证监会证监基金字[2003]105号</w:t>
      </w:r>
    </w:p>
    <w:p w:rsidR="008E1BAB">
      <w:pPr>
        <w:spacing w:line="360" w:lineRule="auto"/>
        <w:ind w:firstLine="440"/>
        <w:rPr>
          <w:rFonts w:ascii="宋体" w:hAnsi="宋体"/>
          <w:szCs w:val="21"/>
          <w:lang w:eastAsia="zh-CN"/>
        </w:rPr>
      </w:pPr>
      <w:r>
        <w:rPr>
          <w:rFonts w:ascii="宋体" w:hAnsi="宋体" w:hint="eastAsia"/>
          <w:szCs w:val="21"/>
          <w:highlight w:val="white"/>
          <w:lang w:eastAsia="zh-CN"/>
        </w:rPr>
        <w:t>组织形式</w:t>
      </w:r>
      <w:r>
        <w:rPr>
          <w:rFonts w:ascii="宋体" w:hAnsi="宋体"/>
          <w:szCs w:val="21"/>
          <w:highlight w:val="white"/>
          <w:lang w:eastAsia="zh-CN"/>
        </w:rPr>
        <w:t>：</w:t>
      </w:r>
      <w:r>
        <w:rPr>
          <w:rFonts w:ascii="宋体" w:hAnsi="宋体" w:hint="eastAsia"/>
          <w:szCs w:val="21"/>
          <w:highlight w:val="white"/>
          <w:lang w:eastAsia="zh-CN"/>
        </w:rPr>
        <w:t>股份有限公司</w:t>
      </w:r>
      <w:r>
        <w:rPr>
          <w:rFonts w:ascii="宋体" w:hAnsi="宋体"/>
          <w:highlight w:val="white"/>
          <w:lang w:eastAsia="zh-CN"/>
        </w:rPr>
        <w:t>（上市）</w:t>
      </w:r>
    </w:p>
    <w:p w:rsidR="008E1BAB">
      <w:pPr>
        <w:spacing w:line="360" w:lineRule="auto"/>
        <w:ind w:firstLine="440"/>
        <w:rPr>
          <w:rFonts w:ascii="宋体" w:hAnsi="宋体"/>
          <w:szCs w:val="21"/>
          <w:lang w:eastAsia="zh-CN"/>
        </w:rPr>
      </w:pPr>
      <w:r>
        <w:rPr>
          <w:rFonts w:ascii="宋体" w:hAnsi="宋体" w:hint="eastAsia"/>
          <w:szCs w:val="21"/>
          <w:highlight w:val="white"/>
          <w:lang w:eastAsia="zh-CN"/>
        </w:rPr>
        <w:t>注册资本：</w:t>
      </w:r>
      <w:r>
        <w:rPr>
          <w:rFonts w:ascii="宋体" w:hAnsi="宋体"/>
          <w:szCs w:val="21"/>
          <w:highlight w:val="white"/>
          <w:lang w:eastAsia="zh-CN"/>
        </w:rPr>
        <w:t>293.52亿元人民币</w:t>
      </w:r>
    </w:p>
    <w:p w:rsidR="008E1BAB">
      <w:pPr>
        <w:spacing w:line="360" w:lineRule="auto"/>
        <w:ind w:firstLine="440"/>
        <w:rPr>
          <w:rFonts w:ascii="宋体" w:hAnsi="宋体"/>
          <w:szCs w:val="21"/>
          <w:lang w:eastAsia="zh-CN"/>
        </w:rPr>
      </w:pPr>
      <w:r>
        <w:rPr>
          <w:rFonts w:ascii="宋体" w:hAnsi="宋体" w:cs="宋体"/>
          <w:color w:val="000000"/>
          <w:highlight w:val="white"/>
          <w:lang w:eastAsia="zh-CN"/>
        </w:rPr>
        <w:t>存续期间</w:t>
      </w:r>
      <w:r>
        <w:rPr>
          <w:rFonts w:ascii="宋体" w:hAnsi="宋体"/>
          <w:szCs w:val="21"/>
          <w:highlight w:val="white"/>
          <w:lang w:eastAsia="zh-CN"/>
        </w:rPr>
        <w:t>：</w:t>
      </w:r>
      <w:r>
        <w:rPr>
          <w:rFonts w:ascii="宋体" w:hAnsi="宋体" w:cs="宋体"/>
          <w:color w:val="000000"/>
          <w:highlight w:val="white"/>
          <w:lang w:eastAsia="zh-CN"/>
        </w:rPr>
        <w:t>持续经营</w:t>
      </w:r>
    </w:p>
    <w:p w:rsidR="008E1BAB">
      <w:pPr>
        <w:spacing w:line="360" w:lineRule="auto"/>
        <w:ind w:firstLine="480"/>
        <w:rPr>
          <w:rFonts w:ascii="宋体" w:hAnsi="宋体"/>
          <w:szCs w:val="21"/>
          <w:lang w:eastAsia="zh-CN"/>
        </w:rPr>
      </w:pPr>
    </w:p>
    <w:p w:rsidR="008E1BAB">
      <w:pPr>
        <w:spacing w:line="360" w:lineRule="auto"/>
        <w:ind w:firstLine="480"/>
        <w:rPr>
          <w:rFonts w:ascii="宋体" w:hAnsi="宋体"/>
          <w:szCs w:val="21"/>
          <w:lang w:eastAsia="zh-CN"/>
        </w:rPr>
      </w:pPr>
    </w:p>
    <w:p w:rsidR="008E1BAB">
      <w:pPr>
        <w:spacing w:line="360" w:lineRule="auto"/>
        <w:ind w:firstLine="480"/>
        <w:rPr>
          <w:rFonts w:ascii="宋体" w:hAnsi="宋体"/>
          <w:szCs w:val="21"/>
          <w:lang w:eastAsia="zh-CN"/>
        </w:rPr>
      </w:pPr>
    </w:p>
    <w:p w:rsidR="008E1BAB">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5" w:name="_Toc69134058"/>
      <w:r>
        <w:rPr>
          <w:rFonts w:ascii="宋体" w:eastAsia="宋体" w:hAnsi="宋体" w:cs="Arial" w:hint="eastAsia"/>
          <w:sz w:val="21"/>
          <w:szCs w:val="21"/>
          <w:highlight w:val="white"/>
          <w:lang w:eastAsia="zh-CN"/>
        </w:rPr>
        <w:t>基金托管协议的依据、目的、原则和解释</w:t>
      </w:r>
      <w:bookmarkEnd w:id="15"/>
    </w:p>
    <w:p w:rsidR="008E1BAB">
      <w:pPr>
        <w:spacing w:line="360" w:lineRule="auto"/>
        <w:ind w:firstLine="420"/>
        <w:rPr>
          <w:rFonts w:ascii="宋体" w:hAnsi="宋体"/>
          <w:szCs w:val="21"/>
          <w:lang w:eastAsia="zh-CN"/>
        </w:rPr>
      </w:pPr>
      <w:r>
        <w:rPr>
          <w:rFonts w:ascii="宋体" w:hAnsi="宋体" w:hint="eastAsia"/>
          <w:szCs w:val="21"/>
          <w:highlight w:val="white"/>
          <w:lang w:eastAsia="zh-CN"/>
        </w:rPr>
        <w:t>（一）依据</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本协议依据《中华人民共和国证券投资基金法》（以下简称《基金法》）、《公开募集证券投资基金运作管理办法》（以下简称《运作办法》）、《公开募集证券投资基金销售机构监督管理办法》、《公开募集证券投资基金信息披露管理办法》（以下简称《信息披露办法》）、《证券投资基金托管业务管理办法》、《证券投资基金信息披露内容与格式准则第7号〈托管协议的内容与格式〉》、《</w:t>
      </w:r>
      <w:r>
        <w:rPr>
          <w:rFonts w:ascii="宋体" w:hAnsi="宋体" w:hint="eastAsia"/>
          <w:szCs w:val="21"/>
          <w:lang w:eastAsia="zh-CN"/>
        </w:rPr>
        <w:t>易方达上证科创板人工智能交易型开放式指数证券投资基金联接基金</w:t>
      </w:r>
      <w:r>
        <w:rPr>
          <w:rFonts w:ascii="宋体" w:hAnsi="宋体" w:hint="eastAsia"/>
          <w:szCs w:val="21"/>
          <w:highlight w:val="white"/>
          <w:lang w:eastAsia="zh-CN"/>
        </w:rPr>
        <w:t>基金合同》（以下简称《基金合同》）及其他有关法律、法规制定。</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（二）目的</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（三）原则</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基金管理人和基金托管人本着平等自愿、诚实信用、充分保护基金份额持有人合法权益的原则，经协商一致，签订本协议。</w:t>
      </w:r>
    </w:p>
    <w:p w:rsidR="008E1BAB">
      <w:pPr>
        <w:spacing w:after="120" w:line="360" w:lineRule="auto"/>
        <w:ind w:firstLine="420"/>
        <w:rPr>
          <w:rFonts w:ascii="宋体" w:hAnsi="宋体"/>
          <w:szCs w:val="21"/>
          <w:lang w:eastAsia="zh-CN"/>
        </w:rPr>
      </w:pPr>
      <w:r>
        <w:rPr>
          <w:rFonts w:ascii="宋体" w:hAnsi="宋体" w:hint="eastAsia"/>
          <w:szCs w:val="21"/>
          <w:highlight w:val="white"/>
          <w:lang w:eastAsia="zh-CN"/>
        </w:rPr>
        <w:t>（四）解释</w:t>
      </w:r>
    </w:p>
    <w:p w:rsidR="008E1BAB">
      <w:pPr>
        <w:spacing w:after="120" w:line="360" w:lineRule="auto"/>
        <w:ind w:firstLine="420"/>
        <w:rPr>
          <w:rFonts w:ascii="宋体" w:hAnsi="宋体"/>
          <w:szCs w:val="21"/>
          <w:lang w:eastAsia="zh-CN"/>
        </w:rPr>
      </w:pPr>
      <w:r>
        <w:rPr>
          <w:rFonts w:ascii="宋体" w:hAnsi="宋体" w:hint="eastAsia"/>
          <w:szCs w:val="21"/>
          <w:highlight w:val="white"/>
          <w:lang w:eastAsia="zh-CN"/>
        </w:rPr>
        <w:t>除非本协议另有约定，本协议所有术语与《基金合同》的相应术语具有相同含义。</w:t>
      </w:r>
    </w:p>
    <w:p w:rsidR="008E1BAB">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6" w:name="_Toc69134059"/>
      <w:r>
        <w:rPr>
          <w:rFonts w:ascii="宋体" w:eastAsia="宋体" w:hAnsi="宋体" w:cs="Arial" w:hint="eastAsia"/>
          <w:sz w:val="21"/>
          <w:szCs w:val="21"/>
          <w:highlight w:val="white"/>
          <w:lang w:eastAsia="zh-CN"/>
        </w:rPr>
        <w:t>基金托管人对基金管理人的业务监督和核查</w:t>
      </w:r>
      <w:bookmarkEnd w:id="16"/>
    </w:p>
    <w:p w:rsidR="008E1BAB">
      <w:pPr>
        <w:spacing w:before="156" w:after="156" w:line="360" w:lineRule="auto"/>
        <w:ind w:firstLine="420"/>
        <w:rPr>
          <w:rFonts w:ascii="宋体" w:hAnsi="宋体"/>
          <w:szCs w:val="21"/>
          <w:lang w:eastAsia="zh-CN"/>
        </w:rPr>
      </w:pPr>
      <w:bookmarkStart w:id="17" w:name="_Toc382819073"/>
      <w:r>
        <w:rPr>
          <w:rFonts w:ascii="宋体" w:hAnsi="宋体" w:hint="eastAsia"/>
          <w:szCs w:val="21"/>
          <w:highlight w:val="white"/>
          <w:lang w:eastAsia="zh-CN"/>
        </w:rPr>
        <w:t>（一）基金托管人对基金管理人的投资行为行使监督权</w:t>
      </w:r>
      <w:bookmarkEnd w:id="17"/>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1.基金托管人根据有关法律法规的规定和《基金合同》的约定，对下述基金投资范围、投资对象进行监督。</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本基金将投资于以下金融工具：</w:t>
      </w:r>
    </w:p>
    <w:p w:rsidR="008E1BAB">
      <w:pPr>
        <w:spacing w:line="360" w:lineRule="auto"/>
        <w:ind w:firstLine="420"/>
        <w:rPr>
          <w:rFonts w:ascii="宋体" w:hAnsi="宋体"/>
          <w:szCs w:val="21"/>
          <w:lang w:eastAsia="zh-CN"/>
        </w:rPr>
      </w:pPr>
      <w:r>
        <w:rPr>
          <w:rFonts w:ascii="宋体" w:hAnsi="宋体"/>
          <w:szCs w:val="21"/>
          <w:lang w:eastAsia="zh-CN"/>
        </w:rPr>
        <w:t>本基金的投资范围包括目标ETF、标的指数成份股及备选成份股（含存托凭证）、除标的指数成份股及备选成份股以外的其他股票（包括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8E1BAB">
      <w:pPr>
        <w:spacing w:line="360" w:lineRule="auto"/>
        <w:ind w:firstLine="420"/>
        <w:rPr>
          <w:rFonts w:ascii="宋体" w:hAnsi="宋体"/>
          <w:szCs w:val="21"/>
          <w:lang w:eastAsia="zh-CN"/>
        </w:rPr>
      </w:pPr>
      <w:r>
        <w:rPr>
          <w:rFonts w:ascii="宋体" w:hAnsi="宋体"/>
          <w:szCs w:val="21"/>
          <w:lang w:eastAsia="zh-CN"/>
        </w:rPr>
        <w:t>如法律法规或监管机构以后允许基金投资其他品种，基金管理人在履行适当程序后，本基金可以将其纳入投资范围。</w:t>
      </w:r>
    </w:p>
    <w:p w:rsidR="008E1BAB">
      <w:pPr>
        <w:spacing w:line="360" w:lineRule="auto"/>
        <w:ind w:firstLine="420"/>
        <w:rPr>
          <w:rFonts w:ascii="宋体" w:hAnsi="宋体"/>
          <w:szCs w:val="21"/>
          <w:lang w:eastAsia="zh-CN"/>
        </w:rPr>
      </w:pPr>
      <w:r>
        <w:rPr>
          <w:rFonts w:ascii="宋体" w:hAnsi="宋体"/>
          <w:szCs w:val="21"/>
          <w:lang w:eastAsia="zh-CN"/>
        </w:rPr>
        <w:t>本基金将根据法律法规的规定参与转融通证券出借及融资业务。</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本基金不得投资于相关法律、法规、部门规章及《基金合同》禁止投资的投资工具。</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2.基金托管人根据有关法律法规的规定及《基金合同》的约定对下述基金投融资比例进行监督：</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（1）按法律法规的规定及《基金合同》的约定，本基金的投资资产配置比例为：</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基金的投资组合比例为：</w:t>
      </w:r>
      <w:r>
        <w:rPr>
          <w:rFonts w:ascii="宋体" w:hAnsi="宋体"/>
          <w:szCs w:val="21"/>
          <w:lang w:eastAsia="zh-CN"/>
        </w:rPr>
        <w:t>本基金投资于目标ETF的资产不低于基金资产净值的90%，保持不低于基金资产净值5%的现金或者到期日在一年以内的政府债券，其中现金不包括结算备付金、存出保证金、应收申购款等。</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因基金规模或市场变化等因素导致投资组合不符合上述规定的，基金管理人应在合理的期限内调整基金的投资组合，以符合上述比例限定。法律法规另有规定时，从其规定。</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 xml:space="preserve">（2）根据法律法规的规定及《基金合同》的约定，本基金投资组合遵循以下投资限制： </w:t>
      </w:r>
    </w:p>
    <w:p w:rsidR="008E1BAB">
      <w:pPr>
        <w:spacing w:line="360" w:lineRule="auto"/>
        <w:ind w:firstLine="420"/>
        <w:rPr>
          <w:rFonts w:ascii="宋体" w:hAnsi="宋体" w:cs="宋体"/>
          <w:bCs/>
          <w:szCs w:val="21"/>
          <w:lang w:eastAsia="zh-CN"/>
        </w:rPr>
      </w:pPr>
      <w:r>
        <w:rPr>
          <w:rFonts w:ascii="宋体" w:hAnsi="宋体" w:cs="宋体"/>
          <w:szCs w:val="21"/>
          <w:highlight w:val="white"/>
          <w:lang w:eastAsia="zh-CN"/>
        </w:rPr>
        <w:t>1）本基金投资于目标ETF的资产不低于基金资产净值的90%；</w:t>
      </w:r>
    </w:p>
    <w:p w:rsidR="008E1BAB">
      <w:pPr>
        <w:spacing w:line="360" w:lineRule="auto"/>
        <w:ind w:firstLine="420"/>
        <w:rPr>
          <w:lang w:eastAsia="zh-CN"/>
        </w:rPr>
      </w:pPr>
      <w:r>
        <w:rPr>
          <w:rFonts w:ascii="宋体" w:hAnsi="宋体" w:cs="宋体"/>
          <w:szCs w:val="21"/>
          <w:highlight w:val="white"/>
          <w:lang w:eastAsia="zh-CN"/>
        </w:rPr>
        <w:t>2）保持不低于基金资产净值5%的现金或者到期日在一年以内的政府债券，其中现金不包括结算备付金、存出保证金和应收申购款等；</w:t>
      </w:r>
    </w:p>
    <w:p w:rsidR="008E1BAB">
      <w:pPr>
        <w:spacing w:line="360" w:lineRule="auto"/>
        <w:ind w:firstLine="420"/>
        <w:rPr>
          <w:lang w:eastAsia="zh-CN"/>
        </w:rPr>
      </w:pPr>
      <w:r>
        <w:rPr>
          <w:rFonts w:ascii="宋体" w:hAnsi="宋体" w:cs="宋体"/>
          <w:szCs w:val="21"/>
          <w:highlight w:val="white"/>
          <w:lang w:eastAsia="zh-CN"/>
        </w:rPr>
        <w:t>3）本基金投资于同一原始权益人的各类资产支持证券的比例，不得超过基金资产净值的10%；</w:t>
      </w:r>
    </w:p>
    <w:p w:rsidR="008E1BAB">
      <w:pPr>
        <w:spacing w:line="360" w:lineRule="auto"/>
        <w:ind w:firstLine="420"/>
        <w:rPr>
          <w:lang w:eastAsia="zh-CN"/>
        </w:rPr>
      </w:pPr>
      <w:r>
        <w:rPr>
          <w:rFonts w:ascii="宋体" w:hAnsi="宋体" w:cs="宋体"/>
          <w:szCs w:val="21"/>
          <w:highlight w:val="white"/>
          <w:lang w:eastAsia="zh-CN"/>
        </w:rPr>
        <w:t>4）本基金持有的全部资产支持证券，其市值不得超过基金资产净值的20%；</w:t>
      </w:r>
    </w:p>
    <w:p w:rsidR="008E1BAB">
      <w:pPr>
        <w:spacing w:line="360" w:lineRule="auto"/>
        <w:ind w:firstLine="420"/>
        <w:rPr>
          <w:lang w:eastAsia="zh-CN"/>
        </w:rPr>
      </w:pPr>
      <w:r>
        <w:rPr>
          <w:rFonts w:ascii="宋体" w:hAnsi="宋体" w:cs="宋体"/>
          <w:szCs w:val="21"/>
          <w:highlight w:val="white"/>
          <w:lang w:eastAsia="zh-CN"/>
        </w:rPr>
        <w:t>5）本基金持有的同一(指同一信用级别)资产支持证券的比例，不得超过该资产支持证券规模的10%；</w:t>
      </w:r>
    </w:p>
    <w:p w:rsidR="008E1BAB">
      <w:pPr>
        <w:spacing w:line="360" w:lineRule="auto"/>
        <w:ind w:firstLine="420"/>
        <w:rPr>
          <w:lang w:eastAsia="zh-CN"/>
        </w:rPr>
      </w:pPr>
      <w:r>
        <w:rPr>
          <w:rFonts w:ascii="宋体" w:hAnsi="宋体" w:cs="宋体"/>
          <w:szCs w:val="21"/>
          <w:highlight w:val="white"/>
          <w:lang w:eastAsia="zh-CN"/>
        </w:rPr>
        <w:t>6）本基金管理人管理的全部基金投资于同一原始权益人的各类资产支持证券，不得超过其各类资产支持证券合计规模的10%；</w:t>
      </w:r>
    </w:p>
    <w:p w:rsidR="008E1BAB">
      <w:pPr>
        <w:spacing w:line="360" w:lineRule="auto"/>
        <w:ind w:firstLine="420"/>
        <w:rPr>
          <w:lang w:eastAsia="zh-CN"/>
        </w:rPr>
      </w:pPr>
      <w:r>
        <w:rPr>
          <w:rFonts w:ascii="宋体" w:hAnsi="宋体" w:cs="宋体"/>
          <w:szCs w:val="21"/>
          <w:highlight w:val="white"/>
          <w:lang w:eastAsia="zh-CN"/>
        </w:rPr>
        <w:t>7）本基金应投资于信用级别评级为BBB以上(含BBB)的资产支持证券。基金持有资产支持证券期间，如果其信用等级下降、不再符合投资标准，应在评级报告发布之日起3个月内予以全部卖出；</w:t>
      </w:r>
    </w:p>
    <w:p w:rsidR="008E1BAB">
      <w:pPr>
        <w:spacing w:line="360" w:lineRule="auto"/>
        <w:ind w:firstLine="420"/>
        <w:rPr>
          <w:lang w:eastAsia="zh-CN"/>
        </w:rPr>
      </w:pPr>
      <w:r>
        <w:rPr>
          <w:rFonts w:ascii="宋体" w:hAnsi="宋体" w:cs="宋体"/>
          <w:szCs w:val="21"/>
          <w:highlight w:val="white"/>
          <w:lang w:eastAsia="zh-CN"/>
        </w:rPr>
        <w:t>8）基金财产参与股票发行申购，本基金所申报的金额不超过本基金的总资产，本基金所申报的股票数量不超过拟发行股票公司本次发行股票的总量；</w:t>
      </w:r>
    </w:p>
    <w:p w:rsidR="008E1BAB">
      <w:pPr>
        <w:spacing w:line="360" w:lineRule="auto"/>
        <w:ind w:firstLine="420"/>
        <w:rPr>
          <w:lang w:eastAsia="zh-CN"/>
        </w:rPr>
      </w:pPr>
      <w:r>
        <w:rPr>
          <w:rFonts w:ascii="宋体" w:hAnsi="宋体" w:cs="宋体"/>
          <w:szCs w:val="21"/>
          <w:highlight w:val="white"/>
          <w:lang w:eastAsia="zh-CN"/>
        </w:rPr>
        <w:t>9）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目标ETF、股票、债券（不含到期日在一年以内的政府债券）、资产支持证券、买入返售金融资产（不含质押式回购）等；在任何交易日日终，持有的卖出股指期货合约价值不得超过基金持有的股票及目标ETF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8E1BAB">
      <w:pPr>
        <w:spacing w:line="360" w:lineRule="auto"/>
        <w:ind w:firstLine="420"/>
        <w:rPr>
          <w:lang w:eastAsia="zh-CN"/>
        </w:rPr>
      </w:pPr>
      <w:r>
        <w:rPr>
          <w:rFonts w:ascii="宋体" w:hAnsi="宋体" w:cs="宋体"/>
          <w:szCs w:val="21"/>
          <w:highlight w:val="white"/>
          <w:lang w:eastAsia="zh-CN"/>
        </w:rPr>
        <w:t>10）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8E1BAB">
      <w:pPr>
        <w:spacing w:line="360" w:lineRule="auto"/>
        <w:ind w:firstLine="420"/>
        <w:rPr>
          <w:lang w:eastAsia="zh-CN"/>
        </w:rPr>
      </w:pPr>
      <w:r>
        <w:rPr>
          <w:rFonts w:ascii="宋体" w:hAnsi="宋体" w:cs="宋体"/>
          <w:szCs w:val="21"/>
          <w:highlight w:val="white"/>
          <w:lang w:eastAsia="zh-CN"/>
        </w:rPr>
        <w:t>11）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8E1BAB">
      <w:pPr>
        <w:spacing w:line="360" w:lineRule="auto"/>
        <w:ind w:firstLine="420"/>
        <w:rPr>
          <w:lang w:eastAsia="zh-CN"/>
        </w:rPr>
      </w:pPr>
      <w:r>
        <w:rPr>
          <w:rFonts w:ascii="宋体" w:hAnsi="宋体" w:cs="宋体"/>
          <w:szCs w:val="21"/>
          <w:highlight w:val="white"/>
          <w:lang w:eastAsia="zh-CN"/>
        </w:rPr>
        <w:t>12）基金参与融资业务后，在任何交易日日终，持有的融资买入股票与其他有价证券市值之和，不得超过基金资产净值的95%；</w:t>
      </w:r>
    </w:p>
    <w:p w:rsidR="008E1BAB">
      <w:pPr>
        <w:spacing w:line="360" w:lineRule="auto"/>
        <w:ind w:firstLine="420"/>
        <w:rPr>
          <w:lang w:eastAsia="zh-CN"/>
        </w:rPr>
      </w:pPr>
      <w:r>
        <w:rPr>
          <w:rFonts w:ascii="宋体" w:hAnsi="宋体" w:cs="宋体"/>
          <w:szCs w:val="21"/>
          <w:highlight w:val="white"/>
          <w:lang w:eastAsia="zh-CN"/>
        </w:rPr>
        <w:t>13）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 亿元；证券出借的平均剩余期限不得超过30天，平均剩余期限按照市值加权平均计算；</w:t>
      </w:r>
    </w:p>
    <w:p w:rsidR="008E1BAB">
      <w:pPr>
        <w:spacing w:line="360" w:lineRule="auto"/>
        <w:ind w:firstLine="420"/>
        <w:rPr>
          <w:lang w:eastAsia="zh-CN"/>
        </w:rPr>
      </w:pPr>
      <w:r>
        <w:rPr>
          <w:rFonts w:ascii="宋体" w:hAnsi="宋体" w:cs="宋体"/>
          <w:szCs w:val="21"/>
          <w:highlight w:val="white"/>
          <w:lang w:eastAsia="zh-CN"/>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8E1BAB">
      <w:pPr>
        <w:spacing w:line="360" w:lineRule="auto"/>
        <w:ind w:firstLine="420"/>
        <w:rPr>
          <w:lang w:eastAsia="zh-CN"/>
        </w:rPr>
      </w:pPr>
      <w:r>
        <w:rPr>
          <w:rFonts w:ascii="宋体" w:hAnsi="宋体" w:cs="宋体"/>
          <w:szCs w:val="21"/>
          <w:highlight w:val="white"/>
          <w:lang w:eastAsia="zh-CN"/>
        </w:rPr>
        <w:t>15）本基金与私募类证券资管产品及中国证监会认定的其他主体为交易对手开展逆回购交易的，可接受质押品的资质要求应当与基金合同约定的投资范围保持一致；</w:t>
      </w:r>
    </w:p>
    <w:p w:rsidR="008E1BAB">
      <w:pPr>
        <w:spacing w:line="360" w:lineRule="auto"/>
        <w:ind w:firstLine="420"/>
        <w:rPr>
          <w:lang w:eastAsia="zh-CN"/>
        </w:rPr>
      </w:pPr>
      <w:r>
        <w:rPr>
          <w:rFonts w:ascii="宋体" w:hAnsi="宋体" w:cs="宋体"/>
          <w:szCs w:val="21"/>
          <w:highlight w:val="white"/>
          <w:lang w:eastAsia="zh-CN"/>
        </w:rPr>
        <w:t>16）本基金资产总值不超过基金资产净值的140%；</w:t>
      </w:r>
    </w:p>
    <w:p w:rsidR="008E1BAB">
      <w:pPr>
        <w:spacing w:line="360" w:lineRule="auto"/>
        <w:ind w:firstLine="420"/>
        <w:rPr>
          <w:lang w:eastAsia="zh-CN"/>
        </w:rPr>
      </w:pPr>
      <w:r>
        <w:rPr>
          <w:rFonts w:ascii="宋体" w:hAnsi="宋体" w:cs="宋体"/>
          <w:szCs w:val="21"/>
          <w:highlight w:val="white"/>
          <w:lang w:eastAsia="zh-CN"/>
        </w:rPr>
        <w:t>17）本基金投资存托凭证的比例限制依照境内上市交易的股票执行，与境内上市交易的股票合并计算；</w:t>
      </w:r>
    </w:p>
    <w:p w:rsidR="008E1BAB">
      <w:pPr>
        <w:spacing w:line="360" w:lineRule="auto"/>
        <w:ind w:firstLine="420"/>
        <w:rPr>
          <w:lang w:eastAsia="zh-CN"/>
        </w:rPr>
      </w:pPr>
      <w:r>
        <w:rPr>
          <w:rFonts w:ascii="宋体" w:hAnsi="宋体" w:cs="宋体"/>
          <w:szCs w:val="21"/>
          <w:highlight w:val="white"/>
          <w:lang w:eastAsia="zh-CN"/>
        </w:rPr>
        <w:t>18）法律法规及中国证监会规定的和《基金合同》约定的其他投资限制。</w:t>
      </w:r>
    </w:p>
    <w:p w:rsidR="008E1BAB">
      <w:pPr>
        <w:spacing w:line="360" w:lineRule="auto"/>
        <w:ind w:firstLine="420"/>
        <w:rPr>
          <w:lang w:eastAsia="zh-CN"/>
        </w:rPr>
      </w:pPr>
      <w:r>
        <w:rPr>
          <w:rFonts w:ascii="宋体" w:hAnsi="宋体" w:cs="宋体"/>
          <w:szCs w:val="21"/>
          <w:highlight w:val="white"/>
          <w:lang w:eastAsia="zh-CN"/>
        </w:rPr>
        <w:t>因证券/期货市场波动、证券发行人合并、基金规模变动、标的指数成份股调整、流动性限制、目标ETF暂停申购、赎回或二级市场交易停牌等基金管理人之外的因素致使基金投资比例不符合上述第（1）项规定投资比例的，基金管理人应当在20个交易日内进行调整；除上述1）、2）、7）、8）、13）、14）、15）情形之外，因证券/期货市场波动、证券发行人合并、基金规模变动、标的指数成份股调整、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13）项规定的，基金管理人不得新增出借业务。法律法规或监管部门另有规定的，届时按最新规定执行。</w:t>
      </w:r>
    </w:p>
    <w:p w:rsidR="008E1BAB">
      <w:pPr>
        <w:spacing w:line="360" w:lineRule="auto"/>
        <w:ind w:firstLine="420"/>
        <w:rPr>
          <w:lang w:eastAsia="zh-CN"/>
        </w:rPr>
      </w:pPr>
      <w:r>
        <w:rPr>
          <w:rFonts w:ascii="宋体" w:hAnsi="宋体" w:cs="宋体"/>
          <w:szCs w:val="21"/>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（3）</w:t>
      </w:r>
      <w:r>
        <w:rPr>
          <w:rFonts w:ascii="宋体" w:hAnsi="宋体" w:hint="eastAsia"/>
          <w:szCs w:val="21"/>
          <w:highlight w:val="white"/>
          <w:lang w:eastAsia="zh-CN"/>
        </w:rPr>
        <w:t>本基金可以按照国家的有关规定进行融资</w:t>
      </w:r>
      <w:r>
        <w:rPr>
          <w:rFonts w:ascii="宋体" w:hAnsi="宋体" w:hint="eastAsia"/>
          <w:bCs/>
          <w:szCs w:val="21"/>
          <w:highlight w:val="white"/>
          <w:lang w:eastAsia="zh-CN"/>
        </w:rPr>
        <w:t>。</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 xml:space="preserve">3.基金托管人根据有关法律法规的规定及《基金合同》的约定对下述基金投资禁止行为进行监督： </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根据法律法规的规定及《基金合同》的约定，本基金禁止从事下列行为：</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（1）承销证券；</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（2）违反规定向他人贷款或者提供担保；</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（3）从事承担无限责任的投资；</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（4）向其基金管理人、基金托管人出资；</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（5）从事内幕交易、操纵证券交易价格及其他不正当的证券交易活动；</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（6）法律、行政法规和中国证监会规定禁止的其他活动。</w:t>
      </w:r>
    </w:p>
    <w:p w:rsidR="008E1BAB">
      <w:pPr>
        <w:spacing w:line="360" w:lineRule="auto"/>
        <w:ind w:firstLine="420"/>
        <w:rPr>
          <w:rFonts w:ascii="宋体" w:hAnsi="宋体"/>
          <w:bCs/>
          <w:szCs w:val="21"/>
          <w:lang w:eastAsia="zh-CN"/>
        </w:rPr>
      </w:pPr>
      <w:r>
        <w:rPr>
          <w:rFonts w:ascii="宋体" w:hAnsi="宋体"/>
          <w:highlight w:val="white"/>
          <w:lang w:eastAsia="zh-CN"/>
        </w:rPr>
        <w:t>4.基金托管人依据有关法律法规的规定和《基金合同》的约定对于基金关联投资限制进行监督。</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E1BAB">
      <w:pPr>
        <w:spacing w:line="360" w:lineRule="auto"/>
        <w:ind w:firstLine="420"/>
        <w:rPr>
          <w:rFonts w:ascii="宋体" w:hAnsi="宋体"/>
          <w:bCs/>
          <w:szCs w:val="21"/>
          <w:lang w:eastAsia="zh-CN"/>
        </w:rPr>
      </w:pPr>
      <w:r>
        <w:rPr>
          <w:rFonts w:ascii="宋体" w:hAnsi="宋体"/>
          <w:bCs/>
          <w:szCs w:val="21"/>
          <w:highlight w:val="white"/>
          <w:lang w:eastAsia="zh-CN"/>
        </w:rPr>
        <w:t>如法律、法规或《基金合同》有关于基金从事关联交易的规定，基金管理人和基金托管人事先相互提供与本机构有控股关系的股东、与本机构有其他重大利害关系的公司名单及有关关联方发行的证券清单,加盖公章并书面提交。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5.基金托管人</w:t>
      </w:r>
      <w:r>
        <w:rPr>
          <w:rFonts w:ascii="宋体" w:hAnsi="宋体" w:hint="eastAsia"/>
          <w:highlight w:val="white"/>
          <w:lang w:eastAsia="zh-CN"/>
        </w:rPr>
        <w:t>依据有关法律法规的规定和《基金合同》的约定</w:t>
      </w:r>
      <w:r>
        <w:rPr>
          <w:rFonts w:ascii="宋体" w:hAnsi="宋体" w:hint="eastAsia"/>
          <w:bCs/>
          <w:szCs w:val="21"/>
          <w:highlight w:val="white"/>
          <w:lang w:eastAsia="zh-CN"/>
        </w:rPr>
        <w:t>对基金管理人参与银行间债券市场进行监督。</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基金托管人根据基金管理人提供的银行间债券市场交易对手名单进行监督。基金管理人有责任控制交易对手的资信风险，由于交易对手的资信风险引起的损失，基金管理人应当负责向相关责任人追偿。</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6.基金托管人依据有关法律法规的规定和《基金合同》的约定，对基金银行存款业务进行监督。</w:t>
      </w:r>
    </w:p>
    <w:p w:rsidR="008E1BAB">
      <w:pPr>
        <w:spacing w:line="360" w:lineRule="auto"/>
        <w:ind w:firstLine="420"/>
        <w:rPr>
          <w:rFonts w:ascii="宋体" w:hAnsi="宋体"/>
          <w:lang w:eastAsia="zh-CN"/>
        </w:rPr>
      </w:pPr>
      <w:r>
        <w:rPr>
          <w:rFonts w:ascii="宋体" w:hAnsi="宋体" w:hint="eastAsia"/>
          <w:bCs/>
          <w:szCs w:val="21"/>
          <w:highlight w:val="white"/>
          <w:lang w:eastAsia="zh-CN"/>
        </w:rPr>
        <w:t>基金管理人应当加强对基金投资银行存款风险的评估与研究，严格测算与控制投资银行存款的风险敞口，针对不同类型存款银行建立相关投资限制制度。</w:t>
      </w:r>
      <w:r>
        <w:rPr>
          <w:rFonts w:ascii="宋体" w:hAnsi="宋体" w:hint="eastAsia"/>
          <w:highlight w:val="white"/>
          <w:lang w:eastAsia="zh-CN"/>
        </w:rPr>
        <w:t>对于基金投资的银行存款，由于存款银行发生信用风险事件而造成损失时，</w:t>
      </w:r>
      <w:r>
        <w:rPr>
          <w:rFonts w:ascii="宋体" w:hAnsi="宋体" w:hint="eastAsia"/>
          <w:bCs/>
          <w:szCs w:val="21"/>
          <w:highlight w:val="white"/>
          <w:lang w:eastAsia="zh-CN"/>
        </w:rPr>
        <w:t>基金管理人有权要求相关责任人进行赔偿。</w:t>
      </w:r>
      <w:r>
        <w:rPr>
          <w:rFonts w:ascii="宋体" w:hAnsi="宋体" w:hint="eastAsia"/>
          <w:highlight w:val="white"/>
          <w:lang w:eastAsia="zh-CN"/>
        </w:rPr>
        <w:t>如果基金托管人在运作过程中遵循有关法律法规的规定和《基金合同》的约定监督流程，则对于由于存款银行信用风险引起的损失，不承担赔偿责任。</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7.基金托管人对基金投资流通受限证券的监督</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如下所指“流通受限证券”与本协议以及基金合同所指“流动性受限资产”定义存在不同。就流动性受限资产定义，请参照基金合同的“第二部分</w:t>
      </w:r>
      <w:r>
        <w:rPr>
          <w:rFonts w:ascii="宋体" w:hAnsi="宋体"/>
          <w:bCs/>
          <w:szCs w:val="21"/>
          <w:highlight w:val="white"/>
          <w:lang w:eastAsia="zh-CN"/>
        </w:rPr>
        <w:t xml:space="preserve"> </w:t>
      </w:r>
      <w:r>
        <w:rPr>
          <w:rFonts w:ascii="宋体" w:hAnsi="宋体" w:hint="eastAsia"/>
          <w:bCs/>
          <w:szCs w:val="21"/>
          <w:highlight w:val="white"/>
          <w:lang w:eastAsia="zh-CN"/>
        </w:rPr>
        <w:t>释义”部分。</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按照基金合同的约定进行处理。对本基金因投资流通受限证券导致的流动性风险，基金托管人不承担任何责任。如因基金管理人原因导致本基金出现损失的，基金托管人不承担任何责任。</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（3）基金管理人应在基金投资非公开发行股票后两个交易日内，在中国证监会规定媒介披露所投资非公开发行股票的信息。法律法规有新规定的，从其规定。</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如基金管理人未遵守相关制度、流动性风险处置方案以及投资额度和比例限制要求，导致基金出现风险使乙方承担连带赔偿责任的，若基金托管人此前已切实履行监督职责的，基金管理人应赔偿基金托管人由此遭受的损失。</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1）中国证监会批准发行非公开发行股票的批准文件。</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2）有关非公开发行股票的发行数量、发行价格、锁定期等发行资料。</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3）基金拟认购的数量、价格、总成本、账面价值。</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4）该基金投资流通受限证券的投资额度和投资比例控制。</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5）</w:t>
      </w:r>
      <w:r>
        <w:rPr>
          <w:rFonts w:ascii="宋体" w:hAnsi="宋体" w:hint="eastAsia"/>
          <w:highlight w:val="white"/>
          <w:lang w:eastAsia="zh-CN"/>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bCs/>
          <w:szCs w:val="21"/>
          <w:highlight w:val="white"/>
          <w:lang w:eastAsia="zh-CN"/>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如基金管理人和基金托管人无法就上述问题达成一致，应及时上报中国证监会请求解决。基金托管人履行了本协议规定的监督职责后，不承担任何责任。</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（5）相关法律法规对基金投资流通受限证券有新规定的，从其规定。</w:t>
      </w:r>
    </w:p>
    <w:p w:rsidR="008E1BAB">
      <w:pPr>
        <w:spacing w:line="360" w:lineRule="auto"/>
        <w:ind w:firstLine="420"/>
        <w:rPr>
          <w:rFonts w:ascii="宋体" w:hAnsi="宋体"/>
          <w:bCs/>
          <w:szCs w:val="21"/>
          <w:lang w:eastAsia="zh-CN"/>
        </w:rPr>
      </w:pPr>
      <w:r>
        <w:rPr>
          <w:rFonts w:ascii="宋体" w:hAnsi="宋体" w:hint="eastAsia"/>
          <w:szCs w:val="21"/>
          <w:highlight w:val="white"/>
          <w:lang w:eastAsia="zh-CN"/>
        </w:rPr>
        <w:t>8.基金托管人对基金投资中期票据的监督责任仅限于依据本协议相关规定对投资比例和投资限制进行事后监督</w:t>
      </w:r>
      <w:r>
        <w:rPr>
          <w:rFonts w:ascii="宋体" w:hAnsi="宋体" w:hint="eastAsia"/>
          <w:bCs/>
          <w:szCs w:val="21"/>
          <w:highlight w:val="white"/>
          <w:lang w:eastAsia="zh-CN"/>
        </w:rPr>
        <w:t>；除此外，无其它监督责任。如发现异常情况，应及时以书面形式通知基金管理人。基金管理人应积极配合和协助基金托管人进行监督和核查。</w:t>
      </w:r>
      <w:r>
        <w:rPr>
          <w:rFonts w:ascii="宋体" w:hAnsi="宋体" w:hint="eastAsia"/>
          <w:szCs w:val="21"/>
          <w:highlight w:val="white"/>
          <w:lang w:eastAsia="zh-CN"/>
        </w:rPr>
        <w:t>基金因投资中期票据导致的信用风险</w:t>
      </w:r>
      <w:r>
        <w:rPr>
          <w:rFonts w:ascii="宋体" w:hAnsi="宋体" w:hint="eastAsia"/>
          <w:bCs/>
          <w:szCs w:val="21"/>
          <w:highlight w:val="white"/>
          <w:lang w:eastAsia="zh-CN"/>
        </w:rPr>
        <w:t>、流动性风险，基金托管人不承担任何责任。如因基金管理人原因导致基金出现损失的，基金托管人不承担任何责任。</w:t>
      </w:r>
    </w:p>
    <w:p w:rsidR="008E1BAB">
      <w:pPr>
        <w:spacing w:line="360" w:lineRule="auto"/>
        <w:ind w:firstLine="420"/>
        <w:rPr>
          <w:rFonts w:ascii="宋体" w:hAnsi="宋体"/>
          <w:b/>
          <w:lang w:eastAsia="zh-CN"/>
        </w:rPr>
      </w:pPr>
      <w:bookmarkStart w:id="18" w:name="_Toc382819074"/>
      <w:r>
        <w:rPr>
          <w:rFonts w:ascii="宋体" w:hAnsi="宋体" w:hint="eastAsia"/>
          <w:highlight w:val="white"/>
          <w:lang w:eastAsia="zh-CN"/>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18"/>
    </w:p>
    <w:p w:rsidR="008E1BAB">
      <w:pPr>
        <w:spacing w:line="360" w:lineRule="auto"/>
        <w:ind w:firstLine="420"/>
        <w:rPr>
          <w:rFonts w:ascii="宋体" w:hAnsi="宋体"/>
          <w:b/>
          <w:lang w:eastAsia="zh-CN"/>
        </w:rPr>
      </w:pPr>
      <w:bookmarkStart w:id="19" w:name="_Toc382819075"/>
      <w:r>
        <w:rPr>
          <w:rFonts w:ascii="宋体" w:hAnsi="宋体" w:hint="eastAsia"/>
          <w:highlight w:val="white"/>
          <w:lang w:eastAsia="zh-CN"/>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9"/>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在限期内，基金托管人有权随时对通知事项进行复查，督促基金管理人改正。基金管理人对基金托管人通知的违规事项未能在限期内纠正的，基金托管人应报告中国证监会。</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对于必须于估值完成后方可获知的监控指标或依据交易程序已经成交的投资指令，基金托管人发现该投资指令违反法律法规或者违反《基金合同》约定的，应当立即通知基金管理人，并报告中国证监会。</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基金托管人发现基金管理人有重大违规行为，应立即报告中国证监会，同时通知基金管理人限期纠正。</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8E1BAB">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20" w:name="_Toc69134060"/>
      <w:r>
        <w:rPr>
          <w:rFonts w:ascii="宋体" w:eastAsia="宋体" w:hAnsi="宋体" w:cs="Arial" w:hint="eastAsia"/>
          <w:sz w:val="21"/>
          <w:szCs w:val="21"/>
          <w:highlight w:val="white"/>
          <w:lang w:eastAsia="zh-CN"/>
        </w:rPr>
        <w:t>基金管理人对基金托管人的业务核查</w:t>
      </w:r>
      <w:bookmarkEnd w:id="20"/>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对基金托管人履行托管职责情况进行核查，核查事项包括但不限于基金托管人是否安全保管基金财产、是否分别开设基金财产的资金账户和证券账户及投资所需其他账、是否复核基金管理人计算的基金资产净值和基金份额净值、是否根据基金管理人指令办理清算交收、进行相关信息披露和监督基金投资运作等行为。</w:t>
      </w:r>
    </w:p>
    <w:p w:rsidR="008E1BAB">
      <w:pPr>
        <w:spacing w:line="360" w:lineRule="auto"/>
        <w:ind w:firstLine="420"/>
        <w:rPr>
          <w:rFonts w:ascii="宋体" w:hAnsi="宋体"/>
          <w:szCs w:val="21"/>
          <w:lang w:eastAsia="zh-CN"/>
        </w:rPr>
      </w:pPr>
      <w:r>
        <w:rPr>
          <w:rFonts w:ascii="宋体" w:hAnsi="宋体"/>
          <w:szCs w:val="21"/>
          <w:highlight w:val="white"/>
          <w:lang w:eastAsia="zh-CN"/>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基金托管人应积极配合基金管理人的核查行为，包括但不限于：提交相关资料以供基金管理人核查托管财产的完整性和真实性，在规定时间内答复基金管理人并改正。</w:t>
      </w:r>
    </w:p>
    <w:p w:rsidR="008E1BAB">
      <w:pPr>
        <w:spacing w:line="360" w:lineRule="auto"/>
        <w:ind w:firstLine="420"/>
        <w:rPr>
          <w:rFonts w:ascii="宋体" w:hAnsi="宋体"/>
          <w:lang w:eastAsia="zh-CN"/>
        </w:rPr>
      </w:pPr>
      <w:bookmarkStart w:id="21" w:name="_Toc382818598"/>
      <w:bookmarkStart w:id="22" w:name="_Toc382819077"/>
      <w:r>
        <w:rPr>
          <w:rFonts w:ascii="宋体" w:hAnsi="宋体" w:hint="eastAsia"/>
          <w:highlight w:val="white"/>
          <w:lang w:eastAsia="zh-CN"/>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21"/>
      <w:bookmarkEnd w:id="22"/>
    </w:p>
    <w:p w:rsidR="008E1BAB">
      <w:pPr>
        <w:pStyle w:val="11"/>
        <w:keepNext w:val="0"/>
        <w:keepLines w:val="0"/>
        <w:numPr>
          <w:ilvl w:val="0"/>
          <w:numId w:val="2"/>
        </w:numPr>
        <w:tabs>
          <w:tab w:val="left" w:pos="420"/>
        </w:tabs>
        <w:spacing w:before="360" w:after="360"/>
        <w:rPr>
          <w:rFonts w:ascii="宋体" w:eastAsia="宋体" w:hAnsi="宋体" w:cs="Arial"/>
          <w:sz w:val="21"/>
          <w:szCs w:val="21"/>
        </w:rPr>
      </w:pPr>
      <w:bookmarkStart w:id="23" w:name="_Toc69134061"/>
      <w:r>
        <w:rPr>
          <w:rFonts w:ascii="宋体" w:eastAsia="宋体" w:hAnsi="宋体" w:cs="Arial" w:hint="eastAsia"/>
          <w:sz w:val="21"/>
          <w:szCs w:val="21"/>
          <w:highlight w:val="white"/>
        </w:rPr>
        <w:t>基金财产保管</w:t>
      </w:r>
      <w:bookmarkEnd w:id="23"/>
    </w:p>
    <w:p w:rsidR="008E1BAB">
      <w:pPr>
        <w:pStyle w:val="21"/>
        <w:keepNext w:val="0"/>
        <w:keepLines w:val="0"/>
        <w:spacing w:before="0" w:after="0" w:line="360" w:lineRule="auto"/>
        <w:ind w:firstLine="315"/>
        <w:rPr>
          <w:rFonts w:ascii="宋体" w:eastAsia="宋体" w:hAnsi="宋体"/>
          <w:b w:val="0"/>
          <w:bCs w:val="0"/>
          <w:sz w:val="21"/>
          <w:szCs w:val="21"/>
          <w:lang w:eastAsia="zh-CN"/>
        </w:rPr>
      </w:pPr>
      <w:bookmarkStart w:id="24" w:name="_Toc382819079"/>
      <w:bookmarkStart w:id="25" w:name="_Toc69134062"/>
      <w:r>
        <w:rPr>
          <w:rFonts w:ascii="宋体" w:eastAsia="宋体" w:hAnsi="宋体" w:hint="eastAsia"/>
          <w:b w:val="0"/>
          <w:bCs w:val="0"/>
          <w:sz w:val="21"/>
          <w:szCs w:val="21"/>
          <w:highlight w:val="white"/>
          <w:lang w:eastAsia="zh-CN"/>
        </w:rPr>
        <w:t>（一）基金财产保管的原则</w:t>
      </w:r>
      <w:bookmarkEnd w:id="24"/>
      <w:bookmarkEnd w:id="25"/>
    </w:p>
    <w:p w:rsidR="008E1BAB">
      <w:pPr>
        <w:spacing w:line="360" w:lineRule="auto"/>
        <w:ind w:firstLine="420"/>
        <w:rPr>
          <w:rFonts w:ascii="宋体" w:hAnsi="宋体"/>
          <w:szCs w:val="21"/>
          <w:lang w:eastAsia="zh-CN"/>
        </w:rPr>
      </w:pPr>
      <w:r>
        <w:rPr>
          <w:rFonts w:ascii="宋体" w:hAnsi="宋体" w:hint="eastAsia"/>
          <w:szCs w:val="21"/>
          <w:highlight w:val="white"/>
          <w:lang w:eastAsia="zh-CN"/>
        </w:rPr>
        <w:t>1.基金财产应独立于基金管理人、基金托管人的固有财产。</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2.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3.基金托管人按照规定为托管的基金财产开设资金账户和证券账户及投资所需其他账户。</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4.基金托管人对所托管的不同基金财产分别设置账户，与基金托管人的其他业务和其他基金的托管业务实行严格的分账管理，确保基金财产的完整与独立。</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5.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26" w:name="_Toc382819080"/>
      <w:bookmarkStart w:id="27" w:name="_Toc69134063"/>
      <w:r>
        <w:rPr>
          <w:rFonts w:ascii="宋体" w:eastAsia="宋体" w:hAnsi="宋体" w:hint="eastAsia"/>
          <w:b w:val="0"/>
          <w:bCs w:val="0"/>
          <w:sz w:val="21"/>
          <w:szCs w:val="21"/>
          <w:highlight w:val="white"/>
          <w:lang w:eastAsia="zh-CN"/>
        </w:rPr>
        <w:t>（二）募集资金的验证</w:t>
      </w:r>
      <w:bookmarkEnd w:id="26"/>
      <w:bookmarkEnd w:id="27"/>
    </w:p>
    <w:p w:rsidR="008E1BAB">
      <w:pPr>
        <w:spacing w:line="360" w:lineRule="auto"/>
        <w:ind w:firstLine="420"/>
        <w:rPr>
          <w:rFonts w:ascii="宋体" w:hAnsi="宋体"/>
          <w:szCs w:val="21"/>
          <w:lang w:eastAsia="zh-CN"/>
        </w:rPr>
      </w:pPr>
      <w:r>
        <w:rPr>
          <w:rFonts w:ascii="宋体" w:hAnsi="宋体"/>
          <w:szCs w:val="21"/>
          <w:highlight w:val="white"/>
          <w:lang w:eastAsia="zh-CN"/>
        </w:rPr>
        <w:t>募集期内认购资金划入认购专户。基金募集期满，募集的基金份额总额、基金募集金额、基金份额持有人人数符合《基金法》、《运作办法》等有关规定后，由基金管理人聘请符合《证券法》规定的会计师事务所进行验资，出具验资报告，出具的验资报告应由参加验资的2名以上（含2名）中国注册会计师签字方为有效。募集的属于本基金财产的全部资金应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rsidR="008E1BAB">
      <w:pPr>
        <w:spacing w:line="360" w:lineRule="auto"/>
        <w:ind w:firstLine="420"/>
        <w:rPr>
          <w:rFonts w:ascii="宋体" w:hAnsi="宋体" w:cs="Arial"/>
          <w:szCs w:val="21"/>
          <w:lang w:eastAsia="zh-CN"/>
        </w:rPr>
      </w:pPr>
      <w:r>
        <w:rPr>
          <w:rFonts w:ascii="宋体" w:hAnsi="宋体" w:cs="Arial" w:hint="eastAsia"/>
          <w:szCs w:val="21"/>
          <w:highlight w:val="white"/>
          <w:lang w:eastAsia="zh-CN"/>
        </w:rPr>
        <w:t>若基金募集期限届满，未能达到《基金合同》备案的条件，由基金管理人按规定办理退款事宜。</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28" w:name="_Toc69134064"/>
      <w:bookmarkStart w:id="29" w:name="_Toc382819081"/>
      <w:r>
        <w:rPr>
          <w:rFonts w:ascii="宋体" w:eastAsia="宋体" w:hAnsi="宋体" w:hint="eastAsia"/>
          <w:b w:val="0"/>
          <w:bCs w:val="0"/>
          <w:sz w:val="21"/>
          <w:szCs w:val="21"/>
          <w:highlight w:val="white"/>
          <w:lang w:eastAsia="zh-CN"/>
        </w:rPr>
        <w:t>（三）基金资产托管专户的开立和管理</w:t>
      </w:r>
      <w:bookmarkEnd w:id="28"/>
      <w:bookmarkEnd w:id="29"/>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托管人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刻制、保管和使用。</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资产托管专户的管理应符合《人民币银行结算账户管理办法》、《现金管理暂行条例》、《人民币利率管理规定》、《利率管理暂行规定》、《支付结算办法》以及银行业监督管理机构的其他有关规定。</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30" w:name="_Toc382819082"/>
      <w:bookmarkStart w:id="31" w:name="_Toc69134065"/>
      <w:r>
        <w:rPr>
          <w:rFonts w:ascii="宋体" w:eastAsia="宋体" w:hAnsi="宋体" w:hint="eastAsia"/>
          <w:b w:val="0"/>
          <w:bCs w:val="0"/>
          <w:sz w:val="21"/>
          <w:szCs w:val="21"/>
          <w:highlight w:val="white"/>
          <w:lang w:eastAsia="zh-CN"/>
        </w:rPr>
        <w:t>（四）基金证券账户与证券交易资金账户的开设和管理</w:t>
      </w:r>
      <w:bookmarkEnd w:id="30"/>
      <w:bookmarkEnd w:id="31"/>
    </w:p>
    <w:p w:rsidR="008E1BAB">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基金托管人以基金托管人和本基金联名的方式在中国证券登记结算有限公司开立专门的证券账户。</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证券账户的开立和原始开户材料的保管由基金托管人负责，账户资产的管理和运用由基金管理人负责。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32" w:name="_Toc69134066"/>
      <w:bookmarkStart w:id="33" w:name="_Toc382819083"/>
      <w:r>
        <w:rPr>
          <w:rFonts w:ascii="宋体" w:eastAsia="宋体" w:hAnsi="宋体" w:hint="eastAsia"/>
          <w:b w:val="0"/>
          <w:bCs w:val="0"/>
          <w:sz w:val="21"/>
          <w:szCs w:val="21"/>
          <w:highlight w:val="white"/>
          <w:lang w:eastAsia="zh-CN"/>
        </w:rPr>
        <w:t>（五）银行间市场债券托管和资金结算专户的开立和管理及市场准入备案</w:t>
      </w:r>
      <w:bookmarkEnd w:id="32"/>
      <w:bookmarkEnd w:id="33"/>
    </w:p>
    <w:p w:rsidR="008E1BAB">
      <w:pPr>
        <w:spacing w:line="360" w:lineRule="auto"/>
        <w:ind w:firstLine="420"/>
        <w:rPr>
          <w:rFonts w:ascii="宋体" w:hAnsi="宋体"/>
          <w:szCs w:val="21"/>
          <w:lang w:eastAsia="zh-CN"/>
        </w:rPr>
      </w:pPr>
      <w:bookmarkStart w:id="34" w:name="_Toc382819084"/>
      <w:r>
        <w:rPr>
          <w:rFonts w:ascii="宋体" w:hAnsi="宋体" w:hint="eastAsia"/>
          <w:szCs w:val="21"/>
          <w:highlight w:val="white"/>
          <w:lang w:eastAsia="zh-CN"/>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34"/>
    </w:p>
    <w:p w:rsidR="008E1BAB">
      <w:pPr>
        <w:pStyle w:val="21"/>
        <w:keepNext w:val="0"/>
        <w:keepLines w:val="0"/>
        <w:spacing w:before="0" w:after="0" w:line="360" w:lineRule="auto"/>
        <w:ind w:firstLine="420"/>
        <w:rPr>
          <w:rFonts w:ascii="宋体" w:eastAsia="宋体" w:hAnsi="宋体"/>
          <w:sz w:val="21"/>
          <w:szCs w:val="21"/>
          <w:lang w:eastAsia="zh-CN"/>
        </w:rPr>
      </w:pPr>
      <w:bookmarkStart w:id="35" w:name="_Toc69134067"/>
      <w:r>
        <w:rPr>
          <w:rFonts w:ascii="宋体" w:eastAsia="宋体" w:hAnsi="宋体" w:hint="eastAsia"/>
          <w:b w:val="0"/>
          <w:bCs w:val="0"/>
          <w:sz w:val="21"/>
          <w:szCs w:val="21"/>
          <w:highlight w:val="white"/>
          <w:lang w:eastAsia="zh-CN"/>
        </w:rPr>
        <w:t>（六）其他账户的开设和管理</w:t>
      </w:r>
      <w:bookmarkEnd w:id="35"/>
    </w:p>
    <w:p w:rsidR="008E1BAB">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1.因业务发展而需要开立的其它账户，可以根据《基金合同》或有关法律法规的规定，经基金管理人和基金托管人协商一致后，由基金托管人负责为基金开立。新账户按有关规则使用并管理。</w:t>
      </w:r>
    </w:p>
    <w:p w:rsidR="008E1BAB">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2.法律、法规等有关规定对相关账户的开立和管理另有规定的，从其规定办理。</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36" w:name="_Toc382819085"/>
      <w:bookmarkStart w:id="37" w:name="_Toc69134068"/>
      <w:r>
        <w:rPr>
          <w:rFonts w:ascii="宋体" w:eastAsia="宋体" w:hAnsi="宋体" w:hint="eastAsia"/>
          <w:b w:val="0"/>
          <w:bCs w:val="0"/>
          <w:sz w:val="21"/>
          <w:szCs w:val="21"/>
          <w:highlight w:val="white"/>
          <w:lang w:eastAsia="zh-CN"/>
        </w:rPr>
        <w:t>（七）基金投资银行存款账户的开立和管理</w:t>
      </w:r>
      <w:bookmarkEnd w:id="36"/>
      <w:bookmarkEnd w:id="37"/>
    </w:p>
    <w:p w:rsidR="008E1BAB">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基金投资银行定期存款，基金管理人与基金托管人应比照相关规定，就本基金投资银行存款业务签订书面协议。</w:t>
      </w:r>
    </w:p>
    <w:p w:rsidR="008E1BAB">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基金投资银行定期存款应由基金管理人与存款银行总行或其授权分行签订总体合作协议，并将资金存放于存款银行总行或其授权分行指定的分支机构。</w:t>
      </w:r>
    </w:p>
    <w:p w:rsidR="008E1BAB">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存款账户必须以基金名义开立，账户名称为基金名称，存款账户开户文件上加盖预留印鉴及基金管理人公章。</w:t>
      </w:r>
    </w:p>
    <w:p w:rsidR="008E1BAB">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本基金投资银行存款时，基金管理人应当与存款银行签订具体存款协议，明确存款的类型、期限、利率、金额、账号、对账方式、支取方式、账户管理等细则。</w:t>
      </w:r>
    </w:p>
    <w:p w:rsidR="008E1BAB">
      <w:pPr>
        <w:tabs>
          <w:tab w:val="left" w:pos="4680"/>
        </w:tabs>
        <w:spacing w:line="360" w:lineRule="auto"/>
        <w:ind w:firstLine="420"/>
        <w:rPr>
          <w:rFonts w:ascii="宋体" w:hAnsi="宋体"/>
          <w:szCs w:val="21"/>
          <w:lang w:eastAsia="zh-CN"/>
        </w:rPr>
      </w:pPr>
      <w:r>
        <w:rPr>
          <w:rFonts w:ascii="宋体" w:hAnsi="宋体" w:hint="eastAsia"/>
          <w:szCs w:val="21"/>
          <w:highlight w:val="white"/>
          <w:lang w:eastAsia="zh-CN"/>
        </w:rPr>
        <w:t>为防范特殊情况下的流动性风险，定期存款协议中应当约定提前支取条款。</w:t>
      </w:r>
    </w:p>
    <w:p w:rsidR="008E1BAB">
      <w:pPr>
        <w:tabs>
          <w:tab w:val="left" w:pos="4680"/>
        </w:tabs>
        <w:spacing w:line="360" w:lineRule="auto"/>
        <w:ind w:firstLine="420"/>
        <w:rPr>
          <w:rFonts w:ascii="宋体" w:hAnsi="宋体"/>
          <w:b/>
          <w:lang w:eastAsia="zh-CN"/>
        </w:rPr>
      </w:pPr>
      <w:bookmarkStart w:id="38" w:name="_Toc382819086"/>
      <w:r>
        <w:rPr>
          <w:rFonts w:ascii="宋体" w:hAnsi="宋体" w:hint="eastAsia"/>
          <w:highlight w:val="white"/>
          <w:lang w:eastAsia="zh-CN"/>
        </w:rPr>
        <w:t>基金所投资定期存款存续期间，基金管理人、基金托管人应当与存款银行建立定期对账机制，确保基金银行存款业务账目及核对的真实、准确。</w:t>
      </w:r>
      <w:bookmarkEnd w:id="38"/>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39" w:name="_Toc382819087"/>
      <w:bookmarkStart w:id="40" w:name="_Toc69134069"/>
      <w:r>
        <w:rPr>
          <w:rFonts w:ascii="宋体" w:eastAsia="宋体" w:hAnsi="宋体" w:hint="eastAsia"/>
          <w:b w:val="0"/>
          <w:bCs w:val="0"/>
          <w:sz w:val="21"/>
          <w:szCs w:val="21"/>
          <w:highlight w:val="white"/>
          <w:lang w:eastAsia="zh-CN"/>
        </w:rPr>
        <w:t>（八）基金财产投资的有关实物证券、银行定期存款存单等有价凭证的保管</w:t>
      </w:r>
      <w:bookmarkEnd w:id="39"/>
      <w:bookmarkEnd w:id="40"/>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财产投资的有关实物证券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41" w:name="_Toc69134070"/>
      <w:r>
        <w:rPr>
          <w:rFonts w:ascii="宋体" w:eastAsia="宋体" w:hAnsi="宋体" w:hint="eastAsia"/>
          <w:b w:val="0"/>
          <w:bCs w:val="0"/>
          <w:sz w:val="21"/>
          <w:szCs w:val="21"/>
          <w:highlight w:val="white"/>
          <w:lang w:eastAsia="zh-CN"/>
        </w:rPr>
        <w:t>（九）与基金财产有关的重大合同的保管</w:t>
      </w:r>
      <w:bookmarkEnd w:id="41"/>
    </w:p>
    <w:p w:rsidR="008E1BAB">
      <w:pPr>
        <w:spacing w:line="360" w:lineRule="auto"/>
        <w:ind w:firstLine="420"/>
        <w:rPr>
          <w:rFonts w:ascii="宋体" w:hAnsi="宋体"/>
          <w:szCs w:val="21"/>
          <w:lang w:eastAsia="zh-CN"/>
        </w:rPr>
      </w:pPr>
      <w:r>
        <w:rPr>
          <w:rFonts w:ascii="宋体" w:hAnsi="宋体" w:hint="eastAsia"/>
          <w:szCs w:val="21"/>
          <w:highlight w:val="white"/>
          <w:lang w:eastAsia="zh-CN"/>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20年以上。</w:t>
      </w:r>
    </w:p>
    <w:p w:rsidR="008E1BAB">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42" w:name="_Toc69134071"/>
      <w:bookmarkStart w:id="43" w:name="_Toc69134072"/>
      <w:bookmarkEnd w:id="42"/>
      <w:r>
        <w:rPr>
          <w:rFonts w:ascii="宋体" w:eastAsia="宋体" w:hAnsi="宋体" w:cs="Arial" w:hint="eastAsia"/>
          <w:sz w:val="21"/>
          <w:szCs w:val="21"/>
          <w:highlight w:val="white"/>
          <w:lang w:eastAsia="zh-CN"/>
        </w:rPr>
        <w:t>指令的发送、确认和执行</w:t>
      </w:r>
      <w:bookmarkEnd w:id="43"/>
    </w:p>
    <w:p w:rsidR="008E1BAB">
      <w:pPr>
        <w:spacing w:line="360" w:lineRule="auto"/>
        <w:ind w:firstLine="420"/>
        <w:rPr>
          <w:rFonts w:ascii="宋体" w:hAnsi="宋体"/>
          <w:b/>
          <w:lang w:eastAsia="zh-CN"/>
        </w:rPr>
      </w:pPr>
      <w:bookmarkStart w:id="44" w:name="_Toc382819089"/>
      <w:r>
        <w:rPr>
          <w:rFonts w:ascii="宋体" w:hAnsi="宋体" w:hint="eastAsia"/>
          <w:highlight w:val="white"/>
          <w:lang w:eastAsia="zh-CN"/>
        </w:rPr>
        <w:t>基金管理人在运用基金财产时向基金托管人发送资金划拨及其他款项付款指令，基金托管人执行基金管理人合法合规且符合本协议相关约定的指令、办理基金名下的资金往来等有关事项。</w:t>
      </w:r>
      <w:bookmarkEnd w:id="44"/>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45" w:name="_Toc382819090"/>
      <w:bookmarkStart w:id="46" w:name="_Toc69134073"/>
      <w:r>
        <w:rPr>
          <w:rFonts w:ascii="宋体" w:eastAsia="宋体" w:hAnsi="宋体" w:hint="eastAsia"/>
          <w:b w:val="0"/>
          <w:bCs w:val="0"/>
          <w:sz w:val="21"/>
          <w:szCs w:val="21"/>
          <w:highlight w:val="white"/>
          <w:lang w:eastAsia="zh-CN"/>
        </w:rPr>
        <w:t>（一）基金管理人对发送指令人员的书面授权</w:t>
      </w:r>
      <w:bookmarkEnd w:id="45"/>
      <w:bookmarkEnd w:id="46"/>
    </w:p>
    <w:p w:rsidR="008E1BAB">
      <w:pPr>
        <w:spacing w:line="360" w:lineRule="auto"/>
        <w:ind w:firstLine="420"/>
        <w:rPr>
          <w:rFonts w:ascii="宋体" w:hAnsi="宋体"/>
          <w:lang w:eastAsia="zh-CN"/>
        </w:rPr>
      </w:pPr>
      <w:bookmarkStart w:id="47" w:name="_Toc382819091"/>
      <w:bookmarkStart w:id="48" w:name="_Toc382818601"/>
      <w:r>
        <w:rPr>
          <w:rFonts w:ascii="宋体" w:hAnsi="宋体" w:hint="eastAsia"/>
          <w:highlight w:val="white"/>
          <w:lang w:eastAsia="zh-CN"/>
        </w:rPr>
        <w:t>基金管理人应向基金托管人提供预留印鉴和被授权人签字样本，事先书面通知（以下简称“授权通知”）基金托管人有权发</w:t>
      </w:r>
      <w:r>
        <w:rPr>
          <w:rFonts w:ascii="宋体" w:hAnsi="宋体"/>
          <w:highlight w:val="white"/>
          <w:lang w:eastAsia="zh-CN"/>
        </w:rPr>
        <w:t>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w:t>
      </w:r>
      <w:r>
        <w:rPr>
          <w:rFonts w:ascii="宋体" w:hAnsi="宋体" w:cs="宋体"/>
          <w:color w:val="000000"/>
          <w:highlight w:val="white"/>
          <w:lang w:eastAsia="zh-CN"/>
        </w:rPr>
        <w:t>基金管理人应保证其提供的划款指令授权书中被授权人个人信息已获得被授权人的同意。</w:t>
      </w:r>
      <w:r>
        <w:rPr>
          <w:rFonts w:ascii="宋体" w:hAnsi="宋体"/>
          <w:highlight w:val="white"/>
          <w:lang w:eastAsia="zh-CN"/>
        </w:rPr>
        <w:t>基金托管人在收到授权通知当日回函或回电向基金管理人确认。划款指令授权书无论产品成立时或后续更新，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w:t>
      </w:r>
      <w:r>
        <w:rPr>
          <w:rFonts w:ascii="宋体" w:hAnsi="宋体" w:hint="eastAsia"/>
          <w:highlight w:val="white"/>
          <w:lang w:eastAsia="zh-CN"/>
        </w:rPr>
        <w:t>基金托管人的，基金托管人有权拒绝执行该授权书对应的划款指令，基金托管人不承担由此造成的损失。基金管理人和基金托管人对授权文件负有保密义务，其内容不得向授权人及相关操作人员以外的任何人泄露</w:t>
      </w:r>
      <w:bookmarkEnd w:id="47"/>
      <w:bookmarkEnd w:id="48"/>
      <w:r>
        <w:rPr>
          <w:rFonts w:ascii="宋体" w:hAnsi="宋体" w:hint="eastAsia"/>
          <w:szCs w:val="21"/>
          <w:highlight w:val="white"/>
          <w:lang w:eastAsia="zh-CN"/>
        </w:rPr>
        <w:t>，</w:t>
      </w:r>
      <w:r>
        <w:rPr>
          <w:rFonts w:ascii="宋体" w:hAnsi="宋体" w:hint="eastAsia"/>
          <w:highlight w:val="white"/>
          <w:lang w:eastAsia="zh-CN"/>
        </w:rPr>
        <w:t>但法律法规或有权机关另有要求的除外。</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49" w:name="_Toc382819092"/>
      <w:bookmarkStart w:id="50" w:name="_Toc69134074"/>
      <w:r>
        <w:rPr>
          <w:rFonts w:ascii="宋体" w:eastAsia="宋体" w:hAnsi="宋体" w:hint="eastAsia"/>
          <w:b w:val="0"/>
          <w:bCs w:val="0"/>
          <w:sz w:val="21"/>
          <w:szCs w:val="21"/>
          <w:highlight w:val="white"/>
          <w:lang w:eastAsia="zh-CN"/>
        </w:rPr>
        <w:t>（二）指令的内容</w:t>
      </w:r>
      <w:bookmarkEnd w:id="49"/>
      <w:bookmarkEnd w:id="50"/>
    </w:p>
    <w:p w:rsidR="008E1BAB">
      <w:pPr>
        <w:spacing w:line="360" w:lineRule="auto"/>
        <w:ind w:firstLine="420"/>
        <w:rPr>
          <w:rFonts w:ascii="宋体" w:hAnsi="宋体"/>
          <w:szCs w:val="21"/>
          <w:lang w:eastAsia="zh-CN"/>
        </w:rPr>
      </w:pPr>
      <w:r>
        <w:rPr>
          <w:rFonts w:ascii="宋体" w:hAnsi="宋体" w:hint="eastAsia"/>
          <w:szCs w:val="21"/>
          <w:highlight w:val="white"/>
          <w:lang w:eastAsia="zh-CN"/>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2．基金管理人发给基金托管人的指令应写明付款账号、付款户名、开户行、收款账号、收款户名、开户行、款项事由、支付时间、到账时间、金额、账户等，加盖预留印鉴并有被授权人签字。</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51" w:name="_Toc382819093"/>
      <w:bookmarkStart w:id="52" w:name="_Toc69134075"/>
      <w:r>
        <w:rPr>
          <w:rFonts w:ascii="宋体" w:eastAsia="宋体" w:hAnsi="宋体" w:hint="eastAsia"/>
          <w:b w:val="0"/>
          <w:bCs w:val="0"/>
          <w:sz w:val="21"/>
          <w:szCs w:val="21"/>
          <w:highlight w:val="white"/>
          <w:lang w:eastAsia="zh-CN"/>
        </w:rPr>
        <w:t>（三）指令的发送、确认和执行的时间和程序</w:t>
      </w:r>
      <w:bookmarkEnd w:id="51"/>
      <w:bookmarkEnd w:id="52"/>
    </w:p>
    <w:p w:rsidR="008E1BAB">
      <w:pPr>
        <w:spacing w:line="360" w:lineRule="auto"/>
        <w:ind w:firstLine="420"/>
        <w:rPr>
          <w:rFonts w:ascii="宋体" w:hAnsi="宋体"/>
          <w:szCs w:val="21"/>
          <w:lang w:eastAsia="zh-CN"/>
        </w:rPr>
      </w:pPr>
      <w:r>
        <w:rPr>
          <w:rFonts w:ascii="宋体" w:hAnsi="宋体"/>
          <w:szCs w:val="21"/>
          <w:highlight w:val="white"/>
          <w:lang w:eastAsia="zh-CN"/>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一般划款指令（不含银行间指令、定期存款指令、非担保交收指令、新股、增发等申购指令）应在15点（指令截至时间）前提交基金托管人，如基金管理人要求当天某一时点到账，则指令需提前2个工作小时(工作时间9点至11点30分,13点至17点)提交基金托管人。</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新股申购指令，基金管理人须在申购前1个工作日向基金托管人发送指令，如需在申购当日下达指令，基金管理人应为基金托管人留出执行指令所必需的时间，指令最迟不得晚于上午11：00点（指令截至时间）提交基金托管人。</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如划款指令中给予基金托管人的划拨时间小于2个工作小时或晚于前述指令截至时间的，基金托管人应尽力在指定时间内完成资金划拨,但不承担因时间不足导致执行失败的责任。</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基金管理人原因造成的指令传输不及时、未能留出足够划款所需时间，致使资金未能及时到账所造成的损失不由基金托管人承担。</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基金管理人应将同业市场国债交易通知单加盖预留印鉴后传真给基金托管人。</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53" w:name="_Toc69134076"/>
      <w:bookmarkStart w:id="54" w:name="_Toc382819094"/>
      <w:r>
        <w:rPr>
          <w:rFonts w:ascii="宋体" w:eastAsia="宋体" w:hAnsi="宋体" w:hint="eastAsia"/>
          <w:b w:val="0"/>
          <w:bCs w:val="0"/>
          <w:sz w:val="21"/>
          <w:szCs w:val="21"/>
          <w:highlight w:val="white"/>
          <w:lang w:eastAsia="zh-CN"/>
        </w:rPr>
        <w:t>（四）基金管理人发送错误指令的情形和处理程序</w:t>
      </w:r>
      <w:bookmarkEnd w:id="53"/>
      <w:bookmarkEnd w:id="54"/>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基金管理人发送错误指令的情形包括但不限于指令发送人员无权或超越权限发送指令及交割信息错误，指令中重要信息模糊不清或不全,指令违反法律法规和《基金合同》及本协议约定等。</w:t>
      </w:r>
    </w:p>
    <w:p w:rsidR="008E1BAB">
      <w:pPr>
        <w:spacing w:line="360" w:lineRule="auto"/>
        <w:ind w:firstLine="420"/>
        <w:rPr>
          <w:rFonts w:ascii="宋体" w:hAnsi="宋体"/>
          <w:lang w:eastAsia="zh-CN"/>
        </w:rPr>
      </w:pPr>
      <w:r>
        <w:rPr>
          <w:rFonts w:ascii="宋体" w:hAnsi="宋体" w:hint="eastAsia"/>
          <w:szCs w:val="21"/>
          <w:highlight w:val="white"/>
          <w:lang w:eastAsia="zh-CN"/>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55" w:name="_Toc382819095"/>
      <w:bookmarkStart w:id="56" w:name="_Toc69134077"/>
      <w:r>
        <w:rPr>
          <w:rFonts w:ascii="宋体" w:eastAsia="宋体" w:hAnsi="宋体" w:hint="eastAsia"/>
          <w:b w:val="0"/>
          <w:bCs w:val="0"/>
          <w:sz w:val="21"/>
          <w:szCs w:val="21"/>
          <w:highlight w:val="white"/>
          <w:lang w:eastAsia="zh-CN"/>
        </w:rPr>
        <w:t>（五）基金托管人未按照基金管理人指令执行的处理方法</w:t>
      </w:r>
      <w:bookmarkEnd w:id="55"/>
      <w:bookmarkEnd w:id="56"/>
    </w:p>
    <w:p w:rsidR="008E1BAB">
      <w:pPr>
        <w:spacing w:line="360" w:lineRule="auto"/>
        <w:ind w:firstLine="420"/>
        <w:rPr>
          <w:rFonts w:ascii="宋体" w:hAnsi="宋体"/>
          <w:szCs w:val="21"/>
          <w:lang w:eastAsia="zh-CN"/>
        </w:rPr>
      </w:pPr>
      <w:r>
        <w:rPr>
          <w:rFonts w:ascii="宋体" w:hAnsi="宋体" w:hint="eastAsia"/>
          <w:szCs w:val="21"/>
          <w:highlight w:val="white"/>
          <w:lang w:eastAsia="zh-CN"/>
        </w:rPr>
        <w:t>除本协议另有约定外，基金托管人由于自身原因造成未按照或者未及时按照基金管理人发送的符合本协议约定的、按照正常交易程序已经生效的指令执行，给基金份额持有人造成损失的，应负责赔偿相应的损失。</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57" w:name="_Toc382819096"/>
      <w:bookmarkStart w:id="58" w:name="_Toc69134078"/>
      <w:r>
        <w:rPr>
          <w:rFonts w:ascii="宋体" w:eastAsia="宋体" w:hAnsi="宋体" w:hint="eastAsia"/>
          <w:b w:val="0"/>
          <w:bCs w:val="0"/>
          <w:sz w:val="21"/>
          <w:szCs w:val="21"/>
          <w:highlight w:val="white"/>
          <w:lang w:eastAsia="zh-CN"/>
        </w:rPr>
        <w:t>（六）更换被授权人的程序</w:t>
      </w:r>
      <w:bookmarkEnd w:id="57"/>
      <w:bookmarkEnd w:id="58"/>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回函书面传真基金管理人或通过电话向基金管理人确认。</w:t>
      </w:r>
      <w:r>
        <w:rPr>
          <w:rFonts w:ascii="宋体" w:hAnsi="宋体"/>
          <w:szCs w:val="21"/>
          <w:highlight w:val="white"/>
          <w:lang w:eastAsia="zh-CN"/>
        </w:rPr>
        <w:t>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任何形式的责任。基金托管人更换接受基金管理人指令的人员，应提前通过邮件、传真或录音电话等方式通知基金管理人。</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（七）其它事项</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基金管理人承担下达违法、违规或违反《基金合同》和本协议约定的指令所导致的责任。基金托管人对执行基金管理人的按照正常交易程序已经生效的指令对基金财产造成的损失不承担赔偿责任。</w:t>
      </w:r>
    </w:p>
    <w:p w:rsidR="008E1BAB">
      <w:pPr>
        <w:pStyle w:val="11"/>
        <w:keepNext w:val="0"/>
        <w:keepLines w:val="0"/>
        <w:numPr>
          <w:ilvl w:val="0"/>
          <w:numId w:val="2"/>
        </w:numPr>
        <w:tabs>
          <w:tab w:val="left" w:pos="420"/>
        </w:tabs>
        <w:spacing w:before="360" w:after="360"/>
        <w:rPr>
          <w:rFonts w:ascii="宋体" w:eastAsia="宋体" w:hAnsi="宋体"/>
          <w:sz w:val="21"/>
          <w:szCs w:val="21"/>
        </w:rPr>
      </w:pPr>
      <w:bookmarkStart w:id="59" w:name="_Toc69134079"/>
      <w:r>
        <w:rPr>
          <w:rFonts w:ascii="宋体" w:eastAsia="宋体" w:hAnsi="宋体" w:hint="eastAsia"/>
          <w:sz w:val="21"/>
          <w:szCs w:val="21"/>
          <w:highlight w:val="white"/>
        </w:rPr>
        <w:t>交易及清算交收安排</w:t>
      </w:r>
      <w:bookmarkEnd w:id="59"/>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60" w:name="_Toc382819098"/>
      <w:bookmarkStart w:id="61" w:name="_Toc69134080"/>
      <w:r>
        <w:rPr>
          <w:rFonts w:ascii="宋体" w:eastAsia="宋体" w:hAnsi="宋体" w:hint="eastAsia"/>
          <w:b w:val="0"/>
          <w:bCs w:val="0"/>
          <w:sz w:val="21"/>
          <w:szCs w:val="21"/>
          <w:highlight w:val="white"/>
          <w:lang w:eastAsia="zh-CN"/>
        </w:rPr>
        <w:t>（一）选择代理证券、期货买卖的证券、期货经营机构的标准和程序</w:t>
      </w:r>
      <w:bookmarkEnd w:id="60"/>
      <w:bookmarkEnd w:id="61"/>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基金管理人负责选择代理本基金证券买卖的证券经营机构。</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负责根据相关标准以及内部管理制度对有关证券经营机构进行考察后确定代理本基金证券、期货买卖证券经营机构，并承担相应责任。基金管理人和被选择的证券经营机构签订交易单元使用协议，由基金管理人通知基金托管人，并在法定信息披露公告中披露有关内容。</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62" w:name="_Toc69134081"/>
      <w:bookmarkStart w:id="63" w:name="_Toc382819099"/>
      <w:r>
        <w:rPr>
          <w:rFonts w:ascii="宋体" w:eastAsia="宋体" w:hAnsi="宋体" w:hint="eastAsia"/>
          <w:b w:val="0"/>
          <w:bCs w:val="0"/>
          <w:sz w:val="21"/>
          <w:szCs w:val="21"/>
          <w:highlight w:val="white"/>
          <w:lang w:eastAsia="zh-CN"/>
        </w:rPr>
        <w:t>（二）基金投资证券后的清算交收安排</w:t>
      </w:r>
      <w:bookmarkStart w:id="64" w:name="_Toc382819100"/>
      <w:bookmarkEnd w:id="62"/>
      <w:bookmarkEnd w:id="63"/>
    </w:p>
    <w:p w:rsidR="008E1BAB">
      <w:pPr>
        <w:spacing w:line="360" w:lineRule="auto"/>
        <w:ind w:firstLine="420"/>
        <w:rPr>
          <w:rFonts w:ascii="宋体" w:hAnsi="宋体"/>
          <w:b/>
          <w:lang w:eastAsia="zh-CN"/>
        </w:rPr>
      </w:pPr>
      <w:r>
        <w:rPr>
          <w:rFonts w:ascii="宋体" w:hAnsi="宋体" w:hint="eastAsia"/>
          <w:highlight w:val="white"/>
          <w:lang w:eastAsia="zh-CN"/>
        </w:rPr>
        <w:t>1．本基金投资于证券发生的所有场内、场外交易的资金清算交割，全部由基金托管人负责办理。</w:t>
      </w:r>
      <w:bookmarkStart w:id="65" w:name="_Toc382819101"/>
      <w:bookmarkEnd w:id="64"/>
    </w:p>
    <w:p w:rsidR="008E1BAB">
      <w:pPr>
        <w:spacing w:line="360" w:lineRule="auto"/>
        <w:ind w:firstLine="420"/>
        <w:rPr>
          <w:rFonts w:ascii="宋体" w:hAnsi="宋体"/>
          <w:b/>
          <w:lang w:eastAsia="zh-CN"/>
        </w:rPr>
      </w:pPr>
      <w:r>
        <w:rPr>
          <w:rFonts w:ascii="宋体" w:hAnsi="宋体"/>
          <w:highlight w:val="white"/>
          <w:lang w:eastAsia="zh-CN"/>
        </w:rPr>
        <w:t>2</w:t>
      </w:r>
      <w:r>
        <w:rPr>
          <w:rFonts w:ascii="宋体" w:hAnsi="宋体" w:hint="eastAsia"/>
          <w:highlight w:val="white"/>
          <w:lang w:eastAsia="zh-CN"/>
        </w:rPr>
        <w:t>．</w:t>
      </w:r>
      <w:r>
        <w:rPr>
          <w:rFonts w:ascii="宋体" w:hAnsi="宋体"/>
          <w:highlight w:val="white"/>
          <w:lang w:eastAsia="zh-CN"/>
        </w:rPr>
        <w:t>本基金投资于场内交易的投资品种前，基金管理人和基金托管人应当另行签署托管银行证券资金结算协议。</w:t>
      </w:r>
      <w:bookmarkEnd w:id="65"/>
    </w:p>
    <w:p w:rsidR="008E1BAB">
      <w:pPr>
        <w:spacing w:line="360" w:lineRule="auto"/>
        <w:ind w:firstLine="420"/>
        <w:rPr>
          <w:rFonts w:ascii="宋体" w:hAnsi="宋体"/>
          <w:szCs w:val="21"/>
          <w:lang w:eastAsia="zh-CN"/>
        </w:rPr>
      </w:pPr>
      <w:r>
        <w:rPr>
          <w:rFonts w:ascii="宋体" w:hAnsi="宋体" w:hint="eastAsia"/>
          <w:szCs w:val="21"/>
          <w:highlight w:val="white"/>
          <w:lang w:eastAsia="zh-CN"/>
        </w:rPr>
        <w:t>3．本基金投资于非担保交收的投资品种时，基金管理人应遵守基金托管人提前以告客户书形式提供的书面通知。</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4．银行间债券券款对付结算</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 xml:space="preserve">基金管理人应及时将银行间上清所、中债登划款指令和成交通知单按相关规定提交基金托管人，基金管理人应为基金托管人留出执行指令所必需的时间。  </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投资管理人应根据中债登、上清所提供的查询功能，实时跟踪交易结算情况、证券与资金到账与余额变动情况，便于监控结算过程，做好资金与交易匹配的前端控制。</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5．定期存款投资</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基金管理人与存款行签订的存款协议条款格式应在定期存款起息日的前一个工作日发送给基金托管人，</w:t>
      </w:r>
      <w:r>
        <w:rPr>
          <w:rFonts w:ascii="宋体" w:hAnsi="宋体" w:hint="eastAsia"/>
          <w:highlight w:val="white"/>
          <w:lang w:eastAsia="zh-CN"/>
        </w:rPr>
        <w:t>基金管理人应将</w:t>
      </w:r>
      <w:r>
        <w:rPr>
          <w:rFonts w:ascii="宋体" w:hAnsi="宋体" w:hint="eastAsia"/>
          <w:szCs w:val="21"/>
          <w:highlight w:val="white"/>
          <w:lang w:eastAsia="zh-CN"/>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 xml:space="preserve">基金管理人在发送投资指令时，应为基金托管人执行投资指令留出执行指令所必需的时间。投资指令传输不及时、未能留出足够的划款时间，导致资金未能及时到账所造成的损失由基金管理人承担。 </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存款银行无法在存入当日17点前向基金托管人送达存款证实书的，投资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投资管理人与存款银行签订的存款协议，应包括：</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（1）存款银行为托管资产办理定期存款业务的存款账户开立、资金存入和支取提供必要的支持和高效的结算服务；</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3）定期存款到期日当日或提前支取日当日，存款银行应派授权代理人前往基金托管人处提取“证实书”。“证实书”移交给存款行授权代理人之后，因“证实书”丢失、损毁而造成的一切损失由存款银行承担。</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存款银行应至少提前一个工作日向基金托管人提供对前述授权代理人办理相关事务的书面授权书。授权代理人提供上门服务时，应出示有效身份证或工作证。</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（4）存款银行应保证及时支付存款本金和利息，于支取当日将本息划付至本基金开立在基金托管人处的托管账户， 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（5）存款银行应为定期存款业务提供定期对账服务。首次对账应不晚于存款资金存入后的一个自然月。除首次对账外，对账频率不少于每半年一次。存款银行应配合基金托管人对“证实书”的书面征询。</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（6）在存款存续期内， “证实书”的预留印鉴发生变更的，存款银行应配合办理变更手续。</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6．本基金拟投资于期货交易市场前，基金管理人、期货经纪机构及基金托管人应当另行签署期货投资托管协议。</w:t>
      </w:r>
    </w:p>
    <w:p w:rsidR="008E1BAB">
      <w:pPr>
        <w:tabs>
          <w:tab w:val="left" w:pos="4680"/>
        </w:tabs>
        <w:spacing w:line="360" w:lineRule="auto"/>
        <w:ind w:firstLine="420"/>
        <w:jc w:val="left"/>
        <w:rPr>
          <w:rFonts w:ascii="宋体" w:hAnsi="宋体"/>
          <w:lang w:eastAsia="zh-CN"/>
        </w:rPr>
      </w:pPr>
      <w:bookmarkStart w:id="66" w:name="_Toc382819102"/>
      <w:bookmarkStart w:id="67" w:name="_Toc69134082"/>
      <w:r>
        <w:rPr>
          <w:rFonts w:ascii="宋体" w:hAnsi="宋体" w:hint="eastAsia"/>
          <w:highlight w:val="white"/>
          <w:lang w:eastAsia="zh-CN"/>
        </w:rPr>
        <w:t>（三）可用资金余额的确认</w:t>
      </w:r>
      <w:bookmarkEnd w:id="66"/>
      <w:bookmarkEnd w:id="67"/>
    </w:p>
    <w:p w:rsidR="008E1BAB">
      <w:pPr>
        <w:spacing w:line="360" w:lineRule="auto"/>
        <w:ind w:firstLine="420"/>
        <w:rPr>
          <w:rFonts w:ascii="宋体" w:hAnsi="宋体"/>
          <w:lang w:eastAsia="zh-CN"/>
        </w:rPr>
      </w:pPr>
      <w:r>
        <w:rPr>
          <w:rFonts w:ascii="宋体" w:hAnsi="宋体" w:hint="eastAsia"/>
          <w:szCs w:val="21"/>
          <w:highlight w:val="white"/>
          <w:lang w:eastAsia="zh-CN"/>
        </w:rPr>
        <w:t>基金托管人应于每个工作日上午9：30 前将托管账户的可用资金余额以双方认可的方式提供给基金管理人。</w:t>
      </w:r>
    </w:p>
    <w:p w:rsidR="008E1BAB">
      <w:pPr>
        <w:tabs>
          <w:tab w:val="left" w:pos="4680"/>
        </w:tabs>
        <w:spacing w:line="360" w:lineRule="auto"/>
        <w:ind w:firstLine="420"/>
        <w:jc w:val="left"/>
        <w:rPr>
          <w:rFonts w:ascii="宋体" w:hAnsi="宋体"/>
          <w:lang w:eastAsia="zh-CN"/>
        </w:rPr>
      </w:pPr>
      <w:r>
        <w:rPr>
          <w:rFonts w:ascii="宋体" w:hAnsi="宋体" w:hint="eastAsia"/>
          <w:highlight w:val="white"/>
          <w:lang w:eastAsia="zh-CN"/>
        </w:rPr>
        <w:t>（四）交易记录、资金、证券账目的核对</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1．交易记录的核对</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基金管理人和基金托管人按日进行交易记录的核对。每日对外披露净值之前，必须保证当天所有实际交易记录与基金会计账簿上的交易记录一致。</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2．资金账目的核对</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资金账目包括基金的银行存款等会计资料。资金账目由基金托管人每日进行账实核对，基金管理人复核基金托管人提供的可用头寸表核对资金余额。银行存款账户每日核对，做到账账相符、账实相符。</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3．证券账目的核对</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证券账目是指以基金名义开立的证券交易账户和实物托管账户中的证券种类、数量和金额。基金管理人和基金托管人每日核对证券账目余额。证券账目的账实核对由基金托管人负责，证券交易所证券账目每交易日结束后核对一次，银行间市场证券账目每月末核对一次，确保账实相符。</w:t>
      </w:r>
    </w:p>
    <w:p w:rsidR="008E1BAB">
      <w:pPr>
        <w:tabs>
          <w:tab w:val="left" w:pos="4680"/>
        </w:tabs>
        <w:spacing w:line="360" w:lineRule="auto"/>
        <w:ind w:firstLine="420"/>
        <w:jc w:val="left"/>
        <w:rPr>
          <w:rFonts w:ascii="宋体" w:hAnsi="宋体"/>
          <w:lang w:eastAsia="zh-CN"/>
        </w:rPr>
      </w:pPr>
      <w:r>
        <w:rPr>
          <w:rFonts w:ascii="宋体" w:hAnsi="宋体" w:hint="eastAsia"/>
          <w:highlight w:val="white"/>
          <w:lang w:eastAsia="zh-CN"/>
        </w:rPr>
        <w:t>（五）基金申购、赎回、转换业务处理的基本规定</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1．本基金具体办理申购、赎回的时间以公告为准。基金份额申购、赎回的确认、清算由基金管理人或其委托的登记机构负责。</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2．基金管理人应在每个交易日向基金托管人发送基金管理人确认的申购、赎回和转换开放式基金的有关数据，并对上述数据的真实、准确、完整性负责。基金托管人应及时查收应收资金的到账情况并根据基金管理人指令及时划付应付款项。基金管理人应保证本基金（或本基金管理人委托）的注册登记机构每个工作日15:00 前向基金托管人发送开放日的上述有关数据，并保证相关数据的准确、完整。</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4．基金管理人发送注册登记数据的接口规范与基金托管人接收注册登记数据的接口规范应保持一致。</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5．基金注册登记清算专用账户的开立和管理</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为满足申购、赎回等资金汇划的需要，基金管理人应开立用于基金申购、赎回等资金清算的基金注册登记清算专用账户。</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6．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基金托管人不承担任何责任。</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7．赎回资金的支付</w:t>
      </w:r>
    </w:p>
    <w:p w:rsidR="008E1BAB">
      <w:pPr>
        <w:tabs>
          <w:tab w:val="left" w:pos="4680"/>
        </w:tabs>
        <w:spacing w:line="360" w:lineRule="auto"/>
        <w:ind w:firstLine="420"/>
        <w:jc w:val="left"/>
        <w:rPr>
          <w:rFonts w:ascii="宋体" w:hAnsi="宋体"/>
          <w:szCs w:val="21"/>
          <w:lang w:eastAsia="zh-CN"/>
        </w:rPr>
      </w:pPr>
      <w:r>
        <w:rPr>
          <w:rFonts w:ascii="宋体" w:hAnsi="宋体"/>
          <w:szCs w:val="21"/>
          <w:highlight w:val="white"/>
          <w:lang w:eastAsia="zh-CN"/>
        </w:rPr>
        <w:t>基金托管人在根据基金管理人指令支付款项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8．资金支付执行和责任界定</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 xml:space="preserve"> 除申购款项到达基金托管人处的基金账户需双方按约定方式对账外，净额划出、赎回资金支付时，应按照本协议相关规定执行。若本协议没有规定的按双方协商一致内容执行。</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基金管理人和基金托管人应采取所有必要措施确保申购和赎回等资金在本协议相关规定的时间内划到指定账户。但由于基金管理人和基金托管人之外的第三方原因、不可抗</w:t>
      </w:r>
      <w:r>
        <w:rPr>
          <w:rFonts w:ascii="宋体" w:hAnsi="宋体" w:hint="eastAsia"/>
          <w:szCs w:val="21"/>
          <w:highlight w:val="white"/>
          <w:lang w:eastAsia="zh-CN"/>
        </w:rPr>
        <w:t>力原因导致资金不能按时到账的，基金管理人和基金托管人不承担由此产生的责任。如因此给基金造成损失的，基金管理人应负责向第三方追偿，基金托管人有义务协助追偿。</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9．暂停赎回和巨额赎回处理</w:t>
      </w:r>
      <w:bookmarkStart w:id="68" w:name="_GoBack"/>
      <w:bookmarkEnd w:id="68"/>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基金管理人应严格按照相关法律法规以及《基金合同》的规定，对暂停赎回的情形进行相应处理。基金管理人应严格按照相关法律法规以及《基金合同》的规定，对巨额赎回的情形进行相应处理。</w:t>
      </w:r>
    </w:p>
    <w:p w:rsidR="008E1BAB">
      <w:pPr>
        <w:tabs>
          <w:tab w:val="left" w:pos="4680"/>
        </w:tabs>
        <w:spacing w:line="360" w:lineRule="auto"/>
        <w:ind w:firstLine="420"/>
        <w:jc w:val="left"/>
        <w:rPr>
          <w:rFonts w:ascii="宋体" w:hAnsi="宋体"/>
          <w:lang w:eastAsia="zh-CN"/>
        </w:rPr>
      </w:pPr>
      <w:r>
        <w:rPr>
          <w:rFonts w:ascii="宋体" w:hAnsi="宋体" w:hint="eastAsia"/>
          <w:highlight w:val="white"/>
          <w:lang w:eastAsia="zh-CN"/>
        </w:rPr>
        <w:t>（六）申购赎回资金结算</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基金管理人负责根据T日投资人申购、赎回基金的确认数据汇总传输给基金托管人。基金管理人和基金托管人据此进行申购的基金会计处理。</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交收日及时从基金清算账户划</w:t>
      </w:r>
      <w:r>
        <w:rPr>
          <w:rFonts w:ascii="宋体" w:hAnsi="宋体"/>
          <w:szCs w:val="21"/>
          <w:highlight w:val="white"/>
          <w:lang w:eastAsia="zh-CN"/>
        </w:rPr>
        <w:t>往</w:t>
      </w:r>
      <w:r>
        <w:rPr>
          <w:rFonts w:ascii="宋体" w:hAnsi="宋体" w:hint="eastAsia"/>
          <w:szCs w:val="21"/>
          <w:highlight w:val="white"/>
          <w:lang w:eastAsia="zh-CN"/>
        </w:rPr>
        <w:t>基金托管账户，基金托管人在资金到账后应立即通知基金管理人，并将有关书面凭证传真给基金管理人进行账务管理；如存在托管账户净应付额时，基金管理人应及时将划款指令发送给基金托管人，基金托管人按基金管理人的划款指令将托管账户净应付额在交收日及时划往基金清算账户，基金托管人在资金划出后立即通知基金管理人，并将有关书面凭证交给基金管理人进行账务管理。</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rsidR="008E1BAB">
      <w:pPr>
        <w:tabs>
          <w:tab w:val="left" w:pos="4680"/>
        </w:tabs>
        <w:spacing w:line="360" w:lineRule="auto"/>
        <w:ind w:firstLine="420"/>
        <w:jc w:val="left"/>
        <w:rPr>
          <w:rFonts w:ascii="宋体" w:hAnsi="宋体"/>
          <w:lang w:eastAsia="zh-CN"/>
        </w:rPr>
      </w:pPr>
      <w:r>
        <w:rPr>
          <w:rFonts w:ascii="宋体" w:hAnsi="宋体" w:hint="eastAsia"/>
          <w:highlight w:val="white"/>
          <w:lang w:eastAsia="zh-CN"/>
        </w:rPr>
        <w:t>（七）基金转换</w:t>
      </w:r>
    </w:p>
    <w:p w:rsidR="008E1BAB">
      <w:pPr>
        <w:tabs>
          <w:tab w:val="left" w:pos="4680"/>
        </w:tabs>
        <w:spacing w:line="360" w:lineRule="auto"/>
        <w:ind w:firstLine="420"/>
        <w:jc w:val="left"/>
        <w:rPr>
          <w:rFonts w:ascii="宋体" w:hAnsi="宋体"/>
          <w:szCs w:val="21"/>
          <w:lang w:eastAsia="zh-CN"/>
        </w:rPr>
      </w:pPr>
      <w:r>
        <w:rPr>
          <w:rFonts w:ascii="宋体" w:hAnsi="宋体" w:hint="eastAsia"/>
          <w:szCs w:val="21"/>
          <w:highlight w:val="white"/>
          <w:lang w:eastAsia="zh-CN"/>
        </w:rPr>
        <w:t>基金管理人与基金托管人按照相关法律法规、《基金合同》、以及本协议的规定办理基金转换。</w:t>
      </w:r>
    </w:p>
    <w:p w:rsidR="008E1BAB">
      <w:pPr>
        <w:spacing w:line="360" w:lineRule="auto"/>
        <w:ind w:firstLine="420"/>
        <w:rPr>
          <w:rFonts w:ascii="宋体" w:hAnsi="宋体"/>
          <w:szCs w:val="21"/>
          <w:lang w:eastAsia="zh-CN"/>
        </w:rPr>
      </w:pPr>
      <w:r>
        <w:rPr>
          <w:rFonts w:ascii="宋体" w:hAnsi="宋体" w:hint="eastAsia"/>
          <w:bCs/>
          <w:szCs w:val="21"/>
          <w:highlight w:val="white"/>
          <w:lang w:eastAsia="zh-CN"/>
        </w:rPr>
        <w:t>（八）</w:t>
      </w:r>
      <w:r>
        <w:rPr>
          <w:rFonts w:ascii="宋体" w:hAnsi="宋体" w:hint="eastAsia"/>
          <w:szCs w:val="21"/>
          <w:highlight w:val="white"/>
          <w:lang w:eastAsia="zh-CN"/>
        </w:rPr>
        <w:t>基金出现超买或超卖的责任认定及处理程序</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T+1日上午12时之前划拨资金，用以完成清算交收。</w:t>
      </w:r>
    </w:p>
    <w:p w:rsidR="008E1BAB">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69" w:name="_Toc69134083"/>
      <w:r>
        <w:rPr>
          <w:rFonts w:ascii="宋体" w:eastAsia="宋体" w:hAnsi="宋体" w:cs="Arial" w:hint="eastAsia"/>
          <w:sz w:val="21"/>
          <w:szCs w:val="21"/>
          <w:highlight w:val="white"/>
          <w:lang w:eastAsia="zh-CN"/>
        </w:rPr>
        <w:t>基金资产净值计算和会计核算</w:t>
      </w:r>
      <w:bookmarkEnd w:id="69"/>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70" w:name="_Toc382819104"/>
      <w:bookmarkStart w:id="71" w:name="_Toc69134084"/>
      <w:r>
        <w:rPr>
          <w:rFonts w:ascii="宋体" w:eastAsia="宋体" w:hAnsi="宋体" w:hint="eastAsia"/>
          <w:b w:val="0"/>
          <w:bCs w:val="0"/>
          <w:sz w:val="21"/>
          <w:szCs w:val="21"/>
          <w:highlight w:val="white"/>
          <w:lang w:eastAsia="zh-CN"/>
        </w:rPr>
        <w:t>（一）基金资产净值的计算</w:t>
      </w:r>
      <w:r>
        <w:rPr>
          <w:rFonts w:ascii="宋体" w:eastAsia="宋体" w:hAnsi="宋体" w:hint="eastAsia"/>
          <w:sz w:val="21"/>
          <w:szCs w:val="21"/>
          <w:highlight w:val="white"/>
          <w:lang w:eastAsia="zh-CN"/>
        </w:rPr>
        <w:t>、</w:t>
      </w:r>
      <w:r>
        <w:rPr>
          <w:rFonts w:ascii="宋体" w:eastAsia="宋体" w:hAnsi="宋体" w:hint="eastAsia"/>
          <w:b w:val="0"/>
          <w:bCs w:val="0"/>
          <w:sz w:val="21"/>
          <w:szCs w:val="21"/>
          <w:highlight w:val="white"/>
          <w:lang w:eastAsia="zh-CN"/>
        </w:rPr>
        <w:t>复核的时间和程序</w:t>
      </w:r>
      <w:bookmarkEnd w:id="70"/>
      <w:bookmarkEnd w:id="71"/>
    </w:p>
    <w:p w:rsidR="008E1BAB">
      <w:pPr>
        <w:spacing w:line="360" w:lineRule="auto"/>
        <w:ind w:right="28" w:firstLine="420"/>
        <w:rPr>
          <w:rFonts w:ascii="宋体" w:hAnsi="宋体"/>
          <w:szCs w:val="21"/>
          <w:lang w:eastAsia="zh-CN"/>
        </w:rPr>
      </w:pPr>
      <w:r>
        <w:rPr>
          <w:rFonts w:ascii="宋体" w:hAnsi="宋体" w:hint="eastAsia"/>
          <w:szCs w:val="21"/>
          <w:highlight w:val="white"/>
          <w:lang w:eastAsia="zh-CN"/>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8E1BAB">
      <w:pPr>
        <w:spacing w:line="360" w:lineRule="auto"/>
        <w:ind w:right="28" w:firstLine="420"/>
        <w:rPr>
          <w:rFonts w:ascii="宋体" w:hAnsi="宋体"/>
          <w:szCs w:val="21"/>
          <w:lang w:eastAsia="zh-CN"/>
        </w:rPr>
      </w:pPr>
      <w:r>
        <w:rPr>
          <w:rFonts w:ascii="宋体" w:hAnsi="宋体" w:hint="eastAsia"/>
          <w:szCs w:val="21"/>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每个估值日，基金管理人应对基金资产估值。但基金管理人根据法律法规或基金合同的规定暂停估值时除外。估值原则应符合《基金合同》、《证券投资基金会计核算业务指引》及其他法律、法规的规定</w:t>
      </w:r>
      <w:r>
        <w:rPr>
          <w:rFonts w:ascii="宋体" w:hAnsi="宋体" w:hint="eastAsia"/>
          <w:color w:val="000000"/>
          <w:szCs w:val="21"/>
          <w:highlight w:val="white"/>
          <w:lang w:eastAsia="zh-CN"/>
        </w:rPr>
        <w:t>。</w:t>
      </w:r>
      <w:r>
        <w:rPr>
          <w:rFonts w:ascii="宋体" w:hAnsi="宋体" w:cs="宋体" w:hint="eastAsia"/>
          <w:color w:val="000000"/>
          <w:szCs w:val="21"/>
          <w:highlight w:val="white"/>
          <w:lang w:eastAsia="zh-CN"/>
        </w:rPr>
        <w:t>基金管理人应于每个估值日交易结束后计算当日的基金份额净值和基金资产净值并以双方认可的方式发送给基金托管人。基金托管人对净值计算结果复核后以双方认可的方式发送给基金管理人，由基金管理人按规定对外公布。</w:t>
      </w:r>
    </w:p>
    <w:p w:rsidR="008E1BAB">
      <w:pPr>
        <w:tabs>
          <w:tab w:val="left" w:pos="900"/>
        </w:tabs>
        <w:spacing w:line="360" w:lineRule="auto"/>
        <w:ind w:right="28" w:firstLine="420"/>
        <w:rPr>
          <w:rFonts w:ascii="宋体" w:hAnsi="宋体"/>
          <w:szCs w:val="21"/>
          <w:lang w:eastAsia="zh-CN"/>
        </w:rPr>
      </w:pPr>
      <w:r>
        <w:rPr>
          <w:rFonts w:ascii="宋体" w:hAnsi="宋体" w:hint="eastAsia"/>
          <w:szCs w:val="21"/>
          <w:highlight w:val="white"/>
          <w:lang w:eastAsia="zh-CN"/>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72" w:name="_Toc382819105"/>
      <w:bookmarkStart w:id="73" w:name="_Toc69134085"/>
      <w:r>
        <w:rPr>
          <w:rFonts w:ascii="宋体" w:eastAsia="宋体" w:hAnsi="宋体" w:hint="eastAsia"/>
          <w:b w:val="0"/>
          <w:bCs w:val="0"/>
          <w:sz w:val="21"/>
          <w:szCs w:val="21"/>
          <w:highlight w:val="white"/>
          <w:lang w:eastAsia="zh-CN"/>
        </w:rPr>
        <w:t>（二）基金资产估值</w:t>
      </w:r>
      <w:bookmarkEnd w:id="72"/>
      <w:bookmarkEnd w:id="73"/>
    </w:p>
    <w:p w:rsidR="008E1BAB">
      <w:pPr>
        <w:spacing w:line="360" w:lineRule="auto"/>
        <w:ind w:right="28" w:firstLine="420"/>
        <w:rPr>
          <w:rFonts w:ascii="宋体" w:hAnsi="宋体"/>
          <w:szCs w:val="21"/>
          <w:lang w:eastAsia="zh-CN"/>
        </w:rPr>
      </w:pPr>
      <w:r>
        <w:rPr>
          <w:rFonts w:ascii="宋体" w:hAnsi="宋体" w:hint="eastAsia"/>
          <w:szCs w:val="21"/>
          <w:highlight w:val="white"/>
          <w:lang w:eastAsia="zh-CN"/>
        </w:rPr>
        <w:t>估值原则应符合《基金合同》、《证券投资基金会计核算业务指引》及其他法律法规的规定的约定。</w:t>
      </w:r>
    </w:p>
    <w:p w:rsidR="008E1BAB">
      <w:pPr>
        <w:spacing w:line="360" w:lineRule="auto"/>
        <w:ind w:right="28" w:firstLine="420"/>
        <w:rPr>
          <w:rFonts w:ascii="宋体" w:hAnsi="宋体"/>
          <w:szCs w:val="21"/>
          <w:lang w:eastAsia="zh-CN"/>
        </w:rPr>
      </w:pPr>
      <w:r>
        <w:rPr>
          <w:rFonts w:ascii="宋体" w:hAnsi="宋体" w:hint="eastAsia"/>
          <w:szCs w:val="21"/>
          <w:highlight w:val="white"/>
          <w:lang w:eastAsia="zh-CN"/>
        </w:rPr>
        <w:t>当相关法律法规或《基金合同》规定的估值方法不能客观反映基金财产公允价值时，基金管理人可根据具体情况，并与基金托管人商定后，按最能反映公允价值的价格估值。</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74" w:name="_Toc382819106"/>
      <w:bookmarkStart w:id="75" w:name="_Toc69134086"/>
      <w:r>
        <w:rPr>
          <w:rFonts w:ascii="宋体" w:eastAsia="宋体" w:hAnsi="宋体" w:hint="eastAsia"/>
          <w:b w:val="0"/>
          <w:bCs w:val="0"/>
          <w:sz w:val="21"/>
          <w:szCs w:val="21"/>
          <w:highlight w:val="white"/>
          <w:lang w:eastAsia="zh-CN"/>
        </w:rPr>
        <w:t>（三）估值错误处理</w:t>
      </w:r>
      <w:bookmarkEnd w:id="74"/>
      <w:bookmarkEnd w:id="75"/>
    </w:p>
    <w:p w:rsidR="008E1BAB">
      <w:pPr>
        <w:spacing w:line="360" w:lineRule="auto"/>
        <w:ind w:firstLine="420"/>
        <w:rPr>
          <w:rFonts w:ascii="宋体" w:hAnsi="宋体"/>
          <w:b/>
          <w:lang w:eastAsia="zh-CN"/>
        </w:rPr>
      </w:pPr>
      <w:bookmarkStart w:id="76" w:name="_Toc382819107"/>
      <w:r>
        <w:rPr>
          <w:rFonts w:ascii="宋体" w:hAnsi="宋体" w:hint="eastAsia"/>
          <w:highlight w:val="white"/>
          <w:lang w:eastAsia="zh-CN"/>
        </w:rPr>
        <w:t>1.当基金份额净值小数点后</w:t>
      </w:r>
      <w:r>
        <w:rPr>
          <w:rFonts w:ascii="宋体" w:hAnsi="宋体"/>
          <w:highlight w:val="white"/>
          <w:lang w:eastAsia="zh-CN"/>
        </w:rPr>
        <w:t>4</w:t>
      </w:r>
      <w:r>
        <w:rPr>
          <w:rFonts w:ascii="宋体" w:hAnsi="宋体" w:hint="eastAsia"/>
          <w:highlight w:val="white"/>
          <w:lang w:eastAsia="zh-CN"/>
        </w:rPr>
        <w:t>位以内</w:t>
      </w:r>
      <w:r>
        <w:rPr>
          <w:rFonts w:ascii="宋体" w:hAnsi="宋体"/>
          <w:highlight w:val="white"/>
          <w:lang w:eastAsia="zh-CN"/>
        </w:rPr>
        <w:t>(</w:t>
      </w:r>
      <w:r>
        <w:rPr>
          <w:rFonts w:ascii="宋体" w:hAnsi="宋体" w:hint="eastAsia"/>
          <w:highlight w:val="white"/>
          <w:lang w:eastAsia="zh-CN"/>
        </w:rPr>
        <w:t>含第</w:t>
      </w:r>
      <w:r>
        <w:rPr>
          <w:rFonts w:ascii="宋体" w:hAnsi="宋体"/>
          <w:highlight w:val="white"/>
          <w:lang w:eastAsia="zh-CN"/>
        </w:rPr>
        <w:t>4</w:t>
      </w:r>
      <w:r>
        <w:rPr>
          <w:rFonts w:ascii="宋体" w:hAnsi="宋体" w:hint="eastAsia"/>
          <w:highlight w:val="white"/>
          <w:lang w:eastAsia="zh-CN"/>
        </w:rPr>
        <w:t>位</w:t>
      </w:r>
      <w:r>
        <w:rPr>
          <w:rFonts w:ascii="宋体" w:hAnsi="宋体"/>
          <w:highlight w:val="white"/>
          <w:lang w:eastAsia="zh-CN"/>
        </w:rPr>
        <w:t>)</w:t>
      </w:r>
      <w:r>
        <w:rPr>
          <w:rFonts w:ascii="宋体" w:hAnsi="宋体" w:hint="eastAsia"/>
          <w:highlight w:val="white"/>
          <w:lang w:eastAsia="zh-CN"/>
        </w:rPr>
        <w:t>发生差错时，视为基金份额净值错误；基金份额净值出现错误时，基金管理人应当立即予以纠正，通报基金托管人，并采取合理的措施防止损失进一步扩大；错误偏差达到基金份额净值的</w:t>
      </w:r>
      <w:r>
        <w:rPr>
          <w:rFonts w:ascii="宋体" w:hAnsi="宋体"/>
          <w:highlight w:val="white"/>
          <w:lang w:eastAsia="zh-CN"/>
        </w:rPr>
        <w:t>0.25%</w:t>
      </w:r>
      <w:r>
        <w:rPr>
          <w:rFonts w:ascii="宋体" w:hAnsi="宋体" w:hint="eastAsia"/>
          <w:highlight w:val="white"/>
          <w:lang w:eastAsia="zh-CN"/>
        </w:rPr>
        <w:t>时，基金管理人应当通报基金托管人并报中国证监会备案；错误偏差达到基金份额净值的</w:t>
      </w:r>
      <w:r>
        <w:rPr>
          <w:rFonts w:ascii="宋体" w:hAnsi="宋体"/>
          <w:highlight w:val="white"/>
          <w:lang w:eastAsia="zh-CN"/>
        </w:rPr>
        <w:t>0.5%</w:t>
      </w:r>
      <w:r>
        <w:rPr>
          <w:rFonts w:ascii="宋体" w:hAnsi="宋体" w:hint="eastAsia"/>
          <w:highlight w:val="white"/>
          <w:lang w:eastAsia="zh-CN"/>
        </w:rPr>
        <w:t>时，</w:t>
      </w:r>
      <w:r>
        <w:rPr>
          <w:rFonts w:ascii="宋体" w:hAnsi="宋体" w:hint="eastAsia"/>
          <w:szCs w:val="21"/>
          <w:highlight w:val="white"/>
          <w:lang w:eastAsia="zh-CN"/>
        </w:rPr>
        <w:t>基金管理人应当公告并报中国证监会备案</w:t>
      </w:r>
      <w:r>
        <w:rPr>
          <w:rFonts w:ascii="宋体" w:hAnsi="宋体" w:hint="eastAsia"/>
          <w:highlight w:val="white"/>
          <w:lang w:eastAsia="zh-CN"/>
        </w:rPr>
        <w:t>；当发生净值计算错误时，由基金管理人负责处理，由此给基金份额持有人和基金造成损失的，基金管理人按差错情形，有权向其他当事人追偿。</w:t>
      </w:r>
      <w:bookmarkEnd w:id="76"/>
    </w:p>
    <w:p w:rsidR="008E1BAB">
      <w:pPr>
        <w:spacing w:line="360" w:lineRule="auto"/>
        <w:ind w:firstLine="420"/>
        <w:rPr>
          <w:rFonts w:ascii="宋体" w:hAnsi="宋体"/>
          <w:b/>
          <w:lang w:eastAsia="zh-CN"/>
        </w:rPr>
      </w:pPr>
      <w:bookmarkStart w:id="77" w:name="_Toc382819108"/>
      <w:r>
        <w:rPr>
          <w:rFonts w:ascii="宋体" w:hAnsi="宋体"/>
          <w:highlight w:val="white"/>
          <w:lang w:eastAsia="zh-CN"/>
        </w:rPr>
        <w:t>2.</w:t>
      </w:r>
      <w:r>
        <w:rPr>
          <w:rFonts w:ascii="宋体" w:hAnsi="宋体" w:hint="eastAsia"/>
          <w:highlight w:val="white"/>
          <w:lang w:eastAsia="zh-CN"/>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77"/>
    </w:p>
    <w:p w:rsidR="008E1BAB">
      <w:pPr>
        <w:spacing w:line="360" w:lineRule="auto"/>
        <w:ind w:firstLine="420"/>
        <w:rPr>
          <w:rFonts w:ascii="宋体" w:hAnsi="宋体"/>
          <w:b/>
          <w:lang w:eastAsia="zh-CN"/>
        </w:rPr>
      </w:pPr>
      <w:bookmarkStart w:id="78" w:name="_Toc382819109"/>
      <w:r>
        <w:rPr>
          <w:rFonts w:ascii="宋体" w:hAnsi="宋体" w:hint="eastAsia"/>
          <w:highlight w:val="white"/>
          <w:lang w:eastAsia="zh-CN"/>
        </w:rPr>
        <w:t>（</w:t>
      </w:r>
      <w:r>
        <w:rPr>
          <w:rFonts w:ascii="宋体" w:hAnsi="宋体"/>
          <w:highlight w:val="white"/>
          <w:lang w:eastAsia="zh-CN"/>
        </w:rPr>
        <w:t>1</w:t>
      </w:r>
      <w:r>
        <w:rPr>
          <w:rFonts w:ascii="宋体" w:hAnsi="宋体" w:hint="eastAsia"/>
          <w:highlight w:val="white"/>
          <w:lang w:eastAsia="zh-CN"/>
        </w:rPr>
        <w:t>）本基金的基金会计责任方由基金管理人担任，与本基金有关的会计问题，如经双方在平等基础上充分讨论后，尚不能达成一致时，按基金管理人的建议执行，</w:t>
      </w:r>
      <w:r>
        <w:rPr>
          <w:rFonts w:ascii="宋体" w:hAnsi="宋体" w:hint="eastAsia"/>
          <w:szCs w:val="21"/>
          <w:highlight w:val="white"/>
          <w:lang w:eastAsia="zh-CN"/>
        </w:rPr>
        <w:t>若基金托管人已提出合理意见而基金管理人未采纳的，</w:t>
      </w:r>
      <w:r>
        <w:rPr>
          <w:rFonts w:ascii="宋体" w:hAnsi="宋体" w:hint="eastAsia"/>
          <w:highlight w:val="white"/>
          <w:lang w:eastAsia="zh-CN"/>
        </w:rPr>
        <w:t>由此给基金份额持有人和基金财产造成的直接损失，由基金管理人负责赔付。（</w:t>
      </w:r>
      <w:r>
        <w:rPr>
          <w:rFonts w:ascii="宋体" w:hAnsi="宋体"/>
          <w:highlight w:val="white"/>
          <w:lang w:eastAsia="zh-CN"/>
        </w:rPr>
        <w:t>2</w:t>
      </w:r>
      <w:r>
        <w:rPr>
          <w:rFonts w:ascii="宋体" w:hAnsi="宋体" w:hint="eastAsia"/>
          <w:highlight w:val="white"/>
          <w:lang w:eastAsia="zh-CN"/>
        </w:rPr>
        <w:t>）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r>
        <w:rPr>
          <w:rFonts w:ascii="宋体" w:hAnsi="宋体"/>
          <w:highlight w:val="white"/>
          <w:lang w:eastAsia="zh-CN"/>
        </w:rPr>
        <w:t>3</w:t>
      </w:r>
      <w:r>
        <w:rPr>
          <w:rFonts w:ascii="宋体" w:hAnsi="宋体" w:hint="eastAsia"/>
          <w:highlight w:val="white"/>
          <w:lang w:eastAsia="zh-CN"/>
        </w:rPr>
        <w:t>）如基金管理人和基金托管人对基金份额净值的计算结果，虽然多次重新计算和核对，尚不能达成一致时，为避免不能按时公布基金份额净值的情形，以基金管理人的计算结果对外公布，</w:t>
      </w:r>
      <w:r>
        <w:rPr>
          <w:rFonts w:ascii="宋体" w:hAnsi="宋体" w:hint="eastAsia"/>
          <w:szCs w:val="21"/>
          <w:highlight w:val="white"/>
          <w:lang w:eastAsia="zh-CN"/>
        </w:rPr>
        <w:t>若基金托管人已提出合理意见而基金管理人未采纳的，</w:t>
      </w:r>
      <w:r>
        <w:rPr>
          <w:rFonts w:ascii="宋体" w:hAnsi="宋体" w:hint="eastAsia"/>
          <w:highlight w:val="white"/>
          <w:lang w:eastAsia="zh-CN"/>
        </w:rPr>
        <w:t>由此给基金份额持有人和基金造成的直接损失，由基金管理人负责赔付。（</w:t>
      </w:r>
      <w:r>
        <w:rPr>
          <w:rFonts w:ascii="宋体" w:hAnsi="宋体"/>
          <w:highlight w:val="white"/>
          <w:lang w:eastAsia="zh-CN"/>
        </w:rPr>
        <w:t>4</w:t>
      </w:r>
      <w:r>
        <w:rPr>
          <w:rFonts w:ascii="宋体" w:hAnsi="宋体" w:hint="eastAsia"/>
          <w:highlight w:val="white"/>
          <w:lang w:eastAsia="zh-CN"/>
        </w:rPr>
        <w:t>）由于基金管理人提供的信息错误（包括但不限于基金申购或赎回金额等），导致基金份额净值计算错误而引起的基金份额持有人和基金财产的损失，由基金管理人负责赔付。</w:t>
      </w:r>
      <w:bookmarkStart w:id="79" w:name="_Toc382819110"/>
      <w:bookmarkEnd w:id="78"/>
    </w:p>
    <w:p w:rsidR="008E1BAB">
      <w:pPr>
        <w:spacing w:line="360" w:lineRule="auto"/>
        <w:ind w:firstLine="420"/>
        <w:rPr>
          <w:rFonts w:ascii="宋体" w:hAnsi="宋体"/>
          <w:lang w:eastAsia="zh-CN"/>
        </w:rPr>
      </w:pPr>
      <w:r>
        <w:rPr>
          <w:rFonts w:ascii="宋体" w:hAnsi="宋体"/>
          <w:highlight w:val="white"/>
          <w:lang w:eastAsia="zh-CN"/>
        </w:rPr>
        <w:t>3.</w:t>
      </w:r>
      <w:r>
        <w:rPr>
          <w:rFonts w:ascii="宋体" w:hAnsi="宋体" w:hint="eastAsia"/>
          <w:highlight w:val="white"/>
          <w:lang w:eastAsia="zh-CN"/>
        </w:rPr>
        <w:t>由于不可抗力，或证券交易所、登记结算机构、指数编制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79"/>
    </w:p>
    <w:p w:rsidR="008E1BAB">
      <w:pPr>
        <w:spacing w:line="360" w:lineRule="auto"/>
        <w:ind w:firstLine="420"/>
        <w:rPr>
          <w:rFonts w:ascii="宋体" w:hAnsi="宋体"/>
          <w:b/>
          <w:lang w:eastAsia="zh-CN"/>
        </w:rPr>
      </w:pPr>
      <w:bookmarkStart w:id="80" w:name="_Toc382819111"/>
      <w:r>
        <w:rPr>
          <w:rFonts w:ascii="宋体" w:hAnsi="宋体"/>
          <w:highlight w:val="white"/>
          <w:lang w:eastAsia="zh-CN"/>
        </w:rPr>
        <w:t>4.基金管理人和基金托管人由于各自技术系统设置而产生的净值计算尾差，以基金管理人计算结果为准。</w:t>
      </w:r>
      <w:bookmarkStart w:id="81" w:name="_Toc382819112"/>
      <w:bookmarkEnd w:id="80"/>
    </w:p>
    <w:p w:rsidR="008E1BAB">
      <w:pPr>
        <w:spacing w:line="360" w:lineRule="auto"/>
        <w:ind w:firstLine="420"/>
        <w:rPr>
          <w:rFonts w:ascii="宋体" w:hAnsi="宋体"/>
          <w:b/>
          <w:lang w:eastAsia="zh-CN"/>
        </w:rPr>
      </w:pPr>
      <w:r>
        <w:rPr>
          <w:rFonts w:ascii="宋体" w:hAnsi="宋体"/>
          <w:highlight w:val="white"/>
          <w:lang w:eastAsia="zh-CN"/>
        </w:rPr>
        <w:t>5.</w:t>
      </w:r>
      <w:r>
        <w:rPr>
          <w:rFonts w:ascii="宋体" w:hAnsi="宋体" w:hint="eastAsia"/>
          <w:highlight w:val="white"/>
          <w:lang w:eastAsia="zh-CN"/>
        </w:rPr>
        <w:t>前述内容如法律法规或者监管部门另有规定的，从其规定。如果行业另有通行做法，双方当事人应本着平等和保护基金份额持有人利益的原则进行协商。</w:t>
      </w:r>
      <w:bookmarkStart w:id="82" w:name="_Toc382819113"/>
      <w:bookmarkEnd w:id="81"/>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83" w:name="_Toc69134087"/>
      <w:r>
        <w:rPr>
          <w:rFonts w:ascii="宋体" w:eastAsia="宋体" w:hAnsi="宋体" w:hint="eastAsia"/>
          <w:b w:val="0"/>
          <w:bCs w:val="0"/>
          <w:sz w:val="21"/>
          <w:szCs w:val="21"/>
          <w:highlight w:val="white"/>
          <w:lang w:eastAsia="zh-CN"/>
        </w:rPr>
        <w:t>（四）暂停估值与公告基金份额净值的情形</w:t>
      </w:r>
      <w:bookmarkEnd w:id="82"/>
      <w:bookmarkEnd w:id="83"/>
    </w:p>
    <w:p w:rsidR="008E1BAB">
      <w:pPr>
        <w:spacing w:line="360" w:lineRule="auto"/>
        <w:ind w:firstLine="420"/>
        <w:rPr>
          <w:rFonts w:ascii="宋体" w:hAnsi="宋体"/>
          <w:b/>
          <w:lang w:eastAsia="zh-CN"/>
        </w:rPr>
      </w:pPr>
      <w:r>
        <w:rPr>
          <w:rFonts w:ascii="宋体" w:hAnsi="宋体" w:hint="eastAsia"/>
          <w:highlight w:val="white"/>
          <w:lang w:eastAsia="zh-CN"/>
        </w:rPr>
        <w:t>1</w:t>
      </w:r>
      <w:r>
        <w:rPr>
          <w:rFonts w:ascii="宋体" w:hAnsi="宋体"/>
          <w:highlight w:val="white"/>
          <w:lang w:eastAsia="zh-CN"/>
        </w:rPr>
        <w:t>.</w:t>
      </w:r>
      <w:r>
        <w:rPr>
          <w:rFonts w:ascii="宋体" w:hAnsi="宋体" w:hint="eastAsia"/>
          <w:highlight w:val="white"/>
          <w:lang w:eastAsia="zh-CN"/>
        </w:rPr>
        <w:t>基金投资所涉及的证券交易市场遇法定节假日或因其他原因暂停营业时；</w:t>
      </w:r>
    </w:p>
    <w:p w:rsidR="008E1BAB">
      <w:pPr>
        <w:spacing w:line="360" w:lineRule="auto"/>
        <w:ind w:firstLine="420"/>
        <w:rPr>
          <w:rFonts w:ascii="宋体" w:hAnsi="宋体"/>
          <w:b/>
          <w:lang w:eastAsia="zh-CN"/>
        </w:rPr>
      </w:pPr>
      <w:r>
        <w:rPr>
          <w:rFonts w:ascii="宋体" w:hAnsi="宋体" w:hint="eastAsia"/>
          <w:highlight w:val="white"/>
          <w:lang w:eastAsia="zh-CN"/>
        </w:rPr>
        <w:t>2</w:t>
      </w:r>
      <w:r>
        <w:rPr>
          <w:rFonts w:ascii="宋体" w:hAnsi="宋体"/>
          <w:highlight w:val="white"/>
          <w:lang w:eastAsia="zh-CN"/>
        </w:rPr>
        <w:t>.</w:t>
      </w:r>
      <w:r>
        <w:rPr>
          <w:rFonts w:ascii="宋体" w:hAnsi="宋体" w:hint="eastAsia"/>
          <w:highlight w:val="white"/>
          <w:lang w:eastAsia="zh-CN"/>
        </w:rPr>
        <w:t>因不可抗力致使基金管理人、基金托管人无法准确评估基金资产价值时；</w:t>
      </w:r>
    </w:p>
    <w:p w:rsidR="008E1BAB">
      <w:pPr>
        <w:spacing w:line="360" w:lineRule="auto"/>
        <w:ind w:firstLine="420"/>
        <w:rPr>
          <w:rFonts w:ascii="宋体" w:hAnsi="宋体"/>
          <w:b/>
          <w:lang w:eastAsia="zh-CN"/>
        </w:rPr>
      </w:pPr>
      <w:r>
        <w:rPr>
          <w:rFonts w:ascii="宋体" w:hAnsi="宋体" w:hint="eastAsia"/>
          <w:highlight w:val="white"/>
          <w:lang w:eastAsia="zh-CN"/>
        </w:rPr>
        <w:t>3</w:t>
      </w:r>
      <w:r>
        <w:rPr>
          <w:rFonts w:ascii="宋体" w:hAnsi="宋体"/>
          <w:highlight w:val="white"/>
          <w:lang w:eastAsia="zh-CN"/>
        </w:rPr>
        <w:t>.</w:t>
      </w:r>
      <w:r>
        <w:rPr>
          <w:rFonts w:ascii="宋体" w:hAnsi="宋体" w:hint="eastAsia"/>
          <w:highlight w:val="white"/>
          <w:lang w:eastAsia="zh-CN"/>
        </w:rPr>
        <w:t>当特定资产占前一估值日基金资产净值50%以上的，经与基金托管人协商确认后，基金管理人应当暂停估值；</w:t>
      </w:r>
    </w:p>
    <w:p w:rsidR="008E1BAB">
      <w:pPr>
        <w:spacing w:line="360" w:lineRule="auto"/>
        <w:ind w:firstLine="420"/>
        <w:rPr>
          <w:rFonts w:ascii="宋体" w:hAnsi="宋体"/>
          <w:b/>
          <w:lang w:eastAsia="zh-CN"/>
        </w:rPr>
      </w:pPr>
      <w:r>
        <w:rPr>
          <w:rFonts w:ascii="宋体" w:hAnsi="宋体" w:hint="eastAsia"/>
          <w:highlight w:val="white"/>
          <w:lang w:eastAsia="zh-CN"/>
        </w:rPr>
        <w:t>4</w:t>
      </w:r>
      <w:r>
        <w:rPr>
          <w:rFonts w:ascii="宋体" w:hAnsi="宋体"/>
          <w:highlight w:val="white"/>
          <w:lang w:eastAsia="zh-CN"/>
        </w:rPr>
        <w:t>.</w:t>
      </w:r>
      <w:r>
        <w:rPr>
          <w:rFonts w:ascii="宋体" w:hAnsi="宋体" w:hint="eastAsia"/>
          <w:highlight w:val="white"/>
          <w:lang w:eastAsia="zh-CN"/>
        </w:rPr>
        <w:t>基金所投资的目标ETF发生暂停估值、暂停公告基金份额净值的情形；</w:t>
      </w:r>
    </w:p>
    <w:p w:rsidR="008E1BAB">
      <w:pPr>
        <w:spacing w:line="360" w:lineRule="auto"/>
        <w:ind w:firstLine="420"/>
        <w:rPr>
          <w:rFonts w:ascii="宋体" w:hAnsi="宋体"/>
          <w:b/>
          <w:lang w:eastAsia="zh-CN"/>
        </w:rPr>
      </w:pPr>
      <w:r>
        <w:rPr>
          <w:rFonts w:ascii="宋体" w:hAnsi="宋体" w:hint="eastAsia"/>
          <w:highlight w:val="white"/>
          <w:lang w:eastAsia="zh-CN"/>
        </w:rPr>
        <w:t>5</w:t>
      </w:r>
      <w:r>
        <w:rPr>
          <w:rFonts w:ascii="宋体" w:hAnsi="宋体"/>
          <w:highlight w:val="white"/>
          <w:lang w:eastAsia="zh-CN"/>
        </w:rPr>
        <w:t>.</w:t>
      </w:r>
      <w:r>
        <w:rPr>
          <w:rFonts w:ascii="宋体" w:hAnsi="宋体" w:hint="eastAsia"/>
          <w:highlight w:val="white"/>
          <w:lang w:eastAsia="zh-CN"/>
        </w:rPr>
        <w:t>中国证监会和基金合同认定的其它情形。</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84" w:name="_Toc69134088"/>
      <w:r>
        <w:rPr>
          <w:rFonts w:ascii="宋体" w:eastAsia="宋体" w:hAnsi="宋体" w:hint="eastAsia"/>
          <w:b w:val="0"/>
          <w:bCs w:val="0"/>
          <w:sz w:val="21"/>
          <w:szCs w:val="21"/>
          <w:highlight w:val="white"/>
          <w:lang w:eastAsia="zh-CN"/>
        </w:rPr>
        <w:t>（五）实施侧袋机制期间的基金资产估值</w:t>
      </w:r>
      <w:bookmarkEnd w:id="84"/>
    </w:p>
    <w:p w:rsidR="008E1BAB">
      <w:pPr>
        <w:spacing w:line="360" w:lineRule="auto"/>
        <w:ind w:firstLine="420"/>
        <w:rPr>
          <w:rFonts w:ascii="宋体" w:hAnsi="宋体"/>
          <w:szCs w:val="21"/>
          <w:lang w:eastAsia="zh-CN"/>
        </w:rPr>
      </w:pPr>
      <w:r>
        <w:rPr>
          <w:rFonts w:ascii="宋体" w:hAnsi="宋体" w:hint="eastAsia"/>
          <w:szCs w:val="21"/>
          <w:highlight w:val="white"/>
          <w:lang w:eastAsia="zh-CN"/>
        </w:rPr>
        <w:t>本基金实施侧袋机制的，应根据本部分的约定对主袋账户资产进行估值并披露主袋账户的基金资产净值和份额净值，暂停披露侧袋账户份额净值。</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85" w:name="_Toc69134089"/>
      <w:r>
        <w:rPr>
          <w:rFonts w:ascii="宋体" w:eastAsia="宋体" w:hAnsi="宋体" w:hint="eastAsia"/>
          <w:b w:val="0"/>
          <w:bCs w:val="0"/>
          <w:sz w:val="21"/>
          <w:szCs w:val="21"/>
          <w:highlight w:val="white"/>
          <w:lang w:eastAsia="zh-CN"/>
        </w:rPr>
        <w:t>（六）基金账册的建立</w:t>
      </w:r>
      <w:bookmarkEnd w:id="85"/>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8E1BAB">
      <w:pPr>
        <w:pStyle w:val="21"/>
        <w:keepNext w:val="0"/>
        <w:keepLines w:val="0"/>
        <w:spacing w:before="0" w:after="0" w:line="360" w:lineRule="auto"/>
        <w:ind w:firstLine="420"/>
        <w:rPr>
          <w:rFonts w:ascii="宋体" w:eastAsia="宋体" w:hAnsi="宋体"/>
          <w:b w:val="0"/>
          <w:bCs w:val="0"/>
          <w:sz w:val="21"/>
          <w:szCs w:val="21"/>
          <w:lang w:eastAsia="zh-CN"/>
        </w:rPr>
      </w:pPr>
      <w:bookmarkStart w:id="86" w:name="_Toc382819117"/>
      <w:bookmarkStart w:id="87" w:name="_Toc69134090"/>
      <w:r>
        <w:rPr>
          <w:rFonts w:ascii="宋体" w:eastAsia="宋体" w:hAnsi="宋体" w:hint="eastAsia"/>
          <w:b w:val="0"/>
          <w:bCs w:val="0"/>
          <w:sz w:val="21"/>
          <w:szCs w:val="21"/>
          <w:highlight w:val="white"/>
          <w:lang w:eastAsia="zh-CN"/>
        </w:rPr>
        <w:t>（七）基金定期报告的编制和复核</w:t>
      </w:r>
      <w:bookmarkEnd w:id="86"/>
      <w:bookmarkEnd w:id="87"/>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基金财务报表由基金管理人和基金托管人每月分别独立编制。月度报表的编制，应于每月终了后5个工作日内完成。</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每个季度结束之日起15个工作日内完成季度报告编制并公告；在上半年结束之日起两个月内完成中期报告编制并公告；在每年结束之日起三个月内完成年度报告编制并公告。</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基金管理人在5个工作日内完成月度报表，在月度报表完成当日，以双方约定的方式</w:t>
      </w:r>
      <w:r>
        <w:rPr>
          <w:rFonts w:ascii="宋体" w:hAnsi="宋体"/>
          <w:szCs w:val="21"/>
          <w:highlight w:val="white"/>
          <w:lang w:eastAsia="zh-CN"/>
        </w:rPr>
        <w:t>将有关报表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中期报告，在中期报告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基金托管人在对财务会计报告、中期报告或年度报告复核完毕后，需盖章确认或出具相应的复核确认书，以备有权机构对相关文件审核时提示。</w:t>
      </w:r>
    </w:p>
    <w:p w:rsidR="008E1BAB">
      <w:pPr>
        <w:spacing w:line="360" w:lineRule="auto"/>
        <w:ind w:firstLine="420"/>
        <w:rPr>
          <w:rFonts w:ascii="宋体" w:hAnsi="宋体"/>
          <w:szCs w:val="21"/>
          <w:lang w:eastAsia="zh-CN"/>
        </w:rPr>
      </w:pPr>
    </w:p>
    <w:p w:rsidR="008E1BAB">
      <w:pPr>
        <w:pStyle w:val="11"/>
        <w:keepNext w:val="0"/>
        <w:keepLines w:val="0"/>
        <w:numPr>
          <w:ilvl w:val="0"/>
          <w:numId w:val="2"/>
        </w:numPr>
        <w:tabs>
          <w:tab w:val="left" w:pos="420"/>
        </w:tabs>
        <w:spacing w:before="360" w:after="360"/>
        <w:rPr>
          <w:rFonts w:ascii="宋体" w:eastAsia="宋体" w:hAnsi="宋体" w:cs="Arial"/>
          <w:sz w:val="21"/>
          <w:szCs w:val="21"/>
        </w:rPr>
      </w:pPr>
      <w:bookmarkStart w:id="88" w:name="_Toc69134091"/>
      <w:r>
        <w:rPr>
          <w:rFonts w:ascii="宋体" w:eastAsia="宋体" w:hAnsi="宋体" w:cs="Arial" w:hint="eastAsia"/>
          <w:sz w:val="21"/>
          <w:szCs w:val="21"/>
          <w:highlight w:val="white"/>
        </w:rPr>
        <w:t>基金收益分配</w:t>
      </w:r>
      <w:bookmarkEnd w:id="88"/>
    </w:p>
    <w:p w:rsidR="008E1BAB">
      <w:pPr>
        <w:pStyle w:val="21"/>
        <w:keepNext w:val="0"/>
        <w:keepLines w:val="0"/>
        <w:spacing w:before="0" w:after="0" w:line="360" w:lineRule="auto"/>
        <w:ind w:firstLine="420"/>
        <w:rPr>
          <w:rFonts w:ascii="宋体" w:eastAsia="宋体" w:hAnsi="宋体" w:cs="Arial"/>
          <w:sz w:val="21"/>
          <w:szCs w:val="21"/>
          <w:lang w:eastAsia="zh-CN"/>
        </w:rPr>
      </w:pPr>
      <w:bookmarkStart w:id="89" w:name="_Toc69134092"/>
      <w:bookmarkStart w:id="90" w:name="_Toc382819119"/>
      <w:r>
        <w:rPr>
          <w:rFonts w:ascii="宋体" w:eastAsia="宋体" w:hAnsi="宋体" w:hint="eastAsia"/>
          <w:b w:val="0"/>
          <w:bCs w:val="0"/>
          <w:sz w:val="21"/>
          <w:szCs w:val="21"/>
          <w:highlight w:val="white"/>
          <w:lang w:eastAsia="zh-CN"/>
        </w:rPr>
        <w:t>（一）基金收益分配的原则</w:t>
      </w:r>
      <w:bookmarkEnd w:id="89"/>
      <w:bookmarkEnd w:id="90"/>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基金收益分配是指将该基金可供分配利润按收益分配方案确定的分配金额和比例根据持有该基金份额的数量按比例向该基金份额持有人进行分配。</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收益分配应该符合《基金合同》关于收益分配原则的规定。</w:t>
      </w:r>
      <w:bookmarkStart w:id="91" w:name="_Toc382819120"/>
    </w:p>
    <w:p w:rsidR="008E1BAB">
      <w:pPr>
        <w:pStyle w:val="21"/>
        <w:keepNext w:val="0"/>
        <w:keepLines w:val="0"/>
        <w:spacing w:before="0" w:after="0" w:line="360" w:lineRule="auto"/>
        <w:ind w:firstLine="420"/>
        <w:rPr>
          <w:rFonts w:ascii="宋体" w:eastAsia="宋体" w:hAnsi="宋体"/>
          <w:sz w:val="21"/>
          <w:szCs w:val="21"/>
          <w:lang w:eastAsia="zh-CN"/>
        </w:rPr>
      </w:pPr>
      <w:bookmarkStart w:id="92" w:name="_Toc69134093"/>
      <w:r>
        <w:rPr>
          <w:rFonts w:ascii="宋体" w:eastAsia="宋体" w:hAnsi="宋体" w:hint="eastAsia"/>
          <w:b w:val="0"/>
          <w:bCs w:val="0"/>
          <w:sz w:val="21"/>
          <w:szCs w:val="21"/>
          <w:highlight w:val="white"/>
          <w:lang w:eastAsia="zh-CN"/>
        </w:rPr>
        <w:t>（二）基金收益分配方案的制定和实施程序</w:t>
      </w:r>
      <w:bookmarkEnd w:id="91"/>
      <w:bookmarkEnd w:id="92"/>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基金收益分配方案由基金管理人根据《基金合同》的相关规定制定。</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收益分配方案由基金管理人拟定，并由基金托管人复核。复核通过后基金管理人在2日内在规定媒介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rsidR="008E1BAB">
      <w:pPr>
        <w:spacing w:line="360" w:lineRule="auto"/>
        <w:ind w:right="28" w:firstLine="630"/>
        <w:rPr>
          <w:rFonts w:ascii="宋体" w:hAnsi="宋体"/>
          <w:szCs w:val="21"/>
          <w:lang w:eastAsia="zh-CN"/>
        </w:rPr>
      </w:pPr>
    </w:p>
    <w:p w:rsidR="008E1BAB">
      <w:pPr>
        <w:pStyle w:val="11"/>
        <w:keepNext w:val="0"/>
        <w:keepLines w:val="0"/>
        <w:numPr>
          <w:ilvl w:val="0"/>
          <w:numId w:val="2"/>
        </w:numPr>
        <w:tabs>
          <w:tab w:val="left" w:pos="420"/>
        </w:tabs>
        <w:spacing w:before="360" w:after="360"/>
        <w:rPr>
          <w:rFonts w:ascii="宋体" w:eastAsia="宋体" w:hAnsi="宋体" w:cs="Arial"/>
          <w:sz w:val="21"/>
          <w:szCs w:val="21"/>
        </w:rPr>
      </w:pPr>
      <w:bookmarkStart w:id="93" w:name="_Toc69134094"/>
      <w:r>
        <w:rPr>
          <w:rFonts w:ascii="宋体" w:eastAsia="宋体" w:hAnsi="宋体" w:cs="Arial" w:hint="eastAsia"/>
          <w:sz w:val="21"/>
          <w:szCs w:val="21"/>
          <w:highlight w:val="white"/>
        </w:rPr>
        <w:t>信息披露</w:t>
      </w:r>
      <w:bookmarkEnd w:id="93"/>
    </w:p>
    <w:p w:rsidR="008E1BAB">
      <w:pPr>
        <w:pStyle w:val="21"/>
        <w:keepNext w:val="0"/>
        <w:keepLines w:val="0"/>
        <w:tabs>
          <w:tab w:val="left" w:pos="1080"/>
        </w:tabs>
        <w:spacing w:before="0" w:after="0" w:line="360" w:lineRule="auto"/>
        <w:ind w:firstLine="412"/>
        <w:rPr>
          <w:rFonts w:ascii="宋体" w:eastAsia="宋体" w:hAnsi="宋体" w:cs="Arial"/>
          <w:b w:val="0"/>
          <w:sz w:val="21"/>
          <w:szCs w:val="21"/>
        </w:rPr>
      </w:pPr>
      <w:bookmarkStart w:id="94" w:name="_Toc382819122"/>
      <w:bookmarkStart w:id="95" w:name="_Toc69134095"/>
      <w:r>
        <w:rPr>
          <w:rFonts w:ascii="宋体" w:eastAsia="宋体" w:hAnsi="宋体" w:hint="eastAsia"/>
          <w:b w:val="0"/>
          <w:sz w:val="21"/>
          <w:szCs w:val="21"/>
          <w:highlight w:val="white"/>
        </w:rPr>
        <w:t>（一）</w:t>
      </w:r>
      <w:r>
        <w:rPr>
          <w:rFonts w:ascii="宋体" w:eastAsia="宋体" w:hAnsi="宋体" w:cs="Arial" w:hint="eastAsia"/>
          <w:b w:val="0"/>
          <w:sz w:val="21"/>
          <w:szCs w:val="21"/>
          <w:highlight w:val="white"/>
        </w:rPr>
        <w:t>保密义务</w:t>
      </w:r>
      <w:bookmarkEnd w:id="94"/>
      <w:bookmarkEnd w:id="95"/>
    </w:p>
    <w:p w:rsidR="008E1BAB">
      <w:pPr>
        <w:spacing w:line="360" w:lineRule="auto"/>
        <w:ind w:firstLine="420"/>
        <w:rPr>
          <w:rFonts w:ascii="宋体" w:hAnsi="宋体"/>
          <w:szCs w:val="21"/>
          <w:lang w:eastAsia="zh-CN"/>
        </w:rPr>
      </w:pPr>
      <w:r>
        <w:rPr>
          <w:rFonts w:ascii="宋体" w:hAnsi="宋体" w:hint="eastAsia"/>
          <w:szCs w:val="21"/>
          <w:highlight w:val="white"/>
          <w:lang w:eastAsia="zh-CN"/>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1.非因基金管理人和基金托管人的原因导致保密信息被披露、泄露或公开；</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2.基金管理人和基金托管人为遵守和服从法院判决、仲裁裁决或中国证监会等监管机构的命令、决定所做出的信息披露或公开。</w:t>
      </w:r>
    </w:p>
    <w:p w:rsidR="008E1BAB">
      <w:pPr>
        <w:pStyle w:val="21"/>
        <w:keepNext w:val="0"/>
        <w:keepLines w:val="0"/>
        <w:tabs>
          <w:tab w:val="left" w:pos="1080"/>
        </w:tabs>
        <w:spacing w:before="0" w:after="0" w:line="360" w:lineRule="auto"/>
        <w:ind w:firstLine="412"/>
        <w:rPr>
          <w:rFonts w:ascii="宋体" w:eastAsia="宋体" w:hAnsi="宋体" w:cs="Arial"/>
          <w:sz w:val="21"/>
          <w:szCs w:val="21"/>
          <w:lang w:eastAsia="zh-CN"/>
        </w:rPr>
      </w:pPr>
      <w:bookmarkStart w:id="96" w:name="_Toc69134096"/>
      <w:r>
        <w:rPr>
          <w:rFonts w:ascii="宋体" w:eastAsia="宋体" w:hAnsi="宋体" w:cs="Arial" w:hint="eastAsia"/>
          <w:b w:val="0"/>
          <w:sz w:val="21"/>
          <w:szCs w:val="21"/>
          <w:highlight w:val="white"/>
          <w:lang w:eastAsia="zh-CN"/>
        </w:rPr>
        <w:t>（二）信息披露的内容</w:t>
      </w:r>
      <w:bookmarkEnd w:id="96"/>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本基金的信息披露主要包括基金招募说明书、《基金合同》、基金托管协议、基金产品资料概要、基金份额发售公告、《基金合同》生效公告、定期报告、临时公告、基金净值信息、澄清公告、清算报告等其他必要的公告文件，由基金管理人拟定并负责公布。</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与基金托管人应严格遵守《基金合同》所规定的信息披露要求。基金净值信息、基金业绩表现数据、基金份额申购赎回价格、基金定期报告、更新的招募说明书、基金产品资料概要、基金清算报告、基金份额持有人大会决议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年度报告中的财务会计报告部分，应当经符合《证券法》规定的会计师事务所审计后，方可披露。</w:t>
      </w:r>
    </w:p>
    <w:p w:rsidR="008E1BAB">
      <w:pPr>
        <w:spacing w:line="360" w:lineRule="auto"/>
        <w:ind w:firstLine="420"/>
        <w:rPr>
          <w:rFonts w:ascii="宋体" w:hAnsi="宋体"/>
          <w:szCs w:val="21"/>
          <w:lang w:eastAsia="zh-CN"/>
        </w:rPr>
      </w:pPr>
      <w:bookmarkStart w:id="97" w:name="_Toc382819123"/>
      <w:r>
        <w:rPr>
          <w:rFonts w:ascii="宋体" w:hAnsi="宋体" w:hint="eastAsia"/>
          <w:highlight w:val="white"/>
          <w:lang w:eastAsia="zh-CN"/>
        </w:rPr>
        <w:t>基金管理人应当在中国证监会规定的时间内，</w:t>
      </w:r>
      <w:r>
        <w:rPr>
          <w:rFonts w:ascii="宋体" w:hAnsi="宋体" w:hint="eastAsia"/>
          <w:szCs w:val="21"/>
          <w:highlight w:val="white"/>
          <w:lang w:eastAsia="zh-CN"/>
        </w:rPr>
        <w:t>将应予披露的基金信息通过规定媒介披露。</w:t>
      </w:r>
      <w:r>
        <w:rPr>
          <w:rFonts w:ascii="宋体" w:hAnsi="宋体" w:hint="eastAsia"/>
          <w:highlight w:val="white"/>
          <w:lang w:eastAsia="zh-CN"/>
        </w:rPr>
        <w:t>根据法律法规应由基金托管人公开披露的信息，</w:t>
      </w:r>
      <w:r>
        <w:rPr>
          <w:rFonts w:ascii="宋体" w:hAnsi="宋体" w:hint="eastAsia"/>
          <w:szCs w:val="21"/>
          <w:highlight w:val="white"/>
          <w:lang w:eastAsia="zh-CN"/>
        </w:rPr>
        <w:t>基金托管人将通过规定媒介公开披露。</w:t>
      </w:r>
      <w:bookmarkEnd w:id="97"/>
    </w:p>
    <w:p w:rsidR="008E1BAB">
      <w:pPr>
        <w:spacing w:line="360" w:lineRule="auto"/>
        <w:ind w:firstLine="420"/>
        <w:rPr>
          <w:rFonts w:ascii="宋体" w:hAnsi="宋体"/>
          <w:b/>
          <w:lang w:eastAsia="zh-CN"/>
        </w:rPr>
      </w:pPr>
      <w:r>
        <w:rPr>
          <w:rFonts w:ascii="宋体" w:hAnsi="宋体"/>
          <w:szCs w:val="21"/>
          <w:highlight w:val="white"/>
          <w:lang w:eastAsia="zh-CN"/>
        </w:rPr>
        <w:t>本基金实施侧袋机制的，相关信息披露义务人应当根据法律法规、基金合同和招募说明书的规定进行信息披露，详见招募说明书的规定</w:t>
      </w:r>
      <w:r>
        <w:rPr>
          <w:rFonts w:ascii="宋体" w:hAnsi="宋体" w:hint="eastAsia"/>
          <w:highlight w:val="white"/>
          <w:lang w:eastAsia="zh-CN"/>
        </w:rPr>
        <w:t>。</w:t>
      </w:r>
    </w:p>
    <w:p w:rsidR="008E1BAB">
      <w:pPr>
        <w:pStyle w:val="21"/>
        <w:keepNext w:val="0"/>
        <w:keepLines w:val="0"/>
        <w:tabs>
          <w:tab w:val="left" w:pos="1080"/>
        </w:tabs>
        <w:spacing w:before="0" w:after="0" w:line="360" w:lineRule="auto"/>
        <w:ind w:firstLine="412"/>
        <w:rPr>
          <w:rFonts w:ascii="宋体" w:eastAsia="宋体" w:hAnsi="宋体"/>
          <w:b w:val="0"/>
          <w:sz w:val="21"/>
          <w:szCs w:val="21"/>
          <w:lang w:eastAsia="zh-CN"/>
        </w:rPr>
      </w:pPr>
      <w:bookmarkStart w:id="98" w:name="_Toc69134097"/>
      <w:bookmarkStart w:id="99" w:name="_Toc382819124"/>
      <w:r>
        <w:rPr>
          <w:rFonts w:ascii="宋体" w:eastAsia="宋体" w:hAnsi="宋体" w:hint="eastAsia"/>
          <w:b w:val="0"/>
          <w:sz w:val="21"/>
          <w:szCs w:val="21"/>
          <w:highlight w:val="white"/>
          <w:lang w:eastAsia="zh-CN"/>
        </w:rPr>
        <w:t>（三）基金管理人和基金托管人在信息披露中的职责和信息披露程序</w:t>
      </w:r>
      <w:bookmarkEnd w:id="98"/>
      <w:bookmarkEnd w:id="99"/>
    </w:p>
    <w:p w:rsidR="008E1BAB">
      <w:pPr>
        <w:spacing w:line="360" w:lineRule="auto"/>
        <w:ind w:firstLine="420"/>
        <w:rPr>
          <w:rFonts w:ascii="宋体" w:hAnsi="宋体"/>
          <w:szCs w:val="21"/>
          <w:lang w:eastAsia="zh-CN"/>
        </w:rPr>
      </w:pPr>
      <w:r>
        <w:rPr>
          <w:rFonts w:ascii="宋体" w:hAnsi="宋体" w:hint="eastAsia"/>
          <w:szCs w:val="21"/>
          <w:highlight w:val="white"/>
          <w:lang w:eastAsia="zh-CN"/>
        </w:rPr>
        <w:t>1．职责</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进行书面或电子确认。</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2．程序</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按有关规定须经基金托管人复核的信息披露文件，由基金管理人起草，并经基金托管人复核后由基金管理人公告。</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发生《基金合同》中规定需要披露的事项时，按《基金合同》规定公告。</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3．信息文本的存放</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予以披露的信息文本，存放在基金管理人、基金托管人的办公场所，基金份额持有人和公众投资者可以免费查阅。在支付工本费后可以获得上述文件的复制件或复印件。</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基金管理人和基金托管人应保证文本的内容与所公告的内容完全一致。</w:t>
      </w:r>
    </w:p>
    <w:p w:rsidR="008E1BAB">
      <w:pPr>
        <w:spacing w:line="360" w:lineRule="auto"/>
        <w:ind w:firstLine="420"/>
        <w:rPr>
          <w:rFonts w:ascii="宋体" w:hAnsi="宋体"/>
          <w:szCs w:val="21"/>
          <w:lang w:eastAsia="zh-CN"/>
        </w:rPr>
      </w:pPr>
      <w:bookmarkStart w:id="100" w:name="_Toc69134098"/>
      <w:r>
        <w:rPr>
          <w:rFonts w:ascii="宋体" w:hAnsi="宋体" w:hint="eastAsia"/>
          <w:szCs w:val="21"/>
          <w:highlight w:val="white"/>
          <w:lang w:eastAsia="zh-CN"/>
        </w:rPr>
        <w:t>（四）暂停或延迟信息披露的情形</w:t>
      </w:r>
      <w:bookmarkEnd w:id="100"/>
    </w:p>
    <w:p w:rsidR="008E1BAB">
      <w:pPr>
        <w:spacing w:line="360" w:lineRule="auto"/>
        <w:ind w:firstLine="420"/>
        <w:rPr>
          <w:rFonts w:ascii="宋体" w:hAnsi="宋体"/>
          <w:szCs w:val="21"/>
          <w:lang w:eastAsia="zh-CN"/>
        </w:rPr>
      </w:pPr>
      <w:r>
        <w:rPr>
          <w:rFonts w:ascii="宋体" w:hAnsi="宋体" w:hint="eastAsia"/>
          <w:szCs w:val="21"/>
          <w:highlight w:val="white"/>
          <w:lang w:eastAsia="zh-CN"/>
        </w:rPr>
        <w:t>1.基金投资所涉及的证券交易所遇法定节假日或因其他原因暂停营业时；</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2.因不可抗力或其他情形致使基金管理人、基金托管人无法准确评估基金资产价值时；</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3.占基金相当比例的投资品种的估值出现重大转变，而基金管理人为保障基金份额持有人的利益，已决定延迟估值；</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4.出现基金管理人认为属于会导致基金管理人不能出售或评估基金资产的紧急事故的任何情况；</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5.法律法规规定、中国证监会或《基金合同》认定的其他情形。</w:t>
      </w:r>
    </w:p>
    <w:p w:rsidR="008E1BAB">
      <w:pPr>
        <w:spacing w:line="360" w:lineRule="auto"/>
        <w:ind w:firstLine="480"/>
        <w:rPr>
          <w:rFonts w:ascii="宋体" w:hAnsi="宋体"/>
          <w:szCs w:val="21"/>
          <w:lang w:eastAsia="zh-CN"/>
        </w:rPr>
      </w:pPr>
    </w:p>
    <w:p w:rsidR="008E1BAB">
      <w:pPr>
        <w:pStyle w:val="11"/>
        <w:keepNext w:val="0"/>
        <w:keepLines w:val="0"/>
        <w:numPr>
          <w:ilvl w:val="0"/>
          <w:numId w:val="2"/>
        </w:numPr>
        <w:tabs>
          <w:tab w:val="left" w:pos="420"/>
        </w:tabs>
        <w:spacing w:before="360" w:after="360"/>
        <w:rPr>
          <w:rFonts w:ascii="宋体" w:eastAsia="宋体" w:hAnsi="宋体" w:cs="Arial"/>
          <w:sz w:val="21"/>
          <w:szCs w:val="21"/>
        </w:rPr>
      </w:pPr>
      <w:bookmarkStart w:id="101" w:name="_Toc69134099"/>
      <w:r>
        <w:rPr>
          <w:rFonts w:ascii="宋体" w:eastAsia="宋体" w:hAnsi="宋体" w:cs="Arial" w:hint="eastAsia"/>
          <w:sz w:val="21"/>
          <w:szCs w:val="21"/>
          <w:highlight w:val="white"/>
        </w:rPr>
        <w:t>基金费用</w:t>
      </w:r>
      <w:bookmarkEnd w:id="101"/>
    </w:p>
    <w:p w:rsidR="008E1BAB">
      <w:pPr>
        <w:spacing w:line="360" w:lineRule="auto"/>
        <w:ind w:firstLine="420"/>
        <w:rPr>
          <w:rFonts w:ascii="宋体" w:hAnsi="宋体"/>
          <w:szCs w:val="21"/>
          <w:lang w:eastAsia="zh-CN"/>
        </w:rPr>
      </w:pPr>
      <w:r>
        <w:rPr>
          <w:rFonts w:ascii="宋体" w:hAnsi="宋体" w:hint="eastAsia"/>
          <w:szCs w:val="21"/>
          <w:highlight w:val="white"/>
          <w:lang w:eastAsia="zh-CN"/>
        </w:rPr>
        <w:t>（一）基金托管人的托管费</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本基金的托管费按前一日基金资产净值扣除前一日所持有目标ETF公允价值后的余额（若为负数，则取0）的0.10%年费率计提。托管费的计算方法如下：</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H＝E×0.10%÷当年天数</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H为每日应计提的基金托管费</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E为调整后的前一日的基金资产净值。调整后的前一日基金资产净值＝前一日基金资产净值－前一日本基金持有的目标ETF公允价值，金额为负时以零计</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托管费每日计提，按月支付，经基金管理人与基金托管人双方核对无误后，基金托管人按照与基金管理人协商一致的方式于次月前5个工作日内从基金财产中一次性支付。若遇法定节假日、休息日或不可抗力致使无法按时支付的，顺延至法定节假日、休息日结束之日起2个工作日内或不可抗力情形消除之日起2个工作日内支付。</w:t>
      </w:r>
    </w:p>
    <w:p w:rsidR="008E1BAB">
      <w:pPr>
        <w:spacing w:line="360" w:lineRule="auto"/>
        <w:ind w:firstLine="420"/>
        <w:rPr>
          <w:rFonts w:ascii="宋体" w:hAnsi="宋体"/>
          <w:lang w:eastAsia="zh-CN"/>
        </w:rPr>
      </w:pPr>
      <w:r>
        <w:rPr>
          <w:rFonts w:ascii="宋体" w:hAnsi="宋体" w:hint="eastAsia"/>
          <w:szCs w:val="21"/>
          <w:highlight w:val="white"/>
          <w:lang w:eastAsia="zh-CN"/>
        </w:rPr>
        <w:t>（二）基金其他费用按照《基金合同》的约定计提和支付。</w:t>
      </w:r>
    </w:p>
    <w:p w:rsidR="008E1BAB">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02" w:name="_Toc69134100"/>
      <w:r>
        <w:rPr>
          <w:rFonts w:ascii="宋体" w:eastAsia="宋体" w:hAnsi="宋体" w:cs="Arial" w:hint="eastAsia"/>
          <w:sz w:val="21"/>
          <w:szCs w:val="21"/>
          <w:highlight w:val="white"/>
          <w:lang w:eastAsia="zh-CN"/>
        </w:rPr>
        <w:t>基金份额持有人名册的保管</w:t>
      </w:r>
      <w:bookmarkEnd w:id="102"/>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基金管理人妥善保管的基金份额持有人名册，包括《基金合同》生效日、《基金合同》终止日、基金份额持有人大会权</w:t>
      </w:r>
      <w:r w:rsidRPr="004A64D7" w:rsidR="004A64D7">
        <w:rPr>
          <w:rFonts w:ascii="宋体" w:hAnsi="宋体" w:hint="eastAsia"/>
          <w:szCs w:val="21"/>
          <w:lang w:eastAsia="zh-CN"/>
        </w:rPr>
        <w:t>益</w:t>
      </w:r>
      <w:r>
        <w:rPr>
          <w:rFonts w:ascii="宋体" w:hAnsi="宋体" w:hint="eastAsia"/>
          <w:szCs w:val="21"/>
          <w:highlight w:val="white"/>
          <w:lang w:eastAsia="zh-CN"/>
        </w:rPr>
        <w:t>登记日、每年6月30日、12月31日的基金份额持有人名册。基金份额持有人名册的内容必须包括基金份额持有人的名称和持有的基金份额。</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份额持有人名册由基金的登记机构根据基金管理人的指令编制和保管，基金管理人应按照目前相关规则保管基金份额持有人名册。保管方式可以采用电子或文档的形式。保管期限为20年，法律法规或监管部门另有规定的除外。</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rsidR="008E1BAB">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03" w:name="_Toc69134101"/>
      <w:r>
        <w:rPr>
          <w:rFonts w:ascii="宋体" w:eastAsia="宋体" w:hAnsi="宋体" w:cs="Arial" w:hint="eastAsia"/>
          <w:sz w:val="21"/>
          <w:szCs w:val="21"/>
          <w:highlight w:val="white"/>
          <w:lang w:eastAsia="zh-CN"/>
        </w:rPr>
        <w:t>基金有关文件和档案的保存</w:t>
      </w:r>
      <w:bookmarkEnd w:id="103"/>
    </w:p>
    <w:p w:rsidR="008E1BAB">
      <w:pPr>
        <w:spacing w:line="360" w:lineRule="auto"/>
        <w:ind w:firstLine="420"/>
        <w:rPr>
          <w:rFonts w:ascii="宋体" w:hAnsi="宋体" w:cs="Arial"/>
          <w:szCs w:val="21"/>
          <w:lang w:eastAsia="zh-CN"/>
        </w:rPr>
      </w:pPr>
      <w:r>
        <w:rPr>
          <w:rFonts w:ascii="宋体" w:hAnsi="宋体" w:cs="Arial" w:hint="eastAsia"/>
          <w:szCs w:val="21"/>
          <w:highlight w:val="white"/>
          <w:lang w:eastAsia="zh-CN"/>
        </w:rPr>
        <w:t>（一）档案保存</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20年，法律法规或监管部门另有规定的除外。</w:t>
      </w:r>
    </w:p>
    <w:p w:rsidR="008E1BAB">
      <w:pPr>
        <w:spacing w:line="360" w:lineRule="auto"/>
        <w:ind w:firstLine="420"/>
        <w:rPr>
          <w:rFonts w:ascii="宋体" w:hAnsi="宋体" w:cs="Arial"/>
          <w:szCs w:val="21"/>
          <w:lang w:eastAsia="zh-CN"/>
        </w:rPr>
      </w:pPr>
      <w:r>
        <w:rPr>
          <w:rFonts w:ascii="宋体" w:hAnsi="宋体" w:cs="Arial" w:hint="eastAsia"/>
          <w:szCs w:val="21"/>
          <w:highlight w:val="white"/>
          <w:lang w:eastAsia="zh-CN"/>
        </w:rPr>
        <w:t>（二）合同档案的建立</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1．基金管理人或基金托管人在签署与本基金有关的合同文本后，应及时按相关法律法规及本协议的规定将合同正本或副本提交对方。</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2．基金管理人和基金托管人应按各自职责保管就基金资产对外签署的全部合同的正本。</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（三）变更与协助</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若基金管理人和基金托管人发生变更，未变更的一方有义务协助变更后的接任人接收相应文件。</w:t>
      </w:r>
    </w:p>
    <w:p w:rsidR="008E1BAB">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04" w:name="_Toc69134102"/>
      <w:r>
        <w:rPr>
          <w:rFonts w:ascii="宋体" w:eastAsia="宋体" w:hAnsi="宋体" w:cs="Arial" w:hint="eastAsia"/>
          <w:sz w:val="21"/>
          <w:szCs w:val="21"/>
          <w:highlight w:val="white"/>
          <w:lang w:eastAsia="zh-CN"/>
        </w:rPr>
        <w:t>基金管理人和基金托管人的更换</w:t>
      </w:r>
      <w:bookmarkEnd w:id="104"/>
    </w:p>
    <w:p w:rsidR="008E1BAB">
      <w:pPr>
        <w:pStyle w:val="21"/>
        <w:keepNext w:val="0"/>
        <w:keepLines w:val="0"/>
        <w:spacing w:before="0" w:after="0" w:line="360" w:lineRule="auto"/>
        <w:ind w:firstLine="309"/>
        <w:rPr>
          <w:rFonts w:ascii="宋体" w:eastAsia="宋体" w:hAnsi="宋体" w:cs="Arial"/>
          <w:b w:val="0"/>
          <w:bCs w:val="0"/>
          <w:sz w:val="21"/>
          <w:szCs w:val="21"/>
          <w:lang w:eastAsia="zh-CN"/>
        </w:rPr>
      </w:pPr>
      <w:bookmarkStart w:id="105" w:name="_Toc69134103"/>
      <w:bookmarkStart w:id="106" w:name="_Toc382819129"/>
      <w:r>
        <w:rPr>
          <w:rFonts w:ascii="宋体" w:eastAsia="宋体" w:hAnsi="宋体" w:cs="Arial" w:hint="eastAsia"/>
          <w:b w:val="0"/>
          <w:bCs w:val="0"/>
          <w:sz w:val="21"/>
          <w:szCs w:val="21"/>
          <w:highlight w:val="white"/>
          <w:lang w:eastAsia="zh-CN"/>
        </w:rPr>
        <w:t>（一）基金管理人的更换</w:t>
      </w:r>
      <w:bookmarkEnd w:id="105"/>
      <w:bookmarkEnd w:id="106"/>
    </w:p>
    <w:p w:rsidR="008E1BAB">
      <w:pPr>
        <w:spacing w:line="360" w:lineRule="auto"/>
        <w:ind w:firstLine="420"/>
        <w:rPr>
          <w:rFonts w:ascii="宋体" w:hAnsi="宋体"/>
          <w:szCs w:val="21"/>
          <w:lang w:eastAsia="zh-CN"/>
        </w:rPr>
      </w:pPr>
      <w:r>
        <w:rPr>
          <w:rFonts w:ascii="宋体" w:hAnsi="宋体" w:hint="eastAsia"/>
          <w:szCs w:val="21"/>
          <w:highlight w:val="white"/>
          <w:lang w:eastAsia="zh-CN"/>
        </w:rPr>
        <w:t>1.基金管理人的更换条件</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有下列情形之一的，基金管理人职责终止：</w:t>
      </w:r>
    </w:p>
    <w:p w:rsidR="008E1BAB">
      <w:pPr>
        <w:spacing w:line="360" w:lineRule="auto"/>
        <w:ind w:firstLine="420"/>
        <w:rPr>
          <w:lang w:eastAsia="zh-CN"/>
        </w:rPr>
      </w:pPr>
      <w:r>
        <w:rPr>
          <w:rFonts w:ascii="宋体" w:hAnsi="宋体"/>
          <w:szCs w:val="21"/>
          <w:highlight w:val="white"/>
          <w:lang w:eastAsia="zh-CN"/>
        </w:rPr>
        <w:t>（1）被依法取消基金管理资格；</w:t>
      </w:r>
    </w:p>
    <w:p w:rsidR="008E1BAB">
      <w:pPr>
        <w:spacing w:line="360" w:lineRule="auto"/>
        <w:ind w:firstLine="420"/>
        <w:rPr>
          <w:lang w:eastAsia="zh-CN"/>
        </w:rPr>
      </w:pPr>
      <w:r>
        <w:rPr>
          <w:rFonts w:ascii="宋体" w:hAnsi="宋体"/>
          <w:szCs w:val="21"/>
          <w:highlight w:val="white"/>
          <w:lang w:eastAsia="zh-CN"/>
        </w:rPr>
        <w:t>（2）被基金份额持有人大会解任；</w:t>
      </w:r>
    </w:p>
    <w:p w:rsidR="008E1BAB">
      <w:pPr>
        <w:spacing w:line="360" w:lineRule="auto"/>
        <w:ind w:firstLine="420"/>
        <w:rPr>
          <w:lang w:eastAsia="zh-CN"/>
        </w:rPr>
      </w:pPr>
      <w:r>
        <w:rPr>
          <w:rFonts w:ascii="宋体" w:hAnsi="宋体"/>
          <w:szCs w:val="21"/>
          <w:highlight w:val="white"/>
          <w:lang w:eastAsia="zh-CN"/>
        </w:rPr>
        <w:t>（3）依法解散、被依法撤销或被依法宣告破产；</w:t>
      </w:r>
    </w:p>
    <w:p w:rsidR="008E1BAB">
      <w:pPr>
        <w:spacing w:line="360" w:lineRule="auto"/>
        <w:ind w:firstLine="420"/>
        <w:rPr>
          <w:lang w:eastAsia="zh-CN"/>
        </w:rPr>
      </w:pPr>
      <w:r>
        <w:rPr>
          <w:rFonts w:ascii="宋体" w:hAnsi="宋体"/>
          <w:szCs w:val="21"/>
          <w:highlight w:val="white"/>
          <w:lang w:eastAsia="zh-CN"/>
        </w:rPr>
        <w:t>（4）法律法规及中国证监会规定的和《基金合同》约定的其他情形。</w:t>
      </w:r>
    </w:p>
    <w:p w:rsidR="008E1BAB">
      <w:pPr>
        <w:spacing w:line="360" w:lineRule="auto"/>
        <w:ind w:firstLine="420"/>
        <w:rPr>
          <w:rFonts w:ascii="宋体" w:hAnsi="宋体"/>
          <w:szCs w:val="21"/>
          <w:lang w:eastAsia="zh-CN"/>
        </w:rPr>
      </w:pPr>
    </w:p>
    <w:p w:rsidR="008E1BAB">
      <w:pPr>
        <w:spacing w:line="360" w:lineRule="auto"/>
        <w:ind w:firstLine="420"/>
        <w:rPr>
          <w:rFonts w:ascii="宋体" w:hAnsi="宋体"/>
          <w:szCs w:val="21"/>
          <w:lang w:eastAsia="zh-CN"/>
        </w:rPr>
      </w:pPr>
      <w:r>
        <w:rPr>
          <w:rFonts w:ascii="宋体" w:hAnsi="宋体" w:hint="eastAsia"/>
          <w:szCs w:val="21"/>
          <w:highlight w:val="white"/>
          <w:lang w:eastAsia="zh-CN"/>
        </w:rPr>
        <w:t>2.更换基金管理人的程序</w:t>
      </w:r>
    </w:p>
    <w:p w:rsidR="008E1BAB">
      <w:pPr>
        <w:spacing w:line="360" w:lineRule="auto"/>
        <w:ind w:firstLine="420"/>
        <w:rPr>
          <w:lang w:eastAsia="zh-CN"/>
        </w:rPr>
      </w:pPr>
      <w:r>
        <w:rPr>
          <w:rFonts w:ascii="宋体" w:hAnsi="宋体"/>
          <w:szCs w:val="21"/>
          <w:highlight w:val="white"/>
          <w:lang w:eastAsia="zh-CN"/>
        </w:rPr>
        <w:t>（1）提名：新任基金管理人由基金托管人或由单独或合计持有10%以上（含10%）基金份额的基金份额持有人提名；</w:t>
      </w:r>
    </w:p>
    <w:p w:rsidR="008E1BAB">
      <w:pPr>
        <w:spacing w:line="360" w:lineRule="auto"/>
        <w:ind w:firstLine="420"/>
        <w:rPr>
          <w:lang w:eastAsia="zh-CN"/>
        </w:rPr>
      </w:pPr>
      <w:r>
        <w:rPr>
          <w:rFonts w:ascii="宋体" w:hAnsi="宋体"/>
          <w:szCs w:val="21"/>
          <w:highlight w:val="white"/>
          <w:lang w:eastAsia="zh-CN"/>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8E1BAB">
      <w:pPr>
        <w:spacing w:line="360" w:lineRule="auto"/>
        <w:ind w:firstLine="420"/>
        <w:rPr>
          <w:lang w:eastAsia="zh-CN"/>
        </w:rPr>
      </w:pPr>
      <w:r>
        <w:rPr>
          <w:rFonts w:ascii="宋体" w:hAnsi="宋体"/>
          <w:szCs w:val="21"/>
          <w:highlight w:val="white"/>
          <w:lang w:eastAsia="zh-CN"/>
        </w:rPr>
        <w:t>（3）临时基金管理人：新任基金管理人产生之前，由中国证监会指定临时基金管理人；</w:t>
      </w:r>
    </w:p>
    <w:p w:rsidR="008E1BAB">
      <w:pPr>
        <w:spacing w:line="360" w:lineRule="auto"/>
        <w:ind w:firstLine="420"/>
        <w:rPr>
          <w:lang w:eastAsia="zh-CN"/>
        </w:rPr>
      </w:pPr>
      <w:r>
        <w:rPr>
          <w:rFonts w:ascii="宋体" w:hAnsi="宋体"/>
          <w:szCs w:val="21"/>
          <w:highlight w:val="white"/>
          <w:lang w:eastAsia="zh-CN"/>
        </w:rPr>
        <w:t>（4）备案：基金份额持有人大会更换基金管理人的决议须报中国证监会备案；</w:t>
      </w:r>
    </w:p>
    <w:p w:rsidR="008E1BAB">
      <w:pPr>
        <w:spacing w:line="360" w:lineRule="auto"/>
        <w:ind w:firstLine="420"/>
        <w:rPr>
          <w:lang w:eastAsia="zh-CN"/>
        </w:rPr>
      </w:pPr>
      <w:r>
        <w:rPr>
          <w:rFonts w:ascii="宋体" w:hAnsi="宋体"/>
          <w:szCs w:val="21"/>
          <w:highlight w:val="white"/>
          <w:lang w:eastAsia="zh-CN"/>
        </w:rPr>
        <w:t>（5）公告：基金管理人更换后，由基金托管人在更换基金管理人的基金份额持有人大会决议生效后2日内在规定媒介公告；</w:t>
      </w:r>
    </w:p>
    <w:p w:rsidR="008E1BAB">
      <w:pPr>
        <w:spacing w:line="360" w:lineRule="auto"/>
        <w:ind w:firstLine="420"/>
        <w:rPr>
          <w:lang w:eastAsia="zh-CN"/>
        </w:rPr>
      </w:pPr>
      <w:r>
        <w:rPr>
          <w:rFonts w:ascii="宋体" w:hAnsi="宋体"/>
          <w:szCs w:val="21"/>
          <w:highlight w:val="white"/>
          <w:lang w:eastAsia="zh-CN"/>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8E1BAB">
      <w:pPr>
        <w:spacing w:line="360" w:lineRule="auto"/>
        <w:ind w:firstLine="420"/>
        <w:rPr>
          <w:lang w:eastAsia="zh-CN"/>
        </w:rPr>
      </w:pPr>
      <w:r>
        <w:rPr>
          <w:rFonts w:ascii="宋体" w:hAnsi="宋体"/>
          <w:szCs w:val="21"/>
          <w:highlight w:val="white"/>
          <w:lang w:eastAsia="zh-CN"/>
        </w:rPr>
        <w:t>（7）审计：基金管理人职责终止的，应当按照法律法规规定聘请会计师事务所对基金财产进行审计，并将审计结果予以公告，同时报中国证监会备案。审计费用从基金财产中列支；</w:t>
      </w:r>
    </w:p>
    <w:p w:rsidR="008E1BAB">
      <w:pPr>
        <w:spacing w:line="360" w:lineRule="auto"/>
        <w:ind w:firstLine="420"/>
        <w:rPr>
          <w:lang w:eastAsia="zh-CN"/>
        </w:rPr>
      </w:pPr>
      <w:r>
        <w:rPr>
          <w:rFonts w:ascii="宋体" w:hAnsi="宋体"/>
          <w:szCs w:val="21"/>
          <w:highlight w:val="white"/>
          <w:lang w:eastAsia="zh-CN"/>
        </w:rPr>
        <w:t>（8）基金名称变更：基金管理人更换后，如果原任或新任基金管理人要求，应按其要求替换或删除基金名称中与原基金管理人有关的名称字样。</w:t>
      </w:r>
    </w:p>
    <w:p w:rsidR="008E1BAB">
      <w:pPr>
        <w:spacing w:line="360" w:lineRule="auto"/>
        <w:ind w:firstLine="420"/>
        <w:rPr>
          <w:rFonts w:ascii="宋体" w:hAnsi="宋体"/>
          <w:szCs w:val="21"/>
          <w:lang w:eastAsia="zh-CN"/>
        </w:rPr>
      </w:pPr>
    </w:p>
    <w:p w:rsidR="008E1BAB">
      <w:pPr>
        <w:spacing w:line="360" w:lineRule="auto"/>
        <w:ind w:firstLine="420"/>
        <w:rPr>
          <w:rFonts w:ascii="宋体" w:hAnsi="宋体"/>
          <w:szCs w:val="21"/>
          <w:lang w:eastAsia="zh-CN"/>
        </w:rPr>
      </w:pPr>
      <w:r>
        <w:rPr>
          <w:rFonts w:ascii="宋体" w:hAnsi="宋体" w:hint="eastAsia"/>
          <w:szCs w:val="21"/>
          <w:highlight w:val="white"/>
          <w:lang w:eastAsia="zh-CN"/>
        </w:rPr>
        <w:t>3.原任基金管理人职责终止后，新任基金管理人或临时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rsidR="008E1BAB">
      <w:pPr>
        <w:pStyle w:val="21"/>
        <w:keepNext w:val="0"/>
        <w:keepLines w:val="0"/>
        <w:spacing w:before="0" w:after="0" w:line="360" w:lineRule="auto"/>
        <w:ind w:firstLine="309"/>
        <w:rPr>
          <w:rFonts w:ascii="宋体" w:eastAsia="宋体" w:hAnsi="宋体" w:cs="Arial"/>
          <w:b w:val="0"/>
          <w:bCs w:val="0"/>
          <w:sz w:val="21"/>
          <w:szCs w:val="21"/>
          <w:lang w:eastAsia="zh-CN"/>
        </w:rPr>
      </w:pPr>
      <w:bookmarkStart w:id="107" w:name="_Toc382819130"/>
      <w:bookmarkStart w:id="108" w:name="_Toc69134104"/>
      <w:r>
        <w:rPr>
          <w:rFonts w:ascii="宋体" w:eastAsia="宋体" w:hAnsi="宋体" w:cs="Arial" w:hint="eastAsia"/>
          <w:b w:val="0"/>
          <w:bCs w:val="0"/>
          <w:sz w:val="21"/>
          <w:szCs w:val="21"/>
          <w:highlight w:val="white"/>
          <w:lang w:eastAsia="zh-CN"/>
        </w:rPr>
        <w:t>（二）基金托管人的更换</w:t>
      </w:r>
      <w:bookmarkEnd w:id="107"/>
      <w:bookmarkEnd w:id="108"/>
    </w:p>
    <w:p w:rsidR="008E1BAB">
      <w:pPr>
        <w:spacing w:line="360" w:lineRule="auto"/>
        <w:ind w:firstLine="420"/>
        <w:rPr>
          <w:rFonts w:ascii="宋体" w:hAnsi="宋体"/>
          <w:szCs w:val="21"/>
          <w:lang w:eastAsia="zh-CN"/>
        </w:rPr>
      </w:pPr>
      <w:r>
        <w:rPr>
          <w:rFonts w:ascii="宋体" w:hAnsi="宋体" w:hint="eastAsia"/>
          <w:szCs w:val="21"/>
          <w:highlight w:val="white"/>
          <w:lang w:eastAsia="zh-CN"/>
        </w:rPr>
        <w:t>1.基金托管人的更换条件</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有下列情形之一的，基金托管人职责终止：</w:t>
      </w:r>
    </w:p>
    <w:p w:rsidR="008E1BAB">
      <w:pPr>
        <w:spacing w:line="360" w:lineRule="auto"/>
        <w:ind w:firstLine="420"/>
        <w:rPr>
          <w:lang w:eastAsia="zh-CN"/>
        </w:rPr>
      </w:pPr>
      <w:r>
        <w:rPr>
          <w:rFonts w:ascii="宋体" w:hAnsi="宋体"/>
          <w:szCs w:val="21"/>
          <w:highlight w:val="white"/>
          <w:lang w:eastAsia="zh-CN"/>
        </w:rPr>
        <w:t>（1）被依法取消基金托管资格；</w:t>
      </w:r>
    </w:p>
    <w:p w:rsidR="008E1BAB">
      <w:pPr>
        <w:spacing w:line="360" w:lineRule="auto"/>
        <w:ind w:firstLine="420"/>
        <w:rPr>
          <w:lang w:eastAsia="zh-CN"/>
        </w:rPr>
      </w:pPr>
      <w:r>
        <w:rPr>
          <w:rFonts w:ascii="宋体" w:hAnsi="宋体"/>
          <w:szCs w:val="21"/>
          <w:highlight w:val="white"/>
          <w:lang w:eastAsia="zh-CN"/>
        </w:rPr>
        <w:t>（2）被基金份额持有人大会解任；</w:t>
      </w:r>
    </w:p>
    <w:p w:rsidR="008E1BAB">
      <w:pPr>
        <w:spacing w:line="360" w:lineRule="auto"/>
        <w:ind w:firstLine="420"/>
        <w:rPr>
          <w:lang w:eastAsia="zh-CN"/>
        </w:rPr>
      </w:pPr>
      <w:r>
        <w:rPr>
          <w:rFonts w:ascii="宋体" w:hAnsi="宋体"/>
          <w:szCs w:val="21"/>
          <w:highlight w:val="white"/>
          <w:lang w:eastAsia="zh-CN"/>
        </w:rPr>
        <w:t>（3）依法解散、被依法撤销或被依法宣告破产；</w:t>
      </w:r>
    </w:p>
    <w:p w:rsidR="008E1BAB">
      <w:pPr>
        <w:spacing w:line="360" w:lineRule="auto"/>
        <w:ind w:firstLine="420"/>
        <w:rPr>
          <w:lang w:eastAsia="zh-CN"/>
        </w:rPr>
      </w:pPr>
      <w:r>
        <w:rPr>
          <w:rFonts w:ascii="宋体" w:hAnsi="宋体"/>
          <w:szCs w:val="21"/>
          <w:highlight w:val="white"/>
          <w:lang w:eastAsia="zh-CN"/>
        </w:rPr>
        <w:t>（4）法律法规及中国证监会规定的和《基金合同》约定的其他情形。</w:t>
      </w:r>
    </w:p>
    <w:p w:rsidR="008E1BAB">
      <w:pPr>
        <w:spacing w:line="360" w:lineRule="auto"/>
        <w:ind w:firstLine="420"/>
        <w:rPr>
          <w:rFonts w:ascii="宋体" w:hAnsi="宋体"/>
          <w:szCs w:val="21"/>
          <w:lang w:eastAsia="zh-CN"/>
        </w:rPr>
      </w:pPr>
    </w:p>
    <w:p w:rsidR="008E1BAB">
      <w:pPr>
        <w:spacing w:line="360" w:lineRule="auto"/>
        <w:ind w:firstLine="420"/>
        <w:rPr>
          <w:rFonts w:ascii="宋体" w:hAnsi="宋体"/>
          <w:szCs w:val="21"/>
          <w:lang w:eastAsia="zh-CN"/>
        </w:rPr>
      </w:pPr>
      <w:r>
        <w:rPr>
          <w:rFonts w:ascii="宋体" w:hAnsi="宋体" w:hint="eastAsia"/>
          <w:szCs w:val="21"/>
          <w:highlight w:val="white"/>
          <w:lang w:eastAsia="zh-CN"/>
        </w:rPr>
        <w:t>2.更换基金托管人的程序</w:t>
      </w:r>
    </w:p>
    <w:p w:rsidR="008E1BAB">
      <w:pPr>
        <w:spacing w:line="360" w:lineRule="auto"/>
        <w:ind w:firstLine="420"/>
        <w:rPr>
          <w:lang w:eastAsia="zh-CN"/>
        </w:rPr>
      </w:pPr>
      <w:r>
        <w:rPr>
          <w:rFonts w:ascii="宋体" w:hAnsi="宋体"/>
          <w:szCs w:val="21"/>
          <w:highlight w:val="white"/>
          <w:lang w:eastAsia="zh-CN"/>
        </w:rPr>
        <w:t>（1）提名：新任基金托管人由基金管理人或由单独或合计持有10%以上（含10%）基金份额的基金份额持有人提名；</w:t>
      </w:r>
    </w:p>
    <w:p w:rsidR="008E1BAB">
      <w:pPr>
        <w:spacing w:line="360" w:lineRule="auto"/>
        <w:ind w:firstLine="420"/>
        <w:rPr>
          <w:lang w:eastAsia="zh-CN"/>
        </w:rPr>
      </w:pPr>
      <w:r>
        <w:rPr>
          <w:rFonts w:ascii="宋体" w:hAnsi="宋体"/>
          <w:szCs w:val="21"/>
          <w:highlight w:val="white"/>
          <w:lang w:eastAsia="zh-CN"/>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8E1BAB">
      <w:pPr>
        <w:spacing w:line="360" w:lineRule="auto"/>
        <w:ind w:firstLine="420"/>
        <w:rPr>
          <w:lang w:eastAsia="zh-CN"/>
        </w:rPr>
      </w:pPr>
      <w:r>
        <w:rPr>
          <w:rFonts w:ascii="宋体" w:hAnsi="宋体"/>
          <w:szCs w:val="21"/>
          <w:highlight w:val="white"/>
          <w:lang w:eastAsia="zh-CN"/>
        </w:rPr>
        <w:t>（3）临时基金托管人：新任基金托管人产生之前，由中国证监会指定临时基金托管人；</w:t>
      </w:r>
    </w:p>
    <w:p w:rsidR="008E1BAB">
      <w:pPr>
        <w:spacing w:line="360" w:lineRule="auto"/>
        <w:ind w:firstLine="420"/>
        <w:rPr>
          <w:lang w:eastAsia="zh-CN"/>
        </w:rPr>
      </w:pPr>
      <w:r>
        <w:rPr>
          <w:rFonts w:ascii="宋体" w:hAnsi="宋体"/>
          <w:szCs w:val="21"/>
          <w:highlight w:val="white"/>
          <w:lang w:eastAsia="zh-CN"/>
        </w:rPr>
        <w:t>（4）备案：基金份额持有人大会更换基金托管人的决议须报中国证监会备案；</w:t>
      </w:r>
    </w:p>
    <w:p w:rsidR="008E1BAB">
      <w:pPr>
        <w:spacing w:line="360" w:lineRule="auto"/>
        <w:ind w:firstLine="420"/>
        <w:rPr>
          <w:lang w:eastAsia="zh-CN"/>
        </w:rPr>
      </w:pPr>
      <w:r>
        <w:rPr>
          <w:rFonts w:ascii="宋体" w:hAnsi="宋体"/>
          <w:szCs w:val="21"/>
          <w:highlight w:val="white"/>
          <w:lang w:eastAsia="zh-CN"/>
        </w:rPr>
        <w:t>（5）公告：基金托管人更换后，由基金管理人在更换基金托管人的基金份额持有人大会决议生效后2日内在规定媒介公告；</w:t>
      </w:r>
    </w:p>
    <w:p w:rsidR="008E1BAB">
      <w:pPr>
        <w:spacing w:line="360" w:lineRule="auto"/>
        <w:ind w:firstLine="420"/>
        <w:rPr>
          <w:lang w:eastAsia="zh-CN"/>
        </w:rPr>
      </w:pPr>
      <w:r>
        <w:rPr>
          <w:rFonts w:ascii="宋体" w:hAnsi="宋体"/>
          <w:szCs w:val="21"/>
          <w:highlight w:val="white"/>
          <w:lang w:eastAsia="zh-CN"/>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8E1BAB">
      <w:pPr>
        <w:spacing w:line="360" w:lineRule="auto"/>
        <w:ind w:firstLine="420"/>
        <w:rPr>
          <w:lang w:eastAsia="zh-CN"/>
        </w:rPr>
      </w:pPr>
      <w:r>
        <w:rPr>
          <w:rFonts w:ascii="宋体" w:hAnsi="宋体"/>
          <w:szCs w:val="21"/>
          <w:highlight w:val="white"/>
          <w:lang w:eastAsia="zh-CN"/>
        </w:rPr>
        <w:t>（7）审计：基金托管人职责终止的，应当按照法律法规规定聘请会计师事务所对基金财产进行审计，并将审计结果予以公告，同时报中国证监会备案。审计费用从基金财产中列支。</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8E1BAB">
      <w:pPr>
        <w:spacing w:line="360" w:lineRule="auto"/>
        <w:ind w:firstLine="420"/>
        <w:rPr>
          <w:rFonts w:ascii="宋体" w:hAnsi="宋体"/>
          <w:bCs/>
          <w:szCs w:val="21"/>
          <w:lang w:eastAsia="zh-CN"/>
        </w:rPr>
      </w:pPr>
      <w:r>
        <w:rPr>
          <w:rFonts w:ascii="宋体" w:hAnsi="宋体" w:hint="eastAsia"/>
          <w:bCs/>
          <w:szCs w:val="21"/>
          <w:highlight w:val="white"/>
          <w:lang w:eastAsia="zh-CN"/>
        </w:rPr>
        <w:t>（三）基金管理人和基金托管人的同时更换程序</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1.提名：如果基金管理人和基金托管人同时更换，由单独或合计持有基金总份额10%以上（含10%）的基金份额持有人提名新的基金管理人和基金托管人；</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2.基金管理人和基金托管人的更换分别按上述程序进行；</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3.公告：新任基金管理人和新任基金托管人应在更换基金管理人和基金托管人的基金份额持有人大会决议生效后2日内在规定媒介上联合公告。</w:t>
      </w:r>
    </w:p>
    <w:p w:rsidR="008E1BAB">
      <w:pPr>
        <w:spacing w:line="360" w:lineRule="auto"/>
        <w:ind w:firstLine="473"/>
        <w:rPr>
          <w:rFonts w:ascii="宋体" w:hAnsi="宋体"/>
          <w:szCs w:val="21"/>
          <w:lang w:eastAsia="zh-CN"/>
        </w:rPr>
      </w:pPr>
    </w:p>
    <w:p w:rsidR="008E1BAB">
      <w:pPr>
        <w:pStyle w:val="11"/>
        <w:keepNext w:val="0"/>
        <w:keepLines w:val="0"/>
        <w:numPr>
          <w:ilvl w:val="0"/>
          <w:numId w:val="2"/>
        </w:numPr>
        <w:tabs>
          <w:tab w:val="left" w:pos="420"/>
        </w:tabs>
        <w:spacing w:before="360" w:after="360"/>
        <w:rPr>
          <w:rFonts w:ascii="宋体" w:eastAsia="宋体" w:hAnsi="宋体" w:cs="Arial"/>
          <w:sz w:val="21"/>
          <w:szCs w:val="21"/>
        </w:rPr>
      </w:pPr>
      <w:bookmarkStart w:id="109" w:name="_Toc69134105"/>
      <w:r>
        <w:rPr>
          <w:rFonts w:ascii="宋体" w:eastAsia="宋体" w:hAnsi="宋体" w:cs="Arial" w:hint="eastAsia"/>
          <w:sz w:val="21"/>
          <w:szCs w:val="21"/>
          <w:highlight w:val="white"/>
        </w:rPr>
        <w:t>禁止行为</w:t>
      </w:r>
      <w:bookmarkEnd w:id="109"/>
    </w:p>
    <w:p w:rsidR="008E1BAB">
      <w:pPr>
        <w:spacing w:line="360" w:lineRule="auto"/>
        <w:ind w:firstLine="473"/>
        <w:rPr>
          <w:rFonts w:ascii="宋体" w:hAnsi="宋体"/>
          <w:szCs w:val="21"/>
          <w:lang w:eastAsia="zh-CN"/>
        </w:rPr>
      </w:pPr>
      <w:r>
        <w:rPr>
          <w:rFonts w:ascii="宋体" w:hAnsi="宋体" w:hint="eastAsia"/>
          <w:szCs w:val="21"/>
          <w:highlight w:val="white"/>
          <w:lang w:eastAsia="zh-CN"/>
        </w:rPr>
        <w:t>托管协议当事人禁止从事的行为，包括但不限于：</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（一）基金管理人、基金托管人将其固有财产或者他人财产混同于基金财产从事证券投资。</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（二）基金管理人、基金托管人不公平地对待其管理或托管的不同基金财产。</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（三）基金管理人、基金托管人利用基金财产为基金份额持有人以外的第三人牟取利益。</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（四）基金管理人、基金托管人向基金份额持有人违规承诺收益或者承担损失。</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（五）基金管理人、基金托管人对他人泄漏基金经营过程中任何尚未按法律法规规定的方式公开披露的信息。</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（六）基金管理人在没有充足资金的情况下向基金托管人发出投资指令和赎回、分红资金的划拨指令，或违规向基金托管人发出指令。</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（七）基金托管人对基金管理人的符合本协议约定的有效指令拖延或拒绝执行。</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 xml:space="preserve">（八）基金管理人、基金托管人在行政上、财务上不独立，其高级基金管理人员相互兼职。 </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 xml:space="preserve">（九）基金托管人私自动用或处分基金资产，根据基金管理人的合法指令、基金合同或托管协议的规定进行处分的除外。 </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（十）基金管理人、基金托管人不得利用基金财产用于下列投资或者活动：</w:t>
      </w:r>
    </w:p>
    <w:p w:rsidR="008E1BAB">
      <w:pPr>
        <w:spacing w:line="360" w:lineRule="auto"/>
        <w:ind w:firstLine="420"/>
        <w:rPr>
          <w:lang w:eastAsia="zh-CN"/>
        </w:rPr>
      </w:pPr>
      <w:r>
        <w:rPr>
          <w:rFonts w:ascii="宋体" w:hAnsi="宋体"/>
          <w:szCs w:val="21"/>
          <w:highlight w:val="white"/>
          <w:lang w:eastAsia="zh-CN"/>
        </w:rPr>
        <w:t>1.承销证券；</w:t>
      </w:r>
    </w:p>
    <w:p w:rsidR="008E1BAB">
      <w:pPr>
        <w:spacing w:line="360" w:lineRule="auto"/>
        <w:ind w:firstLine="420"/>
        <w:rPr>
          <w:lang w:eastAsia="zh-CN"/>
        </w:rPr>
      </w:pPr>
      <w:r>
        <w:rPr>
          <w:rFonts w:ascii="宋体" w:hAnsi="宋体"/>
          <w:szCs w:val="21"/>
          <w:highlight w:val="white"/>
          <w:lang w:eastAsia="zh-CN"/>
        </w:rPr>
        <w:t>2.违反规定向他人贷款或者提供担保；</w:t>
      </w:r>
    </w:p>
    <w:p w:rsidR="008E1BAB">
      <w:pPr>
        <w:spacing w:line="360" w:lineRule="auto"/>
        <w:ind w:firstLine="420"/>
        <w:rPr>
          <w:lang w:eastAsia="zh-CN"/>
        </w:rPr>
      </w:pPr>
      <w:r>
        <w:rPr>
          <w:rFonts w:ascii="宋体" w:hAnsi="宋体"/>
          <w:szCs w:val="21"/>
          <w:highlight w:val="white"/>
          <w:lang w:eastAsia="zh-CN"/>
        </w:rPr>
        <w:t>3.从事承担无限责任的投资；</w:t>
      </w:r>
    </w:p>
    <w:p w:rsidR="008E1BAB">
      <w:pPr>
        <w:spacing w:line="360" w:lineRule="auto"/>
        <w:ind w:firstLine="420"/>
        <w:rPr>
          <w:lang w:eastAsia="zh-CN"/>
        </w:rPr>
      </w:pPr>
      <w:r>
        <w:rPr>
          <w:rFonts w:ascii="宋体" w:hAnsi="宋体"/>
          <w:szCs w:val="21"/>
          <w:highlight w:val="white"/>
          <w:lang w:eastAsia="zh-CN"/>
        </w:rPr>
        <w:t>4.向其基金管理人、基金托管人出资；</w:t>
      </w:r>
    </w:p>
    <w:p w:rsidR="008E1BAB">
      <w:pPr>
        <w:spacing w:line="360" w:lineRule="auto"/>
        <w:ind w:firstLine="420"/>
        <w:rPr>
          <w:lang w:eastAsia="zh-CN"/>
        </w:rPr>
      </w:pPr>
      <w:r>
        <w:rPr>
          <w:rFonts w:ascii="宋体" w:hAnsi="宋体"/>
          <w:szCs w:val="21"/>
          <w:highlight w:val="white"/>
          <w:lang w:eastAsia="zh-CN"/>
        </w:rPr>
        <w:t>5.从事内幕交易、操纵证券交易价格及其他不正当的证券交易活动；</w:t>
      </w:r>
    </w:p>
    <w:p w:rsidR="008E1BAB">
      <w:pPr>
        <w:spacing w:line="360" w:lineRule="auto"/>
        <w:ind w:firstLine="420"/>
        <w:rPr>
          <w:lang w:eastAsia="zh-CN"/>
        </w:rPr>
      </w:pPr>
      <w:r>
        <w:rPr>
          <w:rFonts w:ascii="宋体" w:hAnsi="宋体"/>
          <w:szCs w:val="21"/>
          <w:highlight w:val="white"/>
          <w:lang w:eastAsia="zh-CN"/>
        </w:rPr>
        <w:t>6.法律、行政法规和中国证监会规定禁止的其他活动。</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十一）法律法规和基金合同禁止的其他行为，以及依照法律法规有关规定，由中国证监会规定禁止基金管理人、基金托管人从事的其他行为。法律、行政法规或监管部门取消或变更上述禁止性规定，基金管理人有权按照法律法规或监管部门调整或修改后的规定执行。</w:t>
      </w:r>
    </w:p>
    <w:p w:rsidR="008E1BAB">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10" w:name="_Toc69134106"/>
      <w:r>
        <w:rPr>
          <w:rFonts w:ascii="宋体" w:eastAsia="宋体" w:hAnsi="宋体" w:cs="Arial" w:hint="eastAsia"/>
          <w:sz w:val="21"/>
          <w:szCs w:val="21"/>
          <w:highlight w:val="white"/>
          <w:lang w:eastAsia="zh-CN"/>
        </w:rPr>
        <w:t>基金托管协议的变更、终止与基金财产的清算</w:t>
      </w:r>
      <w:bookmarkEnd w:id="110"/>
    </w:p>
    <w:p w:rsidR="008E1BAB">
      <w:pPr>
        <w:spacing w:line="360" w:lineRule="auto"/>
        <w:ind w:firstLine="473"/>
        <w:rPr>
          <w:rFonts w:ascii="宋体" w:hAnsi="宋体"/>
          <w:szCs w:val="21"/>
          <w:lang w:eastAsia="zh-CN"/>
        </w:rPr>
      </w:pPr>
      <w:r>
        <w:rPr>
          <w:rFonts w:ascii="宋体" w:hAnsi="宋体"/>
          <w:szCs w:val="21"/>
          <w:highlight w:val="white"/>
          <w:lang w:eastAsia="zh-CN"/>
        </w:rPr>
        <w:t>（一）托管协议的变更与终止</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1.托管协议的变更程序</w:t>
      </w:r>
    </w:p>
    <w:p w:rsidR="008E1BAB">
      <w:pPr>
        <w:spacing w:line="360" w:lineRule="auto"/>
        <w:ind w:firstLine="473"/>
        <w:rPr>
          <w:rFonts w:ascii="宋体" w:hAnsi="宋体"/>
          <w:lang w:eastAsia="zh-CN"/>
        </w:rPr>
      </w:pPr>
      <w:r>
        <w:rPr>
          <w:rFonts w:ascii="宋体" w:hAnsi="宋体" w:hint="eastAsia"/>
          <w:highlight w:val="white"/>
          <w:lang w:eastAsia="zh-CN"/>
        </w:rPr>
        <w:t>本协议双方当事人经协商一致，可以对协议的内容进行变更。变更后的托管协议，其内容不得与《基金合同》的规定有任何冲突。</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2.基金托管协议终止的情形</w:t>
      </w:r>
    </w:p>
    <w:p w:rsidR="008E1BAB">
      <w:pPr>
        <w:spacing w:line="360" w:lineRule="auto"/>
        <w:ind w:firstLine="473"/>
        <w:rPr>
          <w:rFonts w:ascii="宋体" w:hAnsi="宋体"/>
          <w:lang w:eastAsia="zh-CN"/>
        </w:rPr>
      </w:pPr>
      <w:r>
        <w:rPr>
          <w:rFonts w:ascii="宋体" w:hAnsi="宋体" w:hint="eastAsia"/>
          <w:highlight w:val="white"/>
          <w:lang w:eastAsia="zh-CN"/>
        </w:rPr>
        <w:t>发生以下情况，本托管协议终止：</w:t>
      </w:r>
    </w:p>
    <w:p w:rsidR="008E1BAB">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1）《基金合同》终止；</w:t>
      </w:r>
    </w:p>
    <w:p w:rsidR="008E1BAB">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2）基金托管人解散、依法被撤销、破产或有其他基金托管人接管基金资产；</w:t>
      </w:r>
    </w:p>
    <w:p w:rsidR="008E1BAB">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3）基金管理人解散、依法被撤销、破产或有其他基金管理人接管基金管理权；</w:t>
      </w:r>
    </w:p>
    <w:p w:rsidR="008E1BAB">
      <w:pPr>
        <w:spacing w:line="360" w:lineRule="auto"/>
        <w:ind w:firstLine="473"/>
        <w:rPr>
          <w:rFonts w:ascii="宋体" w:hAnsi="宋体"/>
          <w:lang w:eastAsia="zh-CN"/>
        </w:rPr>
      </w:pPr>
      <w:r>
        <w:rPr>
          <w:rFonts w:ascii="宋体" w:hAnsi="宋体" w:hint="eastAsia"/>
          <w:highlight w:val="white"/>
          <w:lang w:eastAsia="zh-CN"/>
        </w:rPr>
        <w:t>（</w:t>
      </w:r>
      <w:r>
        <w:rPr>
          <w:rFonts w:ascii="宋体" w:hAnsi="宋体"/>
          <w:highlight w:val="white"/>
          <w:lang w:eastAsia="zh-CN"/>
        </w:rPr>
        <w:t>4）发生法律法规或《基金合同》规定的终止事项。</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（二）基金财产的清算</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1.基金财产清算小组：自出现《基金合同》终止事由之日起30个工作日内成立清算小组，基金管理人组织基金财产清算小组并在中国证监会的监督下进行基金清算。</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3.基金财产清算小组职责：基金财产清算小组负责基金财产的保管、清理、估价、变现和分配。基金财产清算小组可以依法进行必要的民事活动。</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4.基金财产清算程序：</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（1）《基金合同》终止情形出现时，由基金财产清算小组统一接管基金；</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（2）对基金财产和债权债务进行清理和确认；</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（3）对基金财产进行估值和变现；</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（4）制作清算报告；</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（5）聘请会计师事务所对清算报告进行外部审计，聘请律师事务所对清算报告出具法律意见书；</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（6）将清算报告报中国证监会备案并公告；</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（7）对基金剩余财产进行分配。</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5.基金财产清算的期限为6个月，但因本基金所持证券的流动性受到限制而不能及时变现的，清算期限相应顺延。</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6.清算费用</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清算费用是指基金财产清算小组在进行基金清算过程中发生的所有合理费用，清算费用由基金财产清算小组优先从基金财产中支付。</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7.基金财产清算剩余资产的分配</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8.基金财产清算的公告</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9.基金财产清算账册及文件的保存</w:t>
      </w:r>
    </w:p>
    <w:p w:rsidR="008E1BAB">
      <w:pPr>
        <w:spacing w:line="360" w:lineRule="auto"/>
        <w:ind w:firstLine="473"/>
        <w:rPr>
          <w:rFonts w:ascii="宋体" w:hAnsi="宋体"/>
          <w:szCs w:val="21"/>
          <w:lang w:eastAsia="zh-CN"/>
        </w:rPr>
      </w:pPr>
      <w:r>
        <w:rPr>
          <w:rFonts w:ascii="宋体" w:hAnsi="宋体" w:hint="eastAsia"/>
          <w:szCs w:val="21"/>
          <w:highlight w:val="white"/>
          <w:lang w:eastAsia="zh-CN"/>
        </w:rPr>
        <w:t>基金财产清算账册及有关文件由基金托管人保存20年以上。</w:t>
      </w:r>
    </w:p>
    <w:p w:rsidR="008E1BAB">
      <w:pPr>
        <w:spacing w:line="360" w:lineRule="auto"/>
        <w:ind w:firstLine="473"/>
        <w:rPr>
          <w:rFonts w:ascii="宋体" w:hAnsi="宋体"/>
          <w:szCs w:val="21"/>
          <w:lang w:eastAsia="zh-CN"/>
        </w:rPr>
      </w:pPr>
      <w:r>
        <w:rPr>
          <w:rFonts w:ascii="宋体" w:hAnsi="宋体"/>
          <w:highlight w:val="white"/>
          <w:lang w:eastAsia="zh-CN"/>
        </w:rPr>
        <w:tab/>
      </w:r>
      <w:r>
        <w:rPr>
          <w:rFonts w:ascii="宋体" w:hAnsi="宋体"/>
          <w:highlight w:val="white"/>
          <w:lang w:eastAsia="zh-CN"/>
        </w:rPr>
        <w:tab/>
      </w:r>
    </w:p>
    <w:p w:rsidR="008E1BAB">
      <w:pPr>
        <w:pStyle w:val="11"/>
        <w:keepNext w:val="0"/>
        <w:keepLines w:val="0"/>
        <w:numPr>
          <w:ilvl w:val="0"/>
          <w:numId w:val="2"/>
        </w:numPr>
        <w:tabs>
          <w:tab w:val="left" w:pos="420"/>
        </w:tabs>
        <w:spacing w:before="360" w:after="360"/>
        <w:rPr>
          <w:rFonts w:ascii="宋体" w:eastAsia="宋体" w:hAnsi="宋体" w:cs="Arial"/>
          <w:sz w:val="21"/>
          <w:szCs w:val="21"/>
        </w:rPr>
      </w:pPr>
      <w:bookmarkStart w:id="111" w:name="_Toc69134107"/>
      <w:r>
        <w:rPr>
          <w:rFonts w:ascii="宋体" w:eastAsia="宋体" w:hAnsi="宋体" w:cs="Arial" w:hint="eastAsia"/>
          <w:sz w:val="21"/>
          <w:szCs w:val="21"/>
          <w:highlight w:val="white"/>
        </w:rPr>
        <w:t>违约责任</w:t>
      </w:r>
      <w:bookmarkEnd w:id="111"/>
    </w:p>
    <w:p w:rsidR="008E1BAB">
      <w:pPr>
        <w:spacing w:line="360" w:lineRule="auto"/>
        <w:ind w:firstLine="473"/>
        <w:rPr>
          <w:rFonts w:ascii="宋体" w:hAnsi="宋体"/>
          <w:lang w:eastAsia="zh-CN"/>
        </w:rPr>
      </w:pPr>
      <w:r>
        <w:rPr>
          <w:rFonts w:ascii="宋体" w:hAnsi="宋体" w:hint="eastAsia"/>
          <w:szCs w:val="21"/>
          <w:highlight w:val="white"/>
          <w:lang w:eastAsia="zh-CN"/>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ascii="宋体" w:hAnsi="宋体" w:hint="eastAsia"/>
          <w:highlight w:val="white"/>
          <w:lang w:eastAsia="zh-CN"/>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highlight w:val="white"/>
          <w:lang w:eastAsia="zh-CN"/>
        </w:rPr>
        <w:t>但是发生下列情况，当事人免责：</w:t>
      </w:r>
    </w:p>
    <w:p w:rsidR="008E1BAB">
      <w:pPr>
        <w:spacing w:line="360" w:lineRule="auto"/>
        <w:ind w:firstLine="473"/>
        <w:rPr>
          <w:rFonts w:ascii="宋体" w:hAnsi="宋体"/>
          <w:lang w:eastAsia="zh-CN"/>
        </w:rPr>
      </w:pPr>
      <w:r>
        <w:rPr>
          <w:rFonts w:ascii="宋体" w:hAnsi="宋体"/>
          <w:highlight w:val="white"/>
          <w:lang w:eastAsia="zh-CN"/>
        </w:rPr>
        <w:t>1.不可抗力；</w:t>
      </w:r>
    </w:p>
    <w:p w:rsidR="008E1BAB">
      <w:pPr>
        <w:spacing w:line="360" w:lineRule="auto"/>
        <w:ind w:firstLine="473"/>
        <w:rPr>
          <w:rFonts w:ascii="宋体" w:hAnsi="宋体"/>
          <w:lang w:eastAsia="zh-CN"/>
        </w:rPr>
      </w:pPr>
      <w:r>
        <w:rPr>
          <w:rFonts w:ascii="宋体" w:hAnsi="宋体"/>
          <w:highlight w:val="white"/>
          <w:lang w:eastAsia="zh-CN"/>
        </w:rPr>
        <w:t>2.基金管理人和/或基金托管人按照当时有效的法律法规或中国证监会的规定作为或不作为而造成的损失等；</w:t>
      </w:r>
    </w:p>
    <w:p w:rsidR="008E1BAB">
      <w:pPr>
        <w:spacing w:line="360" w:lineRule="auto"/>
        <w:ind w:firstLine="473"/>
        <w:rPr>
          <w:rFonts w:ascii="宋体" w:hAnsi="宋体"/>
          <w:lang w:eastAsia="zh-CN"/>
        </w:rPr>
      </w:pPr>
      <w:r>
        <w:rPr>
          <w:rFonts w:ascii="宋体" w:hAnsi="宋体"/>
          <w:highlight w:val="white"/>
          <w:lang w:eastAsia="zh-CN"/>
        </w:rPr>
        <w:t>3.基金管理人由于按照基金合同规定的投资原则投资或不投资造成的损失等。</w:t>
      </w:r>
    </w:p>
    <w:p w:rsidR="008E1BAB">
      <w:pPr>
        <w:spacing w:line="360" w:lineRule="auto"/>
        <w:ind w:firstLine="473"/>
        <w:rPr>
          <w:rFonts w:ascii="宋体" w:hAnsi="宋体"/>
          <w:lang w:eastAsia="zh-CN"/>
        </w:rPr>
      </w:pPr>
      <w:r>
        <w:rPr>
          <w:rFonts w:ascii="宋体" w:hAnsi="宋体" w:hint="eastAsia"/>
          <w:szCs w:val="21"/>
          <w:highlight w:val="white"/>
          <w:lang w:eastAsia="zh-CN"/>
        </w:rPr>
        <w:t>（二）</w:t>
      </w:r>
      <w:r>
        <w:rPr>
          <w:rFonts w:ascii="宋体" w:hAnsi="宋体" w:hint="eastAsia"/>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8E1BAB">
      <w:pPr>
        <w:spacing w:line="360" w:lineRule="auto"/>
        <w:ind w:firstLine="473"/>
        <w:rPr>
          <w:rFonts w:ascii="宋体" w:hAnsi="宋体"/>
          <w:lang w:eastAsia="zh-CN"/>
        </w:rPr>
      </w:pPr>
      <w:r>
        <w:rPr>
          <w:rFonts w:ascii="宋体" w:hAnsi="宋体" w:hint="eastAsia"/>
          <w:highlight w:val="white"/>
          <w:lang w:eastAsia="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E1BAB">
      <w:pPr>
        <w:spacing w:line="360" w:lineRule="auto"/>
        <w:ind w:firstLine="473"/>
        <w:rPr>
          <w:rFonts w:ascii="宋体" w:hAnsi="宋体"/>
          <w:szCs w:val="21"/>
          <w:lang w:eastAsia="zh-CN"/>
        </w:rPr>
      </w:pPr>
    </w:p>
    <w:p w:rsidR="008E1BAB">
      <w:pPr>
        <w:spacing w:line="360" w:lineRule="auto"/>
        <w:ind w:firstLine="473"/>
        <w:rPr>
          <w:rFonts w:ascii="宋体" w:hAnsi="宋体"/>
          <w:szCs w:val="21"/>
          <w:lang w:eastAsia="zh-CN"/>
        </w:rPr>
      </w:pPr>
    </w:p>
    <w:p w:rsidR="008E1BAB">
      <w:pPr>
        <w:pStyle w:val="11"/>
        <w:keepNext w:val="0"/>
        <w:keepLines w:val="0"/>
        <w:numPr>
          <w:ilvl w:val="0"/>
          <w:numId w:val="2"/>
        </w:numPr>
        <w:tabs>
          <w:tab w:val="left" w:pos="420"/>
        </w:tabs>
        <w:spacing w:before="360" w:after="360"/>
        <w:rPr>
          <w:rFonts w:ascii="宋体" w:eastAsia="宋体" w:hAnsi="宋体"/>
          <w:b w:val="0"/>
          <w:sz w:val="21"/>
          <w:lang w:eastAsia="zh-CN"/>
        </w:rPr>
      </w:pPr>
      <w:bookmarkStart w:id="112" w:name="_Toc69134108"/>
      <w:r>
        <w:rPr>
          <w:rFonts w:ascii="宋体" w:eastAsia="宋体" w:hAnsi="宋体" w:cs="Arial" w:hint="eastAsia"/>
          <w:sz w:val="21"/>
          <w:szCs w:val="21"/>
          <w:highlight w:val="white"/>
          <w:lang w:eastAsia="zh-CN"/>
        </w:rPr>
        <w:t>适用法律及争议解决方式</w:t>
      </w:r>
      <w:bookmarkEnd w:id="112"/>
    </w:p>
    <w:p w:rsidR="008E1BAB">
      <w:pPr>
        <w:spacing w:line="360" w:lineRule="auto"/>
        <w:ind w:firstLine="420"/>
        <w:rPr>
          <w:rFonts w:ascii="宋体" w:hAnsi="宋体"/>
          <w:lang w:val="zh-CN" w:eastAsia="zh-CN"/>
        </w:rPr>
      </w:pPr>
      <w:r>
        <w:rPr>
          <w:rFonts w:ascii="宋体" w:hAnsi="宋体" w:hint="eastAsia"/>
          <w:highlight w:val="white"/>
          <w:lang w:val="zh-CN" w:eastAsia="zh-CN"/>
        </w:rPr>
        <w:t>（一）</w:t>
      </w:r>
      <w:r>
        <w:rPr>
          <w:rFonts w:ascii="宋体" w:hAnsi="宋体" w:hint="eastAsia"/>
          <w:szCs w:val="21"/>
          <w:highlight w:val="white"/>
          <w:lang w:eastAsia="zh-CN"/>
        </w:rPr>
        <w:t>本协议适用中华人民共和国法律（为本协议之目的，在此不包括香港、澳门特别行政区和台湾地区法律），并从其解释。</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二）相关各方当事人同意，因本协议而产生的或与本协议有关的一切争议，除经友好协商可以解决的，应提交上海国际经济贸易仲裁委员会，根据该会届时有效的仲裁规则进行仲裁，仲裁的地点在上海市，仲裁裁决是终局性的并对相关各方均有约束力。除非仲裁裁决另有决定，仲裁费用由败诉方承担。</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争议处理期间，相关各方当事人应恪守基金管理人和基金托管人职责，继续忠实、勤勉、尽责地履行《基金合同》和本托管协议规定的义务，维护基金份额持有人的合法权益。</w:t>
      </w:r>
    </w:p>
    <w:p w:rsidR="008E1BAB">
      <w:pPr>
        <w:pStyle w:val="11"/>
        <w:keepNext w:val="0"/>
        <w:keepLines w:val="0"/>
        <w:numPr>
          <w:ilvl w:val="0"/>
          <w:numId w:val="2"/>
        </w:numPr>
        <w:tabs>
          <w:tab w:val="left" w:pos="420"/>
        </w:tabs>
        <w:spacing w:before="360" w:after="360"/>
        <w:rPr>
          <w:rFonts w:ascii="宋体" w:eastAsia="宋体" w:hAnsi="宋体" w:cs="Arial"/>
          <w:sz w:val="21"/>
          <w:szCs w:val="21"/>
          <w:lang w:eastAsia="zh-CN"/>
        </w:rPr>
      </w:pPr>
      <w:bookmarkStart w:id="113" w:name="_Toc69134109"/>
      <w:r>
        <w:rPr>
          <w:rFonts w:ascii="宋体" w:eastAsia="宋体" w:hAnsi="宋体" w:cs="Arial" w:hint="eastAsia"/>
          <w:sz w:val="21"/>
          <w:szCs w:val="21"/>
          <w:highlight w:val="white"/>
          <w:lang w:eastAsia="zh-CN"/>
        </w:rPr>
        <w:t>基金托管协议的效力和文本</w:t>
      </w:r>
      <w:bookmarkEnd w:id="113"/>
    </w:p>
    <w:p w:rsidR="008E1BAB">
      <w:pPr>
        <w:pStyle w:val="BodyTextIndent"/>
        <w:rPr>
          <w:rFonts w:ascii="宋体" w:hAnsi="宋体"/>
          <w:szCs w:val="21"/>
          <w:lang w:eastAsia="zh-CN"/>
        </w:rPr>
      </w:pPr>
      <w:r>
        <w:rPr>
          <w:rFonts w:ascii="宋体" w:hAnsi="宋体" w:hint="eastAsia"/>
          <w:szCs w:val="21"/>
          <w:highlight w:val="white"/>
          <w:lang w:eastAsia="zh-CN"/>
        </w:rPr>
        <w:t>（一）</w:t>
      </w:r>
      <w:r>
        <w:rPr>
          <w:rFonts w:ascii="宋体" w:hAnsi="宋体" w:cs="Arial" w:hint="eastAsia"/>
          <w:szCs w:val="21"/>
          <w:highlight w:val="white"/>
          <w:lang w:eastAsia="zh-CN"/>
        </w:rPr>
        <w:t>本协议经基金管理人、基金托管人双方法定代表人或授权代理人签字（或盖章）并加盖公章（或合同专用章）后成立</w:t>
      </w:r>
      <w:r>
        <w:rPr>
          <w:rFonts w:ascii="宋体" w:hAnsi="宋体" w:hint="eastAsia"/>
          <w:szCs w:val="21"/>
          <w:highlight w:val="white"/>
          <w:lang w:eastAsia="zh-CN"/>
        </w:rPr>
        <w:t>。本协议以中国证监会注册的文本为正式文本。</w:t>
      </w:r>
    </w:p>
    <w:p w:rsidR="008E1BAB">
      <w:pPr>
        <w:pStyle w:val="BodyTextIndent"/>
        <w:rPr>
          <w:rFonts w:ascii="宋体" w:hAnsi="宋体"/>
          <w:szCs w:val="21"/>
          <w:lang w:eastAsia="zh-CN"/>
        </w:rPr>
      </w:pPr>
      <w:r>
        <w:rPr>
          <w:rFonts w:ascii="宋体" w:hAnsi="宋体" w:hint="eastAsia"/>
          <w:szCs w:val="21"/>
          <w:highlight w:val="white"/>
          <w:lang w:eastAsia="zh-CN"/>
        </w:rPr>
        <w:t>（二）本协议自《基金合同》生效之日起生效，有效期自其生效之日起至该基金财产清算结果报中国证监会备案并公告之日止。</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（三）本协议自生效之日起对各当事人具有同等的法律约束力。</w:t>
      </w:r>
    </w:p>
    <w:p w:rsidR="008E1BAB">
      <w:pPr>
        <w:spacing w:line="360" w:lineRule="auto"/>
        <w:ind w:firstLine="420"/>
        <w:rPr>
          <w:rFonts w:ascii="宋体" w:hAnsi="宋体"/>
          <w:szCs w:val="21"/>
          <w:lang w:eastAsia="zh-CN"/>
        </w:rPr>
      </w:pPr>
      <w:r>
        <w:rPr>
          <w:rFonts w:ascii="宋体" w:hAnsi="宋体" w:hint="eastAsia"/>
          <w:szCs w:val="21"/>
          <w:highlight w:val="white"/>
          <w:lang w:eastAsia="zh-CN"/>
        </w:rPr>
        <w:t>（四）本协议一式三份，除上报有关监管机构一份外，基金管理人和基金托管人分别持一份，每份具有同等的法律效力。</w:t>
      </w:r>
    </w:p>
    <w:p w:rsidR="008E1BAB">
      <w:pPr>
        <w:pStyle w:val="11"/>
        <w:keepNext w:val="0"/>
        <w:keepLines w:val="0"/>
        <w:numPr>
          <w:ilvl w:val="0"/>
          <w:numId w:val="2"/>
        </w:numPr>
        <w:tabs>
          <w:tab w:val="left" w:pos="420"/>
        </w:tabs>
        <w:spacing w:before="360" w:after="360"/>
        <w:rPr>
          <w:rFonts w:ascii="宋体" w:eastAsia="宋体" w:hAnsi="宋体" w:cs="Arial"/>
          <w:sz w:val="21"/>
          <w:szCs w:val="21"/>
        </w:rPr>
      </w:pPr>
      <w:bookmarkStart w:id="114" w:name="_Toc69134110"/>
      <w:r>
        <w:rPr>
          <w:rFonts w:ascii="宋体" w:eastAsia="宋体" w:hAnsi="宋体" w:cs="Arial" w:hint="eastAsia"/>
          <w:sz w:val="21"/>
          <w:szCs w:val="21"/>
          <w:highlight w:val="white"/>
        </w:rPr>
        <w:t>其他事项</w:t>
      </w:r>
      <w:bookmarkEnd w:id="114"/>
    </w:p>
    <w:p w:rsidR="008E1BAB">
      <w:pPr>
        <w:pStyle w:val="BodyTextIndent"/>
        <w:rPr>
          <w:rFonts w:ascii="宋体" w:hAnsi="宋体"/>
          <w:szCs w:val="21"/>
          <w:lang w:eastAsia="zh-CN"/>
        </w:rPr>
      </w:pPr>
      <w:r>
        <w:rPr>
          <w:rFonts w:ascii="宋体" w:hAnsi="宋体" w:hint="eastAsia"/>
          <w:szCs w:val="21"/>
          <w:highlight w:val="white"/>
          <w:lang w:eastAsia="zh-CN"/>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rsidR="008E1BAB">
      <w:pPr>
        <w:pStyle w:val="BodyTextIndent"/>
        <w:rPr>
          <w:rFonts w:ascii="宋体" w:hAnsi="宋体"/>
          <w:szCs w:val="21"/>
          <w:lang w:eastAsia="zh-CN"/>
        </w:rPr>
      </w:pPr>
      <w:r>
        <w:rPr>
          <w:rFonts w:ascii="宋体" w:hAnsi="宋体" w:hint="eastAsia"/>
          <w:szCs w:val="21"/>
          <w:highlight w:val="white"/>
          <w:lang w:eastAsia="zh-CN"/>
        </w:rPr>
        <w:t>（二）反洗钱义务</w:t>
      </w:r>
    </w:p>
    <w:p w:rsidR="008E1BAB">
      <w:pPr>
        <w:pStyle w:val="BodyTextIndent"/>
        <w:rPr>
          <w:lang w:eastAsia="zh-CN"/>
        </w:rPr>
      </w:pPr>
      <w:r>
        <w:rPr>
          <w:rFonts w:ascii="宋体" w:hAnsi="宋体" w:hint="eastAsia"/>
          <w:szCs w:val="21"/>
          <w:highlight w:val="white"/>
          <w:lang w:eastAsia="zh-CN"/>
        </w:rPr>
        <w:t>基金管理人承诺自愿遵守反洗钱法律法规，不参与涉嫌洗钱、扩散融资等违法犯罪活动；主动配合基金托管人进行客户身份识别与尽职调查，在法律法规允许的范围内提供真实、准确、完整客户资料，遵守各方反洗钱相关管理规定。如基金管理人信息（包括但不限于名称、法定代表人、住所、经营范围等）发生变化时，应当及时告知基金托管人。对具备合理理由怀疑涉嫌洗钱的客户，任何一方有权按照中国人民银行反洗钱监管规定采取必要管控措施。</w:t>
      </w:r>
    </w:p>
    <w:p w:rsidR="008E1BAB">
      <w:pPr>
        <w:pStyle w:val="BodyTextIndent"/>
        <w:rPr>
          <w:lang w:eastAsia="zh-CN"/>
        </w:rPr>
      </w:pPr>
      <w:r>
        <w:rPr>
          <w:rFonts w:ascii="宋体" w:hAnsi="宋体" w:hint="eastAsia"/>
          <w:szCs w:val="21"/>
          <w:highlight w:val="white"/>
          <w:lang w:eastAsia="zh-CN"/>
        </w:rPr>
        <w:t>基金管理人确认并同意，基金托管人有权根据适用的反洗钱法律法规规定及内部管理要求对基金管理人及本协议项下合作所涉及的交易等进行洗钱风险评估，若基金管理人违反银行反洗钱管理规定，或基金托管人具备合理理由怀疑基金管理人及/或本协议项下业务涉嫌参与联合国安理会、反洗钱金融行动特别工作组、中国、美国、欧盟、英国、新加坡等国际组织或国家认定的洗钱、 制裁、恐怖融资或大规模杀伤性武器扩散融资活动、出口管制、或逃税等违法违规行为的，基金托管人有权按照中国人民银行反洗钱监管规定等规定及内部管理规定等采取必要的管控措施。同时，基金托管人在基金管理人违反前述反洗钱管理规定时，有权书面通知基金管理人，限制、暂停本协议项下全部或部分业务，有权终止本协议，并有权要求基金管理人承担因此给基金托管人造成的直接损失。</w:t>
      </w:r>
    </w:p>
    <w:p w:rsidR="008E1BAB">
      <w:pPr>
        <w:pStyle w:val="BodyTextIndent"/>
        <w:rPr>
          <w:rFonts w:ascii="宋体" w:hAnsi="宋体"/>
          <w:szCs w:val="21"/>
          <w:lang w:eastAsia="zh-CN"/>
        </w:rPr>
      </w:pPr>
      <w:r>
        <w:rPr>
          <w:rFonts w:ascii="宋体" w:hAnsi="宋体" w:hint="eastAsia"/>
          <w:szCs w:val="21"/>
          <w:highlight w:val="white"/>
          <w:lang w:eastAsia="zh-CN"/>
        </w:rPr>
        <w:t>（三）本协议未尽事宜，当事人依据《基金合同》以及有关法律、法规和规定协商办理。</w:t>
      </w:r>
    </w:p>
    <w:p w:rsidR="008E1BAB">
      <w:pPr>
        <w:pStyle w:val="BodyTextIndent"/>
        <w:ind w:firstLine="0"/>
        <w:rPr>
          <w:rFonts w:ascii="宋体" w:hAnsi="宋体"/>
          <w:szCs w:val="21"/>
          <w:lang w:eastAsia="zh-CN"/>
        </w:rPr>
      </w:pPr>
      <w:r>
        <w:rPr>
          <w:rFonts w:ascii="宋体" w:hAnsi="宋体" w:hint="eastAsia"/>
          <w:szCs w:val="21"/>
          <w:highlight w:val="white"/>
          <w:lang w:eastAsia="zh-CN"/>
        </w:rPr>
        <w:t>（以下无正文）</w:t>
      </w:r>
    </w:p>
    <w:p w:rsidR="008E1BAB">
      <w:pPr>
        <w:widowControl/>
        <w:spacing w:beforeAutospacing="1" w:line="360" w:lineRule="auto"/>
        <w:jc w:val="left"/>
        <w:rPr>
          <w:rFonts w:ascii="宋体" w:hAnsi="宋体"/>
          <w:szCs w:val="21"/>
          <w:lang w:val="zh-CN" w:eastAsia="zh-CN"/>
        </w:rPr>
        <w:sectPr>
          <w:footerReference w:type="default" r:id="rId7"/>
          <w:pgSz w:w="11906" w:h="16838"/>
          <w:pgMar w:top="1440" w:right="1800" w:bottom="1440" w:left="1800" w:header="851" w:footer="992" w:gutter="0"/>
          <w:pgNumType w:start="1"/>
          <w:cols w:space="720"/>
          <w:docGrid w:type="lines" w:linePitch="312"/>
        </w:sectPr>
      </w:pPr>
    </w:p>
    <w:p w:rsidR="008E1BAB">
      <w:pPr>
        <w:spacing w:after="120" w:line="360" w:lineRule="auto"/>
        <w:ind w:firstLine="422"/>
        <w:rPr>
          <w:rFonts w:ascii="宋体" w:hAnsi="宋体"/>
          <w:b/>
          <w:lang w:eastAsia="zh-CN"/>
        </w:rPr>
      </w:pPr>
      <w:r>
        <w:rPr>
          <w:rFonts w:ascii="宋体" w:hAnsi="宋体" w:hint="eastAsia"/>
          <w:b/>
          <w:szCs w:val="21"/>
          <w:highlight w:val="white"/>
          <w:lang w:eastAsia="zh-CN"/>
        </w:rPr>
        <w:t>（本页为</w:t>
      </w:r>
      <w:r>
        <w:rPr>
          <w:rFonts w:ascii="宋体" w:hAnsi="宋体" w:hint="eastAsia"/>
          <w:b/>
          <w:szCs w:val="21"/>
          <w:lang w:eastAsia="zh-CN"/>
        </w:rPr>
        <w:t>易方达上证科创板人工智能交易型开放式指数证券投资基金联接基金</w:t>
      </w:r>
      <w:r>
        <w:rPr>
          <w:rFonts w:ascii="宋体" w:hAnsi="宋体" w:hint="eastAsia"/>
          <w:b/>
          <w:szCs w:val="21"/>
          <w:highlight w:val="white"/>
          <w:lang w:eastAsia="zh-CN"/>
        </w:rPr>
        <w:t>托管协议签署页</w:t>
      </w:r>
      <w:r>
        <w:rPr>
          <w:rFonts w:ascii="宋体" w:hAnsi="宋体" w:hint="eastAsia"/>
          <w:b/>
          <w:highlight w:val="white"/>
          <w:lang w:eastAsia="zh-CN"/>
        </w:rPr>
        <w:t>，无正文）</w:t>
      </w:r>
    </w:p>
    <w:p w:rsidR="008E1BAB">
      <w:pPr>
        <w:spacing w:line="360" w:lineRule="auto"/>
        <w:ind w:right="26"/>
        <w:rPr>
          <w:rFonts w:ascii="宋体" w:hAnsi="宋体"/>
          <w:b/>
          <w:bCs/>
          <w:szCs w:val="21"/>
          <w:lang w:eastAsia="zh-CN"/>
        </w:rPr>
      </w:pPr>
    </w:p>
    <w:p w:rsidR="008E1BAB">
      <w:pPr>
        <w:spacing w:line="360" w:lineRule="auto"/>
        <w:ind w:right="26"/>
        <w:rPr>
          <w:rFonts w:ascii="宋体" w:hAnsi="宋体"/>
          <w:b/>
          <w:szCs w:val="21"/>
          <w:lang w:eastAsia="zh-CN"/>
        </w:rPr>
      </w:pPr>
      <w:r>
        <w:rPr>
          <w:rFonts w:ascii="宋体" w:hAnsi="宋体" w:hint="eastAsia"/>
          <w:b/>
          <w:bCs/>
          <w:szCs w:val="21"/>
          <w:highlight w:val="white"/>
          <w:lang w:eastAsia="zh-CN"/>
        </w:rPr>
        <w:t xml:space="preserve">    </w:t>
      </w:r>
      <w:r>
        <w:rPr>
          <w:rFonts w:ascii="宋体" w:hAnsi="宋体" w:hint="eastAsia"/>
          <w:b/>
          <w:szCs w:val="21"/>
          <w:highlight w:val="white"/>
          <w:lang w:eastAsia="zh-CN"/>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rsidR="008E1BAB">
      <w:pPr>
        <w:spacing w:line="360" w:lineRule="auto"/>
        <w:ind w:right="26"/>
        <w:rPr>
          <w:rFonts w:ascii="宋体" w:hAnsi="宋体"/>
          <w:szCs w:val="21"/>
          <w:lang w:eastAsia="zh-CN"/>
        </w:rPr>
      </w:pPr>
    </w:p>
    <w:p w:rsidR="008E1BAB">
      <w:pPr>
        <w:spacing w:line="360" w:lineRule="auto"/>
        <w:ind w:right="26"/>
        <w:rPr>
          <w:rFonts w:ascii="宋体" w:hAnsi="宋体"/>
          <w:szCs w:val="21"/>
          <w:lang w:eastAsia="zh-CN"/>
        </w:rPr>
      </w:pPr>
    </w:p>
    <w:p w:rsidR="008E1BAB">
      <w:pPr>
        <w:spacing w:line="360" w:lineRule="auto"/>
        <w:ind w:right="26"/>
        <w:rPr>
          <w:rFonts w:ascii="宋体" w:hAnsi="宋体"/>
          <w:szCs w:val="21"/>
          <w:lang w:eastAsia="zh-CN"/>
        </w:rPr>
      </w:pPr>
    </w:p>
    <w:p w:rsidR="008E1BAB">
      <w:pPr>
        <w:spacing w:line="360" w:lineRule="auto"/>
        <w:ind w:right="26"/>
        <w:rPr>
          <w:rFonts w:ascii="宋体" w:hAnsi="宋体"/>
          <w:szCs w:val="21"/>
          <w:lang w:eastAsia="zh-CN"/>
        </w:rPr>
      </w:pPr>
    </w:p>
    <w:p w:rsidR="008E1BAB">
      <w:pPr>
        <w:spacing w:line="360" w:lineRule="auto"/>
        <w:ind w:right="26"/>
        <w:rPr>
          <w:rFonts w:ascii="宋体" w:hAnsi="宋体"/>
          <w:szCs w:val="21"/>
          <w:lang w:eastAsia="zh-CN"/>
        </w:rPr>
      </w:pPr>
      <w:r>
        <w:rPr>
          <w:rFonts w:ascii="宋体" w:hAnsi="宋体" w:hint="eastAsia"/>
          <w:b/>
          <w:bCs/>
          <w:szCs w:val="21"/>
          <w:highlight w:val="white"/>
          <w:lang w:eastAsia="zh-CN"/>
        </w:rPr>
        <w:t>基金管理人（公章或合同专用章）             基金托管人（公章或合同专用章）</w:t>
      </w:r>
    </w:p>
    <w:p w:rsidR="008E1BAB">
      <w:pPr>
        <w:spacing w:line="360" w:lineRule="auto"/>
        <w:ind w:right="26"/>
        <w:rPr>
          <w:rFonts w:ascii="宋体" w:hAnsi="宋体"/>
          <w:szCs w:val="21"/>
          <w:lang w:eastAsia="zh-CN"/>
        </w:rPr>
      </w:pPr>
    </w:p>
    <w:p w:rsidR="008E1BAB">
      <w:pPr>
        <w:spacing w:line="360" w:lineRule="auto"/>
        <w:ind w:right="-17"/>
        <w:rPr>
          <w:rFonts w:ascii="宋体" w:hAnsi="宋体"/>
          <w:b/>
          <w:bCs/>
          <w:szCs w:val="21"/>
          <w:lang w:eastAsia="zh-CN"/>
        </w:rPr>
      </w:pPr>
      <w:r>
        <w:rPr>
          <w:rFonts w:ascii="宋体" w:hAnsi="宋体" w:hint="eastAsia"/>
          <w:b/>
          <w:bCs/>
          <w:szCs w:val="21"/>
          <w:highlight w:val="white"/>
          <w:lang w:eastAsia="zh-CN"/>
        </w:rPr>
        <w:t>法定代表人或授权代理人                     法定代表人或授权代理人</w:t>
      </w:r>
    </w:p>
    <w:p w:rsidR="008E1BAB">
      <w:pPr>
        <w:spacing w:line="360" w:lineRule="auto"/>
        <w:ind w:right="-17"/>
        <w:rPr>
          <w:rFonts w:ascii="宋体" w:hAnsi="宋体"/>
          <w:b/>
          <w:bCs/>
          <w:szCs w:val="21"/>
          <w:lang w:eastAsia="zh-CN"/>
        </w:rPr>
      </w:pPr>
      <w:r>
        <w:rPr>
          <w:rFonts w:ascii="宋体" w:hAnsi="宋体" w:hint="eastAsia"/>
          <w:b/>
          <w:bCs/>
          <w:szCs w:val="21"/>
          <w:highlight w:val="white"/>
          <w:lang w:eastAsia="zh-CN"/>
        </w:rPr>
        <w:t>（签字或盖章）                           （签字或盖章）</w:t>
      </w:r>
    </w:p>
    <w:p w:rsidR="008E1BAB">
      <w:pPr>
        <w:rPr>
          <w:rFonts w:ascii="宋体" w:hAnsi="宋体"/>
          <w:lang w:eastAsia="zh-CN"/>
        </w:rPr>
      </w:pPr>
    </w:p>
    <w:p w:rsidR="008E1BAB">
      <w:pPr>
        <w:rPr>
          <w:rFonts w:ascii="宋体" w:hAnsi="宋体"/>
          <w:lang w:eastAsia="zh-CN"/>
        </w:rPr>
      </w:pPr>
    </w:p>
    <w:sectPr>
      <w:footerReference w:type="default" r:id="rI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1BAB">
    <w:pPr>
      <w:pStyle w:val="1"/>
      <w:snapToGrid/>
      <w:jc w:val="center"/>
    </w:pPr>
  </w:p>
  <w:p w:rsidR="008E1BAB">
    <w:pPr>
      <w:pStyle w:val="1"/>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9799649"/>
      <w:placeholder>
        <w:docPart w:val="d8343e63257d4fa1afa108ed5d270192"/>
      </w:placeholder>
      <w:richText/>
    </w:sdtPr>
    <w:sdtContent>
      <w:p w:rsidR="008E1BAB">
        <w:pPr>
          <w:pStyle w:val="1"/>
          <w:snapToGrid/>
          <w:jc w:val="center"/>
        </w:pPr>
        <w:r>
          <w:fldChar w:fldCharType="begin"/>
        </w:r>
        <w:r>
          <w:rPr>
            <w:highlight w:val="white"/>
          </w:rPr>
          <w:instrText>PAGE   \* MERGEFORMAT</w:instrText>
        </w:r>
        <w:r>
          <w:fldChar w:fldCharType="separate"/>
        </w:r>
        <w:r w:rsidRPr="00651990" w:rsidR="00651990">
          <w:rPr>
            <w:noProof/>
            <w:highlight w:val="white"/>
            <w:lang w:val="zh-CN"/>
          </w:rPr>
          <w:t>35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1BAB">
    <w:pPr>
      <w:pStyle w:val="1"/>
      <w:snapToGrid/>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EAF852"/>
    <w:multiLevelType w:val="hybridMultilevel"/>
    <w:tmpl w:val="00000000"/>
    <w:lvl w:ilvl="0">
      <w:start w:val="1"/>
      <w:numFmt w:val="chineseCountingThousand"/>
      <w:pStyle w:val="11"/>
      <w:lvlText w:val="第%1章  "/>
      <w:lvlJc w:val="left"/>
      <w:pPr>
        <w:tabs>
          <w:tab w:val="left" w:pos="1922"/>
        </w:tabs>
        <w:snapToGrid/>
        <w:ind w:left="0" w:firstLine="482"/>
      </w:pPr>
      <w:rPr>
        <w:rFonts w:hint="eastAsia"/>
      </w:rPr>
    </w:lvl>
    <w:lvl w:ilvl="1">
      <w:start w:val="1"/>
      <w:numFmt w:val="chineseCountingThousand"/>
      <w:lvlText w:val="第%2节  "/>
      <w:lvlJc w:val="left"/>
      <w:pPr>
        <w:tabs>
          <w:tab w:val="left" w:pos="1922"/>
        </w:tabs>
        <w:snapToGrid/>
        <w:ind w:left="0" w:firstLine="482"/>
      </w:pPr>
      <w:rPr>
        <w:rFonts w:hint="eastAsia"/>
      </w:rPr>
    </w:lvl>
    <w:lvl w:ilvl="2">
      <w:start w:val="1"/>
      <w:numFmt w:val="chineseCountingThousand"/>
      <w:suff w:val="nothing"/>
      <w:lvlText w:val="%3、"/>
      <w:lvlJc w:val="left"/>
      <w:pPr>
        <w:snapToGrid/>
        <w:ind w:left="0" w:firstLine="482"/>
      </w:pPr>
      <w:rPr>
        <w:rFonts w:ascii="黑体" w:eastAsia="黑体" w:hint="eastAsia"/>
        <w:b/>
        <w:i w:val="0"/>
        <w:sz w:val="24"/>
      </w:rPr>
    </w:lvl>
    <w:lvl w:ilvl="3">
      <w:start w:val="1"/>
      <w:numFmt w:val="chineseCountingThousand"/>
      <w:suff w:val="nothing"/>
      <w:lvlText w:val="(%4)"/>
      <w:lvlJc w:val="left"/>
      <w:pPr>
        <w:snapToGrid/>
        <w:ind w:left="0" w:firstLine="482"/>
      </w:pPr>
      <w:rPr>
        <w:rFonts w:ascii="仿宋_GB2312" w:eastAsia="仿宋_GB2312" w:hint="eastAsia"/>
        <w:b w:val="0"/>
        <w:i w:val="0"/>
        <w:sz w:val="24"/>
      </w:rPr>
    </w:lvl>
    <w:lvl w:ilvl="4">
      <w:start w:val="1"/>
      <w:numFmt w:val="decimal"/>
      <w:suff w:val="nothing"/>
      <w:lvlText w:val="%5."/>
      <w:lvlJc w:val="left"/>
      <w:pPr>
        <w:snapToGrid/>
        <w:ind w:left="0" w:firstLine="527"/>
      </w:pPr>
      <w:rPr>
        <w:rFonts w:ascii="仿宋_GB2312" w:eastAsia="仿宋_GB2312" w:hint="eastAsia"/>
        <w:b w:val="0"/>
        <w:i w:val="0"/>
        <w:sz w:val="24"/>
      </w:rPr>
    </w:lvl>
    <w:lvl w:ilvl="5">
      <w:start w:val="1"/>
      <w:numFmt w:val="decimal"/>
      <w:suff w:val="nothing"/>
      <w:lvlText w:val="(%6)"/>
      <w:lvlJc w:val="left"/>
      <w:pPr>
        <w:snapToGrid/>
        <w:ind w:left="0" w:firstLine="482"/>
      </w:pPr>
      <w:rPr>
        <w:rFonts w:ascii="仿宋_GB2312" w:eastAsia="仿宋_GB2312" w:hint="eastAsia"/>
        <w:b w:val="0"/>
        <w:i w:val="0"/>
        <w:sz w:val="24"/>
      </w:rPr>
    </w:lvl>
    <w:lvl w:ilvl="6">
      <w:start w:val="1"/>
      <w:numFmt w:val="bullet"/>
      <w:lvlText w:val="①"/>
      <w:lvlJc w:val="left"/>
      <w:pPr>
        <w:tabs>
          <w:tab w:val="left" w:pos="2835"/>
        </w:tabs>
        <w:snapToGrid/>
        <w:ind w:left="2835" w:hanging="426"/>
      </w:pPr>
      <w:rPr>
        <w:rFonts w:ascii="宋体" w:eastAsia="宋体" w:hint="eastAsia"/>
      </w:rPr>
    </w:lvl>
    <w:lvl w:ilvl="7">
      <w:start w:val="1"/>
      <w:numFmt w:val="lowerLetter"/>
      <w:lvlText w:val="%8."/>
      <w:lvlJc w:val="left"/>
      <w:pPr>
        <w:tabs>
          <w:tab w:val="left" w:pos="3260"/>
        </w:tabs>
        <w:snapToGrid/>
        <w:ind w:left="3260" w:hanging="425"/>
      </w:pPr>
      <w:rPr>
        <w:rFonts w:hint="eastAsia"/>
      </w:rPr>
    </w:lvl>
    <w:lvl w:ilvl="8">
      <w:start w:val="1"/>
      <w:numFmt w:val="lowerRoman"/>
      <w:lvlText w:val="%9."/>
      <w:lvlJc w:val="left"/>
      <w:pPr>
        <w:tabs>
          <w:tab w:val="left" w:pos="3685"/>
        </w:tabs>
        <w:snapToGrid/>
        <w:ind w:left="3685" w:hanging="425"/>
      </w:pPr>
      <w:rPr>
        <w:rFonts w:hint="eastAsia"/>
      </w:rPr>
    </w:lvl>
  </w:abstractNum>
  <w:abstractNum w:abstractNumId="1">
    <w:nsid w:val="5B4B015E"/>
    <w:multiLevelType w:val="hybridMultilevel"/>
    <w:tmpl w:val="00000000"/>
    <w:lvl w:ilvl="0">
      <w:start w:val="1"/>
      <w:numFmt w:val="chineseCountingThousand"/>
      <w:suff w:val="nothing"/>
      <w:lvlText w:val="%1、"/>
      <w:lvlJc w:val="center"/>
      <w:pPr>
        <w:snapToGrid/>
        <w:ind w:left="-288" w:firstLine="288"/>
      </w:pPr>
      <w:rPr>
        <w:rFonts w:hint="eastAsia"/>
        <w:b/>
        <w:sz w:val="21"/>
        <w:szCs w:val="21"/>
        <w:lang w:val="en-US"/>
      </w:rPr>
    </w:lvl>
    <w:lvl w:ilvl="1">
      <w:start w:val="1"/>
      <w:numFmt w:val="chineseCounting"/>
      <w:lvlText w:val="（%2）"/>
      <w:lvlJc w:val="left"/>
      <w:pPr>
        <w:tabs>
          <w:tab w:val="left" w:pos="720"/>
        </w:tabs>
        <w:snapToGrid/>
        <w:ind w:left="720" w:hanging="720"/>
      </w:pPr>
      <w:rPr>
        <w:rFonts w:hint="default"/>
      </w:rPr>
    </w:lvl>
    <w:lvl w:ilvl="2">
      <w:start w:val="1"/>
      <w:numFmt w:val="decimal"/>
      <w:lvlText w:val="%3."/>
      <w:lvlJc w:val="left"/>
      <w:pPr>
        <w:tabs>
          <w:tab w:val="left" w:pos="360"/>
        </w:tabs>
        <w:snapToGrid/>
        <w:ind w:left="0" w:firstLine="0"/>
      </w:pPr>
      <w:rPr>
        <w:rFonts w:hint="eastAsia"/>
      </w:rPr>
    </w:lvl>
    <w:lvl w:ilvl="3">
      <w:start w:val="1"/>
      <w:numFmt w:val="decimal"/>
      <w:lvlText w:val="（%4）"/>
      <w:lvlJc w:val="left"/>
      <w:pPr>
        <w:tabs>
          <w:tab w:val="left" w:pos="720"/>
        </w:tabs>
        <w:snapToGrid/>
        <w:ind w:left="0" w:firstLine="0"/>
      </w:pPr>
      <w:rPr>
        <w:rFonts w:ascii="Times New Roman" w:eastAsia="宋体" w:hAnsi="Times New Roman" w:hint="default"/>
        <w:sz w:val="21"/>
      </w:rPr>
    </w:lvl>
    <w:lvl w:ilvl="4">
      <w:start w:val="1"/>
      <w:numFmt w:val="bullet"/>
      <w:lvlText w:val="o"/>
      <w:lvlJc w:val="left"/>
      <w:pPr>
        <w:tabs>
          <w:tab w:val="left" w:pos="360"/>
        </w:tabs>
        <w:snapToGrid/>
        <w:ind w:left="0" w:firstLine="0"/>
      </w:pPr>
      <w:rPr>
        <w:rFonts w:hint="eastAsia"/>
        <w:sz w:val="24"/>
      </w:rPr>
    </w:lvl>
    <w:lvl w:ilvl="5">
      <w:start w:val="1"/>
      <w:numFmt w:val="upperLetter"/>
      <w:lvlText w:val="%6."/>
      <w:lvlJc w:val="left"/>
      <w:pPr>
        <w:tabs>
          <w:tab w:val="left" w:pos="927"/>
        </w:tabs>
        <w:snapToGrid/>
        <w:ind w:left="0" w:firstLine="567"/>
      </w:pPr>
      <w:rPr>
        <w:rFonts w:hint="eastAsia"/>
        <w:sz w:val="24"/>
      </w:rPr>
    </w:lvl>
    <w:lvl w:ilvl="6">
      <w:start w:val="1"/>
      <w:numFmt w:val="bullet"/>
      <w:lvlText w:val="·"/>
      <w:lvlJc w:val="left"/>
      <w:pPr>
        <w:tabs>
          <w:tab w:val="left" w:pos="3827"/>
        </w:tabs>
        <w:snapToGrid/>
        <w:ind w:left="3827" w:hanging="1276"/>
      </w:pPr>
      <w:rPr>
        <w:rFonts w:hint="eastAsia"/>
      </w:rPr>
    </w:lvl>
    <w:lvl w:ilvl="7">
      <w:start w:val="1"/>
      <w:numFmt w:val="bullet"/>
      <w:lvlText w:val="o"/>
      <w:lvlJc w:val="left"/>
      <w:pPr>
        <w:tabs>
          <w:tab w:val="left" w:pos="4394"/>
        </w:tabs>
        <w:snapToGrid/>
        <w:ind w:left="4394" w:hanging="1418"/>
      </w:pPr>
      <w:rPr>
        <w:rFonts w:hint="eastAsia"/>
      </w:rPr>
    </w:lvl>
    <w:lvl w:ilvl="8">
      <w:start w:val="1"/>
      <w:numFmt w:val="bullet"/>
      <w:lvlText w:val="§"/>
      <w:lvlJc w:val="left"/>
      <w:pPr>
        <w:tabs>
          <w:tab w:val="left" w:pos="5102"/>
        </w:tabs>
        <w:snapToGrid/>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廖生暖">
    <w15:presenceInfo w15:providerId="None" w15:userId="廖生暖"/>
  </w15:person>
  <w15:person w15:author="姚栋梁">
    <w15:presenceInfo w15:providerId="None" w15:userId="姚栋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spelling="clean" w:grammar="clean"/>
  <w:trackRevisions/>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AB"/>
    <w:rsid w:val="003B71E8"/>
    <w:rsid w:val="0040591B"/>
    <w:rsid w:val="004A64D7"/>
    <w:rsid w:val="00651990"/>
    <w:rsid w:val="008E1BAB"/>
    <w:rsid w:val="00CC0FE3"/>
    <w:rsid w:val="00D236CA"/>
    <w:rsid w:val="00DC1985"/>
    <w:rsid w:val="00FB42B4"/>
    <w:rsid w:val="00FE1B5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80849FAC-3110-41F6-826D-1A9FF048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Bdr>
        <w:top w:val="nil"/>
        <w:left w:val="nil"/>
        <w:bottom w:val="nil"/>
        <w:right w:val="nil"/>
        <w:between w:val="nil"/>
      </w:pBdr>
      <w:shd w:val="clear" w:color="FFFFFF" w:fill="FFFFFF"/>
      <w:jc w:val="both"/>
    </w:pPr>
    <w:rPr>
      <w:rFonts w:ascii="Times New Roman" w:hAnsi="Times New Roman" w:cs="Times New Roman"/>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TOCHeading">
    <w:name w:val="TOC Heading"/>
    <w:uiPriority w:val="39"/>
    <w:unhideWhenUsed/>
  </w:style>
  <w:style w:type="paragraph" w:customStyle="1" w:styleId="11">
    <w:name w:val="标题 11"/>
    <w:basedOn w:val="Normal"/>
    <w:next w:val="Normal"/>
    <w:link w:val="1Char"/>
    <w:qFormat/>
    <w:pPr>
      <w:keepNext/>
      <w:keepLines/>
      <w:numPr>
        <w:numId w:val="1"/>
      </w:numPr>
      <w:spacing w:before="120" w:after="120" w:line="360" w:lineRule="auto"/>
      <w:jc w:val="center"/>
      <w:outlineLvl w:val="0"/>
    </w:pPr>
    <w:rPr>
      <w:rFonts w:ascii="黑体" w:eastAsia="黑体"/>
      <w:b/>
      <w:sz w:val="32"/>
      <w:szCs w:val="20"/>
      <w:lang w:val="zh-CN"/>
    </w:rPr>
  </w:style>
  <w:style w:type="paragraph" w:customStyle="1" w:styleId="21">
    <w:name w:val="标题 21"/>
    <w:basedOn w:val="Normal"/>
    <w:next w:val="Normal"/>
    <w:link w:val="2Char"/>
    <w:qFormat/>
    <w:pPr>
      <w:keepNext/>
      <w:keepLines/>
      <w:spacing w:before="260" w:after="260" w:line="416" w:lineRule="auto"/>
      <w:outlineLvl w:val="1"/>
    </w:pPr>
    <w:rPr>
      <w:rFonts w:ascii="Arial" w:eastAsia="黑体" w:hAnsi="Arial"/>
      <w:b/>
      <w:bCs/>
      <w:sz w:val="32"/>
      <w:szCs w:val="32"/>
    </w:rPr>
  </w:style>
  <w:style w:type="paragraph" w:styleId="NormalIndent">
    <w:name w:val="Normal Indent"/>
    <w:basedOn w:val="Normal"/>
    <w:link w:val="Char7"/>
    <w:uiPriority w:val="99"/>
    <w:qFormat/>
    <w:pPr>
      <w:ind w:firstLine="420"/>
    </w:pPr>
    <w:rPr>
      <w:rFonts w:ascii="Calibri" w:hAnsi="Calibri"/>
    </w:rPr>
  </w:style>
  <w:style w:type="paragraph" w:styleId="TOC7">
    <w:name w:val="toc 7"/>
    <w:basedOn w:val="Normal"/>
    <w:next w:val="Normal"/>
    <w:uiPriority w:val="39"/>
    <w:unhideWhenUsed/>
    <w:qFormat/>
    <w:pPr>
      <w:spacing w:after="57"/>
      <w:ind w:left="1701"/>
    </w:pPr>
  </w:style>
  <w:style w:type="paragraph" w:styleId="DocumentMap">
    <w:name w:val="Document Map"/>
    <w:basedOn w:val="Normal"/>
    <w:link w:val="Char11"/>
    <w:uiPriority w:val="99"/>
    <w:semiHidden/>
    <w:unhideWhenUsed/>
    <w:qFormat/>
    <w:rPr>
      <w:rFonts w:ascii="宋体"/>
      <w:sz w:val="18"/>
      <w:szCs w:val="18"/>
    </w:rPr>
  </w:style>
  <w:style w:type="paragraph" w:styleId="CommentText">
    <w:name w:val="annotation text"/>
    <w:basedOn w:val="Normal"/>
    <w:link w:val="Char9"/>
    <w:unhideWhenUsed/>
    <w:qFormat/>
    <w:pPr>
      <w:jc w:val="left"/>
    </w:pPr>
  </w:style>
  <w:style w:type="paragraph" w:styleId="BodyTextIndent">
    <w:name w:val="Body Text Indent"/>
    <w:basedOn w:val="Normal"/>
    <w:link w:val="Char6"/>
    <w:qFormat/>
    <w:pPr>
      <w:spacing w:line="360" w:lineRule="auto"/>
      <w:ind w:firstLine="359"/>
    </w:pPr>
    <w:rPr>
      <w:lang w:val="zh-CN"/>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uiPriority w:val="39"/>
    <w:unhideWhenUsed/>
    <w:qFormat/>
    <w:pPr>
      <w:spacing w:after="57"/>
      <w:ind w:left="567"/>
    </w:p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Char0"/>
    <w:qFormat/>
    <w:pPr>
      <w:spacing w:line="360" w:lineRule="auto"/>
      <w:ind w:firstLine="480"/>
      <w:outlineLvl w:val="0"/>
    </w:pPr>
    <w:rPr>
      <w:rFonts w:ascii="仿宋_GB2312" w:eastAsia="仿宋_GB2312" w:hAnsi="Calibri"/>
      <w:sz w:val="24"/>
      <w:szCs w:val="20"/>
    </w:rPr>
  </w:style>
  <w:style w:type="paragraph" w:styleId="EndnoteText">
    <w:name w:val="endnote text"/>
    <w:basedOn w:val="Normal"/>
    <w:link w:val="Char"/>
    <w:uiPriority w:val="99"/>
    <w:semiHidden/>
    <w:unhideWhenUsed/>
    <w:qFormat/>
    <w:rPr>
      <w:sz w:val="20"/>
    </w:rPr>
  </w:style>
  <w:style w:type="paragraph" w:styleId="BalloonText">
    <w:name w:val="Balloon Text"/>
    <w:basedOn w:val="Normal"/>
    <w:link w:val="Char8"/>
    <w:uiPriority w:val="99"/>
    <w:semiHidden/>
    <w:unhideWhenUsed/>
    <w:qFormat/>
    <w:rPr>
      <w:sz w:val="18"/>
      <w:szCs w:val="18"/>
    </w:rPr>
  </w:style>
  <w:style w:type="paragraph" w:customStyle="1" w:styleId="1">
    <w:name w:val="页脚1"/>
    <w:basedOn w:val="Normal"/>
    <w:link w:val="Char5"/>
    <w:uiPriority w:val="99"/>
    <w:unhideWhenUsed/>
    <w:qFormat/>
    <w:pPr>
      <w:tabs>
        <w:tab w:val="center" w:pos="4153"/>
        <w:tab w:val="right" w:pos="8306"/>
      </w:tabs>
      <w:snapToGrid w:val="0"/>
      <w:jc w:val="left"/>
    </w:pPr>
    <w:rPr>
      <w:sz w:val="18"/>
      <w:szCs w:val="18"/>
    </w:rPr>
  </w:style>
  <w:style w:type="paragraph" w:styleId="TOC1">
    <w:name w:val="toc 1"/>
    <w:basedOn w:val="Normal"/>
    <w:next w:val="Normal"/>
    <w:uiPriority w:val="39"/>
    <w:qFormat/>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Char1"/>
    <w:uiPriority w:val="11"/>
    <w:qFormat/>
    <w:pPr>
      <w:spacing w:before="200" w:after="200"/>
    </w:pPr>
    <w:rPr>
      <w:sz w:val="24"/>
    </w:rPr>
  </w:style>
  <w:style w:type="paragraph" w:styleId="FootnoteText">
    <w:name w:val="footnote text"/>
    <w:basedOn w:val="Normal"/>
    <w:link w:val="Char4"/>
    <w:uiPriority w:val="99"/>
    <w:semiHidden/>
    <w:unhideWhenUsed/>
    <w:qFormat/>
    <w:pPr>
      <w:spacing w:after="40"/>
    </w:pPr>
    <w:rPr>
      <w:sz w:val="18"/>
    </w:rPr>
  </w:style>
  <w:style w:type="paragraph" w:styleId="TOC6">
    <w:name w:val="toc 6"/>
    <w:basedOn w:val="Normal"/>
    <w:next w:val="Normal"/>
    <w:uiPriority w:val="39"/>
    <w:unhideWhenUsed/>
    <w:qFormat/>
    <w:pPr>
      <w:spacing w:after="57"/>
      <w:ind w:left="1417"/>
    </w:p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ind w:left="420"/>
    </w:pPr>
  </w:style>
  <w:style w:type="paragraph" w:styleId="TOC9">
    <w:name w:val="toc 9"/>
    <w:basedOn w:val="Normal"/>
    <w:next w:val="Normal"/>
    <w:uiPriority w:val="39"/>
    <w:unhideWhenUsed/>
    <w:qFormat/>
    <w:pPr>
      <w:spacing w:after="57"/>
      <w:ind w:left="2268"/>
    </w:p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rPr>
  </w:style>
  <w:style w:type="paragraph" w:styleId="Title">
    <w:name w:val="Title"/>
    <w:basedOn w:val="Normal"/>
    <w:next w:val="Normal"/>
    <w:link w:val="Char0"/>
    <w:uiPriority w:val="10"/>
    <w:qFormat/>
    <w:pPr>
      <w:spacing w:before="300" w:after="200"/>
      <w:contextualSpacing/>
    </w:pPr>
    <w:rPr>
      <w:sz w:val="48"/>
      <w:szCs w:val="48"/>
    </w:rPr>
  </w:style>
  <w:style w:type="paragraph" w:styleId="CommentSubject">
    <w:name w:val="annotation subject"/>
    <w:basedOn w:val="CommentText"/>
    <w:next w:val="CommentText"/>
    <w:link w:val="Char10"/>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uiPriority w:val="99"/>
    <w:unhideWhenUsed/>
    <w:qFormat/>
    <w:rPr>
      <w:vertAlign w:val="superscript"/>
    </w:rPr>
  </w:style>
  <w:style w:type="character" w:customStyle="1" w:styleId="Char">
    <w:name w:val="尾注文本 Char"/>
    <w:link w:val="EndnoteText"/>
    <w:uiPriority w:val="99"/>
    <w:qFormat/>
    <w:rPr>
      <w:sz w:val="20"/>
    </w:rPr>
  </w:style>
  <w:style w:type="paragraph" w:styleId="ListParagraph">
    <w:name w:val="List Paragraph"/>
    <w:basedOn w:val="Normal"/>
    <w:uiPriority w:val="34"/>
    <w:qFormat/>
    <w:pPr>
      <w:ind w:left="720"/>
      <w:contextualSpacing/>
    </w:pPr>
  </w:style>
  <w:style w:type="paragraph" w:styleId="NoSpacing">
    <w:name w:val="No Spacing"/>
    <w:uiPriority w:val="1"/>
    <w:qFormat/>
    <w:pPr>
      <w:pBdr>
        <w:top w:val="nil"/>
        <w:left w:val="nil"/>
        <w:bottom w:val="nil"/>
        <w:right w:val="nil"/>
        <w:between w:val="nil"/>
      </w:pBdr>
      <w:shd w:val="clear" w:color="FFFFFF" w:fill="FFFFFF"/>
    </w:pPr>
    <w:rPr>
      <w:sz w:val="22"/>
      <w:szCs w:val="22"/>
    </w:rPr>
  </w:style>
  <w:style w:type="character" w:customStyle="1" w:styleId="Char0">
    <w:name w:val="标题 Char"/>
    <w:basedOn w:val="DefaultParagraphFont"/>
    <w:link w:val="Title"/>
    <w:uiPriority w:val="10"/>
    <w:qFormat/>
    <w:rPr>
      <w:sz w:val="48"/>
      <w:szCs w:val="48"/>
    </w:rPr>
  </w:style>
  <w:style w:type="character" w:customStyle="1" w:styleId="Char1">
    <w:name w:val="副标题 Char"/>
    <w:basedOn w:val="DefaultParagraphFont"/>
    <w:link w:val="Subtitle"/>
    <w:uiPriority w:val="11"/>
    <w:qFormat/>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qFormat/>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qFormat/>
    <w:rPr>
      <w:i/>
    </w:rPr>
  </w:style>
  <w:style w:type="character" w:customStyle="1" w:styleId="Char4">
    <w:name w:val="脚注文本 Char"/>
    <w:link w:val="FootnoteText"/>
    <w:uiPriority w:val="99"/>
    <w:qFormat/>
    <w:rPr>
      <w:sz w:val="18"/>
    </w:rPr>
  </w:style>
  <w:style w:type="character" w:customStyle="1" w:styleId="Char5">
    <w:name w:val="页脚 Char"/>
    <w:basedOn w:val="DefaultParagraphFont"/>
    <w:link w:val="1"/>
    <w:uiPriority w:val="99"/>
    <w:qFormat/>
    <w:rPr>
      <w:rFonts w:ascii="Times New Roman" w:eastAsia="宋体" w:hAnsi="Times New Roman" w:cs="Times New Roman"/>
      <w:sz w:val="18"/>
      <w:szCs w:val="18"/>
    </w:rPr>
  </w:style>
  <w:style w:type="character" w:customStyle="1" w:styleId="1Char">
    <w:name w:val="标题 1 Char"/>
    <w:basedOn w:val="DefaultParagraphFont"/>
    <w:link w:val="11"/>
    <w:qFormat/>
    <w:rPr>
      <w:rFonts w:ascii="黑体" w:eastAsia="黑体" w:hAnsi="Times New Roman" w:cs="Times New Roman"/>
      <w:b/>
      <w:sz w:val="32"/>
      <w:lang w:val="zh-CN"/>
    </w:rPr>
  </w:style>
  <w:style w:type="character" w:customStyle="1" w:styleId="2Char">
    <w:name w:val="标题 2 Char"/>
    <w:basedOn w:val="DefaultParagraphFont"/>
    <w:link w:val="21"/>
    <w:qFormat/>
    <w:rPr>
      <w:rFonts w:ascii="Arial" w:eastAsia="黑体" w:hAnsi="Arial" w:cs="Times New Roman"/>
      <w:b/>
      <w:bCs/>
      <w:sz w:val="32"/>
      <w:szCs w:val="32"/>
    </w:rPr>
  </w:style>
  <w:style w:type="character" w:customStyle="1" w:styleId="2Char0">
    <w:name w:val="正文文本缩进 2 Char"/>
    <w:basedOn w:val="DefaultParagraphFont"/>
    <w:link w:val="BodyTextIndent2"/>
    <w:qFormat/>
    <w:rPr>
      <w:rFonts w:ascii="仿宋_GB2312" w:eastAsia="仿宋_GB2312" w:hAnsi="Calibri" w:cs="Times New Roman"/>
      <w:sz w:val="24"/>
      <w:szCs w:val="20"/>
    </w:rPr>
  </w:style>
  <w:style w:type="character" w:customStyle="1" w:styleId="Char6">
    <w:name w:val="正文文本缩进 Char"/>
    <w:basedOn w:val="DefaultParagraphFont"/>
    <w:link w:val="BodyTextIndent"/>
    <w:qFormat/>
    <w:rPr>
      <w:rFonts w:ascii="Times New Roman" w:eastAsia="宋体" w:hAnsi="Times New Roman" w:cs="Times New Roman"/>
      <w:sz w:val="24"/>
      <w:szCs w:val="24"/>
      <w:lang w:val="zh-CN" w:eastAsia="zh-CN"/>
    </w:rPr>
  </w:style>
  <w:style w:type="character" w:customStyle="1" w:styleId="Char7">
    <w:name w:val="正文缩进 Char"/>
    <w:link w:val="NormalIndent"/>
    <w:uiPriority w:val="99"/>
    <w:qFormat/>
    <w:rPr>
      <w:rFonts w:ascii="Calibri" w:eastAsia="宋体" w:hAnsi="Calibri" w:cs="Times New Roman"/>
      <w:sz w:val="21"/>
      <w:szCs w:val="24"/>
    </w:rPr>
  </w:style>
  <w:style w:type="character" w:customStyle="1" w:styleId="Char8">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9">
    <w:name w:val="批注文字 Char"/>
    <w:basedOn w:val="DefaultParagraphFont"/>
    <w:link w:val="CommentText"/>
    <w:qFormat/>
    <w:rPr>
      <w:rFonts w:ascii="Times New Roman" w:eastAsia="宋体" w:hAnsi="Times New Roman" w:cs="Times New Roman"/>
      <w:sz w:val="24"/>
      <w:szCs w:val="24"/>
    </w:rPr>
  </w:style>
  <w:style w:type="character" w:customStyle="1" w:styleId="Char10">
    <w:name w:val="批注主题 Char"/>
    <w:basedOn w:val="Char9"/>
    <w:link w:val="CommentSubject"/>
    <w:uiPriority w:val="99"/>
    <w:semiHidden/>
    <w:qFormat/>
    <w:rPr>
      <w:rFonts w:ascii="Times New Roman" w:eastAsia="宋体" w:hAnsi="Times New Roman" w:cs="Times New Roman"/>
      <w:b/>
      <w:bCs/>
      <w:sz w:val="21"/>
      <w:szCs w:val="24"/>
    </w:rPr>
  </w:style>
  <w:style w:type="character" w:customStyle="1" w:styleId="Char11">
    <w:name w:val="文档结构图 Char"/>
    <w:basedOn w:val="DefaultParagraphFont"/>
    <w:link w:val="DocumentMap"/>
    <w:uiPriority w:val="99"/>
    <w:semiHidden/>
    <w:qFormat/>
    <w:rPr>
      <w:rFonts w:ascii="宋体" w:eastAsia="宋体" w:hAnsi="Times New Roman" w:cs="Times New Roman"/>
      <w:sz w:val="18"/>
      <w:szCs w:val="18"/>
    </w:rPr>
  </w:style>
  <w:style w:type="paragraph" w:styleId="Header">
    <w:name w:val="header"/>
    <w:basedOn w:val="Normal"/>
    <w:link w:val="Char12"/>
    <w:uiPriority w:val="99"/>
    <w:unhideWhenUsed/>
    <w:rsid w:val="003B71E8"/>
    <w:pPr>
      <w:pBdr>
        <w:bottom w:val="single" w:sz="6" w:space="1" w:color="auto"/>
      </w:pBdr>
      <w:tabs>
        <w:tab w:val="center" w:pos="4153"/>
        <w:tab w:val="right" w:pos="8306"/>
      </w:tabs>
      <w:snapToGrid w:val="0"/>
      <w:jc w:val="center"/>
    </w:pPr>
    <w:rPr>
      <w:sz w:val="18"/>
      <w:szCs w:val="18"/>
    </w:rPr>
  </w:style>
  <w:style w:type="character" w:customStyle="1" w:styleId="Char12">
    <w:name w:val="页眉 Char"/>
    <w:basedOn w:val="DefaultParagraphFont"/>
    <w:link w:val="Header"/>
    <w:uiPriority w:val="99"/>
    <w:rsid w:val="003B71E8"/>
    <w:rPr>
      <w:rFonts w:ascii="Times New Roman" w:hAnsi="Times New Roman" w:cs="Times New Roman"/>
      <w:sz w:val="18"/>
      <w:szCs w:val="18"/>
      <w:shd w:val="clear" w:color="FFFFFF" w:fill="FFFFFF"/>
    </w:rPr>
  </w:style>
  <w:style w:type="paragraph" w:styleId="Footer">
    <w:name w:val="footer"/>
    <w:basedOn w:val="Normal"/>
    <w:link w:val="Char13"/>
    <w:uiPriority w:val="99"/>
    <w:unhideWhenUsed/>
    <w:rsid w:val="003B71E8"/>
    <w:pPr>
      <w:tabs>
        <w:tab w:val="center" w:pos="4153"/>
        <w:tab w:val="right" w:pos="8306"/>
      </w:tabs>
      <w:snapToGrid w:val="0"/>
      <w:jc w:val="left"/>
    </w:pPr>
    <w:rPr>
      <w:sz w:val="18"/>
      <w:szCs w:val="18"/>
    </w:rPr>
  </w:style>
  <w:style w:type="character" w:customStyle="1" w:styleId="Char13">
    <w:name w:val="页脚 Char1"/>
    <w:basedOn w:val="DefaultParagraphFont"/>
    <w:link w:val="Footer"/>
    <w:uiPriority w:val="99"/>
    <w:rsid w:val="003B71E8"/>
    <w:rPr>
      <w:rFonts w:ascii="Times New Roman" w:hAnsi="Times New Roman" w:cs="Times New Roman"/>
      <w:sz w:val="18"/>
      <w:szCs w:val="18"/>
      <w:shd w:val="clear" w:color="FFFF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8343e63257d4fa1afa108ed5d270192"/>
        <w:category>
          <w:name w:val="(Empty Category)"/>
          <w:gallery w:val="any"/>
        </w:category>
        <w:behaviors>
          <w:behavior w:val="content"/>
        </w:behaviors>
        <w:guid w:val="{F7A05FCF-D9D1-4079-9F6D-67DD8043BCDA}"/>
      </w:docPartPr>
      <w:docPartBody>
        <w:p w:rsidR="00FE1B51">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comments="1" w:formatting="1" w:inkAnnotations="0" w:insDel="1" w:markup="1"/>
  <w:defaultTabStop w:val="420"/>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51"/>
    <w:rsid w:val="004C54BF"/>
    <w:rsid w:val="00D745F3"/>
    <w:rsid w:val="00FE1B5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Times New Roman"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1Char"/>
    <w:uiPriority w:val="9"/>
    <w:qFormat/>
    <w:pPr>
      <w:keepNext/>
      <w:keepLines/>
      <w:spacing w:before="480" w:after="200"/>
      <w:outlineLvl w:val="0"/>
    </w:pPr>
    <w:rPr>
      <w:rFonts w:hAnsi="Arial"/>
      <w:sz w:val="40"/>
      <w:szCs w:val="40"/>
    </w:rPr>
  </w:style>
  <w:style w:type="paragraph" w:styleId="Heading2">
    <w:name w:val="heading 2"/>
    <w:basedOn w:val="Normal"/>
    <w:next w:val="Normal"/>
    <w:link w:val="2Char"/>
    <w:uiPriority w:val="9"/>
    <w:unhideWhenUsed/>
    <w:qFormat/>
    <w:pPr>
      <w:keepNext/>
      <w:keepLines/>
      <w:spacing w:before="360" w:after="200"/>
      <w:outlineLvl w:val="1"/>
    </w:pPr>
    <w:rPr>
      <w:rFonts w:hAnsi="Arial"/>
      <w:sz w:val="34"/>
    </w:rPr>
  </w:style>
  <w:style w:type="paragraph" w:styleId="Heading3">
    <w:name w:val="heading 3"/>
    <w:basedOn w:val="Normal"/>
    <w:next w:val="Normal"/>
    <w:link w:val="3Char"/>
    <w:uiPriority w:val="9"/>
    <w:unhideWhenUsed/>
    <w:qFormat/>
    <w:pPr>
      <w:keepNext/>
      <w:keepLines/>
      <w:spacing w:before="320" w:after="200"/>
      <w:outlineLvl w:val="2"/>
    </w:pPr>
    <w:rPr>
      <w:rFonts w:hAnsi="Arial"/>
      <w:sz w:val="30"/>
      <w:szCs w:val="30"/>
    </w:rPr>
  </w:style>
  <w:style w:type="paragraph" w:styleId="Heading4">
    <w:name w:val="heading 4"/>
    <w:basedOn w:val="Normal"/>
    <w:next w:val="Normal"/>
    <w:link w:val="4Char"/>
    <w:uiPriority w:val="9"/>
    <w:unhideWhenUsed/>
    <w:qFormat/>
    <w:pPr>
      <w:keepNext/>
      <w:keepLines/>
      <w:spacing w:before="320" w:after="200"/>
      <w:outlineLvl w:val="3"/>
    </w:pPr>
    <w:rPr>
      <w:rFonts w:hAnsi="Arial"/>
      <w:b/>
      <w:bCs/>
      <w:sz w:val="26"/>
      <w:szCs w:val="26"/>
    </w:rPr>
  </w:style>
  <w:style w:type="paragraph" w:styleId="Heading5">
    <w:name w:val="heading 5"/>
    <w:basedOn w:val="Normal"/>
    <w:next w:val="Normal"/>
    <w:link w:val="5Char"/>
    <w:uiPriority w:val="9"/>
    <w:unhideWhenUsed/>
    <w:qFormat/>
    <w:pPr>
      <w:keepNext/>
      <w:keepLines/>
      <w:spacing w:before="320" w:after="200"/>
      <w:outlineLvl w:val="4"/>
    </w:pPr>
    <w:rPr>
      <w:rFonts w:hAnsi="Arial"/>
      <w:b/>
      <w:bCs/>
      <w:sz w:val="24"/>
      <w:szCs w:val="24"/>
    </w:rPr>
  </w:style>
  <w:style w:type="paragraph" w:styleId="Heading6">
    <w:name w:val="heading 6"/>
    <w:basedOn w:val="Normal"/>
    <w:next w:val="Normal"/>
    <w:link w:val="6Char"/>
    <w:uiPriority w:val="9"/>
    <w:unhideWhenUsed/>
    <w:qFormat/>
    <w:pPr>
      <w:keepNext/>
      <w:keepLines/>
      <w:spacing w:before="320" w:after="200"/>
      <w:outlineLvl w:val="5"/>
    </w:pPr>
    <w:rPr>
      <w:rFonts w:hAnsi="Arial"/>
      <w:b/>
      <w:bCs/>
    </w:rPr>
  </w:style>
  <w:style w:type="paragraph" w:styleId="Heading7">
    <w:name w:val="heading 7"/>
    <w:basedOn w:val="Normal"/>
    <w:next w:val="Normal"/>
    <w:link w:val="7Char"/>
    <w:uiPriority w:val="9"/>
    <w:unhideWhenUsed/>
    <w:qFormat/>
    <w:pPr>
      <w:keepNext/>
      <w:keepLines/>
      <w:spacing w:before="320" w:after="200"/>
      <w:outlineLvl w:val="6"/>
    </w:pPr>
    <w:rPr>
      <w:rFonts w:hAnsi="Arial"/>
      <w:b/>
      <w:bCs/>
      <w:i/>
      <w:iCs/>
    </w:rPr>
  </w:style>
  <w:style w:type="paragraph" w:styleId="Heading8">
    <w:name w:val="heading 8"/>
    <w:basedOn w:val="Normal"/>
    <w:next w:val="Normal"/>
    <w:link w:val="8Char"/>
    <w:uiPriority w:val="9"/>
    <w:unhideWhenUsed/>
    <w:qFormat/>
    <w:pPr>
      <w:keepNext/>
      <w:keepLines/>
      <w:spacing w:before="320" w:after="200"/>
      <w:outlineLvl w:val="7"/>
    </w:pPr>
    <w:rPr>
      <w:rFonts w:hAnsi="Arial"/>
      <w:i/>
      <w:iCs/>
    </w:rPr>
  </w:style>
  <w:style w:type="paragraph" w:styleId="Heading9">
    <w:name w:val="heading 9"/>
    <w:basedOn w:val="Normal"/>
    <w:next w:val="Normal"/>
    <w:link w:val="9Char"/>
    <w:uiPriority w:val="9"/>
    <w:unhideWhenUsed/>
    <w:qFormat/>
    <w:pPr>
      <w:keepNext/>
      <w:keepLines/>
      <w:spacing w:before="320" w:after="200"/>
      <w:outlineLvl w:val="8"/>
    </w:pPr>
    <w:rPr>
      <w:rFonts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uiPriority w:val="9"/>
    <w:rPr>
      <w:rFonts w:ascii="Arial" w:hAnsi="Arial" w:cs="Arial"/>
      <w:sz w:val="40"/>
      <w:szCs w:val="40"/>
    </w:rPr>
  </w:style>
  <w:style w:type="character" w:customStyle="1" w:styleId="2Char">
    <w:name w:val="标题 2 Char"/>
    <w:basedOn w:val="DefaultParagraphFont"/>
    <w:link w:val="Heading2"/>
    <w:uiPriority w:val="9"/>
    <w:rPr>
      <w:rFonts w:ascii="Arial" w:hAnsi="Arial" w:cs="Arial"/>
      <w:sz w:val="34"/>
    </w:rPr>
  </w:style>
  <w:style w:type="character" w:customStyle="1" w:styleId="3Char">
    <w:name w:val="标题 3 Char"/>
    <w:basedOn w:val="DefaultParagraphFont"/>
    <w:link w:val="Heading3"/>
    <w:uiPriority w:val="9"/>
    <w:rPr>
      <w:rFonts w:ascii="Arial" w:hAnsi="Arial" w:cs="Arial"/>
      <w:sz w:val="30"/>
      <w:szCs w:val="30"/>
    </w:rPr>
  </w:style>
  <w:style w:type="character" w:customStyle="1" w:styleId="4Char">
    <w:name w:val="标题 4 Char"/>
    <w:basedOn w:val="DefaultParagraphFont"/>
    <w:link w:val="Heading4"/>
    <w:uiPriority w:val="9"/>
    <w:rPr>
      <w:rFonts w:ascii="Arial" w:hAnsi="Arial" w:cs="Arial"/>
      <w:b/>
      <w:bCs/>
      <w:sz w:val="26"/>
      <w:szCs w:val="26"/>
    </w:rPr>
  </w:style>
  <w:style w:type="character" w:customStyle="1" w:styleId="5Char">
    <w:name w:val="标题 5 Char"/>
    <w:basedOn w:val="DefaultParagraphFont"/>
    <w:link w:val="Heading5"/>
    <w:uiPriority w:val="9"/>
    <w:rPr>
      <w:rFonts w:ascii="Arial" w:hAnsi="Arial" w:cs="Arial"/>
      <w:b/>
      <w:bCs/>
      <w:sz w:val="24"/>
      <w:szCs w:val="24"/>
    </w:rPr>
  </w:style>
  <w:style w:type="character" w:customStyle="1" w:styleId="6Char">
    <w:name w:val="标题 6 Char"/>
    <w:basedOn w:val="DefaultParagraphFont"/>
    <w:link w:val="Heading6"/>
    <w:uiPriority w:val="9"/>
    <w:rPr>
      <w:rFonts w:ascii="Arial" w:hAnsi="Arial" w:cs="Arial"/>
      <w:b/>
      <w:bCs/>
      <w:sz w:val="22"/>
      <w:szCs w:val="22"/>
    </w:rPr>
  </w:style>
  <w:style w:type="character" w:customStyle="1" w:styleId="7Char">
    <w:name w:val="标题 7 Char"/>
    <w:basedOn w:val="DefaultParagraphFont"/>
    <w:link w:val="Heading7"/>
    <w:uiPriority w:val="9"/>
    <w:rPr>
      <w:rFonts w:ascii="Arial" w:hAnsi="Arial" w:cs="Arial"/>
      <w:b/>
      <w:bCs/>
      <w:i/>
      <w:iCs/>
      <w:sz w:val="22"/>
      <w:szCs w:val="22"/>
    </w:rPr>
  </w:style>
  <w:style w:type="character" w:customStyle="1" w:styleId="8Char">
    <w:name w:val="标题 8 Char"/>
    <w:basedOn w:val="DefaultParagraphFont"/>
    <w:link w:val="Heading8"/>
    <w:uiPriority w:val="9"/>
    <w:rPr>
      <w:rFonts w:ascii="Arial" w:hAnsi="Arial" w:cs="Arial"/>
      <w:i/>
      <w:iCs/>
      <w:sz w:val="22"/>
      <w:szCs w:val="22"/>
    </w:rPr>
  </w:style>
  <w:style w:type="character" w:customStyle="1" w:styleId="9Char">
    <w:name w:val="标题 9 Char"/>
    <w:basedOn w:val="DefaultParagraphFont"/>
    <w:link w:val="Heading9"/>
    <w:uiPriority w:val="9"/>
    <w:rPr>
      <w:rFonts w:ascii="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szCs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paragraph" w:styleId="Header">
    <w:name w:val="header"/>
    <w:basedOn w:val="Normal"/>
    <w:link w:val="Char3"/>
    <w:uiPriority w:val="99"/>
    <w:unhideWhenUsed/>
    <w:pPr>
      <w:tabs>
        <w:tab w:val="center" w:pos="7143"/>
        <w:tab w:val="right" w:pos="14287"/>
      </w:tabs>
    </w:pPr>
  </w:style>
  <w:style w:type="character" w:customStyle="1" w:styleId="Char3">
    <w:name w:val="页眉 Char"/>
    <w:basedOn w:val="DefaultParagraphFont"/>
    <w:link w:val="Header"/>
    <w:uiPriority w:val="99"/>
  </w:style>
  <w:style w:type="paragraph" w:styleId="Footer">
    <w:name w:val="footer"/>
    <w:basedOn w:val="Normal"/>
    <w:link w:val="Char4"/>
    <w:uiPriority w:val="99"/>
    <w:unhideWhenUsed/>
    <w:pPr>
      <w:tabs>
        <w:tab w:val="center" w:pos="7143"/>
        <w:tab w:val="right" w:pos="14287"/>
      </w:tabs>
    </w:p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har4">
    <w:name w:val="页脚 Char"/>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FFFFF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Char5"/>
    <w:uiPriority w:val="99"/>
    <w:semiHidden/>
    <w:unhideWhenUsed/>
    <w:pPr>
      <w:spacing w:after="40"/>
    </w:pPr>
    <w:rPr>
      <w:sz w:val="18"/>
    </w:rPr>
  </w:style>
  <w:style w:type="character" w:customStyle="1" w:styleId="Char5">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6"/>
    <w:uiPriority w:val="99"/>
    <w:semiHidden/>
    <w:unhideWhenUsed/>
    <w:rPr>
      <w:sz w:val="20"/>
    </w:rPr>
  </w:style>
  <w:style w:type="character" w:customStyle="1" w:styleId="Char6">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51changxie.com/settingsCustom"/>
    <ds:schemaRef ds:uri="http://schemas.openxmlformats.org/wordprocessingml/2006/main"/>
  </ds:schemaRefs>
</ds:datastoreItem>
</file>

<file path=customXml/itemProps2.xml><?xml version="1.0" encoding="utf-8"?>
<ds:datastoreItem xmlns:ds="http://schemas.openxmlformats.org/officeDocument/2006/customXml" ds:itemID="{AE51A528-5779-4B8E-8734-5942E132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