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微软雅黑" w:hAnsi="微软雅黑" w:eastAsia="微软雅黑" w:cstheme="minorBidi"/>
          <w:b/>
          <w:sz w:val="21"/>
          <w:szCs w:val="21"/>
        </w:rPr>
      </w:pPr>
      <w:r>
        <w:rPr>
          <w:rFonts w:hint="eastAsia" w:ascii="微软雅黑" w:hAnsi="微软雅黑" w:eastAsia="微软雅黑" w:cstheme="minorBidi"/>
          <w:b/>
          <w:sz w:val="21"/>
          <w:szCs w:val="21"/>
          <w:lang w:eastAsia="zh-CN"/>
        </w:rPr>
        <w:t>富国红利质选混合型证券投资基金</w:t>
      </w:r>
      <w:r>
        <w:rPr>
          <w:rFonts w:hint="eastAsia" w:ascii="微软雅黑" w:hAnsi="微软雅黑" w:eastAsia="微软雅黑" w:cstheme="minorBidi"/>
          <w:b/>
          <w:sz w:val="21"/>
          <w:szCs w:val="21"/>
        </w:rPr>
        <w:t>风险揭示书</w:t>
      </w:r>
    </w:p>
    <w:p>
      <w:pPr>
        <w:widowControl/>
        <w:spacing w:before="0" w:after="0" w:line="240" w:lineRule="auto"/>
        <w:jc w:val="left"/>
        <w:rPr>
          <w:rFonts w:hint="eastAsia" w:ascii="微软雅黑" w:hAnsi="微软雅黑" w:eastAsia="微软雅黑" w:cs="微软雅黑"/>
          <w:sz w:val="18"/>
          <w:szCs w:val="18"/>
        </w:rPr>
      </w:pPr>
      <w:r>
        <w:rPr>
          <w:rFonts w:hint="eastAsia" w:ascii="微软雅黑" w:hAnsi="微软雅黑" w:eastAsia="微软雅黑" w:cs="微软雅黑"/>
          <w:kern w:val="0"/>
          <w:sz w:val="18"/>
          <w:szCs w:val="18"/>
          <w:lang w:bidi="ar"/>
        </w:rPr>
        <w:t>尊敬的投资者：</w:t>
      </w:r>
    </w:p>
    <w:p>
      <w:pPr>
        <w:pStyle w:val="7"/>
        <w:widowControl/>
        <w:spacing w:before="0" w:beforeAutospacing="0" w:after="0" w:afterAutospacing="0" w:line="240" w:lineRule="auto"/>
        <w:ind w:firstLine="392" w:firstLineChars="200"/>
        <w:jc w:val="both"/>
        <w:rPr>
          <w:rFonts w:hint="eastAsia" w:ascii="微软雅黑" w:hAnsi="微软雅黑" w:eastAsia="微软雅黑" w:cs="微软雅黑"/>
          <w:color w:val="333333"/>
          <w:spacing w:val="8"/>
          <w:sz w:val="18"/>
          <w:szCs w:val="18"/>
          <w:shd w:val="clear" w:color="auto" w:fill="FFFFFF"/>
        </w:rPr>
      </w:pPr>
      <w:r>
        <w:rPr>
          <w:rFonts w:hint="eastAsia" w:ascii="微软雅黑" w:hAnsi="微软雅黑" w:eastAsia="微软雅黑" w:cs="微软雅黑"/>
          <w:color w:val="333333"/>
          <w:spacing w:val="8"/>
          <w:sz w:val="18"/>
          <w:szCs w:val="18"/>
          <w:shd w:val="clear" w:color="auto" w:fill="FFFFFF"/>
        </w:rPr>
        <w:t xml:space="preserve">基金有风险，投资需谨慎。公开募集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 </w:t>
      </w:r>
    </w:p>
    <w:p>
      <w:pPr>
        <w:pStyle w:val="7"/>
        <w:widowControl/>
        <w:spacing w:before="0" w:beforeAutospacing="0" w:after="0" w:afterAutospacing="0" w:line="240" w:lineRule="auto"/>
        <w:ind w:firstLine="392" w:firstLineChars="200"/>
        <w:jc w:val="both"/>
        <w:rPr>
          <w:rFonts w:hint="eastAsia" w:ascii="微软雅黑" w:hAnsi="微软雅黑" w:eastAsia="微软雅黑" w:cs="微软雅黑"/>
          <w:b w:val="0"/>
          <w:bCs w:val="0"/>
          <w:color w:val="333333"/>
          <w:spacing w:val="8"/>
          <w:sz w:val="18"/>
          <w:szCs w:val="18"/>
        </w:rPr>
      </w:pPr>
      <w:r>
        <w:rPr>
          <w:rFonts w:hint="eastAsia" w:ascii="微软雅黑" w:hAnsi="微软雅黑" w:eastAsia="微软雅黑" w:cs="微软雅黑"/>
          <w:color w:val="333333"/>
          <w:spacing w:val="8"/>
          <w:sz w:val="18"/>
          <w:szCs w:val="18"/>
          <w:shd w:val="clear" w:color="auto" w:fill="FFFFFF"/>
        </w:rPr>
        <w:t>您在做出投资决策之前，请仔细阅读基金合同、基金招募说明书和基金产品资料概要等产品法律文件和本风险揭示书，充分认识本基金的风险收益特征和产品特性，认真考虑本基金存在的各项风险因素，并根据自身的投资目的、投资期限、投资经验、资产状况等因素充分考虑自身的风险承受能力，在了解产品情况及销售适当性意见的基础上，理性判断并谨慎做出投资决策</w:t>
      </w:r>
      <w:r>
        <w:rPr>
          <w:rFonts w:hint="eastAsia" w:ascii="微软雅黑" w:hAnsi="微软雅黑" w:eastAsia="微软雅黑" w:cs="微软雅黑"/>
          <w:b w:val="0"/>
          <w:bCs w:val="0"/>
          <w:color w:val="333333"/>
          <w:spacing w:val="8"/>
          <w:sz w:val="18"/>
          <w:szCs w:val="18"/>
          <w:shd w:val="clear" w:color="auto" w:fill="FFFFFF"/>
        </w:rPr>
        <w:t>。</w:t>
      </w:r>
    </w:p>
    <w:p>
      <w:pPr>
        <w:pStyle w:val="7"/>
        <w:widowControl/>
        <w:spacing w:before="0" w:beforeAutospacing="0" w:after="0" w:afterAutospacing="0" w:line="240" w:lineRule="auto"/>
        <w:ind w:firstLine="392" w:firstLineChars="200"/>
        <w:jc w:val="both"/>
        <w:rPr>
          <w:rFonts w:hint="eastAsia" w:ascii="微软雅黑" w:hAnsi="微软雅黑" w:eastAsia="微软雅黑" w:cs="微软雅黑"/>
          <w:color w:val="333333"/>
          <w:spacing w:val="8"/>
          <w:sz w:val="18"/>
          <w:szCs w:val="18"/>
        </w:rPr>
      </w:pPr>
      <w:r>
        <w:rPr>
          <w:rFonts w:hint="eastAsia" w:ascii="微软雅黑" w:hAnsi="微软雅黑" w:eastAsia="微软雅黑" w:cs="微软雅黑"/>
          <w:color w:val="333333"/>
          <w:spacing w:val="8"/>
          <w:sz w:val="18"/>
          <w:szCs w:val="18"/>
          <w:shd w:val="clear" w:color="auto" w:fill="FFFFFF"/>
        </w:rPr>
        <w:t>根据有关法律法规，基金管理人富国基金管理有限公司做出如下风险揭示：</w:t>
      </w:r>
    </w:p>
    <w:p>
      <w:pPr>
        <w:pStyle w:val="7"/>
        <w:widowControl/>
        <w:numPr>
          <w:ilvl w:val="0"/>
          <w:numId w:val="1"/>
        </w:numPr>
        <w:spacing w:before="0" w:beforeAutospacing="0" w:after="0" w:afterAutospacing="0" w:line="240" w:lineRule="auto"/>
        <w:ind w:left="425" w:hanging="425" w:firstLineChars="0"/>
        <w:jc w:val="both"/>
        <w:rPr>
          <w:rFonts w:hint="eastAsia" w:ascii="微软雅黑" w:hAnsi="微软雅黑" w:eastAsia="微软雅黑" w:cs="微软雅黑"/>
          <w:color w:val="333333"/>
          <w:spacing w:val="8"/>
          <w:sz w:val="18"/>
          <w:szCs w:val="18"/>
        </w:rPr>
      </w:pPr>
      <w:r>
        <w:rPr>
          <w:rFonts w:hint="eastAsia" w:ascii="微软雅黑" w:hAnsi="微软雅黑" w:eastAsia="微软雅黑" w:cs="微软雅黑"/>
          <w:b w:val="0"/>
          <w:bCs w:val="0"/>
          <w:color w:val="333333"/>
          <w:spacing w:val="8"/>
          <w:sz w:val="18"/>
          <w:szCs w:val="18"/>
          <w:shd w:val="clear" w:color="auto" w:fill="FFFFFF"/>
        </w:rPr>
        <w:t>依据投资对象的不同，基金分为股票基金、混合基金、债券基金、货币市场基金等不同类型，投资人投资不同类型的基金将获得不同的收益预期，也将承担不同程度的风险。一般来说，基金的收益预期越高，投资人承担的风险也越大</w:t>
      </w:r>
      <w:r>
        <w:rPr>
          <w:rFonts w:hint="eastAsia" w:ascii="微软雅黑" w:hAnsi="微软雅黑" w:eastAsia="微软雅黑" w:cs="微软雅黑"/>
          <w:color w:val="333333"/>
          <w:spacing w:val="8"/>
          <w:sz w:val="18"/>
          <w:szCs w:val="18"/>
          <w:shd w:val="clear" w:color="auto" w:fill="FFFFFF"/>
        </w:rPr>
        <w:t>。</w:t>
      </w:r>
      <w:r>
        <w:rPr>
          <w:rFonts w:hint="eastAsia" w:ascii="微软雅黑" w:hAnsi="微软雅黑" w:eastAsia="微软雅黑" w:cs="微软雅黑"/>
          <w:b/>
          <w:color w:val="333333"/>
          <w:spacing w:val="8"/>
          <w:sz w:val="18"/>
          <w:szCs w:val="18"/>
          <w:shd w:val="clear" w:color="auto" w:fill="FFFFFF"/>
        </w:rPr>
        <w:t>本基金为混合型基金，其预期收益及预期风险水平低于股票型基金，高于债券型基金和货币市场基金</w:t>
      </w:r>
      <w:r>
        <w:rPr>
          <w:rFonts w:hint="eastAsia" w:ascii="微软雅黑" w:hAnsi="微软雅黑" w:eastAsia="微软雅黑" w:cs="微软雅黑"/>
          <w:color w:val="333333"/>
          <w:spacing w:val="8"/>
          <w:sz w:val="18"/>
          <w:szCs w:val="18"/>
          <w:shd w:val="clear" w:color="auto" w:fill="FFFFFF"/>
        </w:rPr>
        <w:t>。</w:t>
      </w:r>
    </w:p>
    <w:p>
      <w:pPr>
        <w:pStyle w:val="7"/>
        <w:widowControl/>
        <w:numPr>
          <w:ilvl w:val="0"/>
          <w:numId w:val="1"/>
        </w:numPr>
        <w:spacing w:before="0" w:beforeAutospacing="0" w:after="0" w:afterAutospacing="0" w:line="240" w:lineRule="auto"/>
        <w:ind w:left="425" w:hanging="425" w:firstLineChars="0"/>
        <w:jc w:val="both"/>
        <w:rPr>
          <w:rFonts w:hint="eastAsia" w:ascii="微软雅黑" w:hAnsi="微软雅黑" w:eastAsia="微软雅黑" w:cs="微软雅黑"/>
          <w:color w:val="333333"/>
          <w:spacing w:val="8"/>
          <w:sz w:val="18"/>
          <w:szCs w:val="18"/>
        </w:rPr>
      </w:pPr>
      <w:r>
        <w:rPr>
          <w:rFonts w:hint="eastAsia" w:ascii="微软雅黑" w:hAnsi="微软雅黑" w:eastAsia="微软雅黑" w:cs="微软雅黑"/>
          <w:color w:val="333333"/>
          <w:spacing w:val="8"/>
          <w:sz w:val="18"/>
          <w:szCs w:val="18"/>
        </w:rPr>
        <w:t>本基金在运作过程中面临的风险主要包括特有风险、市场风险、流动性风险、管理风险、操作风险、合规性风险、本基金法律文件风险收益特征表述与销售机构基金风险评价可能不一致的风险以及其他风险。巨额赎回风险是开放式基金所特有的一种风险，即当单个开放日基金的净赎回申请超过基金总份额的百分之十时，您将可能无法及时赎回申请的全部基金份额，或您赎回的款项可能延缓支付</w:t>
      </w:r>
      <w:r>
        <w:rPr>
          <w:rFonts w:hint="eastAsia" w:ascii="微软雅黑" w:hAnsi="微软雅黑" w:eastAsia="微软雅黑" w:cs="微软雅黑"/>
          <w:color w:val="333333"/>
          <w:spacing w:val="8"/>
          <w:sz w:val="18"/>
          <w:szCs w:val="18"/>
          <w:lang w:eastAsia="zh-CN"/>
        </w:rPr>
        <w:t>。</w:t>
      </w:r>
    </w:p>
    <w:p>
      <w:pPr>
        <w:pStyle w:val="7"/>
        <w:widowControl/>
        <w:numPr>
          <w:ilvl w:val="0"/>
          <w:numId w:val="1"/>
        </w:numPr>
        <w:spacing w:before="0" w:beforeAutospacing="0" w:after="0" w:afterAutospacing="0" w:line="240" w:lineRule="auto"/>
        <w:ind w:left="425" w:hanging="425" w:firstLineChars="0"/>
        <w:jc w:val="both"/>
        <w:rPr>
          <w:rFonts w:hint="eastAsia" w:ascii="微软雅黑" w:hAnsi="微软雅黑" w:eastAsia="微软雅黑" w:cs="微软雅黑"/>
          <w:color w:val="333333"/>
          <w:spacing w:val="8"/>
          <w:sz w:val="18"/>
          <w:szCs w:val="18"/>
        </w:rPr>
      </w:pPr>
      <w:r>
        <w:rPr>
          <w:rFonts w:hint="eastAsia" w:ascii="微软雅黑" w:hAnsi="微软雅黑" w:eastAsia="微软雅黑" w:cs="微软雅黑"/>
          <w:color w:val="333333"/>
          <w:spacing w:val="8"/>
          <w:sz w:val="18"/>
          <w:szCs w:val="18"/>
        </w:rPr>
        <w:t>投资者应当充分了解基金定期定额投资和零存整取等储蓄方式的区别。定期定额投资是引导投资者进行长期投资、平均投资成本的一种简单易行的投资方式，但并不能规避基金投资所固有的风险，不能保证投资者获得收益，也不是替代储蓄的等效理财方式。</w:t>
      </w:r>
    </w:p>
    <w:p>
      <w:pPr>
        <w:pStyle w:val="7"/>
        <w:widowControl/>
        <w:numPr>
          <w:ilvl w:val="0"/>
          <w:numId w:val="1"/>
        </w:numPr>
        <w:spacing w:before="0" w:beforeAutospacing="0" w:after="0" w:afterAutospacing="0" w:line="240" w:lineRule="auto"/>
        <w:ind w:left="425" w:hanging="425" w:firstLineChars="0"/>
        <w:jc w:val="both"/>
        <w:rPr>
          <w:rFonts w:hint="eastAsia" w:ascii="微软雅黑" w:hAnsi="微软雅黑" w:eastAsia="微软雅黑" w:cs="微软雅黑"/>
          <w:color w:val="333333"/>
          <w:spacing w:val="8"/>
          <w:sz w:val="18"/>
          <w:szCs w:val="18"/>
        </w:rPr>
      </w:pPr>
      <w:r>
        <w:rPr>
          <w:rFonts w:hint="eastAsia" w:ascii="微软雅黑" w:hAnsi="微软雅黑" w:eastAsia="微软雅黑" w:cs="微软雅黑"/>
          <w:color w:val="333333"/>
          <w:spacing w:val="8"/>
          <w:sz w:val="18"/>
          <w:szCs w:val="18"/>
          <w:shd w:val="clear" w:color="auto" w:fill="FFFFFF"/>
        </w:rPr>
        <w:t>本基金的募集初始面值为1元，</w:t>
      </w:r>
      <w:r>
        <w:rPr>
          <w:rFonts w:hint="eastAsia" w:ascii="微软雅黑" w:hAnsi="微软雅黑" w:eastAsia="微软雅黑" w:cs="微软雅黑"/>
          <w:b/>
          <w:color w:val="333333"/>
          <w:spacing w:val="8"/>
          <w:sz w:val="18"/>
          <w:szCs w:val="18"/>
          <w:shd w:val="clear" w:color="auto" w:fill="FFFFFF"/>
        </w:rPr>
        <w:t>在市场波动等因素的影响下，本基金净值可能低于初始面值，本基金投资者有可能出现亏损</w:t>
      </w:r>
      <w:r>
        <w:rPr>
          <w:rFonts w:hint="eastAsia" w:ascii="微软雅黑" w:hAnsi="微软雅黑" w:eastAsia="微软雅黑" w:cs="微软雅黑"/>
          <w:color w:val="333333"/>
          <w:spacing w:val="8"/>
          <w:sz w:val="18"/>
          <w:szCs w:val="18"/>
          <w:shd w:val="clear" w:color="auto" w:fill="FFFFFF"/>
        </w:rPr>
        <w:t>。</w:t>
      </w:r>
    </w:p>
    <w:p>
      <w:pPr>
        <w:pStyle w:val="7"/>
        <w:widowControl/>
        <w:numPr>
          <w:ilvl w:val="0"/>
          <w:numId w:val="1"/>
        </w:numPr>
        <w:spacing w:before="0" w:beforeAutospacing="0" w:after="0" w:afterAutospacing="0" w:line="240" w:lineRule="auto"/>
        <w:ind w:left="425" w:hanging="425" w:firstLineChars="0"/>
        <w:jc w:val="both"/>
        <w:rPr>
          <w:rFonts w:hint="eastAsia" w:ascii="微软雅黑" w:hAnsi="微软雅黑" w:eastAsia="微软雅黑" w:cs="微软雅黑"/>
          <w:b/>
          <w:bCs/>
          <w:color w:val="333333"/>
          <w:spacing w:val="8"/>
          <w:sz w:val="18"/>
          <w:szCs w:val="18"/>
        </w:rPr>
      </w:pPr>
      <w:r>
        <w:rPr>
          <w:rFonts w:hint="eastAsia" w:ascii="微软雅黑" w:hAnsi="微软雅黑" w:eastAsia="微软雅黑" w:cs="微软雅黑"/>
          <w:b/>
          <w:bCs/>
          <w:color w:val="333333"/>
          <w:spacing w:val="8"/>
          <w:sz w:val="18"/>
          <w:szCs w:val="18"/>
          <w:shd w:val="clear" w:color="auto" w:fill="FFFFFF"/>
        </w:rPr>
        <w:t>特殊风险揭示</w:t>
      </w:r>
      <w:r>
        <w:rPr>
          <w:rFonts w:hint="eastAsia" w:ascii="微软雅黑" w:hAnsi="微软雅黑" w:eastAsia="微软雅黑" w:cs="微软雅黑"/>
          <w:b/>
          <w:bCs/>
          <w:color w:val="333333"/>
          <w:spacing w:val="8"/>
          <w:sz w:val="18"/>
          <w:szCs w:val="18"/>
          <w:shd w:val="clear" w:color="auto" w:fill="FFFFFF"/>
          <w:lang w:eastAsia="zh-CN"/>
        </w:rPr>
        <w:t>：</w:t>
      </w:r>
    </w:p>
    <w:p>
      <w:pPr>
        <w:pStyle w:val="7"/>
        <w:widowControl/>
        <w:numPr>
          <w:ilvl w:val="0"/>
          <w:numId w:val="2"/>
        </w:numPr>
        <w:spacing w:before="0" w:beforeAutospacing="0" w:after="0" w:afterAutospacing="0" w:line="240" w:lineRule="auto"/>
        <w:ind w:left="0" w:firstLine="392" w:firstLineChars="200"/>
        <w:rPr>
          <w:rFonts w:hint="eastAsia" w:ascii="微软雅黑" w:hAnsi="微软雅黑" w:eastAsia="微软雅黑" w:cs="微软雅黑"/>
          <w:color w:val="333333"/>
          <w:spacing w:val="8"/>
          <w:sz w:val="18"/>
          <w:szCs w:val="18"/>
          <w:shd w:val="clear" w:color="auto" w:fill="FFFFFF"/>
        </w:rPr>
      </w:pPr>
      <w:r>
        <w:rPr>
          <w:rFonts w:hint="eastAsia" w:ascii="微软雅黑" w:hAnsi="微软雅黑" w:eastAsia="微软雅黑" w:cs="微软雅黑"/>
          <w:color w:val="333333"/>
          <w:spacing w:val="8"/>
          <w:sz w:val="18"/>
          <w:szCs w:val="18"/>
          <w:shd w:val="clear" w:color="auto" w:fill="FFFFFF"/>
        </w:rPr>
        <w:t>本基金可以投资于</w:t>
      </w:r>
      <w:r>
        <w:rPr>
          <w:rFonts w:hint="eastAsia" w:ascii="微软雅黑" w:hAnsi="微软雅黑" w:eastAsia="微软雅黑" w:cs="微软雅黑"/>
          <w:b/>
          <w:color w:val="333333"/>
          <w:spacing w:val="8"/>
          <w:sz w:val="18"/>
          <w:szCs w:val="18"/>
          <w:shd w:val="clear" w:color="auto" w:fill="FFFFFF"/>
        </w:rPr>
        <w:t>股指期货、国债期货、股票期权</w:t>
      </w:r>
      <w:r>
        <w:rPr>
          <w:rFonts w:hint="eastAsia" w:ascii="微软雅黑" w:hAnsi="微软雅黑" w:eastAsia="微软雅黑" w:cs="微软雅黑"/>
          <w:b/>
          <w:color w:val="333333"/>
          <w:spacing w:val="8"/>
          <w:sz w:val="18"/>
          <w:szCs w:val="18"/>
          <w:shd w:val="clear" w:color="auto" w:fill="FFFFFF"/>
          <w:lang w:eastAsia="zh-CN"/>
        </w:rPr>
        <w:t>、资产支持证券</w:t>
      </w:r>
      <w:r>
        <w:rPr>
          <w:rFonts w:hint="eastAsia" w:ascii="微软雅黑" w:hAnsi="微软雅黑" w:eastAsia="微软雅黑" w:cs="微软雅黑"/>
          <w:b/>
          <w:color w:val="333333"/>
          <w:spacing w:val="8"/>
          <w:sz w:val="18"/>
          <w:szCs w:val="18"/>
          <w:shd w:val="clear" w:color="auto" w:fill="FFFFFF"/>
        </w:rPr>
        <w:t>等品种</w:t>
      </w:r>
      <w:r>
        <w:rPr>
          <w:rFonts w:hint="eastAsia" w:ascii="微软雅黑" w:hAnsi="微软雅黑" w:eastAsia="微软雅黑" w:cs="微软雅黑"/>
          <w:b w:val="0"/>
          <w:bCs/>
          <w:color w:val="333333"/>
          <w:spacing w:val="8"/>
          <w:sz w:val="18"/>
          <w:szCs w:val="18"/>
          <w:shd w:val="clear" w:color="auto" w:fill="FFFFFF"/>
        </w:rPr>
        <w:t>，</w:t>
      </w:r>
      <w:r>
        <w:rPr>
          <w:rFonts w:hint="eastAsia" w:ascii="微软雅黑" w:hAnsi="微软雅黑" w:eastAsia="微软雅黑" w:cs="微软雅黑"/>
          <w:color w:val="333333"/>
          <w:spacing w:val="8"/>
          <w:sz w:val="18"/>
          <w:szCs w:val="18"/>
          <w:shd w:val="clear" w:color="auto" w:fill="FFFFFF"/>
        </w:rPr>
        <w:t>将面临相关投资品种和业务的特有风险。</w:t>
      </w:r>
    </w:p>
    <w:p>
      <w:pPr>
        <w:pStyle w:val="7"/>
        <w:widowControl/>
        <w:numPr>
          <w:ilvl w:val="0"/>
          <w:numId w:val="2"/>
        </w:numPr>
        <w:spacing w:before="0" w:beforeAutospacing="0" w:after="0" w:afterAutospacing="0" w:line="240" w:lineRule="auto"/>
        <w:ind w:left="0" w:firstLine="392" w:firstLineChars="200"/>
        <w:jc w:val="both"/>
        <w:rPr>
          <w:rFonts w:hint="eastAsia" w:ascii="微软雅黑" w:hAnsi="微软雅黑" w:eastAsia="微软雅黑" w:cs="微软雅黑"/>
          <w:color w:val="333333"/>
          <w:spacing w:val="8"/>
          <w:sz w:val="18"/>
          <w:szCs w:val="18"/>
          <w:shd w:val="clear" w:color="auto" w:fill="FFFFFF"/>
        </w:rPr>
      </w:pPr>
      <w:r>
        <w:rPr>
          <w:rFonts w:hint="eastAsia" w:ascii="微软雅黑" w:hAnsi="微软雅黑" w:eastAsia="微软雅黑" w:cs="微软雅黑"/>
          <w:color w:val="333333"/>
          <w:spacing w:val="8"/>
          <w:sz w:val="18"/>
          <w:szCs w:val="18"/>
          <w:shd w:val="clear" w:color="auto" w:fill="FFFFFF"/>
        </w:rPr>
        <w:t>本基金可以投资于</w:t>
      </w:r>
      <w:r>
        <w:rPr>
          <w:rFonts w:hint="eastAsia" w:ascii="微软雅黑" w:hAnsi="微软雅黑" w:eastAsia="微软雅黑" w:cs="微软雅黑"/>
          <w:b/>
          <w:color w:val="333333"/>
          <w:spacing w:val="8"/>
          <w:sz w:val="18"/>
          <w:szCs w:val="18"/>
          <w:shd w:val="clear" w:color="auto" w:fill="FFFFFF"/>
        </w:rPr>
        <w:t>港股通标的股票</w:t>
      </w:r>
      <w:r>
        <w:rPr>
          <w:rFonts w:hint="eastAsia" w:ascii="微软雅黑" w:hAnsi="微软雅黑" w:eastAsia="微软雅黑" w:cs="微软雅黑"/>
          <w:color w:val="333333"/>
          <w:spacing w:val="8"/>
          <w:sz w:val="18"/>
          <w:szCs w:val="18"/>
          <w:shd w:val="clear" w:color="auto" w:fill="FFFFFF"/>
        </w:rPr>
        <w:t>，</w:t>
      </w:r>
      <w:r>
        <w:rPr>
          <w:rFonts w:hint="eastAsia" w:ascii="微软雅黑" w:hAnsi="微软雅黑" w:eastAsia="微软雅黑" w:cs="微软雅黑"/>
          <w:b/>
          <w:color w:val="333333"/>
          <w:spacing w:val="8"/>
          <w:sz w:val="18"/>
          <w:szCs w:val="18"/>
          <w:shd w:val="clear" w:color="auto" w:fill="FFFFFF"/>
        </w:rPr>
        <w:t>将承担港股通机制下因投资环境、投资标的、市场制度以及交易规则等差异带来的特有风险</w:t>
      </w:r>
      <w:r>
        <w:rPr>
          <w:rFonts w:hint="eastAsia" w:ascii="微软雅黑" w:hAnsi="微软雅黑" w:eastAsia="微软雅黑" w:cs="微软雅黑"/>
          <w:color w:val="333333"/>
          <w:spacing w:val="8"/>
          <w:sz w:val="18"/>
          <w:szCs w:val="18"/>
          <w:shd w:val="clear" w:color="auto" w:fill="FFFFFF"/>
        </w:rPr>
        <w:t>。本基金可根据投资策略需要或不同配置地市场环境的变化，选择将部分基金资产投资于港股或选择不将基金资产投资于港股，基金资产并非必然投资港股。</w:t>
      </w:r>
    </w:p>
    <w:p>
      <w:pPr>
        <w:pStyle w:val="7"/>
        <w:widowControl/>
        <w:numPr>
          <w:ilvl w:val="0"/>
          <w:numId w:val="2"/>
        </w:numPr>
        <w:spacing w:before="0" w:beforeAutospacing="0" w:after="0" w:afterAutospacing="0" w:line="240" w:lineRule="auto"/>
        <w:ind w:left="0" w:firstLine="392" w:firstLineChars="200"/>
        <w:rPr>
          <w:rFonts w:hint="eastAsia" w:ascii="微软雅黑" w:hAnsi="微软雅黑" w:eastAsia="微软雅黑" w:cs="微软雅黑"/>
          <w:color w:val="333333"/>
          <w:spacing w:val="8"/>
          <w:sz w:val="18"/>
          <w:szCs w:val="18"/>
          <w:shd w:val="clear" w:color="auto" w:fill="FFFFFF"/>
        </w:rPr>
      </w:pPr>
      <w:r>
        <w:rPr>
          <w:rFonts w:hint="eastAsia" w:ascii="微软雅黑" w:hAnsi="微软雅黑" w:eastAsia="微软雅黑" w:cs="微软雅黑"/>
          <w:color w:val="333333"/>
          <w:spacing w:val="8"/>
          <w:sz w:val="18"/>
          <w:szCs w:val="18"/>
          <w:shd w:val="clear" w:color="auto" w:fill="FFFFFF"/>
        </w:rPr>
        <w:t>本基金可以投资于</w:t>
      </w:r>
      <w:r>
        <w:rPr>
          <w:rFonts w:hint="eastAsia" w:ascii="微软雅黑" w:hAnsi="微软雅黑" w:eastAsia="微软雅黑" w:cs="微软雅黑"/>
          <w:b/>
          <w:color w:val="333333"/>
          <w:spacing w:val="8"/>
          <w:sz w:val="18"/>
          <w:szCs w:val="18"/>
          <w:shd w:val="clear" w:color="auto" w:fill="FFFFFF"/>
        </w:rPr>
        <w:t>存托凭证</w:t>
      </w:r>
      <w:r>
        <w:rPr>
          <w:rFonts w:hint="eastAsia" w:ascii="微软雅黑" w:hAnsi="微软雅黑" w:eastAsia="微软雅黑" w:cs="微软雅黑"/>
          <w:color w:val="333333"/>
          <w:spacing w:val="8"/>
          <w:sz w:val="18"/>
          <w:szCs w:val="18"/>
          <w:shd w:val="clear" w:color="auto" w:fill="FFFFFF"/>
        </w:rPr>
        <w:t>，存托凭证是新证券品种，若本基金投资存托凭证，在承担境内上市交易股票投资的共同风险</w:t>
      </w:r>
      <w:bookmarkStart w:id="0" w:name="_GoBack"/>
      <w:bookmarkEnd w:id="0"/>
      <w:r>
        <w:rPr>
          <w:rFonts w:hint="eastAsia" w:ascii="微软雅黑" w:hAnsi="微软雅黑" w:eastAsia="微软雅黑" w:cs="微软雅黑"/>
          <w:color w:val="333333"/>
          <w:spacing w:val="8"/>
          <w:sz w:val="18"/>
          <w:szCs w:val="18"/>
          <w:shd w:val="clear" w:color="auto" w:fill="FFFFFF"/>
        </w:rPr>
        <w:t>外，还将承担与存托凭证、创新企业发行、境外发行人以及交易机制相关的特有风险。</w:t>
      </w:r>
    </w:p>
    <w:p>
      <w:pPr>
        <w:pStyle w:val="7"/>
        <w:widowControl/>
        <w:numPr>
          <w:ilvl w:val="0"/>
          <w:numId w:val="2"/>
        </w:numPr>
        <w:spacing w:before="0" w:beforeAutospacing="0" w:after="0" w:afterAutospacing="0" w:line="240" w:lineRule="auto"/>
        <w:ind w:left="0" w:firstLine="392" w:firstLineChars="200"/>
        <w:rPr>
          <w:rFonts w:hint="eastAsia" w:ascii="微软雅黑" w:hAnsi="微软雅黑" w:eastAsia="微软雅黑" w:cs="微软雅黑"/>
          <w:color w:val="333333"/>
          <w:spacing w:val="8"/>
          <w:sz w:val="18"/>
          <w:szCs w:val="18"/>
          <w:shd w:val="clear" w:color="auto" w:fill="FFFFFF"/>
        </w:rPr>
      </w:pPr>
      <w:r>
        <w:rPr>
          <w:rFonts w:hint="eastAsia" w:ascii="微软雅黑" w:hAnsi="微软雅黑" w:eastAsia="微软雅黑" w:cs="微软雅黑"/>
          <w:color w:val="333333"/>
          <w:spacing w:val="8"/>
          <w:sz w:val="18"/>
          <w:szCs w:val="18"/>
          <w:shd w:val="clear" w:color="auto" w:fill="FFFFFF"/>
        </w:rPr>
        <w:t>本基金可以投资于</w:t>
      </w:r>
      <w:r>
        <w:rPr>
          <w:rFonts w:hint="eastAsia" w:ascii="微软雅黑" w:hAnsi="微软雅黑" w:eastAsia="微软雅黑" w:cs="微软雅黑"/>
          <w:b/>
          <w:bCs/>
          <w:color w:val="333333"/>
          <w:spacing w:val="8"/>
          <w:sz w:val="18"/>
          <w:szCs w:val="18"/>
          <w:shd w:val="clear" w:color="auto" w:fill="FFFFFF"/>
        </w:rPr>
        <w:t>科创板</w:t>
      </w:r>
      <w:r>
        <w:rPr>
          <w:rFonts w:hint="eastAsia" w:ascii="微软雅黑" w:hAnsi="微软雅黑" w:eastAsia="微软雅黑" w:cs="微软雅黑"/>
          <w:color w:val="333333"/>
          <w:spacing w:val="8"/>
          <w:sz w:val="18"/>
          <w:szCs w:val="18"/>
          <w:shd w:val="clear" w:color="auto" w:fill="FFFFFF"/>
        </w:rPr>
        <w:t>，若本基金投资于科创板股票，会面临科创板机制下因投资标的、市场制度以及交易规则等差异带来的特有风险，包括但不限于科创板上市公司股票价格波动较大的风险、流动性风险、退市风险等</w:t>
      </w:r>
      <w:r>
        <w:rPr>
          <w:rFonts w:hint="eastAsia" w:ascii="微软雅黑" w:hAnsi="微软雅黑" w:eastAsia="微软雅黑" w:cs="微软雅黑"/>
          <w:color w:val="333333"/>
          <w:spacing w:val="8"/>
          <w:sz w:val="18"/>
          <w:szCs w:val="18"/>
          <w:shd w:val="clear" w:color="auto" w:fill="FFFFFF"/>
          <w:lang w:eastAsia="zh-CN"/>
        </w:rPr>
        <w:t>。</w:t>
      </w:r>
    </w:p>
    <w:p>
      <w:pPr>
        <w:pStyle w:val="7"/>
        <w:widowControl/>
        <w:numPr>
          <w:ilvl w:val="0"/>
          <w:numId w:val="2"/>
        </w:numPr>
        <w:spacing w:before="0" w:beforeAutospacing="0" w:after="0" w:afterAutospacing="0" w:line="240" w:lineRule="auto"/>
        <w:ind w:left="0" w:firstLine="392" w:firstLineChars="200"/>
        <w:rPr>
          <w:rFonts w:hint="eastAsia" w:ascii="微软雅黑" w:hAnsi="微软雅黑" w:eastAsia="微软雅黑" w:cs="微软雅黑"/>
          <w:color w:val="333333"/>
          <w:spacing w:val="8"/>
          <w:sz w:val="18"/>
          <w:szCs w:val="18"/>
          <w:shd w:val="clear" w:color="auto" w:fill="FFFFFF"/>
        </w:rPr>
      </w:pPr>
      <w:r>
        <w:rPr>
          <w:rFonts w:hint="eastAsia" w:ascii="微软雅黑" w:hAnsi="微软雅黑" w:eastAsia="微软雅黑" w:cs="微软雅黑"/>
          <w:color w:val="333333"/>
          <w:spacing w:val="8"/>
          <w:sz w:val="18"/>
          <w:szCs w:val="18"/>
          <w:shd w:val="clear" w:color="auto" w:fill="FFFFFF"/>
        </w:rPr>
        <w:t>为对冲信用风险，本基金可能投资于</w:t>
      </w:r>
      <w:r>
        <w:rPr>
          <w:rFonts w:hint="eastAsia" w:ascii="微软雅黑" w:hAnsi="微软雅黑" w:eastAsia="微软雅黑" w:cs="微软雅黑"/>
          <w:b/>
          <w:bCs/>
          <w:color w:val="333333"/>
          <w:spacing w:val="8"/>
          <w:sz w:val="18"/>
          <w:szCs w:val="18"/>
          <w:shd w:val="clear" w:color="auto" w:fill="FFFFFF"/>
        </w:rPr>
        <w:t>信用衍生品</w:t>
      </w:r>
      <w:r>
        <w:rPr>
          <w:rFonts w:hint="eastAsia" w:ascii="微软雅黑" w:hAnsi="微软雅黑" w:eastAsia="微软雅黑" w:cs="微软雅黑"/>
          <w:color w:val="333333"/>
          <w:spacing w:val="8"/>
          <w:sz w:val="18"/>
          <w:szCs w:val="18"/>
          <w:shd w:val="clear" w:color="auto" w:fill="FFFFFF"/>
        </w:rPr>
        <w:t>，信用衍生品的投资可能面临流动性风险、偿付风险以及价格波动风险等</w:t>
      </w:r>
      <w:r>
        <w:rPr>
          <w:rFonts w:hint="eastAsia" w:ascii="微软雅黑" w:hAnsi="微软雅黑" w:eastAsia="微软雅黑" w:cs="微软雅黑"/>
          <w:color w:val="333333"/>
          <w:spacing w:val="8"/>
          <w:sz w:val="18"/>
          <w:szCs w:val="18"/>
          <w:shd w:val="clear" w:color="auto" w:fill="FFFFFF"/>
          <w:lang w:eastAsia="zh-CN"/>
        </w:rPr>
        <w:t>。</w:t>
      </w:r>
    </w:p>
    <w:p>
      <w:pPr>
        <w:pStyle w:val="7"/>
        <w:widowControl/>
        <w:numPr>
          <w:ilvl w:val="0"/>
          <w:numId w:val="2"/>
        </w:numPr>
        <w:spacing w:before="0" w:beforeAutospacing="0" w:after="0" w:afterAutospacing="0" w:line="240" w:lineRule="auto"/>
        <w:ind w:left="0" w:firstLine="392" w:firstLineChars="200"/>
        <w:rPr>
          <w:rFonts w:hint="eastAsia" w:ascii="微软雅黑" w:hAnsi="微软雅黑" w:eastAsia="微软雅黑" w:cs="微软雅黑"/>
          <w:color w:val="333333"/>
          <w:spacing w:val="8"/>
          <w:sz w:val="18"/>
          <w:szCs w:val="18"/>
          <w:shd w:val="clear" w:color="auto" w:fill="FFFFFF"/>
        </w:rPr>
      </w:pPr>
      <w:r>
        <w:rPr>
          <w:rFonts w:hint="eastAsia" w:ascii="微软雅黑" w:hAnsi="微软雅黑" w:eastAsia="微软雅黑" w:cs="微软雅黑"/>
          <w:b/>
          <w:bCs/>
          <w:color w:val="333333"/>
          <w:spacing w:val="8"/>
          <w:sz w:val="18"/>
          <w:szCs w:val="18"/>
          <w:shd w:val="clear" w:color="auto" w:fill="FFFFFF"/>
        </w:rPr>
        <w:t>基金终止清盘风险。</w:t>
      </w:r>
      <w:r>
        <w:rPr>
          <w:rFonts w:hint="eastAsia" w:ascii="微软雅黑" w:hAnsi="微软雅黑" w:eastAsia="微软雅黑" w:cs="微软雅黑"/>
          <w:color w:val="333333"/>
          <w:spacing w:val="8"/>
          <w:sz w:val="18"/>
          <w:szCs w:val="18"/>
          <w:shd w:val="clear" w:color="auto" w:fill="FFFFFF"/>
        </w:rPr>
        <w:t>基金合同生效后，连续20个工作日出现基金份额持有人数量不满200人或者基金资产净值低于5000万元情形的，基金管理人应当在定期报告中予以披露；连续60个工作日出现前述情形的，基金管理人应当在十个工作日内向中国证监会报告并提出解决方案，如持续运作、转换运作方式、与其他基金合并或者终止基金合同等，并在6个月内召集基金份额持有人大会进行表决。</w:t>
      </w:r>
    </w:p>
    <w:p>
      <w:pPr>
        <w:pStyle w:val="7"/>
        <w:widowControl/>
        <w:numPr>
          <w:ilvl w:val="0"/>
          <w:numId w:val="1"/>
        </w:numPr>
        <w:spacing w:before="0" w:beforeAutospacing="0" w:after="0" w:afterAutospacing="0" w:line="240" w:lineRule="auto"/>
        <w:ind w:left="425" w:hanging="425" w:firstLineChars="0"/>
        <w:jc w:val="both"/>
        <w:rPr>
          <w:rFonts w:hint="eastAsia" w:ascii="微软雅黑" w:hAnsi="微软雅黑" w:eastAsia="微软雅黑" w:cs="微软雅黑"/>
          <w:color w:val="333333"/>
          <w:spacing w:val="8"/>
          <w:sz w:val="18"/>
          <w:szCs w:val="18"/>
          <w:shd w:val="clear" w:color="auto" w:fill="FFFFFF"/>
        </w:rPr>
      </w:pPr>
      <w:r>
        <w:rPr>
          <w:rFonts w:hint="eastAsia" w:ascii="微软雅黑" w:hAnsi="微软雅黑" w:eastAsia="微软雅黑" w:cs="微软雅黑"/>
          <w:color w:val="333333"/>
          <w:spacing w:val="8"/>
          <w:sz w:val="18"/>
          <w:szCs w:val="18"/>
          <w:shd w:val="clear" w:color="auto" w:fill="FFFFFF"/>
        </w:rPr>
        <w:t>投资人应当认真阅读《基金合同》、《招募说明书》等基金法律文件，了解基金的风险收益特征，并根据自身的投资目的、投资期限、投资经验、资产状况等判断基金是否和投资人的风险承受能力相适应。</w:t>
      </w:r>
    </w:p>
    <w:p>
      <w:pPr>
        <w:pStyle w:val="7"/>
        <w:widowControl/>
        <w:numPr>
          <w:ilvl w:val="0"/>
          <w:numId w:val="1"/>
        </w:numPr>
        <w:spacing w:before="0" w:beforeAutospacing="0" w:after="0" w:afterAutospacing="0" w:line="240" w:lineRule="auto"/>
        <w:ind w:left="425" w:hanging="425" w:firstLineChars="0"/>
        <w:rPr>
          <w:rFonts w:hint="eastAsia" w:ascii="微软雅黑" w:hAnsi="微软雅黑" w:eastAsia="微软雅黑" w:cs="微软雅黑"/>
          <w:b w:val="0"/>
          <w:bCs w:val="0"/>
          <w:color w:val="333333"/>
          <w:spacing w:val="8"/>
          <w:sz w:val="18"/>
          <w:szCs w:val="18"/>
          <w:shd w:val="clear" w:color="auto" w:fill="FFFFFF"/>
        </w:rPr>
      </w:pPr>
      <w:r>
        <w:rPr>
          <w:rFonts w:hint="eastAsia" w:ascii="微软雅黑" w:hAnsi="微软雅黑" w:eastAsia="微软雅黑" w:cs="微软雅黑"/>
          <w:b/>
          <w:bCs/>
          <w:color w:val="333333"/>
          <w:spacing w:val="8"/>
          <w:sz w:val="18"/>
          <w:szCs w:val="18"/>
          <w:shd w:val="clear" w:color="auto" w:fill="FFFFFF"/>
          <w:lang w:eastAsia="zh-CN"/>
        </w:rPr>
        <w:t>富国红利质选混合型证券投资基金</w:t>
      </w:r>
      <w:r>
        <w:rPr>
          <w:rFonts w:hint="eastAsia" w:ascii="微软雅黑" w:hAnsi="微软雅黑" w:eastAsia="微软雅黑" w:cs="微软雅黑"/>
          <w:b w:val="0"/>
          <w:bCs w:val="0"/>
          <w:color w:val="333333"/>
          <w:spacing w:val="8"/>
          <w:sz w:val="18"/>
          <w:szCs w:val="18"/>
          <w:shd w:val="clear" w:color="auto" w:fill="FFFFFF"/>
        </w:rPr>
        <w:t>（以下简称“本基金”），由富国基金管理有限公司（以下简称“基金管理人”）依照有关法律法规及约定发起，并已获得中国证券监督管理委员会准予注册</w:t>
      </w:r>
      <w:r>
        <w:rPr>
          <w:rFonts w:hint="eastAsia" w:ascii="微软雅黑" w:hAnsi="微软雅黑" w:eastAsia="微软雅黑" w:cs="微软雅黑"/>
          <w:b w:val="0"/>
          <w:bCs w:val="0"/>
          <w:color w:val="333333"/>
          <w:spacing w:val="8"/>
          <w:sz w:val="18"/>
          <w:szCs w:val="18"/>
          <w:highlight w:val="none"/>
          <w:shd w:val="clear" w:color="auto" w:fill="FFFFFF"/>
        </w:rPr>
        <w:t>的批复（证监许可【2024】1507号文）</w:t>
      </w:r>
      <w:r>
        <w:rPr>
          <w:rFonts w:hint="eastAsia" w:ascii="微软雅黑" w:hAnsi="微软雅黑" w:eastAsia="微软雅黑" w:cs="微软雅黑"/>
          <w:b w:val="0"/>
          <w:bCs w:val="0"/>
          <w:color w:val="333333"/>
          <w:spacing w:val="8"/>
          <w:sz w:val="18"/>
          <w:szCs w:val="18"/>
          <w:shd w:val="clear" w:color="auto" w:fill="FFFFFF"/>
        </w:rPr>
        <w:t>。</w:t>
      </w:r>
      <w:r>
        <w:rPr>
          <w:rFonts w:hint="eastAsia" w:ascii="微软雅黑" w:hAnsi="微软雅黑" w:eastAsia="微软雅黑" w:cs="微软雅黑"/>
          <w:b/>
          <w:bCs/>
          <w:color w:val="333333"/>
          <w:spacing w:val="8"/>
          <w:sz w:val="18"/>
          <w:szCs w:val="18"/>
          <w:shd w:val="clear" w:color="auto" w:fill="FFFFFF"/>
        </w:rPr>
        <w:t>中国证监会对本基金募集申请的注册，并不表明其对本基金的投资价值和市场前景等做出实质性判断或保证，也不表明投资于本基金没有风险。</w:t>
      </w:r>
      <w:r>
        <w:rPr>
          <w:rFonts w:hint="eastAsia" w:ascii="微软雅黑" w:hAnsi="微软雅黑" w:eastAsia="微软雅黑" w:cs="微软雅黑"/>
          <w:b w:val="0"/>
          <w:bCs w:val="0"/>
          <w:color w:val="333333"/>
          <w:spacing w:val="8"/>
          <w:sz w:val="18"/>
          <w:szCs w:val="18"/>
          <w:shd w:val="clear" w:color="auto" w:fill="FFFFFF"/>
        </w:rPr>
        <w:t>本基金的《基金合同》和《招募说明书》已通过中国证监会基金电子披露网站（http://eid.csrc.gov.cn/fund）和基金管理人的官方网站（www.fullgoal.com.cn）进行了公开披露。</w:t>
      </w:r>
    </w:p>
    <w:p>
      <w:pPr>
        <w:pStyle w:val="7"/>
        <w:widowControl/>
        <w:numPr>
          <w:ilvl w:val="0"/>
          <w:numId w:val="1"/>
        </w:numPr>
        <w:spacing w:before="0" w:beforeAutospacing="0" w:after="0" w:afterAutospacing="0" w:line="240" w:lineRule="auto"/>
        <w:ind w:left="425" w:hanging="425" w:firstLineChars="0"/>
        <w:rPr>
          <w:rFonts w:hint="eastAsia" w:ascii="微软雅黑" w:hAnsi="微软雅黑" w:eastAsia="微软雅黑" w:cs="微软雅黑"/>
          <w:b/>
          <w:bCs/>
          <w:color w:val="333333"/>
          <w:spacing w:val="8"/>
          <w:sz w:val="18"/>
          <w:szCs w:val="18"/>
          <w:shd w:val="clear" w:color="auto" w:fill="FFFFFF"/>
        </w:rPr>
      </w:pPr>
      <w:r>
        <w:rPr>
          <w:rFonts w:hint="eastAsia" w:ascii="微软雅黑" w:hAnsi="微软雅黑" w:eastAsia="微软雅黑" w:cs="微软雅黑"/>
          <w:b/>
          <w:bCs/>
          <w:color w:val="333333"/>
          <w:spacing w:val="8"/>
          <w:sz w:val="18"/>
          <w:szCs w:val="18"/>
          <w:shd w:val="clear" w:color="auto" w:fill="FFFFFF"/>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买者自负”原则，在做出投资决策后，基金运营状况与基金净值变化引致的投资风险，由投资人自行负担。</w:t>
      </w:r>
    </w:p>
    <w:p>
      <w:pPr>
        <w:pStyle w:val="7"/>
        <w:widowControl/>
        <w:numPr>
          <w:ilvl w:val="0"/>
          <w:numId w:val="1"/>
        </w:numPr>
        <w:spacing w:before="0" w:beforeAutospacing="0" w:after="0" w:afterAutospacing="0" w:line="240" w:lineRule="auto"/>
        <w:ind w:left="425" w:hanging="425" w:firstLineChars="0"/>
        <w:rPr>
          <w:rFonts w:hint="eastAsia" w:ascii="微软雅黑" w:hAnsi="微软雅黑" w:eastAsia="微软雅黑" w:cs="微软雅黑"/>
          <w:color w:val="333333"/>
          <w:spacing w:val="8"/>
          <w:sz w:val="18"/>
          <w:szCs w:val="18"/>
          <w:shd w:val="clear" w:color="auto" w:fill="FFFFFF"/>
        </w:rPr>
      </w:pPr>
      <w:r>
        <w:rPr>
          <w:rFonts w:hint="eastAsia" w:ascii="微软雅黑" w:hAnsi="微软雅黑" w:eastAsia="微软雅黑" w:cs="微软雅黑"/>
          <w:color w:val="333333"/>
          <w:spacing w:val="8"/>
          <w:sz w:val="18"/>
          <w:szCs w:val="18"/>
          <w:shd w:val="clear" w:color="auto" w:fill="FFFFFF"/>
        </w:rPr>
        <w:t>投资人应当在基金管理人及其指定发售代理机构办理基金发售业务的营业场所，或者按基金管理人或发售代理机构提供的方式办理基金份额的认购。基金管理人、发售代理机构办理基金认购业务的具体情况和联系方法，详见基金《招募说明书》以及基金份额发售公告。</w:t>
      </w:r>
    </w:p>
    <w:p>
      <w:pPr>
        <w:pStyle w:val="7"/>
        <w:widowControl/>
        <w:numPr>
          <w:ilvl w:val="0"/>
          <w:numId w:val="1"/>
        </w:numPr>
        <w:spacing w:before="0" w:beforeAutospacing="0" w:after="0" w:afterAutospacing="0" w:line="240" w:lineRule="auto"/>
        <w:ind w:left="425" w:hanging="425" w:firstLineChars="0"/>
        <w:jc w:val="both"/>
        <w:rPr>
          <w:rFonts w:hint="eastAsia" w:ascii="微软雅黑" w:hAnsi="微软雅黑" w:eastAsia="微软雅黑" w:cs="微软雅黑"/>
          <w:b w:val="0"/>
          <w:bCs w:val="0"/>
          <w:color w:val="333333"/>
          <w:spacing w:val="8"/>
          <w:sz w:val="18"/>
          <w:szCs w:val="18"/>
          <w:shd w:val="clear" w:color="auto" w:fill="FFFFFF"/>
        </w:rPr>
      </w:pPr>
      <w:r>
        <w:rPr>
          <w:rFonts w:hint="eastAsia" w:ascii="微软雅黑" w:hAnsi="微软雅黑" w:eastAsia="微软雅黑" w:cs="微软雅黑"/>
          <w:color w:val="333333"/>
          <w:spacing w:val="8"/>
          <w:sz w:val="18"/>
          <w:szCs w:val="18"/>
          <w:shd w:val="clear" w:color="auto" w:fill="FFFFFF"/>
        </w:rPr>
        <w:t>销售机构（包括基金管理人直销机构和其他销售机构）根据相关法律法规对本基金进行风险评价，不同的销售机构采用的评价方法也不同，因此销售机构的风险等级评价与基金法律文件中风险收益特征的表述可能存在不同，投资人在购买本基金时需按照销售机构的要求完成风险承受能力与产品风险之间的匹配检验。</w:t>
      </w:r>
      <w:r>
        <w:rPr>
          <w:rFonts w:hint="eastAsia" w:ascii="微软雅黑" w:hAnsi="微软雅黑" w:eastAsia="微软雅黑" w:cs="微软雅黑"/>
          <w:b/>
          <w:bCs/>
          <w:color w:val="333333"/>
          <w:spacing w:val="8"/>
          <w:sz w:val="18"/>
          <w:szCs w:val="18"/>
          <w:shd w:val="clear" w:color="auto" w:fill="FFFFFF"/>
        </w:rPr>
        <w:t>基金管理人端本基金的风险等级为中风险R3，匹配</w:t>
      </w:r>
      <w:r>
        <w:rPr>
          <w:rFonts w:hint="eastAsia" w:ascii="微软雅黑" w:hAnsi="微软雅黑" w:eastAsia="微软雅黑" w:cs="微软雅黑"/>
          <w:b/>
          <w:bCs/>
          <w:color w:val="333333"/>
          <w:spacing w:val="8"/>
          <w:sz w:val="18"/>
          <w:szCs w:val="18"/>
          <w:shd w:val="clear" w:color="auto" w:fill="FFFFFF"/>
          <w:lang w:val="en-US" w:eastAsia="zh-CN"/>
        </w:rPr>
        <w:t>稳健型C3、</w:t>
      </w:r>
      <w:r>
        <w:rPr>
          <w:rFonts w:hint="eastAsia" w:ascii="微软雅黑" w:hAnsi="微软雅黑" w:eastAsia="微软雅黑" w:cs="微软雅黑"/>
          <w:b/>
          <w:bCs/>
          <w:color w:val="333333"/>
          <w:spacing w:val="8"/>
          <w:sz w:val="18"/>
          <w:szCs w:val="18"/>
          <w:shd w:val="clear" w:color="auto" w:fill="FFFFFF"/>
        </w:rPr>
        <w:t>积极型C4、进取型C5的客户。</w:t>
      </w:r>
      <w:r>
        <w:rPr>
          <w:rFonts w:hint="eastAsia" w:ascii="微软雅黑" w:hAnsi="微软雅黑" w:eastAsia="微软雅黑" w:cs="微软雅黑"/>
          <w:color w:val="333333"/>
          <w:spacing w:val="8"/>
          <w:sz w:val="18"/>
          <w:szCs w:val="18"/>
          <w:shd w:val="clear" w:color="auto" w:fill="FFFFFF"/>
        </w:rPr>
        <w:t>建议投资者详阅基金合同等文件，根据自身的风险承受能力审慎作出投资决策。产品风险等级及适配投资者等级以销售机构评定结果为准</w:t>
      </w:r>
      <w:r>
        <w:rPr>
          <w:rFonts w:hint="eastAsia" w:ascii="微软雅黑" w:hAnsi="微软雅黑" w:eastAsia="微软雅黑" w:cs="微软雅黑"/>
          <w:b w:val="0"/>
          <w:bCs w:val="0"/>
          <w:color w:val="333333"/>
          <w:spacing w:val="8"/>
          <w:sz w:val="18"/>
          <w:szCs w:val="18"/>
          <w:shd w:val="clear" w:color="auto" w:fill="FFFFFF"/>
        </w:rPr>
        <w:t>。</w:t>
      </w:r>
    </w:p>
    <w:p>
      <w:pPr>
        <w:rPr>
          <w:rFonts w:hint="eastAsia" w:ascii="微软雅黑" w:hAnsi="微软雅黑" w:eastAsia="微软雅黑" w:cs="微软雅黑"/>
          <w:sz w:val="18"/>
          <w:szCs w:val="18"/>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6723F41"/>
    <w:multiLevelType w:val="singleLevel"/>
    <w:tmpl w:val="E6723F41"/>
    <w:lvl w:ilvl="0" w:tentative="0">
      <w:start w:val="1"/>
      <w:numFmt w:val="decimal"/>
      <w:lvlText w:val="(%1)"/>
      <w:lvlJc w:val="left"/>
      <w:pPr>
        <w:ind w:left="425" w:hanging="425"/>
      </w:pPr>
      <w:rPr>
        <w:rFonts w:hint="default"/>
      </w:rPr>
    </w:lvl>
  </w:abstractNum>
  <w:abstractNum w:abstractNumId="1">
    <w:nsid w:val="F182BF9E"/>
    <w:multiLevelType w:val="singleLevel"/>
    <w:tmpl w:val="F182BF9E"/>
    <w:lvl w:ilvl="0" w:tentative="0">
      <w:start w:val="1"/>
      <w:numFmt w:val="decimal"/>
      <w:lvlText w:val="%1."/>
      <w:lvlJc w:val="left"/>
      <w:pPr>
        <w:ind w:left="425" w:hanging="425"/>
      </w:pPr>
      <w:rPr>
        <w:rFont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5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079B0"/>
    <w:rsid w:val="000055CC"/>
    <w:rsid w:val="0004506A"/>
    <w:rsid w:val="00062BE2"/>
    <w:rsid w:val="000716B7"/>
    <w:rsid w:val="00074DCA"/>
    <w:rsid w:val="000A4AA2"/>
    <w:rsid w:val="000D4BD5"/>
    <w:rsid w:val="000E67A0"/>
    <w:rsid w:val="00106C5D"/>
    <w:rsid w:val="00122702"/>
    <w:rsid w:val="00155CAE"/>
    <w:rsid w:val="001A5E74"/>
    <w:rsid w:val="001B155D"/>
    <w:rsid w:val="001B36C0"/>
    <w:rsid w:val="001B671D"/>
    <w:rsid w:val="001C5CBB"/>
    <w:rsid w:val="001E3B71"/>
    <w:rsid w:val="001F23B7"/>
    <w:rsid w:val="002518A7"/>
    <w:rsid w:val="002A0300"/>
    <w:rsid w:val="0034282A"/>
    <w:rsid w:val="003B28BC"/>
    <w:rsid w:val="003E4CA0"/>
    <w:rsid w:val="003F001C"/>
    <w:rsid w:val="003F4E44"/>
    <w:rsid w:val="00415B90"/>
    <w:rsid w:val="004554E4"/>
    <w:rsid w:val="004607B3"/>
    <w:rsid w:val="00473C84"/>
    <w:rsid w:val="004849EC"/>
    <w:rsid w:val="004A091D"/>
    <w:rsid w:val="004A50E8"/>
    <w:rsid w:val="004C5B50"/>
    <w:rsid w:val="004E005E"/>
    <w:rsid w:val="004F64F8"/>
    <w:rsid w:val="005103C5"/>
    <w:rsid w:val="005502E9"/>
    <w:rsid w:val="005511AE"/>
    <w:rsid w:val="005853D0"/>
    <w:rsid w:val="005B2650"/>
    <w:rsid w:val="005E4732"/>
    <w:rsid w:val="005E6C1E"/>
    <w:rsid w:val="00620857"/>
    <w:rsid w:val="00622395"/>
    <w:rsid w:val="00623CBA"/>
    <w:rsid w:val="0063505D"/>
    <w:rsid w:val="0063713D"/>
    <w:rsid w:val="00696DDB"/>
    <w:rsid w:val="006A1B4F"/>
    <w:rsid w:val="006E5121"/>
    <w:rsid w:val="0071750F"/>
    <w:rsid w:val="00730C2D"/>
    <w:rsid w:val="007366D0"/>
    <w:rsid w:val="00745FBC"/>
    <w:rsid w:val="007A103D"/>
    <w:rsid w:val="007C195A"/>
    <w:rsid w:val="007C276D"/>
    <w:rsid w:val="007C7641"/>
    <w:rsid w:val="007F18ED"/>
    <w:rsid w:val="00812826"/>
    <w:rsid w:val="00822310"/>
    <w:rsid w:val="00822C66"/>
    <w:rsid w:val="00865D97"/>
    <w:rsid w:val="00882142"/>
    <w:rsid w:val="008A5F9E"/>
    <w:rsid w:val="008A67A5"/>
    <w:rsid w:val="008B081B"/>
    <w:rsid w:val="008B3C77"/>
    <w:rsid w:val="008E2339"/>
    <w:rsid w:val="008F1EE8"/>
    <w:rsid w:val="00901394"/>
    <w:rsid w:val="00922AA5"/>
    <w:rsid w:val="00926380"/>
    <w:rsid w:val="00933EBB"/>
    <w:rsid w:val="009377AE"/>
    <w:rsid w:val="00940F3C"/>
    <w:rsid w:val="009520AA"/>
    <w:rsid w:val="00993C86"/>
    <w:rsid w:val="009A2984"/>
    <w:rsid w:val="009A4B3E"/>
    <w:rsid w:val="009B2473"/>
    <w:rsid w:val="009C68CC"/>
    <w:rsid w:val="009E20EB"/>
    <w:rsid w:val="00A20228"/>
    <w:rsid w:val="00A47EB6"/>
    <w:rsid w:val="00A737B6"/>
    <w:rsid w:val="00A73FE8"/>
    <w:rsid w:val="00A75DDE"/>
    <w:rsid w:val="00A85CEF"/>
    <w:rsid w:val="00A92258"/>
    <w:rsid w:val="00AA1530"/>
    <w:rsid w:val="00AB282C"/>
    <w:rsid w:val="00AD5385"/>
    <w:rsid w:val="00AF42D5"/>
    <w:rsid w:val="00AF4438"/>
    <w:rsid w:val="00B402FE"/>
    <w:rsid w:val="00B44544"/>
    <w:rsid w:val="00B519EF"/>
    <w:rsid w:val="00B84C60"/>
    <w:rsid w:val="00BF61F9"/>
    <w:rsid w:val="00C04EC4"/>
    <w:rsid w:val="00CB3474"/>
    <w:rsid w:val="00CB44C1"/>
    <w:rsid w:val="00CE38CA"/>
    <w:rsid w:val="00D03737"/>
    <w:rsid w:val="00D23D06"/>
    <w:rsid w:val="00D34CD0"/>
    <w:rsid w:val="00D35CCE"/>
    <w:rsid w:val="00D600C5"/>
    <w:rsid w:val="00D620A0"/>
    <w:rsid w:val="00D67497"/>
    <w:rsid w:val="00DB79E2"/>
    <w:rsid w:val="00DD04BB"/>
    <w:rsid w:val="00E079B0"/>
    <w:rsid w:val="00E256F1"/>
    <w:rsid w:val="00EA61A8"/>
    <w:rsid w:val="00ED03C6"/>
    <w:rsid w:val="00EF1B74"/>
    <w:rsid w:val="00F16246"/>
    <w:rsid w:val="00F36716"/>
    <w:rsid w:val="00F50C83"/>
    <w:rsid w:val="00F7406F"/>
    <w:rsid w:val="00F81F3D"/>
    <w:rsid w:val="00FA6ED5"/>
    <w:rsid w:val="00FC0D1E"/>
    <w:rsid w:val="00FD7499"/>
    <w:rsid w:val="00FE45CE"/>
    <w:rsid w:val="00FE58E7"/>
    <w:rsid w:val="00FE7C07"/>
    <w:rsid w:val="0136718A"/>
    <w:rsid w:val="020A29E6"/>
    <w:rsid w:val="04EB6322"/>
    <w:rsid w:val="06190F92"/>
    <w:rsid w:val="066E2C1A"/>
    <w:rsid w:val="08200062"/>
    <w:rsid w:val="0BB66944"/>
    <w:rsid w:val="0F4A1D24"/>
    <w:rsid w:val="12452986"/>
    <w:rsid w:val="146D1091"/>
    <w:rsid w:val="154532F3"/>
    <w:rsid w:val="15897F1C"/>
    <w:rsid w:val="17CB1D98"/>
    <w:rsid w:val="1C744CBF"/>
    <w:rsid w:val="1CCD534E"/>
    <w:rsid w:val="1D07642C"/>
    <w:rsid w:val="1E19756E"/>
    <w:rsid w:val="1E726D03"/>
    <w:rsid w:val="234052E2"/>
    <w:rsid w:val="24747E1D"/>
    <w:rsid w:val="249A0A53"/>
    <w:rsid w:val="25FB716D"/>
    <w:rsid w:val="27112725"/>
    <w:rsid w:val="273803E6"/>
    <w:rsid w:val="28187A54"/>
    <w:rsid w:val="28443D9B"/>
    <w:rsid w:val="286F5EE4"/>
    <w:rsid w:val="291B352C"/>
    <w:rsid w:val="29757990"/>
    <w:rsid w:val="29846CC5"/>
    <w:rsid w:val="2D527C76"/>
    <w:rsid w:val="2E7745CB"/>
    <w:rsid w:val="2EFB0FA1"/>
    <w:rsid w:val="2F324CFE"/>
    <w:rsid w:val="2FFD56CC"/>
    <w:rsid w:val="32C722DC"/>
    <w:rsid w:val="33C33478"/>
    <w:rsid w:val="344330A3"/>
    <w:rsid w:val="34C5651C"/>
    <w:rsid w:val="34C65E82"/>
    <w:rsid w:val="355A2295"/>
    <w:rsid w:val="357A05CB"/>
    <w:rsid w:val="359720FA"/>
    <w:rsid w:val="36253F77"/>
    <w:rsid w:val="37AC1FF1"/>
    <w:rsid w:val="39A43E9E"/>
    <w:rsid w:val="39CF2763"/>
    <w:rsid w:val="3B414BC4"/>
    <w:rsid w:val="3B751B9A"/>
    <w:rsid w:val="3BF66C71"/>
    <w:rsid w:val="3F8E0A56"/>
    <w:rsid w:val="3FEC0DF0"/>
    <w:rsid w:val="41267873"/>
    <w:rsid w:val="41911120"/>
    <w:rsid w:val="45817197"/>
    <w:rsid w:val="46550474"/>
    <w:rsid w:val="487E54FB"/>
    <w:rsid w:val="4B683CC5"/>
    <w:rsid w:val="4BCA3C9F"/>
    <w:rsid w:val="4E914171"/>
    <w:rsid w:val="4FCC3EF9"/>
    <w:rsid w:val="50CD2ADE"/>
    <w:rsid w:val="5156017D"/>
    <w:rsid w:val="532C2301"/>
    <w:rsid w:val="55F93719"/>
    <w:rsid w:val="5BDD2B45"/>
    <w:rsid w:val="5BFE2871"/>
    <w:rsid w:val="5E0F31BD"/>
    <w:rsid w:val="5ED44DA1"/>
    <w:rsid w:val="5EE939F2"/>
    <w:rsid w:val="5EEC0B14"/>
    <w:rsid w:val="61D84114"/>
    <w:rsid w:val="623025A4"/>
    <w:rsid w:val="62B37D0F"/>
    <w:rsid w:val="647C7B30"/>
    <w:rsid w:val="712A66B5"/>
    <w:rsid w:val="72804A68"/>
    <w:rsid w:val="72A14F9D"/>
    <w:rsid w:val="72EB2446"/>
    <w:rsid w:val="76A9033B"/>
    <w:rsid w:val="7AF9445D"/>
    <w:rsid w:val="7ED918AA"/>
    <w:rsid w:val="7EF66C5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link w:val="14"/>
    <w:unhideWhenUsed/>
    <w:qFormat/>
    <w:uiPriority w:val="0"/>
    <w:pPr>
      <w:spacing w:beforeAutospacing="1" w:afterAutospacing="1"/>
      <w:jc w:val="left"/>
      <w:outlineLvl w:val="1"/>
    </w:pPr>
    <w:rPr>
      <w:rFonts w:hint="eastAsia" w:ascii="宋体" w:hAnsi="宋体" w:eastAsia="宋体" w:cs="Times New Roman"/>
      <w:b/>
      <w:color w:val="000000"/>
      <w:kern w:val="0"/>
      <w:sz w:val="36"/>
      <w:szCs w:val="36"/>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link w:val="16"/>
    <w:semiHidden/>
    <w:unhideWhenUsed/>
    <w:qFormat/>
    <w:uiPriority w:val="99"/>
    <w:pPr>
      <w:jc w:val="left"/>
    </w:pPr>
  </w:style>
  <w:style w:type="paragraph" w:styleId="4">
    <w:name w:val="Balloon Text"/>
    <w:basedOn w:val="1"/>
    <w:link w:val="15"/>
    <w:semiHidden/>
    <w:unhideWhenUsed/>
    <w:qFormat/>
    <w:uiPriority w:val="99"/>
    <w:rPr>
      <w:sz w:val="18"/>
      <w:szCs w:val="18"/>
    </w:rPr>
  </w:style>
  <w:style w:type="paragraph" w:styleId="5">
    <w:name w:val="footer"/>
    <w:basedOn w:val="1"/>
    <w:link w:val="13"/>
    <w:unhideWhenUsed/>
    <w:qFormat/>
    <w:uiPriority w:val="99"/>
    <w:pPr>
      <w:tabs>
        <w:tab w:val="center" w:pos="4153"/>
        <w:tab w:val="right" w:pos="8306"/>
      </w:tabs>
      <w:snapToGrid w:val="0"/>
      <w:jc w:val="left"/>
    </w:pPr>
    <w:rPr>
      <w:sz w:val="18"/>
      <w:szCs w:val="18"/>
    </w:rPr>
  </w:style>
  <w:style w:type="paragraph" w:styleId="6">
    <w:name w:val="header"/>
    <w:basedOn w:val="1"/>
    <w:link w:val="12"/>
    <w:unhideWhenUsed/>
    <w:qFormat/>
    <w:uiPriority w:val="99"/>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0"/>
    <w:pPr>
      <w:spacing w:beforeAutospacing="1" w:afterAutospacing="1"/>
      <w:jc w:val="left"/>
    </w:pPr>
    <w:rPr>
      <w:rFonts w:cs="Times New Roman"/>
      <w:kern w:val="0"/>
      <w:sz w:val="24"/>
    </w:rPr>
  </w:style>
  <w:style w:type="paragraph" w:styleId="8">
    <w:name w:val="annotation subject"/>
    <w:basedOn w:val="3"/>
    <w:next w:val="3"/>
    <w:link w:val="17"/>
    <w:semiHidden/>
    <w:unhideWhenUsed/>
    <w:qFormat/>
    <w:uiPriority w:val="99"/>
    <w:rPr>
      <w:b/>
      <w:bCs/>
    </w:rPr>
  </w:style>
  <w:style w:type="character" w:styleId="11">
    <w:name w:val="annotation reference"/>
    <w:basedOn w:val="10"/>
    <w:semiHidden/>
    <w:unhideWhenUsed/>
    <w:qFormat/>
    <w:uiPriority w:val="99"/>
    <w:rPr>
      <w:sz w:val="21"/>
      <w:szCs w:val="21"/>
    </w:rPr>
  </w:style>
  <w:style w:type="character" w:customStyle="1" w:styleId="12">
    <w:name w:val="页眉 Char"/>
    <w:basedOn w:val="10"/>
    <w:link w:val="6"/>
    <w:qFormat/>
    <w:uiPriority w:val="99"/>
    <w:rPr>
      <w:sz w:val="18"/>
      <w:szCs w:val="18"/>
    </w:rPr>
  </w:style>
  <w:style w:type="character" w:customStyle="1" w:styleId="13">
    <w:name w:val="页脚 Char"/>
    <w:basedOn w:val="10"/>
    <w:link w:val="5"/>
    <w:qFormat/>
    <w:uiPriority w:val="99"/>
    <w:rPr>
      <w:sz w:val="18"/>
      <w:szCs w:val="18"/>
    </w:rPr>
  </w:style>
  <w:style w:type="character" w:customStyle="1" w:styleId="14">
    <w:name w:val="标题 2 Char"/>
    <w:basedOn w:val="10"/>
    <w:link w:val="2"/>
    <w:qFormat/>
    <w:uiPriority w:val="0"/>
    <w:rPr>
      <w:rFonts w:ascii="宋体" w:hAnsi="宋体" w:eastAsia="宋体" w:cs="Times New Roman"/>
      <w:b/>
      <w:color w:val="000000"/>
      <w:kern w:val="0"/>
      <w:sz w:val="36"/>
      <w:szCs w:val="36"/>
    </w:rPr>
  </w:style>
  <w:style w:type="character" w:customStyle="1" w:styleId="15">
    <w:name w:val="批注框文本 Char"/>
    <w:basedOn w:val="10"/>
    <w:link w:val="4"/>
    <w:semiHidden/>
    <w:qFormat/>
    <w:uiPriority w:val="99"/>
    <w:rPr>
      <w:sz w:val="18"/>
      <w:szCs w:val="18"/>
    </w:rPr>
  </w:style>
  <w:style w:type="character" w:customStyle="1" w:styleId="16">
    <w:name w:val="批注文字 Char"/>
    <w:basedOn w:val="10"/>
    <w:link w:val="3"/>
    <w:semiHidden/>
    <w:qFormat/>
    <w:uiPriority w:val="99"/>
    <w:rPr>
      <w:szCs w:val="24"/>
    </w:rPr>
  </w:style>
  <w:style w:type="character" w:customStyle="1" w:styleId="17">
    <w:name w:val="批注主题 Char"/>
    <w:basedOn w:val="16"/>
    <w:link w:val="8"/>
    <w:semiHidden/>
    <w:qFormat/>
    <w:uiPriority w:val="99"/>
    <w:rPr>
      <w:b/>
      <w:bCs/>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3</Pages>
  <Words>270</Words>
  <Characters>1543</Characters>
  <Lines>12</Lines>
  <Paragraphs>3</Paragraphs>
  <TotalTime>11</TotalTime>
  <ScaleCrop>false</ScaleCrop>
  <LinksUpToDate>false</LinksUpToDate>
  <CharactersWithSpaces>1810</CharactersWithSpaces>
  <Application>WPS Office_11.8.2.11542_F1E327BC-269C-435d-A152-05C5408002CA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富国红利质选混合型证券投资基金风险揭示书</dc:title>
  <dc:creator>富国基金</dc:creator>
  <cp:lastModifiedBy>张煜</cp:lastModifiedBy>
  <cp:revision>37</cp:revision>
  <dcterms:created xsi:type="dcterms:W3CDTF">2023-04-26T03:03:00Z</dcterms:created>
  <dcterms:modified xsi:type="dcterms:W3CDTF">2025-03-12T09:01:39Z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2052-11.8.2.11542</vt:lpwstr>
  </property>
  <property fmtid="{D5CDD505-2E9C-101B-9397-08002B2CF9AE}" pid="3" name="ICV">
    <vt:lpwstr>9388C91E5C8843198704B25EF1C91A7C</vt:lpwstr>
  </property>
</Properties>
</file>