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26C6" w:rsidRDefault="005226C6">
      <w:pPr>
        <w:adjustRightInd w:val="0"/>
        <w:snapToGrid w:val="0"/>
        <w:spacing w:line="360" w:lineRule="auto"/>
        <w:jc w:val="center"/>
        <w:rPr>
          <w:rFonts w:ascii="宋体" w:hAnsi="宋体"/>
          <w:color w:val="000000"/>
          <w:sz w:val="28"/>
        </w:rPr>
      </w:pPr>
    </w:p>
    <w:p w:rsidR="005226C6" w:rsidRDefault="005226C6">
      <w:pPr>
        <w:adjustRightInd w:val="0"/>
        <w:snapToGrid w:val="0"/>
        <w:spacing w:line="360" w:lineRule="auto"/>
        <w:jc w:val="center"/>
        <w:rPr>
          <w:rFonts w:ascii="宋体" w:hAnsi="宋体"/>
          <w:color w:val="000000"/>
          <w:sz w:val="28"/>
        </w:rPr>
      </w:pPr>
    </w:p>
    <w:p w:rsidR="005226C6" w:rsidRDefault="005226C6">
      <w:pPr>
        <w:adjustRightInd w:val="0"/>
        <w:snapToGrid w:val="0"/>
        <w:spacing w:line="360" w:lineRule="auto"/>
        <w:jc w:val="center"/>
        <w:rPr>
          <w:rFonts w:ascii="宋体" w:hAnsi="宋体"/>
          <w:color w:val="000000"/>
          <w:sz w:val="28"/>
        </w:rPr>
      </w:pPr>
    </w:p>
    <w:p w:rsidR="005226C6" w:rsidRDefault="005226C6">
      <w:pPr>
        <w:adjustRightInd w:val="0"/>
        <w:snapToGrid w:val="0"/>
        <w:spacing w:line="360" w:lineRule="auto"/>
        <w:jc w:val="center"/>
        <w:rPr>
          <w:rFonts w:ascii="宋体" w:hAnsi="宋体"/>
          <w:color w:val="000000"/>
          <w:sz w:val="28"/>
        </w:rPr>
      </w:pPr>
    </w:p>
    <w:p w:rsidR="005226C6" w:rsidRDefault="005226C6">
      <w:pPr>
        <w:adjustRightInd w:val="0"/>
        <w:snapToGrid w:val="0"/>
        <w:spacing w:line="360" w:lineRule="auto"/>
        <w:jc w:val="center"/>
        <w:rPr>
          <w:rFonts w:ascii="宋体" w:hAnsi="宋体"/>
          <w:color w:val="000000"/>
          <w:sz w:val="28"/>
        </w:rPr>
      </w:pPr>
    </w:p>
    <w:p w:rsidR="005226C6" w:rsidRDefault="005226C6">
      <w:pPr>
        <w:adjustRightInd w:val="0"/>
        <w:snapToGrid w:val="0"/>
        <w:spacing w:line="360" w:lineRule="auto"/>
        <w:jc w:val="center"/>
        <w:rPr>
          <w:rFonts w:ascii="宋体" w:hAnsi="宋体"/>
          <w:color w:val="000000"/>
          <w:sz w:val="28"/>
        </w:rPr>
      </w:pPr>
    </w:p>
    <w:p w:rsidR="005226C6" w:rsidRDefault="004A7AC5">
      <w:pPr>
        <w:jc w:val="center"/>
        <w:rPr>
          <w:rFonts w:ascii="宋体" w:hAnsi="宋体"/>
          <w:b/>
          <w:sz w:val="44"/>
          <w:szCs w:val="44"/>
        </w:rPr>
      </w:pPr>
      <w:r>
        <w:rPr>
          <w:rFonts w:ascii="宋体" w:hAnsi="宋体" w:hint="eastAsia"/>
          <w:b/>
          <w:sz w:val="44"/>
          <w:szCs w:val="44"/>
        </w:rPr>
        <w:t>南方深证100交易型开放式指数证券投资基金联接基金</w:t>
      </w:r>
      <w:r>
        <w:rPr>
          <w:rFonts w:ascii="宋体" w:hAnsi="宋体"/>
          <w:b/>
          <w:sz w:val="44"/>
          <w:szCs w:val="44"/>
        </w:rPr>
        <w:t>托管</w:t>
      </w:r>
      <w:bookmarkStart w:id="0" w:name="_GoBack"/>
      <w:bookmarkEnd w:id="0"/>
      <w:r>
        <w:rPr>
          <w:rFonts w:ascii="宋体" w:hAnsi="宋体"/>
          <w:b/>
          <w:sz w:val="44"/>
          <w:szCs w:val="44"/>
        </w:rPr>
        <w:t>协议</w:t>
      </w: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5226C6" w:rsidRDefault="004A7AC5">
      <w:pPr>
        <w:jc w:val="center"/>
        <w:rPr>
          <w:rFonts w:ascii="宋体" w:hAnsi="宋体"/>
          <w:b/>
          <w:sz w:val="28"/>
          <w:szCs w:val="28"/>
        </w:rPr>
      </w:pPr>
      <w:r>
        <w:rPr>
          <w:rFonts w:ascii="宋体" w:hAnsi="宋体"/>
          <w:b/>
          <w:sz w:val="28"/>
          <w:szCs w:val="28"/>
        </w:rPr>
        <w:t>基金管理人：</w:t>
      </w:r>
      <w:r>
        <w:rPr>
          <w:rFonts w:ascii="宋体" w:hAnsi="宋体" w:hint="eastAsia"/>
          <w:b/>
          <w:sz w:val="28"/>
          <w:szCs w:val="28"/>
        </w:rPr>
        <w:t>南方基金管理股份有限公司</w:t>
      </w:r>
    </w:p>
    <w:p w:rsidR="005226C6" w:rsidRDefault="004A7AC5">
      <w:pPr>
        <w:jc w:val="center"/>
        <w:rPr>
          <w:rFonts w:ascii="宋体" w:hAnsi="宋体"/>
          <w:b/>
          <w:sz w:val="28"/>
          <w:szCs w:val="28"/>
        </w:rPr>
      </w:pPr>
      <w:r>
        <w:rPr>
          <w:rFonts w:ascii="宋体" w:hAnsi="宋体"/>
          <w:b/>
          <w:sz w:val="28"/>
          <w:szCs w:val="28"/>
        </w:rPr>
        <w:t>基金托管人：中国农业银行</w:t>
      </w:r>
      <w:r>
        <w:rPr>
          <w:rFonts w:ascii="宋体" w:hAnsi="宋体" w:hint="eastAsia"/>
          <w:b/>
          <w:sz w:val="28"/>
          <w:szCs w:val="28"/>
        </w:rPr>
        <w:t>股份有限公司</w:t>
      </w:r>
    </w:p>
    <w:p w:rsidR="005226C6" w:rsidRDefault="005226C6">
      <w:pPr>
        <w:jc w:val="center"/>
        <w:rPr>
          <w:rFonts w:ascii="宋体" w:hAnsi="宋体"/>
          <w:sz w:val="28"/>
          <w:szCs w:val="28"/>
        </w:rPr>
      </w:pPr>
    </w:p>
    <w:p w:rsidR="005226C6" w:rsidRDefault="005226C6">
      <w:pPr>
        <w:jc w:val="center"/>
        <w:rPr>
          <w:rFonts w:ascii="宋体" w:hAnsi="宋体"/>
          <w:sz w:val="28"/>
          <w:szCs w:val="28"/>
        </w:rPr>
      </w:pPr>
    </w:p>
    <w:p w:rsidR="00F862F8" w:rsidRDefault="00F862F8">
      <w:pPr>
        <w:widowControl/>
        <w:jc w:val="left"/>
        <w:rPr>
          <w:rFonts w:ascii="宋体" w:hAnsi="宋体"/>
          <w:b/>
          <w:sz w:val="28"/>
          <w:szCs w:val="28"/>
        </w:rPr>
      </w:pPr>
      <w:r>
        <w:rPr>
          <w:rFonts w:ascii="宋体" w:hAnsi="宋体"/>
          <w:b/>
          <w:sz w:val="28"/>
          <w:szCs w:val="28"/>
        </w:rPr>
        <w:br w:type="page"/>
      </w:r>
    </w:p>
    <w:p w:rsidR="005226C6" w:rsidRDefault="005226C6">
      <w:pPr>
        <w:jc w:val="center"/>
        <w:rPr>
          <w:rFonts w:ascii="宋体" w:hAnsi="宋体"/>
          <w:b/>
          <w:sz w:val="28"/>
          <w:szCs w:val="28"/>
        </w:rPr>
      </w:pPr>
    </w:p>
    <w:p w:rsidR="005226C6" w:rsidRDefault="004A7AC5">
      <w:pPr>
        <w:spacing w:line="360" w:lineRule="auto"/>
        <w:jc w:val="center"/>
        <w:rPr>
          <w:rFonts w:ascii="宋体" w:hAnsi="宋体"/>
          <w:b/>
          <w:color w:val="000000"/>
          <w:sz w:val="24"/>
          <w:szCs w:val="24"/>
        </w:rPr>
      </w:pPr>
      <w:r>
        <w:rPr>
          <w:rFonts w:ascii="宋体" w:hAnsi="宋体"/>
          <w:b/>
          <w:color w:val="000000"/>
          <w:sz w:val="24"/>
          <w:szCs w:val="24"/>
        </w:rPr>
        <w:t>目    录</w:t>
      </w:r>
    </w:p>
    <w:p w:rsidR="005226C6" w:rsidRDefault="004A7AC5">
      <w:pPr>
        <w:pStyle w:val="21"/>
        <w:tabs>
          <w:tab w:val="right" w:leader="dot" w:pos="8302"/>
        </w:tabs>
        <w:spacing w:line="360" w:lineRule="auto"/>
        <w:rPr>
          <w:rFonts w:ascii="宋体" w:hAnsi="宋体"/>
          <w:noProof/>
          <w:sz w:val="24"/>
          <w:szCs w:val="24"/>
        </w:rPr>
      </w:pPr>
      <w:r>
        <w:rPr>
          <w:rFonts w:ascii="宋体" w:hAnsi="宋体"/>
          <w:color w:val="000000"/>
          <w:sz w:val="24"/>
          <w:szCs w:val="24"/>
        </w:rPr>
        <w:fldChar w:fldCharType="begin"/>
      </w:r>
      <w:r>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Pr>
            <w:rFonts w:ascii="宋体" w:hAnsi="宋体" w:hint="eastAsia"/>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_Toc145818935 \h </w:instrText>
        </w:r>
        <w:r>
          <w:rPr>
            <w:rFonts w:ascii="宋体" w:hAnsi="宋体"/>
            <w:noProof/>
            <w:sz w:val="24"/>
            <w:szCs w:val="24"/>
          </w:rPr>
        </w:r>
        <w:r>
          <w:rPr>
            <w:rFonts w:ascii="宋体" w:hAnsi="宋体"/>
            <w:noProof/>
            <w:sz w:val="24"/>
            <w:szCs w:val="24"/>
          </w:rPr>
          <w:fldChar w:fldCharType="separate"/>
        </w:r>
        <w:r w:rsidR="001A4153">
          <w:rPr>
            <w:rFonts w:ascii="宋体" w:hAnsi="宋体"/>
            <w:noProof/>
            <w:sz w:val="24"/>
            <w:szCs w:val="24"/>
          </w:rPr>
          <w:t>5</w:t>
        </w:r>
        <w:r>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36" w:history="1">
        <w:r w:rsidR="004A7AC5">
          <w:rPr>
            <w:rFonts w:ascii="宋体" w:hAnsi="宋体" w:hint="eastAsia"/>
            <w:noProof/>
            <w:sz w:val="24"/>
            <w:szCs w:val="24"/>
          </w:rPr>
          <w:t>二、基金托管协议的依据、目的和原则</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_Toc145818936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6</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37" w:history="1">
        <w:r w:rsidR="004A7AC5">
          <w:rPr>
            <w:rFonts w:ascii="宋体" w:hAnsi="宋体" w:hint="eastAsia"/>
            <w:noProof/>
            <w:sz w:val="24"/>
            <w:szCs w:val="24"/>
          </w:rPr>
          <w:t>三、基金托管人对基金管理</w:t>
        </w:r>
        <w:bookmarkStart w:id="1" w:name="_Hlt414265933"/>
        <w:bookmarkStart w:id="2" w:name="_Hlt414265932"/>
        <w:r w:rsidR="004A7AC5">
          <w:rPr>
            <w:rFonts w:ascii="宋体" w:hAnsi="宋体" w:hint="eastAsia"/>
            <w:noProof/>
            <w:sz w:val="24"/>
            <w:szCs w:val="24"/>
          </w:rPr>
          <w:t>人</w:t>
        </w:r>
        <w:bookmarkEnd w:id="1"/>
        <w:bookmarkEnd w:id="2"/>
        <w:r w:rsidR="004A7AC5">
          <w:rPr>
            <w:rFonts w:ascii="宋体" w:hAnsi="宋体" w:hint="eastAsia"/>
            <w:noProof/>
            <w:sz w:val="24"/>
            <w:szCs w:val="24"/>
          </w:rPr>
          <w:t>的业务监督和核查</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_Toc145818937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7</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38" w:history="1">
        <w:r w:rsidR="004A7AC5">
          <w:rPr>
            <w:rFonts w:ascii="宋体" w:hAnsi="宋体" w:hint="eastAsia"/>
            <w:noProof/>
            <w:sz w:val="24"/>
            <w:szCs w:val="24"/>
          </w:rPr>
          <w:t>四、基金管理人对基金托管人的业务核查</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_Toc145818938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14</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39" w:history="1">
        <w:r w:rsidR="004A7AC5">
          <w:rPr>
            <w:rFonts w:ascii="宋体" w:hAnsi="宋体" w:hint="eastAsia"/>
            <w:noProof/>
            <w:sz w:val="24"/>
            <w:szCs w:val="24"/>
          </w:rPr>
          <w:t>五、基金财产的</w:t>
        </w:r>
        <w:bookmarkStart w:id="3" w:name="_Hlt155060668"/>
        <w:bookmarkStart w:id="4" w:name="_Hlt155060667"/>
        <w:r w:rsidR="004A7AC5">
          <w:rPr>
            <w:rFonts w:ascii="宋体" w:hAnsi="宋体" w:hint="eastAsia"/>
            <w:noProof/>
            <w:sz w:val="24"/>
            <w:szCs w:val="24"/>
          </w:rPr>
          <w:t>保</w:t>
        </w:r>
        <w:bookmarkEnd w:id="3"/>
        <w:bookmarkEnd w:id="4"/>
        <w:r w:rsidR="004A7AC5">
          <w:rPr>
            <w:rFonts w:ascii="宋体" w:hAnsi="宋体" w:hint="eastAsia"/>
            <w:noProof/>
            <w:sz w:val="24"/>
            <w:szCs w:val="24"/>
          </w:rPr>
          <w:t>管</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_Toc145818939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14</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0" w:history="1">
        <w:r w:rsidR="004A7AC5">
          <w:rPr>
            <w:rFonts w:ascii="宋体" w:hAnsi="宋体" w:hint="eastAsia"/>
            <w:noProof/>
            <w:sz w:val="24"/>
            <w:szCs w:val="24"/>
          </w:rPr>
          <w:t>六、指令的发送、确认及执行</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_Toc145818940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17</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1" w:history="1">
        <w:r w:rsidR="004A7AC5">
          <w:rPr>
            <w:rFonts w:ascii="宋体" w:hAnsi="宋体" w:hint="eastAsia"/>
            <w:noProof/>
            <w:sz w:val="24"/>
            <w:szCs w:val="24"/>
          </w:rPr>
          <w:t>七、交易及清算交收安排</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_Toc145818941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20</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2" w:history="1">
        <w:r w:rsidR="004A7AC5">
          <w:rPr>
            <w:rFonts w:ascii="宋体" w:hAnsi="宋体" w:hint="eastAsia"/>
            <w:noProof/>
            <w:sz w:val="24"/>
            <w:szCs w:val="24"/>
          </w:rPr>
          <w:t>八、基金资产净值计算和会计核算</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_Toc145818942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23</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3" w:history="1">
        <w:r w:rsidR="004A7AC5">
          <w:rPr>
            <w:rFonts w:ascii="宋体" w:hAnsi="宋体" w:hint="eastAsia"/>
            <w:noProof/>
            <w:sz w:val="24"/>
            <w:szCs w:val="24"/>
          </w:rPr>
          <w:t>九、基金收益分配</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_Toc145818943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29</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4" w:history="1">
        <w:r w:rsidR="004A7AC5">
          <w:rPr>
            <w:rFonts w:ascii="宋体" w:hAnsi="宋体" w:hint="eastAsia"/>
            <w:noProof/>
            <w:sz w:val="24"/>
            <w:szCs w:val="24"/>
          </w:rPr>
          <w:t>十、基金信息披露</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_Toc145818944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30</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5" w:history="1">
        <w:r w:rsidR="004A7AC5">
          <w:rPr>
            <w:rFonts w:ascii="宋体" w:hAnsi="宋体" w:hint="eastAsia"/>
            <w:noProof/>
            <w:sz w:val="24"/>
            <w:szCs w:val="24"/>
          </w:rPr>
          <w:t>十一、基金费用</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_Toc145818945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32</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6" w:history="1">
        <w:r w:rsidR="004A7AC5">
          <w:rPr>
            <w:rFonts w:ascii="宋体" w:hAnsi="宋体" w:hint="eastAsia"/>
            <w:noProof/>
            <w:sz w:val="24"/>
            <w:szCs w:val="24"/>
          </w:rPr>
          <w:t>十二、基金份额持有人名册的的登记与保管</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_Toc145818946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34</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7" w:history="1">
        <w:r w:rsidR="004A7AC5">
          <w:rPr>
            <w:rFonts w:ascii="宋体" w:hAnsi="宋体" w:hint="eastAsia"/>
            <w:noProof/>
            <w:sz w:val="24"/>
            <w:szCs w:val="24"/>
          </w:rPr>
          <w:t>十三、基金有关文件档案的保存</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_Toc145818947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35</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8" w:history="1">
        <w:r w:rsidR="004A7AC5">
          <w:rPr>
            <w:rFonts w:ascii="宋体" w:hAnsi="宋体" w:hint="eastAsia"/>
            <w:noProof/>
            <w:sz w:val="24"/>
            <w:szCs w:val="24"/>
          </w:rPr>
          <w:t>十四、基金管理人和基金托管人的更换</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_Toc145818948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36</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49" w:history="1">
        <w:r w:rsidR="004A7AC5">
          <w:rPr>
            <w:rFonts w:ascii="宋体" w:hAnsi="宋体" w:hint="eastAsia"/>
            <w:noProof/>
            <w:sz w:val="24"/>
            <w:szCs w:val="24"/>
          </w:rPr>
          <w:t>十五、禁止</w:t>
        </w:r>
        <w:bookmarkStart w:id="5" w:name="_Hlt413676604"/>
        <w:bookmarkStart w:id="6" w:name="_Hlt413676603"/>
        <w:r w:rsidR="004A7AC5">
          <w:rPr>
            <w:rFonts w:ascii="宋体" w:hAnsi="宋体" w:hint="eastAsia"/>
            <w:noProof/>
            <w:sz w:val="24"/>
            <w:szCs w:val="24"/>
          </w:rPr>
          <w:t>行</w:t>
        </w:r>
        <w:bookmarkEnd w:id="5"/>
        <w:bookmarkEnd w:id="6"/>
        <w:r w:rsidR="004A7AC5">
          <w:rPr>
            <w:rFonts w:ascii="宋体" w:hAnsi="宋体" w:hint="eastAsia"/>
            <w:noProof/>
            <w:sz w:val="24"/>
            <w:szCs w:val="24"/>
          </w:rPr>
          <w:t>为</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_Toc145818949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38</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0" w:history="1">
        <w:r w:rsidR="004A7AC5">
          <w:rPr>
            <w:rFonts w:ascii="宋体" w:hAnsi="宋体" w:hint="eastAsia"/>
            <w:noProof/>
            <w:sz w:val="24"/>
            <w:szCs w:val="24"/>
          </w:rPr>
          <w:t>十六、托管协议的变更、终止与基金财产的清算</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_Toc145818950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39</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1" w:history="1">
        <w:r w:rsidR="004A7AC5">
          <w:rPr>
            <w:rFonts w:ascii="宋体" w:hAnsi="宋体" w:hint="eastAsia"/>
            <w:noProof/>
            <w:sz w:val="24"/>
            <w:szCs w:val="24"/>
          </w:rPr>
          <w:t>十七、违约责任</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_Toc145818951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41</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2" w:history="1">
        <w:r w:rsidR="004A7AC5">
          <w:rPr>
            <w:rFonts w:ascii="宋体" w:hAnsi="宋体" w:hint="eastAsia"/>
            <w:noProof/>
            <w:sz w:val="24"/>
            <w:szCs w:val="24"/>
          </w:rPr>
          <w:t>十八、争议解决方式</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_Toc145818952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42</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3" w:history="1">
        <w:r w:rsidR="004A7AC5">
          <w:rPr>
            <w:rFonts w:ascii="宋体" w:hAnsi="宋体" w:hint="eastAsia"/>
            <w:noProof/>
            <w:sz w:val="24"/>
            <w:szCs w:val="24"/>
          </w:rPr>
          <w:t>十九、托管协议的效力</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_Toc145818953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43</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4" w:history="1">
        <w:r w:rsidR="004A7AC5">
          <w:rPr>
            <w:rFonts w:ascii="宋体" w:hAnsi="宋体" w:hint="eastAsia"/>
            <w:noProof/>
            <w:sz w:val="24"/>
            <w:szCs w:val="24"/>
          </w:rPr>
          <w:t>二十、其他事项</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_Toc145818954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43</w:t>
        </w:r>
        <w:r w:rsidR="004A7AC5">
          <w:rPr>
            <w:rFonts w:ascii="宋体" w:hAnsi="宋体"/>
            <w:noProof/>
            <w:sz w:val="24"/>
            <w:szCs w:val="24"/>
          </w:rPr>
          <w:fldChar w:fldCharType="end"/>
        </w:r>
      </w:hyperlink>
    </w:p>
    <w:p w:rsidR="005226C6" w:rsidRDefault="007E07CE">
      <w:pPr>
        <w:pStyle w:val="21"/>
        <w:tabs>
          <w:tab w:val="right" w:leader="dot" w:pos="8302"/>
        </w:tabs>
        <w:spacing w:line="360" w:lineRule="auto"/>
        <w:rPr>
          <w:rFonts w:ascii="宋体" w:hAnsi="宋体"/>
          <w:noProof/>
          <w:sz w:val="24"/>
          <w:szCs w:val="24"/>
        </w:rPr>
      </w:pPr>
      <w:hyperlink w:anchor="_Toc145818955" w:history="1">
        <w:r w:rsidR="004A7AC5">
          <w:rPr>
            <w:rFonts w:ascii="宋体" w:hAnsi="宋体" w:hint="eastAsia"/>
            <w:noProof/>
            <w:sz w:val="24"/>
            <w:szCs w:val="24"/>
          </w:rPr>
          <w:t>二十一、托管协议的签订</w:t>
        </w:r>
        <w:r w:rsidR="004A7AC5">
          <w:rPr>
            <w:rFonts w:ascii="宋体" w:hAnsi="宋体"/>
            <w:noProof/>
            <w:sz w:val="24"/>
            <w:szCs w:val="24"/>
          </w:rPr>
          <w:tab/>
        </w:r>
        <w:r w:rsidR="004A7AC5">
          <w:rPr>
            <w:rFonts w:ascii="宋体" w:hAnsi="宋体"/>
            <w:noProof/>
            <w:sz w:val="24"/>
            <w:szCs w:val="24"/>
          </w:rPr>
          <w:fldChar w:fldCharType="begin"/>
        </w:r>
        <w:r w:rsidR="004A7AC5">
          <w:rPr>
            <w:rFonts w:ascii="宋体" w:hAnsi="宋体"/>
            <w:noProof/>
            <w:sz w:val="24"/>
            <w:szCs w:val="24"/>
          </w:rPr>
          <w:instrText xml:space="preserve"> PAGEREF _Toc145818955 \h </w:instrText>
        </w:r>
        <w:r w:rsidR="004A7AC5">
          <w:rPr>
            <w:rFonts w:ascii="宋体" w:hAnsi="宋体"/>
            <w:noProof/>
            <w:sz w:val="24"/>
            <w:szCs w:val="24"/>
          </w:rPr>
        </w:r>
        <w:r w:rsidR="004A7AC5">
          <w:rPr>
            <w:rFonts w:ascii="宋体" w:hAnsi="宋体"/>
            <w:noProof/>
            <w:sz w:val="24"/>
            <w:szCs w:val="24"/>
          </w:rPr>
          <w:fldChar w:fldCharType="separate"/>
        </w:r>
        <w:r w:rsidR="001A4153">
          <w:rPr>
            <w:rFonts w:ascii="宋体" w:hAnsi="宋体"/>
            <w:noProof/>
            <w:sz w:val="24"/>
            <w:szCs w:val="24"/>
          </w:rPr>
          <w:t>43</w:t>
        </w:r>
        <w:r w:rsidR="004A7AC5">
          <w:rPr>
            <w:rFonts w:ascii="宋体" w:hAnsi="宋体"/>
            <w:noProof/>
            <w:sz w:val="24"/>
            <w:szCs w:val="24"/>
          </w:rPr>
          <w:fldChar w:fldCharType="end"/>
        </w:r>
      </w:hyperlink>
    </w:p>
    <w:p w:rsidR="005226C6" w:rsidRDefault="004A7AC5">
      <w:pPr>
        <w:spacing w:line="360" w:lineRule="auto"/>
        <w:rPr>
          <w:rFonts w:ascii="宋体" w:hAnsi="宋体"/>
          <w:color w:val="000000"/>
          <w:sz w:val="24"/>
          <w:szCs w:val="24"/>
        </w:rPr>
      </w:pPr>
      <w:r>
        <w:rPr>
          <w:rFonts w:ascii="宋体" w:hAnsi="宋体"/>
          <w:color w:val="000000"/>
          <w:sz w:val="24"/>
          <w:szCs w:val="24"/>
        </w:rPr>
        <w:fldChar w:fldCharType="end"/>
      </w:r>
    </w:p>
    <w:p w:rsidR="005226C6" w:rsidRDefault="004A7AC5">
      <w:pPr>
        <w:spacing w:line="360" w:lineRule="auto"/>
        <w:rPr>
          <w:rFonts w:ascii="宋体" w:hAnsi="宋体"/>
          <w:color w:val="000000"/>
          <w:sz w:val="24"/>
          <w:szCs w:val="24"/>
        </w:rPr>
      </w:pPr>
      <w:r>
        <w:rPr>
          <w:rFonts w:ascii="宋体" w:hAnsi="宋体"/>
          <w:color w:val="000000"/>
          <w:sz w:val="24"/>
          <w:szCs w:val="24"/>
        </w:rPr>
        <w:br w:type="page"/>
      </w:r>
    </w:p>
    <w:p w:rsidR="005226C6" w:rsidRDefault="004A7AC5">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南方基金管理股份有限公司</w:t>
      </w:r>
      <w:r>
        <w:rPr>
          <w:rFonts w:ascii="宋体" w:hAnsi="宋体"/>
          <w:color w:val="000000"/>
          <w:kern w:val="0"/>
          <w:sz w:val="24"/>
          <w:szCs w:val="24"/>
        </w:rPr>
        <w:t>系一家依照中国法律合法成立并有效存续的</w:t>
      </w:r>
      <w:r>
        <w:rPr>
          <w:rFonts w:ascii="宋体" w:hAnsi="宋体" w:hint="eastAsia"/>
          <w:color w:val="000000"/>
          <w:kern w:val="0"/>
          <w:sz w:val="24"/>
          <w:szCs w:val="24"/>
        </w:rPr>
        <w:t>股份有限</w:t>
      </w:r>
      <w:r>
        <w:rPr>
          <w:rFonts w:ascii="宋体" w:hAnsi="宋体"/>
          <w:color w:val="000000"/>
          <w:kern w:val="0"/>
          <w:sz w:val="24"/>
          <w:szCs w:val="24"/>
        </w:rPr>
        <w:t>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r>
        <w:rPr>
          <w:rFonts w:ascii="宋体" w:hAnsi="宋体"/>
          <w:color w:val="000000"/>
          <w:kern w:val="0"/>
          <w:sz w:val="24"/>
          <w:szCs w:val="24"/>
        </w:rPr>
        <w:t>拟募集发行</w:t>
      </w:r>
      <w:r>
        <w:rPr>
          <w:rFonts w:ascii="宋体" w:hAnsi="宋体" w:hint="eastAsia"/>
          <w:color w:val="000000"/>
          <w:kern w:val="0"/>
          <w:sz w:val="24"/>
          <w:szCs w:val="24"/>
        </w:rPr>
        <w:t>南方深证100交易型开放式指数证券投资基金联接基金</w:t>
      </w:r>
      <w:r>
        <w:rPr>
          <w:rFonts w:ascii="宋体" w:hAnsi="宋体"/>
          <w:color w:val="000000"/>
          <w:kern w:val="0"/>
          <w:sz w:val="24"/>
          <w:szCs w:val="24"/>
        </w:rPr>
        <w:t>；</w:t>
      </w:r>
    </w:p>
    <w:p w:rsidR="005226C6" w:rsidRDefault="004A7AC5">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系一家依照中国法律合法成立并有效存续的银行，按照相关法律法规的规定具备担任基金托管人的资格和能力；</w:t>
      </w:r>
    </w:p>
    <w:p w:rsidR="005226C6" w:rsidRDefault="004A7AC5">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南方基金管理股份有限公司</w:t>
      </w:r>
      <w:r>
        <w:rPr>
          <w:rFonts w:ascii="宋体" w:hAnsi="宋体"/>
          <w:color w:val="000000"/>
          <w:kern w:val="0"/>
          <w:sz w:val="24"/>
          <w:szCs w:val="24"/>
        </w:rPr>
        <w:t>拟担任</w:t>
      </w:r>
      <w:r>
        <w:rPr>
          <w:rFonts w:ascii="宋体" w:hAnsi="宋体" w:hint="eastAsia"/>
          <w:color w:val="000000"/>
          <w:kern w:val="0"/>
          <w:sz w:val="24"/>
          <w:szCs w:val="24"/>
        </w:rPr>
        <w:t>南方深证100交易型开放式指数证券投资基金联接基金</w:t>
      </w:r>
      <w:r>
        <w:rPr>
          <w:rFonts w:ascii="宋体" w:hAnsi="宋体"/>
          <w:color w:val="000000"/>
          <w:kern w:val="0"/>
          <w:sz w:val="24"/>
          <w:szCs w:val="24"/>
        </w:rPr>
        <w:t>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南方深证100交易型开放式指数证券投资基金联接基金</w:t>
      </w:r>
      <w:r>
        <w:rPr>
          <w:rFonts w:ascii="宋体" w:hAnsi="宋体"/>
          <w:color w:val="000000"/>
          <w:kern w:val="0"/>
          <w:sz w:val="24"/>
          <w:szCs w:val="24"/>
        </w:rPr>
        <w:t>的基金托管人；</w:t>
      </w:r>
    </w:p>
    <w:p w:rsidR="005226C6" w:rsidRDefault="004A7AC5">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为明确</w:t>
      </w:r>
      <w:r>
        <w:rPr>
          <w:rFonts w:ascii="宋体" w:hAnsi="宋体" w:hint="eastAsia"/>
          <w:color w:val="000000"/>
          <w:kern w:val="0"/>
          <w:sz w:val="24"/>
          <w:szCs w:val="24"/>
        </w:rPr>
        <w:t>南方深证100交易型开放式指数证券投资基金联接基金</w:t>
      </w:r>
      <w:r>
        <w:rPr>
          <w:rFonts w:ascii="宋体" w:hAnsi="宋体" w:hint="eastAsia"/>
          <w:color w:val="000000"/>
          <w:kern w:val="0"/>
          <w:sz w:val="24"/>
        </w:rPr>
        <w:t>（</w:t>
      </w:r>
      <w:r>
        <w:rPr>
          <w:rFonts w:ascii="宋体" w:hAnsi="宋体"/>
          <w:color w:val="000000"/>
          <w:kern w:val="0"/>
          <w:sz w:val="24"/>
          <w:lang w:val="en-GB"/>
        </w:rPr>
        <w:t>以下简称</w:t>
      </w:r>
      <w:r>
        <w:rPr>
          <w:rFonts w:ascii="宋体" w:hAnsi="宋体" w:hint="eastAsia"/>
          <w:color w:val="000000"/>
          <w:kern w:val="0"/>
          <w:sz w:val="24"/>
          <w:lang w:val="en-GB"/>
        </w:rPr>
        <w:t>“本基金”</w:t>
      </w:r>
      <w:r>
        <w:rPr>
          <w:rFonts w:ascii="宋体" w:hAnsi="宋体" w:hint="eastAsia"/>
          <w:color w:val="000000"/>
          <w:kern w:val="0"/>
          <w:sz w:val="24"/>
        </w:rPr>
        <w:t>）</w:t>
      </w:r>
      <w:r>
        <w:rPr>
          <w:rFonts w:ascii="宋体" w:hAnsi="宋体"/>
          <w:color w:val="000000"/>
          <w:kern w:val="0"/>
          <w:sz w:val="24"/>
          <w:szCs w:val="24"/>
        </w:rPr>
        <w:t>的基金管理人和基金托管人之间的权利义务关系，特制订本托管协议；</w:t>
      </w:r>
    </w:p>
    <w:p w:rsidR="005226C6" w:rsidRDefault="004A7AC5">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南方深证100交易型开放式指数证券投资基金联接基金</w:t>
      </w:r>
      <w:r>
        <w:rPr>
          <w:rFonts w:ascii="宋体" w:hAnsi="宋体"/>
          <w:color w:val="000000"/>
          <w:kern w:val="0"/>
          <w:sz w:val="24"/>
          <w:szCs w:val="24"/>
          <w:lang w:val="en-GB"/>
        </w:rPr>
        <w:t>基金合同》(以下简称“基金合同”</w:t>
      </w:r>
      <w:r>
        <w:rPr>
          <w:rFonts w:ascii="宋体" w:hAnsi="宋体" w:hint="eastAsia"/>
          <w:color w:val="000000"/>
          <w:kern w:val="0"/>
          <w:sz w:val="24"/>
          <w:szCs w:val="24"/>
          <w:lang w:val="en-GB"/>
        </w:rPr>
        <w:t>或“《基金合同》”</w:t>
      </w:r>
      <w:r>
        <w:rPr>
          <w:rFonts w:ascii="宋体" w:hAnsi="宋体"/>
          <w:color w:val="000000"/>
          <w:kern w:val="0"/>
          <w:sz w:val="24"/>
          <w:szCs w:val="24"/>
          <w:lang w:val="en-GB"/>
        </w:rPr>
        <w:t>)中定义的术语在用于本托管协议时应具有相同的含义；若有抵触应以基金合同为准，并依其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rsidR="005226C6" w:rsidRDefault="004A7AC5">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hint="eastAsia"/>
          <w:color w:val="000000"/>
          <w:kern w:val="0"/>
          <w:sz w:val="24"/>
          <w:szCs w:val="24"/>
          <w:lang w:val="en-GB"/>
        </w:rPr>
        <w:t>若本基金实施</w:t>
      </w:r>
      <w:proofErr w:type="gramStart"/>
      <w:r>
        <w:rPr>
          <w:rFonts w:ascii="宋体" w:hAnsi="宋体" w:hint="eastAsia"/>
          <w:color w:val="000000"/>
          <w:kern w:val="0"/>
          <w:sz w:val="24"/>
          <w:szCs w:val="24"/>
          <w:lang w:val="en-GB"/>
        </w:rPr>
        <w:t>侧袋机制</w:t>
      </w:r>
      <w:proofErr w:type="gramEnd"/>
      <w:r>
        <w:rPr>
          <w:rFonts w:ascii="宋体" w:hAnsi="宋体" w:hint="eastAsia"/>
          <w:color w:val="000000"/>
          <w:kern w:val="0"/>
          <w:sz w:val="24"/>
          <w:szCs w:val="24"/>
          <w:lang w:val="en-GB"/>
        </w:rPr>
        <w:t>的，</w:t>
      </w:r>
      <w:proofErr w:type="gramStart"/>
      <w:r>
        <w:rPr>
          <w:rFonts w:ascii="宋体" w:hAnsi="宋体" w:hint="eastAsia"/>
          <w:color w:val="000000"/>
          <w:kern w:val="0"/>
          <w:sz w:val="24"/>
          <w:szCs w:val="24"/>
          <w:lang w:val="en-GB"/>
        </w:rPr>
        <w:t>侧袋机制</w:t>
      </w:r>
      <w:proofErr w:type="gramEnd"/>
      <w:r>
        <w:rPr>
          <w:rFonts w:ascii="宋体" w:hAnsi="宋体" w:hint="eastAsia"/>
          <w:color w:val="000000"/>
          <w:kern w:val="0"/>
          <w:sz w:val="24"/>
          <w:szCs w:val="24"/>
          <w:lang w:val="en-GB"/>
        </w:rPr>
        <w:t>实施期间的相关安排</w:t>
      </w:r>
      <w:proofErr w:type="gramStart"/>
      <w:r>
        <w:rPr>
          <w:rFonts w:ascii="宋体" w:hAnsi="宋体" w:hint="eastAsia"/>
          <w:color w:val="000000"/>
          <w:kern w:val="0"/>
          <w:sz w:val="24"/>
          <w:szCs w:val="24"/>
          <w:lang w:val="en-GB"/>
        </w:rPr>
        <w:t>见基金</w:t>
      </w:r>
      <w:proofErr w:type="gramEnd"/>
      <w:r>
        <w:rPr>
          <w:rFonts w:ascii="宋体" w:hAnsi="宋体" w:hint="eastAsia"/>
          <w:color w:val="000000"/>
          <w:kern w:val="0"/>
          <w:sz w:val="24"/>
          <w:szCs w:val="24"/>
          <w:lang w:val="en-GB"/>
        </w:rPr>
        <w:t>合同和招募说明书的规定。</w:t>
      </w:r>
    </w:p>
    <w:p w:rsidR="005226C6" w:rsidRDefault="004A7AC5">
      <w:pPr>
        <w:pStyle w:val="2"/>
        <w:spacing w:line="360" w:lineRule="auto"/>
        <w:jc w:val="center"/>
        <w:rPr>
          <w:rFonts w:ascii="宋体" w:eastAsia="宋体" w:hAnsi="宋体"/>
          <w:color w:val="000000"/>
          <w:sz w:val="24"/>
          <w:szCs w:val="24"/>
        </w:rPr>
      </w:pPr>
      <w:bookmarkStart w:id="7" w:name="_Toc145818935"/>
      <w:r>
        <w:rPr>
          <w:rFonts w:ascii="宋体" w:eastAsia="宋体" w:hAnsi="宋体"/>
          <w:color w:val="000000"/>
          <w:sz w:val="24"/>
          <w:szCs w:val="24"/>
        </w:rPr>
        <w:br w:type="page"/>
      </w:r>
      <w:r>
        <w:rPr>
          <w:rFonts w:ascii="宋体" w:eastAsia="宋体" w:hAnsi="宋体"/>
          <w:color w:val="000000"/>
          <w:sz w:val="24"/>
          <w:szCs w:val="24"/>
        </w:rPr>
        <w:lastRenderedPageBreak/>
        <w:t>一、基金托管协议当事人</w:t>
      </w:r>
      <w:bookmarkEnd w:id="7"/>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（一）基金管理人</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w:t>
      </w:r>
      <w:r>
        <w:rPr>
          <w:rFonts w:ascii="宋体" w:hAnsi="宋体" w:hint="eastAsia"/>
          <w:color w:val="000000"/>
          <w:sz w:val="24"/>
          <w:szCs w:val="24"/>
        </w:rPr>
        <w:t>南方基金管理股份有限公司</w:t>
      </w:r>
    </w:p>
    <w:p w:rsidR="005226C6" w:rsidRDefault="004A7AC5">
      <w:pPr>
        <w:adjustRightInd w:val="0"/>
        <w:snapToGrid w:val="0"/>
        <w:spacing w:line="360" w:lineRule="auto"/>
        <w:ind w:firstLineChars="200" w:firstLine="480"/>
        <w:rPr>
          <w:rFonts w:ascii="宋体" w:hAnsi="宋体"/>
          <w:color w:val="0000FF"/>
          <w:sz w:val="24"/>
          <w:szCs w:val="24"/>
        </w:rPr>
      </w:pPr>
      <w:r>
        <w:rPr>
          <w:rFonts w:ascii="宋体" w:hAnsi="宋体"/>
          <w:color w:val="000000"/>
          <w:sz w:val="24"/>
          <w:szCs w:val="24"/>
        </w:rPr>
        <w:t>注册地址：</w:t>
      </w:r>
      <w:r>
        <w:rPr>
          <w:rFonts w:ascii="宋体" w:hAnsi="宋体" w:hint="eastAsia"/>
          <w:color w:val="000000"/>
          <w:sz w:val="24"/>
          <w:szCs w:val="24"/>
        </w:rPr>
        <w:t>深圳市福田区莲花街道益田路5999号基金大厦32-42楼</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办公地址：</w:t>
      </w:r>
      <w:r>
        <w:rPr>
          <w:rFonts w:ascii="宋体" w:hAnsi="宋体" w:hint="eastAsia"/>
          <w:color w:val="000000"/>
          <w:sz w:val="24"/>
          <w:szCs w:val="24"/>
        </w:rPr>
        <w:t>深圳市福田区莲花街道益田路5999号基金大厦32-42楼</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法定代表人</w:t>
      </w:r>
      <w:r>
        <w:rPr>
          <w:rFonts w:ascii="宋体" w:hAnsi="宋体" w:hint="eastAsia"/>
          <w:color w:val="000000"/>
          <w:sz w:val="24"/>
          <w:szCs w:val="24"/>
        </w:rPr>
        <w:t>：周易</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成立日期：</w:t>
      </w:r>
      <w:r>
        <w:rPr>
          <w:rFonts w:ascii="宋体" w:hAnsi="宋体" w:hint="eastAsia"/>
          <w:color w:val="000000"/>
          <w:sz w:val="24"/>
          <w:szCs w:val="24"/>
        </w:rPr>
        <w:t>1998年3月6日</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批准设立机关及批准设立文号：</w:t>
      </w:r>
      <w:r>
        <w:rPr>
          <w:rFonts w:ascii="宋体" w:hAnsi="宋体" w:hint="eastAsia"/>
          <w:color w:val="000000"/>
          <w:sz w:val="24"/>
          <w:szCs w:val="24"/>
        </w:rPr>
        <w:t>中国证监会</w:t>
      </w:r>
      <w:proofErr w:type="gramStart"/>
      <w:r>
        <w:rPr>
          <w:rFonts w:ascii="宋体" w:hAnsi="宋体" w:hint="eastAsia"/>
          <w:color w:val="000000"/>
          <w:sz w:val="24"/>
          <w:szCs w:val="24"/>
        </w:rPr>
        <w:t>证监基字</w:t>
      </w:r>
      <w:proofErr w:type="gramEnd"/>
      <w:r>
        <w:rPr>
          <w:rFonts w:ascii="宋体" w:hAnsi="宋体" w:hint="eastAsia"/>
          <w:color w:val="000000"/>
          <w:sz w:val="24"/>
          <w:szCs w:val="24"/>
        </w:rPr>
        <w:t>[1998]4号</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组织形式：</w:t>
      </w:r>
      <w:r>
        <w:rPr>
          <w:rFonts w:ascii="宋体" w:hAnsi="宋体" w:hint="eastAsia"/>
          <w:color w:val="000000"/>
          <w:sz w:val="24"/>
          <w:szCs w:val="24"/>
        </w:rPr>
        <w:t>股份有限公司</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注册</w:t>
      </w:r>
      <w:r>
        <w:rPr>
          <w:rFonts w:ascii="宋体" w:hAnsi="宋体"/>
          <w:sz w:val="24"/>
          <w:szCs w:val="24"/>
        </w:rPr>
        <w:t>资本：</w:t>
      </w:r>
      <w:r>
        <w:rPr>
          <w:rFonts w:ascii="宋体" w:hAnsi="宋体" w:hint="eastAsia"/>
          <w:sz w:val="24"/>
          <w:szCs w:val="24"/>
        </w:rPr>
        <w:t>3.6172亿元人民币</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存续期间：</w:t>
      </w:r>
      <w:r>
        <w:rPr>
          <w:rFonts w:ascii="宋体" w:hAnsi="宋体" w:hint="eastAsia"/>
          <w:color w:val="000000"/>
          <w:sz w:val="24"/>
          <w:szCs w:val="24"/>
        </w:rPr>
        <w:t>持续经营</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color w:val="000000"/>
          <w:sz w:val="24"/>
          <w:szCs w:val="24"/>
        </w:rPr>
        <w:t>经营范围：</w:t>
      </w:r>
      <w:r>
        <w:rPr>
          <w:rFonts w:ascii="宋体" w:hAnsi="宋体" w:hint="eastAsia"/>
          <w:sz w:val="24"/>
          <w:szCs w:val="24"/>
        </w:rPr>
        <w:t>基金募集；基金销售；资产管理以及中国证监会许可的其他业务</w:t>
      </w:r>
    </w:p>
    <w:p w:rsidR="005226C6" w:rsidRDefault="005226C6">
      <w:pPr>
        <w:adjustRightInd w:val="0"/>
        <w:snapToGrid w:val="0"/>
        <w:spacing w:line="360" w:lineRule="auto"/>
        <w:ind w:firstLineChars="200" w:firstLine="480"/>
        <w:rPr>
          <w:rFonts w:ascii="宋体" w:hAnsi="宋体"/>
          <w:color w:val="000000"/>
          <w:sz w:val="24"/>
          <w:szCs w:val="24"/>
        </w:rPr>
      </w:pP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（二）基金托管人</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名称：中国农业银行</w:t>
      </w:r>
      <w:r>
        <w:rPr>
          <w:rFonts w:ascii="宋体" w:hAnsi="宋体" w:hint="eastAsia"/>
          <w:color w:val="000000"/>
          <w:sz w:val="24"/>
          <w:szCs w:val="24"/>
        </w:rPr>
        <w:t>股份有限公司</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注册地址：</w:t>
      </w:r>
      <w:r>
        <w:rPr>
          <w:rFonts w:ascii="宋体" w:hAnsi="宋体" w:hint="eastAsia"/>
          <w:color w:val="000000"/>
          <w:sz w:val="24"/>
          <w:szCs w:val="24"/>
        </w:rPr>
        <w:t>北京市东城区建国门内大街69号</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办公地址：</w:t>
      </w:r>
      <w:r>
        <w:rPr>
          <w:rFonts w:ascii="宋体" w:hAnsi="宋体" w:hint="eastAsia"/>
          <w:color w:val="000000"/>
          <w:sz w:val="24"/>
          <w:szCs w:val="24"/>
        </w:rPr>
        <w:t>北京市西城区复兴门内大街28号</w:t>
      </w:r>
      <w:proofErr w:type="gramStart"/>
      <w:r>
        <w:rPr>
          <w:rFonts w:ascii="宋体" w:hAnsi="宋体" w:hint="eastAsia"/>
          <w:color w:val="000000"/>
          <w:sz w:val="24"/>
          <w:szCs w:val="24"/>
        </w:rPr>
        <w:t>凯</w:t>
      </w:r>
      <w:proofErr w:type="gramEnd"/>
      <w:r>
        <w:rPr>
          <w:rFonts w:ascii="宋体" w:hAnsi="宋体" w:hint="eastAsia"/>
          <w:color w:val="000000"/>
          <w:sz w:val="24"/>
          <w:szCs w:val="24"/>
        </w:rPr>
        <w:t>晨世贸中心东座九层</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邮政编码：1000</w:t>
      </w:r>
      <w:r>
        <w:rPr>
          <w:rFonts w:ascii="宋体" w:hAnsi="宋体" w:hint="eastAsia"/>
          <w:color w:val="000000"/>
          <w:sz w:val="24"/>
          <w:szCs w:val="24"/>
        </w:rPr>
        <w:t>31</w:t>
      </w:r>
    </w:p>
    <w:p w:rsidR="005226C6" w:rsidRDefault="004A7AC5">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法定代表人：谷澍</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成立时间：2009年1月15日</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基金托管资格批文及文号：中国证监会</w:t>
      </w:r>
      <w:proofErr w:type="gramStart"/>
      <w:r>
        <w:rPr>
          <w:rFonts w:ascii="宋体" w:hAnsi="宋体" w:hint="eastAsia"/>
          <w:color w:val="000000"/>
          <w:sz w:val="24"/>
          <w:szCs w:val="24"/>
        </w:rPr>
        <w:t>证监基字</w:t>
      </w:r>
      <w:proofErr w:type="gramEnd"/>
      <w:r>
        <w:rPr>
          <w:rFonts w:ascii="宋体" w:hAnsi="宋体" w:hint="eastAsia"/>
          <w:color w:val="000000"/>
          <w:sz w:val="24"/>
          <w:szCs w:val="24"/>
        </w:rPr>
        <w:t>[1998]23号</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批准设立机关和批准设立文号：中国银监</w:t>
      </w:r>
      <w:proofErr w:type="gramStart"/>
      <w:r>
        <w:rPr>
          <w:rFonts w:ascii="宋体" w:hAnsi="宋体" w:hint="eastAsia"/>
          <w:color w:val="000000"/>
          <w:sz w:val="24"/>
          <w:szCs w:val="24"/>
        </w:rPr>
        <w:t>会银监复</w:t>
      </w:r>
      <w:proofErr w:type="gramEnd"/>
      <w:r>
        <w:rPr>
          <w:rFonts w:ascii="宋体" w:hAnsi="宋体" w:hint="eastAsia"/>
          <w:color w:val="000000"/>
          <w:sz w:val="24"/>
          <w:szCs w:val="24"/>
        </w:rPr>
        <w:t>[2009]13号</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组织形式：股份有限公司</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注册资本：</w:t>
      </w:r>
      <w:r>
        <w:rPr>
          <w:rFonts w:ascii="宋体" w:hAnsi="宋体"/>
          <w:bCs/>
          <w:color w:val="000000"/>
          <w:sz w:val="24"/>
          <w:szCs w:val="24"/>
        </w:rPr>
        <w:t>34,998,303.4</w:t>
      </w:r>
      <w:r>
        <w:rPr>
          <w:rFonts w:ascii="宋体" w:hAnsi="宋体" w:hint="eastAsia"/>
          <w:color w:val="000000"/>
          <w:sz w:val="24"/>
          <w:szCs w:val="24"/>
        </w:rPr>
        <w:t>万元人民币</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存续期间：持续经营</w:t>
      </w:r>
    </w:p>
    <w:p w:rsidR="005226C6" w:rsidRDefault="004A7AC5">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经营范围：</w:t>
      </w:r>
      <w:r>
        <w:rPr>
          <w:rFonts w:ascii="宋体" w:hAnsi="宋体" w:hint="eastAsia"/>
          <w:color w:val="000000"/>
          <w:sz w:val="24"/>
          <w:szCs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w:t>
      </w:r>
      <w:r>
        <w:rPr>
          <w:rFonts w:ascii="宋体" w:hAnsi="宋体" w:hint="eastAsia"/>
          <w:color w:val="000000"/>
          <w:sz w:val="24"/>
          <w:szCs w:val="24"/>
        </w:rPr>
        <w:lastRenderedPageBreak/>
        <w:t>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5226C6" w:rsidRDefault="005226C6">
      <w:pPr>
        <w:tabs>
          <w:tab w:val="left" w:pos="540"/>
        </w:tabs>
        <w:adjustRightInd w:val="0"/>
        <w:snapToGrid w:val="0"/>
        <w:spacing w:line="360" w:lineRule="auto"/>
        <w:ind w:firstLineChars="200" w:firstLine="480"/>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8" w:name="_Toc145818936"/>
      <w:r>
        <w:rPr>
          <w:rFonts w:ascii="宋体" w:eastAsia="宋体" w:hAnsi="宋体"/>
          <w:color w:val="000000"/>
          <w:sz w:val="24"/>
          <w:szCs w:val="24"/>
        </w:rPr>
        <w:t>二、基金托管协议的依据、目的和原则</w:t>
      </w:r>
      <w:bookmarkEnd w:id="8"/>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（一）订立托管协议的依据</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w:t>
      </w:r>
      <w:r>
        <w:rPr>
          <w:rFonts w:ascii="宋体" w:hAnsi="宋体" w:hint="eastAsia"/>
          <w:color w:val="000000"/>
          <w:sz w:val="24"/>
          <w:szCs w:val="24"/>
        </w:rPr>
        <w:t>《中华人民共和国民法典》、《中华人民共和国证券法》（以下简称“《证券法》”）、</w:t>
      </w:r>
      <w:r>
        <w:rPr>
          <w:rFonts w:ascii="宋体" w:hAnsi="宋体"/>
          <w:color w:val="000000"/>
          <w:sz w:val="24"/>
          <w:szCs w:val="24"/>
        </w:rPr>
        <w:t>《中华人民共和国证券投资基金法》(以下简称“《基金法》”)</w:t>
      </w:r>
      <w:r>
        <w:rPr>
          <w:rFonts w:ascii="宋体" w:hAnsi="宋体" w:hint="eastAsia"/>
          <w:color w:val="000000"/>
          <w:sz w:val="24"/>
          <w:szCs w:val="24"/>
        </w:rPr>
        <w:t>、《公开募集证券投资基金运作管理办法》（以下简称“《运作办法》”）、《公开募集证券投资基金信息披露管理办法》（以下简称“《信息披露办法》”）、《公开募集开放式证券投资基金流动性风险管理规定》（以下简称“</w:t>
      </w:r>
      <w:bookmarkStart w:id="9" w:name="OLE_LINK3"/>
      <w:bookmarkStart w:id="10" w:name="OLE_LINK2"/>
      <w:r>
        <w:rPr>
          <w:rFonts w:ascii="宋体" w:hAnsi="宋体" w:hint="eastAsia"/>
          <w:color w:val="000000"/>
          <w:sz w:val="24"/>
          <w:szCs w:val="24"/>
        </w:rPr>
        <w:t>《流动性风险管理规定》</w:t>
      </w:r>
      <w:bookmarkEnd w:id="9"/>
      <w:bookmarkEnd w:id="10"/>
      <w:r>
        <w:rPr>
          <w:rFonts w:ascii="宋体" w:hAnsi="宋体" w:hint="eastAsia"/>
          <w:color w:val="000000"/>
          <w:sz w:val="24"/>
          <w:szCs w:val="24"/>
        </w:rPr>
        <w:t>”）、《公开募集证券投资基金运作指引第3号——指数基金指引》</w:t>
      </w:r>
      <w:r>
        <w:rPr>
          <w:rFonts w:ascii="宋体" w:hAnsi="宋体"/>
          <w:color w:val="000000"/>
          <w:sz w:val="24"/>
          <w:szCs w:val="24"/>
        </w:rPr>
        <w:t>等有关法律、法规(以下简称“法律法规”)、基金合同及其他有关规定制订。</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（二）订立托管协议的目的</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（三）订立托管协议的原则</w:t>
      </w:r>
    </w:p>
    <w:p w:rsidR="005226C6" w:rsidRDefault="004A7AC5">
      <w:pPr>
        <w:pStyle w:val="Style6"/>
        <w:spacing w:line="360" w:lineRule="auto"/>
        <w:rPr>
          <w:rFonts w:ascii="宋体" w:eastAsia="宋体"/>
          <w:szCs w:val="24"/>
        </w:rPr>
      </w:pPr>
      <w:r>
        <w:rPr>
          <w:rFonts w:ascii="宋体" w:eastAsia="宋体"/>
          <w:szCs w:val="24"/>
        </w:rPr>
        <w:t>基金管理人和基金托管人本着平等自愿、诚实信用、充分保护基金投资者合法权益的原则，经协商一致，签订本协议。</w:t>
      </w:r>
    </w:p>
    <w:p w:rsidR="005226C6" w:rsidRDefault="004A7AC5">
      <w:pPr>
        <w:pStyle w:val="2"/>
        <w:spacing w:line="360" w:lineRule="auto"/>
        <w:jc w:val="center"/>
        <w:rPr>
          <w:rFonts w:ascii="宋体" w:eastAsia="宋体" w:hAnsi="宋体"/>
          <w:color w:val="000000"/>
          <w:sz w:val="24"/>
          <w:szCs w:val="24"/>
        </w:rPr>
      </w:pPr>
      <w:bookmarkStart w:id="11" w:name="_Toc145818937"/>
      <w:r>
        <w:rPr>
          <w:rFonts w:ascii="宋体" w:eastAsia="宋体" w:hAnsi="宋体"/>
          <w:color w:val="000000"/>
          <w:sz w:val="24"/>
          <w:szCs w:val="24"/>
        </w:rPr>
        <w:lastRenderedPageBreak/>
        <w:t>三、基金托管人对基金管理人的业务监督和核查</w:t>
      </w:r>
      <w:bookmarkEnd w:id="11"/>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226C6" w:rsidRDefault="004A7AC5">
      <w:pPr>
        <w:adjustRightInd w:val="0"/>
        <w:snapToGrid w:val="0"/>
        <w:spacing w:line="360" w:lineRule="auto"/>
        <w:ind w:firstLineChars="200" w:firstLine="480"/>
        <w:rPr>
          <w:rFonts w:ascii="宋体" w:hAnsi="宋体"/>
          <w:color w:val="000000"/>
          <w:sz w:val="24"/>
          <w:szCs w:val="24"/>
        </w:rPr>
      </w:pPr>
      <w:bookmarkStart w:id="12" w:name="_Hlk192627788"/>
      <w:bookmarkStart w:id="13" w:name="_Hlk153459912"/>
      <w:r>
        <w:rPr>
          <w:rFonts w:ascii="宋体" w:hAnsi="宋体" w:hint="eastAsia"/>
          <w:color w:val="000000"/>
          <w:sz w:val="24"/>
          <w:szCs w:val="24"/>
        </w:rPr>
        <w:t>本基金主要投资于目标ETF基金份额、标的指数成份股、备选成份股（</w:t>
      </w:r>
      <w:proofErr w:type="gramStart"/>
      <w:r>
        <w:rPr>
          <w:rFonts w:ascii="宋体" w:hAnsi="宋体" w:hint="eastAsia"/>
          <w:color w:val="000000"/>
          <w:sz w:val="24"/>
          <w:szCs w:val="24"/>
        </w:rPr>
        <w:t>含存托</w:t>
      </w:r>
      <w:proofErr w:type="gramEnd"/>
      <w:r>
        <w:rPr>
          <w:rFonts w:ascii="宋体" w:hAnsi="宋体" w:hint="eastAsia"/>
          <w:color w:val="000000"/>
          <w:sz w:val="24"/>
          <w:szCs w:val="24"/>
        </w:rPr>
        <w:t>凭证）。为更好地实现投资目标，本基金可少量投资于非成份股（包含主板、创业板及其他经中国证监会核准或注册发行的股票、存托凭证）、金融衍生品（股指期货、股票期权）、债券（包括国债、金融债、企业债、公司债、政府机构债券、地方政府债券、次级债、可转换债券、可交换债券、央行票据、中期票据、短期融资</w:t>
      </w:r>
      <w:proofErr w:type="gramStart"/>
      <w:r>
        <w:rPr>
          <w:rFonts w:ascii="宋体" w:hAnsi="宋体" w:hint="eastAsia"/>
          <w:color w:val="000000"/>
          <w:sz w:val="24"/>
          <w:szCs w:val="24"/>
        </w:rPr>
        <w:t>券</w:t>
      </w:r>
      <w:proofErr w:type="gramEnd"/>
      <w:r>
        <w:rPr>
          <w:rFonts w:ascii="宋体" w:hAnsi="宋体" w:hint="eastAsia"/>
          <w:color w:val="000000"/>
          <w:sz w:val="24"/>
          <w:szCs w:val="24"/>
        </w:rPr>
        <w:t>、超短期融资</w:t>
      </w:r>
      <w:proofErr w:type="gramStart"/>
      <w:r>
        <w:rPr>
          <w:rFonts w:ascii="宋体" w:hAnsi="宋体" w:hint="eastAsia"/>
          <w:color w:val="000000"/>
          <w:sz w:val="24"/>
          <w:szCs w:val="24"/>
        </w:rPr>
        <w:t>券</w:t>
      </w:r>
      <w:proofErr w:type="gramEnd"/>
      <w:r>
        <w:rPr>
          <w:rFonts w:ascii="宋体" w:hAnsi="宋体" w:hint="eastAsia"/>
          <w:color w:val="000000"/>
          <w:sz w:val="24"/>
          <w:szCs w:val="24"/>
        </w:rPr>
        <w:t>等）、资产支持证券、债券回购、银行存款（包括协议存款、定期存款及其他银行存款）、同业存单、货币市场工具以及法律法规或中国证监会允许基金投资的其他金融工具（但须符合中国证监会的相关规定）。</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本基金根据相关规定可参与融资、转融通证券出借业务。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如法律法规或监管机构以后允许基金投资其他品种，基金管理人在履行适当程序后，可以将其纳入投资范围。</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的投资组合比例为：在建仓完成后，本基金投资于目标ETF的比例不低于基金资产净值的90%。每个交易日日终在扣除金融衍生品合约需缴纳的交易保证金后，现金或到期日在一年以内的政府债券的投资比例不低于基金资产净值的5%，其中现金不包括结算备付金、存出保证金、应收申购款等。</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如法律法规或监管机构变更投资品种的投资比例限制，基金管理人在履行适当程序后，可以调整上述投资品种的投资比例。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（二）基金托管人根据有关法律法规的规定及基金合同的约定，对基金投资比例进行监督。基金托管人按下述比例和调整期限进行监督：</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（1）本基金投资于目标ETF的比例不低于基金资产净值的90%；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（2）每个交易日日终在扣除金融衍生品合约需缴纳的交易保证金后，现金或到期日在一年以内的政府债券的投资比例不低于基金资产净值的5%，其中现金不包括结算备付金、存出保证金、应收申购款等；</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（3）本基金投资于同一原始权益人的各类资产支持证券的比例，不得超过基金资产净值的10%；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（4）本基金持有的全部资产支持证券，其市值不得超过基金资产净值的20%；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（5）本基金持有的同一（指同一信用级别）资产支持证券的比例，不得超过该资产支持证券规模的10%；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（6）本基金管理人管理的、且由本基金托管人托管的全部基金投资于同一原始权益人的各类资产支持证券，不得超过其各类资产支持证券合计规模的10%；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（7）本基金应投资于信用级别评级为BBB以上（含BBB）的资产支持证券。基金持有资产支持证券期间，如果其信用等级下降、不再符合投资标准，应在评级报告发布之日起3个月内予以全部卖出；</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（8）基金财产参与股票发行申购，本基金所申报的金额不超过本基金的总资产，本基金所申报的股票数量不超过拟发行股票公司本次发行股票的总量；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（10）本基金与私募类</w:t>
      </w:r>
      <w:proofErr w:type="gramStart"/>
      <w:r>
        <w:rPr>
          <w:rFonts w:ascii="宋体" w:hAnsi="宋体" w:hint="eastAsia"/>
          <w:color w:val="000000"/>
          <w:sz w:val="24"/>
          <w:szCs w:val="24"/>
        </w:rPr>
        <w:t>证券资管产品</w:t>
      </w:r>
      <w:proofErr w:type="gramEnd"/>
      <w:r>
        <w:rPr>
          <w:rFonts w:ascii="宋体" w:hAnsi="宋体" w:hint="eastAsia"/>
          <w:color w:val="000000"/>
          <w:sz w:val="24"/>
          <w:szCs w:val="24"/>
        </w:rPr>
        <w:t>及中国证监会认定的其他主体为交易对手开展逆回购交易的，可接受质押品的资质要求应当与基金合同约定的投资范围保持一致；</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（11）本基金资产总值不超过基金资产净值的140%；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（12）本基金参与股指期货交易，应当符合下列投资限制：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1）本基金在任何交易日日终，持有的买入股指期货合约价值，不得超过基金资产净值的10%；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3）本基金在任何交易日日终，持有的卖出股指期货合约价值不得超过基金持有的股票总市值的20%；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4）本基金所持有的股票市值和买入、卖出股指期货合约价值，合计（轧差</w:t>
      </w:r>
      <w:r>
        <w:rPr>
          <w:rFonts w:ascii="宋体" w:hAnsi="宋体" w:hint="eastAsia"/>
          <w:color w:val="000000"/>
          <w:sz w:val="24"/>
          <w:szCs w:val="24"/>
        </w:rPr>
        <w:lastRenderedPageBreak/>
        <w:t>计算）应当符合基金合同关于股票投资比例的有关约定；</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5）本基金在任何交易日内交易（不包括平仓）的股指期货合约的成交金额不得超过上一交易日基金资产净值的20%；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（13）本基金参与股票期权交易，应当符合下列投资限制：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1）基金因未平仓的期权合约支付和收取的权利金总额不得超过基金资产净值的10%；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2）开仓卖出认购期权的，应持有足额标的证券；开仓卖出认沽期权的，应持有合约行权所需的全额现金或交易所规则认可的可冲抵期权保证金的现金等价物；</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3）未平仓的期权合约面值不得超过基金资产净值的20%。其中，合约面值按照行权价乘以合约乘数计算；</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（14）本基金参与转融通证券出借业务的，应当符合下列要求：</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1）本基金在任何交易日日终，参与转融通证券出借业务的资产不得超过基金资产净值的30%，其中出借期限在10个交易日以上的出借证券应纳入《流动性风险管理规定》所述流动性受限证券的范围；</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2）本基金在任何交易日日终，参与出借业务的单只证券不得超过基金持有该证券总量的50%；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3）证券出借的平均剩余期限不得超过30天，平均剩余期限按市值加权平均计算；</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4）最近6个月内日均基金资产净值不得低于2亿元；</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（15）本基金投资存托凭证的比例限制依照境内上市交易的股票执行，与境内上市交易的股票合并计算，法律法规或监管部门另有要求的除外；</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（16）法律法规及中国证监会规定的和《基金合同》约定的其他投资限制。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因证券/期货市场波动、证券发行人合并、基金规模变动、标的指数成份股调整、标的指数成份股流动性限制、目标ETF暂停申购、赎回或二级市场交易停牌等基金管理人之外的因素致使基金投资比例不符合上述第（1）项规定投资比例的，基金管理人应当在20个交易日内进行调整，但中国证监会规定的特殊情形除外；除上述第（1）、（2）、（7）、（9）、（10）、（14）项另有约定外，因证券/期货市场波动、证券发行人合并、基金规模变动、标的指数成份股调整、标的指数成份股流动性限制、目标 ETF 暂停申购、赎回或二级市场交易停牌等基金管理</w:t>
      </w:r>
      <w:r>
        <w:rPr>
          <w:rFonts w:ascii="宋体" w:hAnsi="宋体" w:hint="eastAsia"/>
          <w:color w:val="000000"/>
          <w:sz w:val="24"/>
          <w:szCs w:val="24"/>
        </w:rPr>
        <w:lastRenderedPageBreak/>
        <w:t>人之外的因素致使基金投资比例不符合上述规定投资比例的，基金管理人应当在10个交易日内进行调整，但中国证监会规定的特殊情形除外。法律法规另有规定的，从其规定。</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本基金参与转融通证券出借业务，因证券/期货市场波动、证券发行人合并、基金规模变动等基金管理人之外的因素致使基金投资不符合上述第（14）项规定的，基金管理人不得新增出借业务。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法律法规或监管部门取消或变更上述限制，如适用于本基金，基金管理人在履行适当程序后，则本基金投资不再受相关限制或按变更后的规定执行。</w:t>
      </w:r>
    </w:p>
    <w:bookmarkEnd w:id="12"/>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14" w:name="OLE_LINK1"/>
      <w:r>
        <w:rPr>
          <w:rFonts w:ascii="宋体" w:hAnsi="宋体"/>
          <w:color w:val="000000"/>
          <w:sz w:val="24"/>
          <w:szCs w:val="24"/>
        </w:rPr>
        <w:t>根据有关法律法规的规定及基金合同的约定，</w:t>
      </w:r>
      <w:bookmarkEnd w:id="14"/>
      <w:r>
        <w:rPr>
          <w:rFonts w:ascii="宋体" w:hAnsi="宋体"/>
          <w:color w:val="000000"/>
          <w:sz w:val="24"/>
          <w:szCs w:val="24"/>
        </w:rPr>
        <w:t>对本协议第十五条第</w:t>
      </w:r>
      <w:r>
        <w:rPr>
          <w:rFonts w:ascii="宋体" w:hAnsi="宋体" w:hint="eastAsia"/>
          <w:color w:val="000000"/>
          <w:sz w:val="24"/>
          <w:szCs w:val="24"/>
        </w:rPr>
        <w:t>（十一）</w:t>
      </w:r>
      <w:r>
        <w:rPr>
          <w:rFonts w:ascii="宋体" w:hAnsi="宋体"/>
          <w:color w:val="000000"/>
          <w:sz w:val="24"/>
          <w:szCs w:val="24"/>
        </w:rPr>
        <w:t>项基金投资禁止行为进行监督。</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根据法律法规有关基金从事的关联交易的规定，基金管理人和基金托管人应事先相互提供与本机构有控股关系的股东或与本机构有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w:t>
      </w:r>
      <w:r>
        <w:rPr>
          <w:rFonts w:ascii="宋体" w:hAnsi="宋体"/>
          <w:color w:val="000000"/>
          <w:sz w:val="24"/>
          <w:szCs w:val="24"/>
        </w:rPr>
        <w:t>运用基金财产买卖基金管理人、基金托管人及其控股股东、实际控制人或者与其有重大利害关系的公司发行的证券或承销期内承销的证券，或者从事其他重大关联交易的，</w:t>
      </w:r>
      <w:r>
        <w:rPr>
          <w:rFonts w:ascii="宋体" w:hAnsi="宋体" w:hint="eastAsia"/>
          <w:color w:val="000000"/>
          <w:sz w:val="24"/>
          <w:szCs w:val="24"/>
        </w:rPr>
        <w:t>应当符合基金的投资目标和投资策略，</w:t>
      </w:r>
      <w:r>
        <w:rPr>
          <w:rFonts w:ascii="宋体" w:hAnsi="宋体"/>
          <w:color w:val="000000"/>
          <w:sz w:val="24"/>
          <w:szCs w:val="24"/>
        </w:rPr>
        <w:t>遵循基金份额持有人利益优先的原则，防范利益冲突，</w:t>
      </w:r>
      <w:r>
        <w:rPr>
          <w:rFonts w:ascii="宋体" w:hAnsi="宋体" w:hint="eastAsia"/>
          <w:color w:val="000000"/>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法律、行政法规或监管部门取消或变更上述限制，如适用于本基金，基金管</w:t>
      </w:r>
      <w:r>
        <w:rPr>
          <w:rFonts w:ascii="宋体" w:hAnsi="宋体" w:hint="eastAsia"/>
          <w:color w:val="000000"/>
          <w:sz w:val="24"/>
          <w:szCs w:val="24"/>
        </w:rPr>
        <w:lastRenderedPageBreak/>
        <w:t>理人在履行适当程序后，则本基金投资不再受相关限制或按变更后的规定执行。</w:t>
      </w:r>
    </w:p>
    <w:bookmarkEnd w:id="13"/>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szCs w:val="24"/>
        </w:rPr>
        <w:t>，并约定各交易对手所适用的交易结算方式</w:t>
      </w:r>
      <w:r>
        <w:rPr>
          <w:rFonts w:ascii="宋体" w:hAnsi="宋体"/>
          <w:color w:val="000000"/>
          <w:sz w:val="24"/>
          <w:szCs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szCs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或交易方式进行交易时，基金托管人应及时提醒基金管理人，基金托管人不承担由此造成的相应损失和责任</w:t>
      </w:r>
      <w:r>
        <w:rPr>
          <w:rFonts w:ascii="宋体" w:hAnsi="宋体"/>
          <w:color w:val="000000"/>
          <w:sz w:val="24"/>
          <w:szCs w:val="24"/>
        </w:rPr>
        <w:t>。</w:t>
      </w:r>
      <w:r>
        <w:rPr>
          <w:rFonts w:ascii="宋体" w:hAnsi="宋体" w:hint="eastAsia"/>
          <w:color w:val="000000"/>
          <w:sz w:val="24"/>
          <w:szCs w:val="24"/>
        </w:rPr>
        <w:t>如基金管理人在基金首次投资银行间债券市场之前仍未向基金托管人提供银行间债券市场交易对手名单的，视为基金管理人认可全市场交易对手。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（五）基金托管人根据有关法律法规的规定及基金合同的约定，对基金管理人投资银行存款进行监督。</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w:t>
      </w:r>
      <w:r>
        <w:rPr>
          <w:rFonts w:ascii="宋体" w:hAnsi="宋体"/>
          <w:color w:val="000000"/>
          <w:sz w:val="24"/>
          <w:szCs w:val="24"/>
        </w:rPr>
        <w:t>基金份额净值计算、应收资金到账、基金费用开支及收入确定、基金收益分配、相关信息披露、基金宣传推介材料中登载基金业绩表现数据等进行监督和核查。</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如果基金管理人未经基金托管人的审核擅自将不实的业绩表现数据印制在宣传推介材料上，</w:t>
      </w:r>
      <w:proofErr w:type="gramStart"/>
      <w:r>
        <w:rPr>
          <w:rFonts w:ascii="宋体" w:hAnsi="宋体" w:hint="eastAsia"/>
          <w:color w:val="000000"/>
          <w:sz w:val="24"/>
          <w:szCs w:val="24"/>
        </w:rPr>
        <w:t>则基金</w:t>
      </w:r>
      <w:proofErr w:type="gramEnd"/>
      <w:r>
        <w:rPr>
          <w:rFonts w:ascii="宋体" w:hAnsi="宋体" w:hint="eastAsia"/>
          <w:color w:val="000000"/>
          <w:sz w:val="24"/>
          <w:szCs w:val="24"/>
        </w:rPr>
        <w:t>托管人对此不承担相应责任，并将在发现后立即报告中国证监会。</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（八）基金托管人</w:t>
      </w:r>
      <w:r>
        <w:rPr>
          <w:rFonts w:ascii="宋体" w:hAnsi="宋体"/>
          <w:sz w:val="24"/>
          <w:szCs w:val="24"/>
        </w:rPr>
        <w:t>根据有关法律法规的规定及基金合同的约定</w:t>
      </w:r>
      <w:r>
        <w:rPr>
          <w:rFonts w:ascii="宋体" w:hAnsi="宋体" w:hint="eastAsia"/>
          <w:sz w:val="24"/>
          <w:szCs w:val="24"/>
        </w:rPr>
        <w:t>，对基金投资流通受限证券进行监督。</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1、基金投资流通受限证券，应遵守《关于基金投资非公开发行股票等流通受限证券有关问题的通知》等有关法律法规规定。</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2、流通受限证券，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 xml:space="preserve">等流通受限证券。 </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4、在投资流通受限证券之前，基金管理人应至少提前一个交易日向基金托管人提供有关流通受限证券的相关信息，具体应当包括但不限于如下文件（如有）：</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226C6" w:rsidRDefault="004A7AC5">
      <w:pPr>
        <w:pStyle w:val="Cha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w:t>
      </w:r>
      <w:r>
        <w:rPr>
          <w:rFonts w:ascii="宋体" w:hAnsi="宋体" w:hint="eastAsia"/>
          <w:color w:val="000000"/>
          <w:sz w:val="24"/>
          <w:szCs w:val="24"/>
        </w:rPr>
        <w:t>相应</w:t>
      </w:r>
      <w:r>
        <w:rPr>
          <w:rFonts w:ascii="宋体" w:hAnsi="宋体"/>
          <w:sz w:val="24"/>
          <w:szCs w:val="24"/>
        </w:rPr>
        <w:t>责任，并有权报告中国证监会。</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lastRenderedPageBreak/>
        <w:t>6、基金管理人应保证基金投资的流通受限证券登记存管在本基金名下，并确保基金托管人能够正常查询。因基金管理</w:t>
      </w:r>
      <w:proofErr w:type="gramStart"/>
      <w:r>
        <w:rPr>
          <w:rFonts w:ascii="宋体" w:hAnsi="宋体" w:hint="eastAsia"/>
          <w:sz w:val="24"/>
          <w:szCs w:val="24"/>
        </w:rPr>
        <w:t>人原因</w:t>
      </w:r>
      <w:proofErr w:type="gramEnd"/>
      <w:r>
        <w:rPr>
          <w:rFonts w:ascii="宋体" w:hAnsi="宋体" w:hint="eastAsia"/>
          <w:sz w:val="24"/>
          <w:szCs w:val="24"/>
        </w:rPr>
        <w:t>产生的流通受限证券登记存管问题，造成基金财产的损失或基金托管人无法安全保管基金财产的责任与损失，由基金管理人承担。</w:t>
      </w:r>
    </w:p>
    <w:p w:rsidR="005226C6" w:rsidRDefault="004A7AC5">
      <w:pPr>
        <w:pStyle w:val="CharCharChar1"/>
        <w:spacing w:line="360" w:lineRule="auto"/>
        <w:ind w:firstLineChars="200" w:firstLine="480"/>
        <w:rPr>
          <w:rFonts w:ascii="宋体" w:hAnsi="宋体"/>
          <w:sz w:val="24"/>
          <w:szCs w:val="24"/>
        </w:rPr>
      </w:pPr>
      <w:r>
        <w:rPr>
          <w:rFonts w:ascii="宋体" w:hAnsi="宋体" w:hint="eastAsia"/>
          <w:sz w:val="24"/>
          <w:szCs w:val="24"/>
        </w:rPr>
        <w:t>7、如果基金管理人未按照本协议的约定向基金托管人报送相关数据或者报送了虚假的数据，导致基金托管人不能履行基金托管人职责的，基金管理人应依法承担相应法律后果。除基金托管人未能依据基金合同及本协议履行职责外，因投资流通受限证券产生的损失，基金托管人按照本协议履行监督职责后不承担上述损失。</w:t>
      </w:r>
    </w:p>
    <w:p w:rsidR="005226C6" w:rsidRDefault="004A7AC5">
      <w:pPr>
        <w:adjustRightInd w:val="0"/>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（九</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w:t>
      </w:r>
      <w:r>
        <w:rPr>
          <w:rFonts w:ascii="宋体" w:hAnsi="宋体" w:hint="eastAsia"/>
          <w:color w:val="000000"/>
          <w:sz w:val="24"/>
          <w:szCs w:val="24"/>
        </w:rPr>
        <w:t>合理</w:t>
      </w:r>
      <w:r>
        <w:rPr>
          <w:rFonts w:ascii="宋体" w:hAnsi="宋体"/>
          <w:color w:val="000000"/>
          <w:sz w:val="24"/>
          <w:szCs w:val="24"/>
        </w:rPr>
        <w:t>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w:t>
      </w:r>
      <w:r>
        <w:rPr>
          <w:rFonts w:ascii="宋体" w:hAnsi="宋体"/>
          <w:color w:val="000000"/>
          <w:sz w:val="24"/>
          <w:szCs w:val="24"/>
        </w:rPr>
        <w:t>对基金托管人按照法规要求需向中国证监会报送基金监督报告的事项，基金管理人应积极配合提供相关数据资料和制度等。</w:t>
      </w:r>
    </w:p>
    <w:p w:rsidR="005226C6" w:rsidRDefault="004A7AC5">
      <w:pPr>
        <w:adjustRightInd w:val="0"/>
        <w:snapToGrid w:val="0"/>
        <w:spacing w:line="360" w:lineRule="auto"/>
        <w:ind w:firstLine="480"/>
        <w:rPr>
          <w:rFonts w:ascii="宋体" w:hAnsi="宋体"/>
          <w:sz w:val="24"/>
          <w:szCs w:val="24"/>
        </w:rPr>
      </w:pPr>
      <w:r>
        <w:rPr>
          <w:rFonts w:ascii="宋体" w:hAnsi="宋体"/>
          <w:color w:val="000000"/>
          <w:sz w:val="24"/>
          <w:szCs w:val="24"/>
        </w:rPr>
        <w:t>（</w:t>
      </w:r>
      <w:r>
        <w:rPr>
          <w:rFonts w:ascii="宋体" w:hAnsi="宋体" w:hint="eastAsia"/>
          <w:color w:val="000000"/>
          <w:sz w:val="24"/>
          <w:szCs w:val="24"/>
        </w:rPr>
        <w:t>十一</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226C6" w:rsidRDefault="004A7AC5">
      <w:pPr>
        <w:pStyle w:val="2"/>
        <w:spacing w:line="360" w:lineRule="auto"/>
        <w:jc w:val="center"/>
        <w:rPr>
          <w:rFonts w:ascii="宋体" w:eastAsia="宋体" w:hAnsi="宋体"/>
          <w:color w:val="000000"/>
          <w:sz w:val="24"/>
          <w:szCs w:val="24"/>
        </w:rPr>
      </w:pPr>
      <w:bookmarkStart w:id="15" w:name="_Toc118774803"/>
      <w:bookmarkStart w:id="16" w:name="_Toc86225291"/>
      <w:bookmarkStart w:id="17" w:name="_Toc110761796"/>
      <w:bookmarkStart w:id="18" w:name="_Toc120435783"/>
      <w:bookmarkStart w:id="19" w:name="_Toc110765660"/>
      <w:bookmarkStart w:id="20" w:name="_Toc118212950"/>
      <w:bookmarkStart w:id="21" w:name="_Toc118972648"/>
      <w:bookmarkStart w:id="22" w:name="_Toc108512358"/>
      <w:bookmarkStart w:id="23" w:name="_Toc145818938"/>
      <w:bookmarkStart w:id="24" w:name="_Toc86649722"/>
      <w:bookmarkStart w:id="25" w:name="_Toc110830492"/>
      <w:bookmarkStart w:id="26" w:name="_Toc89163368"/>
      <w:bookmarkStart w:id="27" w:name="_Toc86726439"/>
      <w:bookmarkStart w:id="28" w:name="_Toc119402710"/>
      <w:bookmarkStart w:id="29" w:name="_Toc86737929"/>
      <w:bookmarkStart w:id="30" w:name="_Toc86727355"/>
      <w:bookmarkStart w:id="31" w:name="_Toc86223242"/>
      <w:r>
        <w:rPr>
          <w:rFonts w:ascii="宋体" w:eastAsia="宋体" w:hAnsi="宋体"/>
          <w:color w:val="000000"/>
          <w:sz w:val="24"/>
          <w:szCs w:val="24"/>
        </w:rPr>
        <w:lastRenderedPageBreak/>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w:t>
      </w:r>
      <w:r>
        <w:rPr>
          <w:rFonts w:ascii="宋体" w:hAnsi="宋体" w:hint="eastAsia"/>
          <w:color w:val="000000"/>
          <w:sz w:val="24"/>
          <w:szCs w:val="24"/>
        </w:rPr>
        <w:t>等投资所需账户</w:t>
      </w:r>
      <w:r>
        <w:rPr>
          <w:rFonts w:ascii="宋体" w:hAnsi="宋体"/>
          <w:color w:val="000000"/>
          <w:sz w:val="24"/>
          <w:szCs w:val="24"/>
        </w:rPr>
        <w:t>、复核基金管理人计算的基金资产净值和</w:t>
      </w:r>
      <w:r>
        <w:rPr>
          <w:rFonts w:ascii="宋体" w:hAnsi="宋体" w:hint="eastAsia"/>
          <w:color w:val="000000"/>
          <w:sz w:val="24"/>
          <w:szCs w:val="24"/>
        </w:rPr>
        <w:t>各类</w:t>
      </w:r>
      <w:r>
        <w:rPr>
          <w:rFonts w:ascii="宋体" w:hAnsi="宋体"/>
          <w:color w:val="000000"/>
          <w:sz w:val="24"/>
          <w:szCs w:val="24"/>
        </w:rPr>
        <w:t>基金份额净值、根据基金管理人指令办理清算交收、相关信息披露和监督基金投资运作等行为。</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szCs w:val="24"/>
        </w:rPr>
        <w:t>供基金</w:t>
      </w:r>
      <w:proofErr w:type="gramEnd"/>
      <w:r>
        <w:rPr>
          <w:rFonts w:ascii="宋体" w:hAnsi="宋体"/>
          <w:color w:val="000000"/>
          <w:sz w:val="24"/>
          <w:szCs w:val="24"/>
        </w:rPr>
        <w:t>管理人核查托管财产的完整性和真实性，在规定时间内答复基金管理人并改正。</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226C6" w:rsidRDefault="004A7AC5">
      <w:pPr>
        <w:pStyle w:val="2"/>
        <w:spacing w:line="360" w:lineRule="auto"/>
        <w:jc w:val="center"/>
        <w:rPr>
          <w:rFonts w:ascii="宋体" w:eastAsia="宋体" w:hAnsi="宋体"/>
          <w:color w:val="000000"/>
          <w:sz w:val="24"/>
          <w:szCs w:val="24"/>
        </w:rPr>
      </w:pPr>
      <w:bookmarkStart w:id="32" w:name="_Toc86223243"/>
      <w:bookmarkStart w:id="33" w:name="_Toc118972649"/>
      <w:bookmarkStart w:id="34" w:name="_Toc86726440"/>
      <w:bookmarkStart w:id="35" w:name="_Toc120435784"/>
      <w:bookmarkStart w:id="36" w:name="_Toc89163369"/>
      <w:bookmarkStart w:id="37" w:name="_Toc84133786"/>
      <w:bookmarkStart w:id="38" w:name="_Toc110761797"/>
      <w:bookmarkStart w:id="39" w:name="_Toc86649723"/>
      <w:bookmarkStart w:id="40" w:name="_Toc110830493"/>
      <w:bookmarkStart w:id="41" w:name="_Toc84234435"/>
      <w:bookmarkStart w:id="42" w:name="_Toc110765661"/>
      <w:bookmarkStart w:id="43" w:name="_Toc86204789"/>
      <w:bookmarkStart w:id="44" w:name="_Toc145818939"/>
      <w:bookmarkStart w:id="45" w:name="_Toc86727356"/>
      <w:bookmarkStart w:id="46" w:name="_Toc84234388"/>
      <w:bookmarkStart w:id="47" w:name="_Toc86225292"/>
      <w:bookmarkStart w:id="48" w:name="_Toc108512359"/>
      <w:bookmarkStart w:id="49" w:name="_Toc118212951"/>
      <w:bookmarkStart w:id="50" w:name="_Toc118774804"/>
      <w:bookmarkStart w:id="51" w:name="_Toc119402711"/>
      <w:bookmarkStart w:id="52" w:name="_Toc86737930"/>
      <w:r>
        <w:rPr>
          <w:rFonts w:ascii="宋体" w:eastAsia="宋体" w:hAnsi="宋体"/>
          <w:color w:val="000000"/>
          <w:sz w:val="24"/>
          <w:szCs w:val="24"/>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（一）基金财产保管的原则</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w:t>
      </w:r>
      <w:r>
        <w:rPr>
          <w:rFonts w:ascii="宋体" w:hAnsi="宋体" w:hint="eastAsia"/>
          <w:color w:val="000000"/>
          <w:sz w:val="24"/>
          <w:szCs w:val="24"/>
        </w:rPr>
        <w:t>和证券经纪机构</w:t>
      </w:r>
      <w:r>
        <w:rPr>
          <w:rFonts w:ascii="宋体" w:hAnsi="宋体"/>
          <w:color w:val="000000"/>
          <w:sz w:val="24"/>
          <w:szCs w:val="24"/>
        </w:rPr>
        <w:t>的固有财产。</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的合法合</w:t>
      </w:r>
      <w:proofErr w:type="gramStart"/>
      <w:r>
        <w:rPr>
          <w:rFonts w:ascii="宋体" w:hAnsi="宋体" w:hint="eastAsia"/>
          <w:color w:val="000000"/>
          <w:sz w:val="24"/>
          <w:szCs w:val="24"/>
        </w:rPr>
        <w:t>规</w:t>
      </w:r>
      <w:proofErr w:type="gramEnd"/>
      <w:r>
        <w:rPr>
          <w:rFonts w:ascii="宋体" w:hAnsi="宋体" w:hint="eastAsia"/>
          <w:color w:val="000000"/>
          <w:sz w:val="24"/>
          <w:szCs w:val="24"/>
        </w:rPr>
        <w:t>指令，基金托管人不得自行运用、处分、分配基金的任何财产。</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r>
        <w:rPr>
          <w:rFonts w:ascii="宋体" w:hAnsi="宋体" w:hint="eastAsia"/>
          <w:color w:val="000000"/>
          <w:sz w:val="24"/>
          <w:szCs w:val="24"/>
        </w:rPr>
        <w:t>等投资所需账户</w:t>
      </w:r>
      <w:r>
        <w:rPr>
          <w:rFonts w:ascii="宋体" w:hAnsi="宋体"/>
          <w:color w:val="000000"/>
          <w:sz w:val="24"/>
          <w:szCs w:val="24"/>
        </w:rPr>
        <w:t>。</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w:t>
      </w:r>
      <w:r>
        <w:rPr>
          <w:rFonts w:ascii="宋体" w:hAnsi="宋体" w:hint="eastAsia"/>
          <w:color w:val="000000"/>
          <w:sz w:val="24"/>
          <w:szCs w:val="24"/>
        </w:rPr>
        <w:t>分账管理，独立核算，</w:t>
      </w:r>
      <w:r>
        <w:rPr>
          <w:rFonts w:ascii="宋体" w:hAnsi="宋体"/>
          <w:color w:val="000000"/>
          <w:sz w:val="24"/>
          <w:szCs w:val="24"/>
        </w:rPr>
        <w:t>确保基金财产的完整与独立。</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w:t>
      </w:r>
      <w:r>
        <w:rPr>
          <w:rFonts w:ascii="宋体" w:hAnsi="宋体" w:hint="eastAsia"/>
          <w:color w:val="000000"/>
          <w:sz w:val="24"/>
          <w:szCs w:val="24"/>
        </w:rPr>
        <w:t>相应</w:t>
      </w:r>
      <w:r>
        <w:rPr>
          <w:rFonts w:ascii="宋体" w:hAnsi="宋体"/>
          <w:color w:val="000000"/>
          <w:sz w:val="24"/>
          <w:szCs w:val="24"/>
        </w:rPr>
        <w:t>责任</w:t>
      </w:r>
      <w:r>
        <w:rPr>
          <w:rFonts w:ascii="宋体" w:hAnsi="宋体" w:hint="eastAsia"/>
          <w:color w:val="000000"/>
          <w:sz w:val="24"/>
          <w:szCs w:val="24"/>
        </w:rPr>
        <w:t>，但应提供必要的协助</w:t>
      </w:r>
      <w:r>
        <w:rPr>
          <w:rFonts w:ascii="宋体" w:hAnsi="宋体"/>
          <w:color w:val="000000"/>
          <w:sz w:val="24"/>
          <w:szCs w:val="24"/>
        </w:rPr>
        <w:t>。</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（二）基金募集期间及募集资金的验资</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基金募集期间的资金应存于基金管理人在</w:t>
      </w:r>
      <w:r>
        <w:rPr>
          <w:rFonts w:ascii="宋体" w:hAnsi="宋体" w:hint="eastAsia"/>
          <w:color w:val="000000"/>
          <w:sz w:val="24"/>
          <w:szCs w:val="24"/>
        </w:rPr>
        <w:t>具有托管资格的商业银行开设的</w:t>
      </w:r>
      <w:r>
        <w:rPr>
          <w:rFonts w:ascii="宋体" w:hAnsi="宋体"/>
          <w:color w:val="000000"/>
          <w:sz w:val="24"/>
          <w:szCs w:val="24"/>
        </w:rPr>
        <w:t>基金</w:t>
      </w:r>
      <w:r>
        <w:rPr>
          <w:rFonts w:ascii="宋体" w:hAnsi="宋体" w:hint="eastAsia"/>
          <w:color w:val="000000"/>
          <w:sz w:val="24"/>
          <w:szCs w:val="24"/>
        </w:rPr>
        <w:t>认购专户。</w:t>
      </w:r>
      <w:r>
        <w:rPr>
          <w:rFonts w:ascii="宋体" w:hAnsi="宋体"/>
          <w:color w:val="000000"/>
          <w:sz w:val="24"/>
          <w:szCs w:val="24"/>
        </w:rPr>
        <w:t>该账户由基金管理人开立并管理。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sz w:val="24"/>
          <w:szCs w:val="24"/>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 w:val="24"/>
          <w:szCs w:val="24"/>
        </w:rPr>
        <w:t>托管资金账户</w:t>
      </w:r>
      <w:r>
        <w:rPr>
          <w:rFonts w:ascii="宋体" w:hAnsi="宋体"/>
          <w:sz w:val="24"/>
          <w:szCs w:val="24"/>
        </w:rPr>
        <w:t>，同时在规定时间内，聘请</w:t>
      </w:r>
      <w:r>
        <w:rPr>
          <w:rFonts w:ascii="宋体" w:hAnsi="宋体" w:hint="eastAsia"/>
          <w:sz w:val="24"/>
          <w:szCs w:val="24"/>
        </w:rPr>
        <w:t>符合《证券法》规定的</w:t>
      </w:r>
      <w:r>
        <w:rPr>
          <w:rFonts w:ascii="宋体" w:hAnsi="宋体"/>
          <w:sz w:val="24"/>
          <w:szCs w:val="24"/>
        </w:rPr>
        <w:t>会计师事务所进行验资，出具验资报告。出具的验资报告由参加验资的2名或2名以上中国注册会计师签字方为有效。</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proofErr w:type="gramStart"/>
      <w:r>
        <w:rPr>
          <w:rFonts w:ascii="宋体" w:hAnsi="宋体"/>
          <w:color w:val="000000"/>
          <w:sz w:val="24"/>
          <w:szCs w:val="24"/>
        </w:rPr>
        <w:t>若基金</w:t>
      </w:r>
      <w:proofErr w:type="gramEnd"/>
      <w:r>
        <w:rPr>
          <w:rFonts w:ascii="宋体" w:hAnsi="宋体"/>
          <w:color w:val="000000"/>
          <w:sz w:val="24"/>
          <w:szCs w:val="24"/>
        </w:rPr>
        <w:t>募集期限届满，未能达到基金合同生效的条件，由基金管理人按规定办理退款等事宜</w:t>
      </w:r>
      <w:r>
        <w:rPr>
          <w:rFonts w:ascii="宋体" w:hAnsi="宋体" w:hint="eastAsia"/>
          <w:color w:val="000000"/>
          <w:sz w:val="24"/>
          <w:szCs w:val="24"/>
        </w:rPr>
        <w:t>，基金托管人应提供充分协助</w:t>
      </w:r>
      <w:r>
        <w:rPr>
          <w:rFonts w:ascii="宋体" w:hAnsi="宋体"/>
          <w:color w:val="000000"/>
          <w:sz w:val="24"/>
          <w:szCs w:val="24"/>
        </w:rPr>
        <w:t>。</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（三）基金资金账户的开立和管理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1、基金托管人</w:t>
      </w:r>
      <w:r>
        <w:rPr>
          <w:rFonts w:ascii="宋体" w:hAnsi="宋体" w:hint="eastAsia"/>
          <w:sz w:val="24"/>
          <w:szCs w:val="24"/>
        </w:rPr>
        <w:t>应负责本基金的资金账户（也可称为“托管资金账户”）的开设和管理</w:t>
      </w:r>
      <w:r>
        <w:rPr>
          <w:rFonts w:ascii="宋体" w:hAnsi="宋体"/>
          <w:color w:val="000000"/>
          <w:sz w:val="24"/>
          <w:szCs w:val="24"/>
        </w:rPr>
        <w:t>。</w:t>
      </w:r>
    </w:p>
    <w:p w:rsidR="005226C6" w:rsidRDefault="004A7AC5">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hint="eastAsia"/>
          <w:sz w:val="24"/>
          <w:szCs w:val="24"/>
        </w:rPr>
        <w:t xml:space="preserve"> 基金托管人负责由指定人员以本基金的名义在其营业机构开设和变更（如需）本基金的资金账户</w:t>
      </w:r>
      <w:r>
        <w:rPr>
          <w:rFonts w:ascii="宋体" w:hAnsi="宋体"/>
          <w:color w:val="000000"/>
          <w:sz w:val="24"/>
          <w:szCs w:val="24"/>
        </w:rPr>
        <w:t>，并根据基金管理人合法合</w:t>
      </w:r>
      <w:proofErr w:type="gramStart"/>
      <w:r>
        <w:rPr>
          <w:rFonts w:ascii="宋体" w:hAnsi="宋体"/>
          <w:color w:val="000000"/>
          <w:sz w:val="24"/>
          <w:szCs w:val="24"/>
        </w:rPr>
        <w:t>规</w:t>
      </w:r>
      <w:proofErr w:type="gramEnd"/>
      <w:r>
        <w:rPr>
          <w:rFonts w:ascii="宋体" w:hAnsi="宋体"/>
          <w:color w:val="000000"/>
          <w:sz w:val="24"/>
          <w:szCs w:val="24"/>
        </w:rPr>
        <w:t>的指令办理资金收付</w:t>
      </w:r>
      <w:r>
        <w:rPr>
          <w:rFonts w:ascii="宋体" w:hAnsi="宋体" w:hint="eastAsia"/>
          <w:sz w:val="24"/>
          <w:szCs w:val="24"/>
        </w:rPr>
        <w:t>。本基金的银行预留印鉴由基金托管人刻制、保管和使用。本基金的一切货币收支活动，包括但不限于投资、支付赎回金额、支付基金收益、收取申购款，均需通过本基金的资金账户进行。</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color w:val="000000"/>
          <w:sz w:val="24"/>
          <w:szCs w:val="24"/>
        </w:rPr>
        <w:t>基金</w:t>
      </w:r>
      <w:r>
        <w:rPr>
          <w:rFonts w:ascii="宋体" w:hAnsi="宋体" w:hint="eastAsia"/>
          <w:color w:val="000000"/>
          <w:sz w:val="24"/>
          <w:szCs w:val="24"/>
        </w:rPr>
        <w:t>托管资金账户</w:t>
      </w:r>
      <w:r>
        <w:rPr>
          <w:rFonts w:ascii="宋体" w:hAnsi="宋体"/>
          <w:color w:val="000000"/>
          <w:sz w:val="24"/>
          <w:szCs w:val="24"/>
        </w:rPr>
        <w:t>的开立和使用，限于满足开展本基金业务的需要。基金托管人和基金管理人不得假借本基金的名义开立任何其他银行账户；亦不得使用基金的任何账户进行本基金业务以外的活动。</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5、</w:t>
      </w:r>
      <w:r>
        <w:rPr>
          <w:rFonts w:ascii="宋体" w:hAnsi="宋体"/>
          <w:color w:val="000000"/>
          <w:sz w:val="24"/>
          <w:szCs w:val="24"/>
        </w:rPr>
        <w:t>在符合法律法规规定的条件下，基金托管人可以通过基金托管人专用账户办理基金资产的支付。</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（四）基金证券账户</w:t>
      </w:r>
      <w:r>
        <w:rPr>
          <w:rFonts w:ascii="宋体" w:hAnsi="宋体" w:hint="eastAsia"/>
          <w:color w:val="000000"/>
          <w:sz w:val="24"/>
          <w:szCs w:val="24"/>
        </w:rPr>
        <w:t>、证券资金账户</w:t>
      </w:r>
      <w:r>
        <w:rPr>
          <w:rFonts w:ascii="宋体" w:hAnsi="宋体"/>
          <w:color w:val="000000"/>
          <w:sz w:val="24"/>
          <w:szCs w:val="24"/>
        </w:rPr>
        <w:t>的开立和管理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1、基金托管人在中国证券登记结算有限责任公司为基金开立基金托管人与基金联名的证券账户。</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2、基金管理人以本基金名义在基金管理人选择的证券经纪机构开立证券资金账户。证券经纪机构根据相关法律法规、规范性文件为本基金开立相关资金账户并按照该证券经纪机构开户的流程和要求与基金管理人签订相关协议。</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易所证券交易资金采用第三方存管模式，即用于证券交易结算的资金全额存放在基金管理人为基金开设的证券资金账户中，场内的证券交易资金清算由基金管理人所选择的证券经纪机构负责。基金托管人不负责保管证券资金账户内存放的资金。</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3、基金证券账户的开立和使用，限于满足开展本基金业务的需要。基金托管人和基金管理人不得出借或未经对方同意擅自转让基金的任何证券账户，亦不得使用基金的任何账户进行本基金业务以外的活动。本基金通过证券经纪机构进行的交易由证券经纪机构作为结算参与人代理本基金进行结算。</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4、基金证券账户的开立由基金托管人或证券经纪机构负责，账户资产的管理和运用由基金管理人负责。</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szCs w:val="24"/>
        </w:rPr>
        <w:t>则基金</w:t>
      </w:r>
      <w:proofErr w:type="gramEnd"/>
      <w:r>
        <w:rPr>
          <w:rFonts w:ascii="宋体" w:hAnsi="宋体" w:hint="eastAsia"/>
          <w:color w:val="000000"/>
          <w:sz w:val="24"/>
          <w:szCs w:val="24"/>
        </w:rPr>
        <w:t>托管人应协助基金管理人办理账户的开立手续。</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（五）</w:t>
      </w:r>
      <w:r>
        <w:rPr>
          <w:rFonts w:ascii="宋体" w:hAnsi="宋体" w:hint="eastAsia"/>
          <w:color w:val="000000"/>
          <w:sz w:val="24"/>
          <w:szCs w:val="24"/>
        </w:rPr>
        <w:t>银行间</w:t>
      </w:r>
      <w:r>
        <w:rPr>
          <w:rFonts w:ascii="宋体" w:hAnsi="宋体"/>
          <w:color w:val="000000"/>
          <w:sz w:val="24"/>
          <w:szCs w:val="24"/>
        </w:rPr>
        <w:t>债券托管专户的开设和管理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开立债券托管与结算账户，并代表基金进行银行间市场债券的结算。基金管理人代表基金签订全国银行间债券市场债券回购主协议。</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（六）其他账户的开立和管理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w:t>
      </w:r>
      <w:r>
        <w:rPr>
          <w:rFonts w:ascii="宋体" w:hAnsi="宋体"/>
          <w:sz w:val="24"/>
          <w:szCs w:val="24"/>
        </w:rPr>
        <w:t>开立</w:t>
      </w:r>
      <w:r>
        <w:rPr>
          <w:rFonts w:ascii="宋体" w:hAnsi="宋体"/>
          <w:color w:val="000000"/>
          <w:sz w:val="24"/>
          <w:szCs w:val="24"/>
        </w:rPr>
        <w:t>。新账户按有关规则使用并管理。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（七）基金财产投资的有关有价凭证等的保管</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银行定期存款存单等有价凭证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w:t>
      </w:r>
      <w:r>
        <w:rPr>
          <w:rFonts w:ascii="宋体" w:hAnsi="宋体" w:hint="eastAsia"/>
          <w:color w:val="000000"/>
          <w:sz w:val="24"/>
          <w:szCs w:val="24"/>
        </w:rPr>
        <w:t>基金管理人承诺对交接给基金托管人保管的有价凭证的真实性、完整性负责，基金托管人只负责对有价凭证进行保管，不负责对有价凭证真伪的辨别，不承担有价凭证对应存款的本金及收益的安全。</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（八）与基金财产有关的重大合同的保管</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rsidR="005226C6" w:rsidRDefault="004A7AC5">
      <w:pPr>
        <w:pStyle w:val="2"/>
        <w:spacing w:line="360" w:lineRule="auto"/>
        <w:jc w:val="center"/>
        <w:rPr>
          <w:rFonts w:ascii="宋体" w:eastAsia="宋体" w:hAnsi="宋体"/>
          <w:color w:val="000000"/>
          <w:sz w:val="24"/>
          <w:szCs w:val="24"/>
        </w:rPr>
      </w:pPr>
      <w:bookmarkStart w:id="53" w:name="_Toc86223244"/>
      <w:bookmarkStart w:id="54" w:name="_Toc120435785"/>
      <w:bookmarkStart w:id="55" w:name="_Toc110830494"/>
      <w:bookmarkStart w:id="56" w:name="_Toc118212952"/>
      <w:bookmarkStart w:id="57" w:name="_Toc84234436"/>
      <w:bookmarkStart w:id="58" w:name="_Toc119402712"/>
      <w:bookmarkStart w:id="59" w:name="_Toc145818940"/>
      <w:bookmarkStart w:id="60" w:name="_Toc118972650"/>
      <w:bookmarkStart w:id="61" w:name="_Toc108512360"/>
      <w:bookmarkStart w:id="62" w:name="_Toc84234389"/>
      <w:bookmarkStart w:id="63" w:name="_Toc89163370"/>
      <w:bookmarkStart w:id="64" w:name="_Toc86726441"/>
      <w:bookmarkStart w:id="65" w:name="_Toc86204790"/>
      <w:bookmarkStart w:id="66" w:name="_Toc110761798"/>
      <w:bookmarkStart w:id="67" w:name="_Toc84133787"/>
      <w:bookmarkStart w:id="68" w:name="_Toc86737931"/>
      <w:bookmarkStart w:id="69" w:name="_Toc86649724"/>
      <w:bookmarkStart w:id="70" w:name="_Toc110765662"/>
      <w:bookmarkStart w:id="71" w:name="_Toc118774805"/>
      <w:bookmarkStart w:id="72" w:name="_Toc86727357"/>
      <w:bookmarkStart w:id="73" w:name="_Toc86225293"/>
      <w:r>
        <w:rPr>
          <w:rFonts w:ascii="宋体" w:eastAsia="宋体" w:hAnsi="宋体"/>
          <w:color w:val="000000"/>
          <w:sz w:val="24"/>
          <w:szCs w:val="24"/>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基金管理人在运用基金财产时向基金托管人发送资金划拨及其他款项收付指令，基金托管人执行基金管理人的指令、办理基金名下的资金往来等有关事项。基金管理人发送指令应采用电子指令</w:t>
      </w:r>
      <w:r>
        <w:rPr>
          <w:rFonts w:ascii="宋体" w:hAnsi="宋体" w:hint="eastAsia"/>
          <w:sz w:val="24"/>
          <w:szCs w:val="24"/>
        </w:rPr>
        <w:t>或</w:t>
      </w:r>
      <w:r>
        <w:rPr>
          <w:rFonts w:ascii="宋体" w:hAnsi="宋体"/>
          <w:sz w:val="24"/>
          <w:szCs w:val="24"/>
        </w:rPr>
        <w:t>传真</w:t>
      </w:r>
      <w:r>
        <w:rPr>
          <w:rFonts w:ascii="宋体" w:hAnsi="宋体" w:hint="eastAsia"/>
          <w:sz w:val="24"/>
          <w:szCs w:val="24"/>
        </w:rPr>
        <w:t>或邮件</w:t>
      </w:r>
      <w:r>
        <w:rPr>
          <w:rFonts w:ascii="宋体" w:hAnsi="宋体"/>
          <w:sz w:val="24"/>
          <w:szCs w:val="24"/>
        </w:rPr>
        <w:t>或双方共同确认的方式</w:t>
      </w:r>
      <w:r>
        <w:rPr>
          <w:rFonts w:ascii="宋体" w:hAnsi="宋体" w:hint="eastAsia"/>
          <w:sz w:val="24"/>
          <w:szCs w:val="24"/>
        </w:rPr>
        <w:t>。</w:t>
      </w:r>
    </w:p>
    <w:p w:rsidR="005226C6" w:rsidRDefault="004A7AC5">
      <w:pPr>
        <w:adjustRightInd w:val="0"/>
        <w:snapToGrid w:val="0"/>
        <w:spacing w:line="360" w:lineRule="auto"/>
        <w:ind w:firstLineChars="200" w:firstLine="480"/>
        <w:outlineLvl w:val="1"/>
        <w:rPr>
          <w:rFonts w:ascii="宋体" w:hAnsi="宋体"/>
          <w:iCs/>
          <w:sz w:val="24"/>
          <w:szCs w:val="24"/>
        </w:rPr>
      </w:pPr>
      <w:r>
        <w:rPr>
          <w:rFonts w:ascii="宋体" w:hAnsi="宋体" w:hint="eastAsia"/>
          <w:iCs/>
          <w:sz w:val="24"/>
          <w:szCs w:val="24"/>
        </w:rPr>
        <w:t>（一）电子指令方式总体约定</w:t>
      </w:r>
    </w:p>
    <w:p w:rsidR="005226C6" w:rsidRDefault="004A7AC5">
      <w:pPr>
        <w:adjustRightInd w:val="0"/>
        <w:snapToGrid w:val="0"/>
        <w:spacing w:line="360" w:lineRule="auto"/>
        <w:jc w:val="left"/>
        <w:rPr>
          <w:rFonts w:ascii="宋体" w:hAnsi="宋体"/>
          <w:sz w:val="24"/>
          <w:szCs w:val="24"/>
        </w:rPr>
      </w:pPr>
      <w:r>
        <w:rPr>
          <w:rFonts w:ascii="宋体" w:hAnsi="宋体" w:hint="eastAsia"/>
          <w:sz w:val="24"/>
          <w:szCs w:val="24"/>
        </w:rPr>
        <w:t xml:space="preserve">    1、基金管理人通过基金托管人提供的清算管理系统客户端发送电子指令，或基金管理人通过调用基金托管人提供的数据接口发送电子指令。</w:t>
      </w:r>
    </w:p>
    <w:p w:rsidR="005226C6" w:rsidRDefault="004A7AC5">
      <w:pPr>
        <w:adjustRightInd w:val="0"/>
        <w:snapToGrid w:val="0"/>
        <w:spacing w:line="360" w:lineRule="auto"/>
        <w:jc w:val="left"/>
        <w:rPr>
          <w:rFonts w:ascii="宋体" w:hAnsi="宋体"/>
          <w:sz w:val="24"/>
          <w:szCs w:val="24"/>
        </w:rPr>
      </w:pPr>
      <w:r>
        <w:rPr>
          <w:rFonts w:ascii="宋体" w:hAnsi="宋体" w:hint="eastAsia"/>
          <w:sz w:val="24"/>
          <w:szCs w:val="24"/>
        </w:rPr>
        <w:t xml:space="preserve">    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rsidR="005226C6" w:rsidRDefault="004A7AC5">
      <w:pPr>
        <w:adjustRightInd w:val="0"/>
        <w:snapToGrid w:val="0"/>
        <w:spacing w:line="360" w:lineRule="auto"/>
        <w:jc w:val="left"/>
        <w:rPr>
          <w:rFonts w:ascii="宋体" w:hAnsi="宋体"/>
          <w:sz w:val="24"/>
          <w:szCs w:val="24"/>
        </w:rPr>
      </w:pPr>
      <w:r>
        <w:rPr>
          <w:rFonts w:ascii="宋体" w:hAnsi="宋体" w:hint="eastAsia"/>
          <w:sz w:val="24"/>
          <w:szCs w:val="24"/>
        </w:rPr>
        <w:t xml:space="preserve">    3、基金管理人应尽到合理注意义务，在安全的环境中使用客户端，采取及</w:t>
      </w:r>
      <w:r>
        <w:rPr>
          <w:rFonts w:ascii="宋体" w:hAnsi="宋体" w:hint="eastAsia"/>
          <w:sz w:val="24"/>
          <w:szCs w:val="24"/>
        </w:rPr>
        <w:lastRenderedPageBreak/>
        <w:t>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当电子指令无法正常发送时，双方按传真或邮件方式或双方共同确认的其他方式办理相关业务。</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）基金管理人对</w:t>
      </w:r>
      <w:r>
        <w:rPr>
          <w:rFonts w:ascii="宋体" w:hAnsi="宋体" w:hint="eastAsia"/>
          <w:sz w:val="24"/>
          <w:szCs w:val="24"/>
        </w:rPr>
        <w:t>传真或邮件方式</w:t>
      </w:r>
      <w:r>
        <w:rPr>
          <w:rFonts w:ascii="宋体" w:hAnsi="宋体"/>
          <w:sz w:val="24"/>
          <w:szCs w:val="24"/>
        </w:rPr>
        <w:t>发送指令人员的书面授权</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、专用传真号码或邮箱</w:t>
      </w:r>
      <w:r>
        <w:rPr>
          <w:rFonts w:ascii="宋体" w:hAnsi="宋体"/>
          <w:sz w:val="24"/>
          <w:szCs w:val="24"/>
        </w:rPr>
        <w:t>向基金托管人发送指令。</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该文件应加盖基金管理人公章，文件中应含有基金管理人预留印鉴，该预留印鉴为</w:t>
      </w:r>
      <w:r>
        <w:rPr>
          <w:rFonts w:ascii="宋体" w:hAnsi="宋体"/>
          <w:sz w:val="24"/>
          <w:szCs w:val="24"/>
        </w:rPr>
        <w:t>基金</w:t>
      </w:r>
      <w:r>
        <w:rPr>
          <w:rFonts w:ascii="宋体" w:hAnsi="宋体" w:hint="eastAsia"/>
          <w:sz w:val="24"/>
          <w:szCs w:val="24"/>
        </w:rPr>
        <w:t>托管人确定</w:t>
      </w:r>
      <w:r>
        <w:rPr>
          <w:rFonts w:ascii="宋体" w:hAnsi="宋体"/>
          <w:sz w:val="24"/>
          <w:szCs w:val="24"/>
        </w:rPr>
        <w:t>基金</w:t>
      </w:r>
      <w:r>
        <w:rPr>
          <w:rFonts w:ascii="宋体" w:hAnsi="宋体" w:hint="eastAsia"/>
          <w:sz w:val="24"/>
          <w:szCs w:val="24"/>
        </w:rPr>
        <w:t>管理人所发送指令表面一致性的唯一依据</w:t>
      </w:r>
      <w:r>
        <w:rPr>
          <w:rFonts w:ascii="宋体" w:hAnsi="宋体"/>
          <w:sz w:val="24"/>
          <w:szCs w:val="24"/>
        </w:rPr>
        <w:t>。基金管理人</w:t>
      </w:r>
      <w:r>
        <w:rPr>
          <w:rFonts w:ascii="宋体" w:hAnsi="宋体" w:hint="eastAsia"/>
          <w:sz w:val="24"/>
          <w:szCs w:val="24"/>
        </w:rPr>
        <w:t>向</w:t>
      </w:r>
      <w:r>
        <w:rPr>
          <w:rFonts w:ascii="宋体" w:hAnsi="宋体"/>
          <w:sz w:val="24"/>
          <w:szCs w:val="24"/>
        </w:rPr>
        <w:t>基金</w:t>
      </w:r>
      <w:r>
        <w:rPr>
          <w:rFonts w:ascii="宋体" w:hAnsi="宋体" w:hint="eastAsia"/>
          <w:sz w:val="24"/>
          <w:szCs w:val="24"/>
        </w:rPr>
        <w:t>托管人发送授权文件后，应及时电话确认，以保证</w:t>
      </w:r>
      <w:r>
        <w:rPr>
          <w:rFonts w:ascii="宋体" w:hAnsi="宋体"/>
          <w:sz w:val="24"/>
          <w:szCs w:val="24"/>
        </w:rPr>
        <w:t>基金</w:t>
      </w:r>
      <w:r>
        <w:rPr>
          <w:rFonts w:ascii="宋体" w:hAnsi="宋体" w:hint="eastAsia"/>
          <w:sz w:val="24"/>
          <w:szCs w:val="24"/>
        </w:rPr>
        <w:t>托管人及时查收。</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的传真件或</w:t>
      </w:r>
      <w:proofErr w:type="gramStart"/>
      <w:r>
        <w:rPr>
          <w:rFonts w:ascii="宋体" w:hAnsi="宋体" w:hint="eastAsia"/>
          <w:sz w:val="24"/>
          <w:szCs w:val="24"/>
        </w:rPr>
        <w:t>扫描件并经</w:t>
      </w:r>
      <w:proofErr w:type="gramEnd"/>
      <w:r>
        <w:rPr>
          <w:rFonts w:ascii="宋体" w:hAnsi="宋体" w:hint="eastAsia"/>
          <w:sz w:val="24"/>
          <w:szCs w:val="24"/>
        </w:rPr>
        <w:t>基金管理人电话确认后，授权文件即生效。基金管理人应与发送传真件或扫描件后三个工作日内将授权文件原件送至基金托管人处，</w:t>
      </w:r>
      <w:proofErr w:type="gramStart"/>
      <w:r>
        <w:rPr>
          <w:rFonts w:ascii="宋体" w:hAnsi="宋体" w:hint="eastAsia"/>
          <w:sz w:val="24"/>
          <w:szCs w:val="24"/>
        </w:rPr>
        <w:t>若</w:t>
      </w:r>
      <w:r>
        <w:rPr>
          <w:rFonts w:ascii="宋体" w:hAnsi="宋体"/>
          <w:sz w:val="24"/>
          <w:szCs w:val="24"/>
        </w:rPr>
        <w:t>基金</w:t>
      </w:r>
      <w:proofErr w:type="gramEnd"/>
      <w:r>
        <w:rPr>
          <w:rFonts w:ascii="宋体" w:hAnsi="宋体" w:hint="eastAsia"/>
          <w:sz w:val="24"/>
          <w:szCs w:val="24"/>
        </w:rPr>
        <w:t>托管人收到的授权文件原件和传真件或扫描件不一致，以传真件或扫描件为准。</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w:t>
      </w:r>
      <w:r>
        <w:rPr>
          <w:rFonts w:ascii="宋体" w:hAnsi="宋体" w:hint="eastAsia"/>
          <w:sz w:val="24"/>
          <w:szCs w:val="24"/>
        </w:rPr>
        <w:t>露，但法律法规规定或有权机关要求的除外</w:t>
      </w:r>
      <w:r>
        <w:rPr>
          <w:rFonts w:ascii="宋体" w:hAnsi="宋体"/>
          <w:sz w:val="24"/>
          <w:szCs w:val="24"/>
        </w:rPr>
        <w:t>。</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）指令的内容</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指令包括付款指令(含赎回、分红付款指令</w:t>
      </w:r>
      <w:r>
        <w:rPr>
          <w:rFonts w:ascii="宋体" w:hAnsi="宋体" w:hint="eastAsia"/>
          <w:sz w:val="24"/>
          <w:szCs w:val="24"/>
        </w:rPr>
        <w:t>、银行间业务划款指令）</w:t>
      </w:r>
      <w:r>
        <w:rPr>
          <w:rFonts w:ascii="宋体" w:hAnsi="宋体"/>
          <w:sz w:val="24"/>
          <w:szCs w:val="24"/>
        </w:rPr>
        <w:t>以及其他资金划拨指令等。</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）指令的发送、确认及执行的时间和程序</w:t>
      </w:r>
    </w:p>
    <w:p w:rsidR="005226C6" w:rsidRDefault="004A7AC5">
      <w:pPr>
        <w:adjustRightInd w:val="0"/>
        <w:snapToGrid w:val="0"/>
        <w:spacing w:line="360" w:lineRule="auto"/>
        <w:ind w:firstLine="480"/>
        <w:outlineLvl w:val="2"/>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r>
        <w:rPr>
          <w:rFonts w:ascii="宋体" w:hAnsi="宋体" w:hint="eastAsia"/>
          <w:sz w:val="24"/>
          <w:szCs w:val="24"/>
        </w:rPr>
        <w:t>与确认</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基金管理人通过电子指令方式发送指令后，指令状态将变成“托管行已接收”或“托管行处理中”。上述指令状态改变时间视为指令到达基金托管人时间。基</w:t>
      </w:r>
      <w:r>
        <w:rPr>
          <w:rFonts w:ascii="宋体" w:hAnsi="宋体" w:hint="eastAsia"/>
          <w:sz w:val="24"/>
          <w:szCs w:val="24"/>
        </w:rPr>
        <w:lastRenderedPageBreak/>
        <w:t>金管理人在发送指令后，应及时查询指令状态，发现未发送成功或指令状态有误，应立即与基金托管人联系共同解决。基金托管人通过客户端向基金管理人提供银行间成交单信息、基金申赎款信息以及管理费、托管费、销售服务费、席位佣金等应付款信息。基金管理人应对根据上述信息生成的电子指令进行核对或确认，基金托管人不承担由于提供上述信息造成生成指令金额错误的责任。</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基金管理人通过</w:t>
      </w:r>
      <w:r>
        <w:rPr>
          <w:rFonts w:ascii="宋体" w:hAnsi="宋体"/>
          <w:sz w:val="24"/>
          <w:szCs w:val="24"/>
        </w:rPr>
        <w:t>传真</w:t>
      </w:r>
      <w:r>
        <w:rPr>
          <w:rFonts w:ascii="宋体" w:hAnsi="宋体" w:hint="eastAsia"/>
          <w:sz w:val="24"/>
          <w:szCs w:val="24"/>
        </w:rPr>
        <w:t>或邮件</w:t>
      </w:r>
      <w:r>
        <w:rPr>
          <w:rFonts w:ascii="宋体" w:hAnsi="宋体"/>
          <w:sz w:val="24"/>
          <w:szCs w:val="24"/>
        </w:rPr>
        <w:t>方式发送加盖预留印鉴的指令后，应及时以电话方式向基金托管人确认。基金托管人指定专人接收基金管理人的指令，</w:t>
      </w:r>
      <w:r>
        <w:rPr>
          <w:rFonts w:ascii="宋体" w:hAnsi="宋体" w:hint="eastAsia"/>
          <w:sz w:val="24"/>
          <w:szCs w:val="24"/>
        </w:rPr>
        <w:t>答复基金管理人的确认电话。</w:t>
      </w:r>
      <w:r>
        <w:rPr>
          <w:rFonts w:ascii="宋体" w:hAnsi="宋体"/>
          <w:sz w:val="24"/>
          <w:szCs w:val="24"/>
        </w:rPr>
        <w:t>指令到达基金托管人后，</w:t>
      </w:r>
      <w:r>
        <w:rPr>
          <w:rFonts w:ascii="宋体" w:hAnsi="宋体" w:hint="eastAsia"/>
          <w:sz w:val="24"/>
          <w:szCs w:val="24"/>
        </w:rPr>
        <w:t>基金托管人应指定专人根据基金管理人提供的授权文件进行表面一致性审查，及时审慎验证有关内容及印鉴，基金托管人对指令的真实性不承担责任。</w:t>
      </w:r>
      <w:r>
        <w:rPr>
          <w:rFonts w:ascii="宋体" w:hAnsi="宋体"/>
          <w:sz w:val="24"/>
          <w:szCs w:val="24"/>
        </w:rPr>
        <w:t>如有疑问必须及时通知基金管理人</w:t>
      </w:r>
      <w:r>
        <w:rPr>
          <w:rFonts w:ascii="宋体" w:hAnsi="宋体" w:hint="eastAsia"/>
          <w:sz w:val="24"/>
          <w:szCs w:val="24"/>
        </w:rPr>
        <w:t>。</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基金管理人在发送指令时，应为基金托管人执行指令</w:t>
      </w:r>
      <w:r>
        <w:rPr>
          <w:rFonts w:ascii="宋体" w:hAnsi="宋体" w:hint="eastAsia"/>
          <w:sz w:val="24"/>
          <w:szCs w:val="24"/>
        </w:rPr>
        <w:t>留出至少2个工作小时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rsidR="005226C6" w:rsidRDefault="004A7AC5">
      <w:pPr>
        <w:adjustRightInd w:val="0"/>
        <w:snapToGrid w:val="0"/>
        <w:spacing w:line="360" w:lineRule="auto"/>
        <w:ind w:firstLine="480"/>
        <w:outlineLvl w:val="2"/>
        <w:rPr>
          <w:rFonts w:ascii="宋体" w:hAnsi="宋体"/>
          <w:sz w:val="24"/>
          <w:szCs w:val="24"/>
        </w:rPr>
      </w:pPr>
      <w:r>
        <w:rPr>
          <w:rFonts w:ascii="宋体" w:hAnsi="宋体" w:hint="eastAsia"/>
          <w:sz w:val="24"/>
          <w:szCs w:val="24"/>
        </w:rPr>
        <w:t>2、</w:t>
      </w:r>
      <w:r>
        <w:rPr>
          <w:rFonts w:ascii="宋体" w:hAnsi="宋体"/>
          <w:sz w:val="24"/>
          <w:szCs w:val="24"/>
        </w:rPr>
        <w:t>指令的执行</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w:t>
      </w:r>
      <w:r>
        <w:rPr>
          <w:rFonts w:ascii="宋体" w:hAnsi="宋体" w:hint="eastAsia"/>
          <w:sz w:val="24"/>
          <w:szCs w:val="24"/>
        </w:rPr>
        <w:t>时执行</w:t>
      </w:r>
      <w:r>
        <w:rPr>
          <w:rFonts w:ascii="宋体" w:hAnsi="宋体"/>
          <w:sz w:val="24"/>
          <w:szCs w:val="24"/>
        </w:rPr>
        <w:t>。</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基金托管资金账户有足够的资金余额，</w:t>
      </w:r>
      <w:r>
        <w:rPr>
          <w:rFonts w:ascii="宋体" w:hAnsi="宋体" w:hint="eastAsia"/>
          <w:sz w:val="24"/>
          <w:szCs w:val="24"/>
        </w:rPr>
        <w:t>否则</w:t>
      </w:r>
      <w:r>
        <w:rPr>
          <w:rFonts w:ascii="宋体" w:hAnsi="宋体"/>
          <w:sz w:val="24"/>
          <w:szCs w:val="24"/>
        </w:rPr>
        <w:t>基金托管人可不予</w:t>
      </w:r>
      <w:r>
        <w:rPr>
          <w:rFonts w:ascii="宋体" w:hAnsi="宋体" w:cs="宋体" w:hint="eastAsia"/>
          <w:sz w:val="24"/>
          <w:szCs w:val="24"/>
        </w:rPr>
        <w:t>执行，但应</w:t>
      </w:r>
      <w:r>
        <w:rPr>
          <w:rFonts w:ascii="宋体" w:hAnsi="宋体" w:cs="宋体" w:hint="eastAsia"/>
          <w:bCs/>
          <w:sz w:val="24"/>
          <w:szCs w:val="24"/>
        </w:rPr>
        <w:t>及时</w:t>
      </w:r>
      <w:r>
        <w:rPr>
          <w:rFonts w:ascii="宋体" w:hAnsi="宋体" w:cs="宋体" w:hint="eastAsia"/>
          <w:sz w:val="24"/>
          <w:szCs w:val="24"/>
        </w:rPr>
        <w:t>通</w:t>
      </w:r>
      <w:r>
        <w:rPr>
          <w:rFonts w:ascii="宋体" w:hAnsi="宋体"/>
          <w:sz w:val="24"/>
          <w:szCs w:val="24"/>
        </w:rPr>
        <w:t>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对于申购新股等时效性要求高的指令，基金管理人必须及时将指令发送至基金托管人并进行电话确认，为基金托管人预留充足的指令处理时间。</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基金托管人有权不予执行，但应及时通知基金管理人。基金管理人确认该指令不予取消的，以资金备足并通知基金托管人的时间视为指令收到时间，因账户资金余额不足导致的投资损失不由基金托管人承担。</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）基金管理人发送错误指令的情形和处理程序</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基金托管人发现指令错误，提示基金管理人改正后再予以执行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）基金托管人依照法律法规暂缓、拒绝执行指令的情形和处理程序</w:t>
      </w:r>
    </w:p>
    <w:p w:rsidR="005226C6" w:rsidRDefault="004A7AC5">
      <w:pPr>
        <w:adjustRightInd w:val="0"/>
        <w:snapToGrid w:val="0"/>
        <w:spacing w:line="360" w:lineRule="auto"/>
        <w:ind w:firstLine="480"/>
        <w:rPr>
          <w:rFonts w:ascii="宋体" w:hAnsi="宋体"/>
          <w:sz w:val="24"/>
          <w:szCs w:val="24"/>
        </w:rPr>
      </w:pPr>
      <w:proofErr w:type="gramStart"/>
      <w:r>
        <w:rPr>
          <w:rFonts w:ascii="宋体" w:hAnsi="宋体"/>
          <w:sz w:val="24"/>
          <w:szCs w:val="24"/>
        </w:rPr>
        <w:t>若基金</w:t>
      </w:r>
      <w:proofErr w:type="gramEnd"/>
      <w:r>
        <w:rPr>
          <w:rFonts w:ascii="宋体" w:hAnsi="宋体"/>
          <w:sz w:val="24"/>
          <w:szCs w:val="24"/>
        </w:rPr>
        <w:t>托管人发现基金管理人的指令违反法律、行政法规和其他有关规定，或者违反基金合同约定的，应当</w:t>
      </w:r>
      <w:r>
        <w:rPr>
          <w:rFonts w:ascii="宋体" w:hAnsi="宋体" w:hint="eastAsia"/>
          <w:sz w:val="24"/>
          <w:szCs w:val="24"/>
        </w:rPr>
        <w:t>视情况暂缓或</w:t>
      </w:r>
      <w:r>
        <w:rPr>
          <w:rFonts w:ascii="宋体" w:hAnsi="宋体"/>
          <w:sz w:val="24"/>
          <w:szCs w:val="24"/>
        </w:rPr>
        <w:t>拒绝执行，</w:t>
      </w:r>
      <w:r>
        <w:rPr>
          <w:rFonts w:ascii="宋体" w:hAnsi="宋体" w:hint="eastAsia"/>
          <w:sz w:val="24"/>
          <w:szCs w:val="24"/>
        </w:rPr>
        <w:t>及时</w:t>
      </w:r>
      <w:r>
        <w:rPr>
          <w:rFonts w:ascii="宋体" w:hAnsi="宋体"/>
          <w:sz w:val="24"/>
          <w:szCs w:val="24"/>
        </w:rPr>
        <w:t>通知基金管理人。</w:t>
      </w:r>
    </w:p>
    <w:p w:rsidR="005226C6" w:rsidRDefault="004A7AC5">
      <w:pPr>
        <w:adjustRightInd w:val="0"/>
        <w:snapToGrid w:val="0"/>
        <w:spacing w:line="360" w:lineRule="auto"/>
        <w:ind w:firstLine="480"/>
        <w:rPr>
          <w:rFonts w:ascii="宋体" w:hAnsi="宋体"/>
          <w:sz w:val="24"/>
          <w:szCs w:val="24"/>
        </w:rPr>
      </w:pPr>
      <w:proofErr w:type="gramStart"/>
      <w:r>
        <w:rPr>
          <w:rFonts w:ascii="宋体" w:hAnsi="宋体"/>
          <w:sz w:val="24"/>
          <w:szCs w:val="24"/>
        </w:rPr>
        <w:lastRenderedPageBreak/>
        <w:t>若基金</w:t>
      </w:r>
      <w:proofErr w:type="gramEnd"/>
      <w:r>
        <w:rPr>
          <w:rFonts w:ascii="宋体" w:hAnsi="宋体"/>
          <w:sz w:val="24"/>
          <w:szCs w:val="24"/>
        </w:rPr>
        <w:t>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）基金托管人未按照基金管理人指令执行的处理方法</w:t>
      </w:r>
    </w:p>
    <w:p w:rsidR="005226C6" w:rsidRDefault="004A7AC5">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w:t>
      </w:r>
      <w:r>
        <w:rPr>
          <w:rFonts w:ascii="宋体" w:hAnsi="宋体" w:hint="eastAsia"/>
          <w:sz w:val="24"/>
          <w:szCs w:val="24"/>
        </w:rPr>
        <w:t>授权通知的变更</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、基金</w:t>
      </w:r>
      <w:r>
        <w:rPr>
          <w:rFonts w:ascii="宋体" w:hAnsi="宋体"/>
          <w:sz w:val="24"/>
          <w:szCs w:val="24"/>
        </w:rPr>
        <w:t>管理人若对授权通知的内容进行修改，应当提前至少三个工作日电话通知</w:t>
      </w:r>
      <w:r>
        <w:rPr>
          <w:rFonts w:ascii="宋体" w:hAnsi="宋体" w:hint="eastAsia"/>
          <w:sz w:val="24"/>
          <w:szCs w:val="24"/>
        </w:rPr>
        <w:t>基金</w:t>
      </w:r>
      <w:r>
        <w:rPr>
          <w:rFonts w:ascii="宋体" w:hAnsi="宋体"/>
          <w:sz w:val="24"/>
          <w:szCs w:val="24"/>
        </w:rPr>
        <w:t>托管人。</w:t>
      </w:r>
      <w:r>
        <w:rPr>
          <w:rFonts w:ascii="宋体" w:hAnsi="宋体" w:hint="eastAsia"/>
          <w:sz w:val="24"/>
          <w:szCs w:val="24"/>
        </w:rPr>
        <w:t>基金</w:t>
      </w:r>
      <w:r>
        <w:rPr>
          <w:rFonts w:ascii="宋体" w:hAnsi="宋体"/>
          <w:sz w:val="24"/>
          <w:szCs w:val="24"/>
        </w:rPr>
        <w:t>管理人需提供书面的变更授权通知文件，在加盖公章后以传真</w:t>
      </w:r>
      <w:r>
        <w:rPr>
          <w:rFonts w:ascii="宋体" w:hAnsi="宋体" w:hint="eastAsia"/>
          <w:sz w:val="24"/>
          <w:szCs w:val="24"/>
        </w:rPr>
        <w:t>或邮件或其他双方约定的</w:t>
      </w:r>
      <w:r>
        <w:rPr>
          <w:rFonts w:ascii="宋体" w:hAnsi="宋体"/>
          <w:sz w:val="24"/>
          <w:szCs w:val="24"/>
        </w:rPr>
        <w:t>方式发送给</w:t>
      </w:r>
      <w:r>
        <w:rPr>
          <w:rFonts w:ascii="宋体" w:hAnsi="宋体" w:hint="eastAsia"/>
          <w:sz w:val="24"/>
          <w:szCs w:val="24"/>
        </w:rPr>
        <w:t>基金</w:t>
      </w:r>
      <w:r>
        <w:rPr>
          <w:rFonts w:ascii="宋体" w:hAnsi="宋体"/>
          <w:sz w:val="24"/>
          <w:szCs w:val="24"/>
        </w:rPr>
        <w:t>托管人，同时以电话形式向</w:t>
      </w:r>
      <w:r>
        <w:rPr>
          <w:rFonts w:ascii="宋体" w:hAnsi="宋体" w:hint="eastAsia"/>
          <w:sz w:val="24"/>
          <w:szCs w:val="24"/>
        </w:rPr>
        <w:t>基金</w:t>
      </w:r>
      <w:r>
        <w:rPr>
          <w:rFonts w:ascii="宋体" w:hAnsi="宋体"/>
          <w:sz w:val="24"/>
          <w:szCs w:val="24"/>
        </w:rPr>
        <w:t>托管人确认。变更授权通知文件在</w:t>
      </w:r>
      <w:r>
        <w:rPr>
          <w:rFonts w:ascii="宋体" w:hAnsi="宋体" w:hint="eastAsia"/>
          <w:sz w:val="24"/>
          <w:szCs w:val="24"/>
        </w:rPr>
        <w:t>基金</w:t>
      </w:r>
      <w:r>
        <w:rPr>
          <w:rFonts w:ascii="宋体" w:hAnsi="宋体"/>
          <w:sz w:val="24"/>
          <w:szCs w:val="24"/>
        </w:rPr>
        <w:t>托管人收到相关文件传真件</w:t>
      </w:r>
      <w:r>
        <w:rPr>
          <w:rFonts w:ascii="宋体" w:hAnsi="宋体" w:hint="eastAsia"/>
          <w:sz w:val="24"/>
          <w:szCs w:val="24"/>
        </w:rPr>
        <w:t>或扫描件</w:t>
      </w:r>
      <w:r>
        <w:rPr>
          <w:rFonts w:ascii="宋体" w:hAnsi="宋体"/>
          <w:sz w:val="24"/>
          <w:szCs w:val="24"/>
        </w:rPr>
        <w:t>和</w:t>
      </w:r>
      <w:r>
        <w:rPr>
          <w:rFonts w:ascii="宋体" w:hAnsi="宋体" w:hint="eastAsia"/>
          <w:sz w:val="24"/>
          <w:szCs w:val="24"/>
        </w:rPr>
        <w:t>基金</w:t>
      </w:r>
      <w:r>
        <w:rPr>
          <w:rFonts w:ascii="宋体" w:hAnsi="宋体"/>
          <w:sz w:val="24"/>
          <w:szCs w:val="24"/>
        </w:rPr>
        <w:t>管理人的电话确认时生效。</w:t>
      </w:r>
      <w:r>
        <w:rPr>
          <w:rFonts w:ascii="宋体" w:hAnsi="宋体" w:hint="eastAsia"/>
          <w:sz w:val="24"/>
          <w:szCs w:val="24"/>
        </w:rPr>
        <w:t>基金</w:t>
      </w:r>
      <w:r>
        <w:rPr>
          <w:rFonts w:ascii="宋体" w:hAnsi="宋体"/>
          <w:sz w:val="24"/>
          <w:szCs w:val="24"/>
        </w:rPr>
        <w:t>管理人在此后三个工作日内将变更授权通知文件原件送交</w:t>
      </w:r>
      <w:r>
        <w:rPr>
          <w:rFonts w:ascii="宋体" w:hAnsi="宋体" w:hint="eastAsia"/>
          <w:sz w:val="24"/>
          <w:szCs w:val="24"/>
        </w:rPr>
        <w:t>基金</w:t>
      </w:r>
      <w:r>
        <w:rPr>
          <w:rFonts w:ascii="宋体" w:hAnsi="宋体"/>
          <w:sz w:val="24"/>
          <w:szCs w:val="24"/>
        </w:rPr>
        <w:t>托管人。</w:t>
      </w:r>
      <w:r>
        <w:rPr>
          <w:rFonts w:ascii="宋体" w:hAnsi="宋体" w:hint="eastAsia"/>
          <w:sz w:val="24"/>
          <w:szCs w:val="24"/>
        </w:rPr>
        <w:t>若</w:t>
      </w:r>
      <w:r>
        <w:rPr>
          <w:rFonts w:ascii="宋体" w:hAnsi="宋体"/>
          <w:sz w:val="24"/>
          <w:szCs w:val="24"/>
        </w:rPr>
        <w:t>原件与传真件</w:t>
      </w:r>
      <w:r>
        <w:rPr>
          <w:rFonts w:ascii="宋体" w:hAnsi="宋体" w:hint="eastAsia"/>
          <w:sz w:val="24"/>
          <w:szCs w:val="24"/>
        </w:rPr>
        <w:t>或扫描件</w:t>
      </w:r>
      <w:r>
        <w:rPr>
          <w:rFonts w:ascii="宋体" w:hAnsi="宋体"/>
          <w:sz w:val="24"/>
          <w:szCs w:val="24"/>
        </w:rPr>
        <w:t>不一致，</w:t>
      </w:r>
      <w:r>
        <w:rPr>
          <w:rFonts w:ascii="宋体" w:hAnsi="宋体" w:hint="eastAsia"/>
          <w:sz w:val="24"/>
          <w:szCs w:val="24"/>
        </w:rPr>
        <w:t>以</w:t>
      </w:r>
      <w:r>
        <w:rPr>
          <w:rFonts w:ascii="宋体" w:hAnsi="宋体"/>
          <w:sz w:val="24"/>
          <w:szCs w:val="24"/>
        </w:rPr>
        <w:t>传真件</w:t>
      </w:r>
      <w:r>
        <w:rPr>
          <w:rFonts w:ascii="宋体" w:hAnsi="宋体" w:hint="eastAsia"/>
          <w:sz w:val="24"/>
          <w:szCs w:val="24"/>
        </w:rPr>
        <w:t>或扫描件</w:t>
      </w:r>
      <w:r>
        <w:rPr>
          <w:rFonts w:ascii="宋体" w:hAnsi="宋体"/>
          <w:sz w:val="24"/>
          <w:szCs w:val="24"/>
        </w:rPr>
        <w:t>为准。</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、基金</w:t>
      </w:r>
      <w:r>
        <w:rPr>
          <w:rFonts w:ascii="宋体" w:hAnsi="宋体"/>
          <w:sz w:val="24"/>
          <w:szCs w:val="24"/>
        </w:rPr>
        <w:t>托管人更改接</w:t>
      </w:r>
      <w:r>
        <w:rPr>
          <w:rFonts w:ascii="宋体" w:hAnsi="宋体" w:hint="eastAsia"/>
          <w:sz w:val="24"/>
          <w:szCs w:val="24"/>
        </w:rPr>
        <w:t>收基金</w:t>
      </w:r>
      <w:r>
        <w:rPr>
          <w:rFonts w:ascii="宋体" w:hAnsi="宋体"/>
          <w:sz w:val="24"/>
          <w:szCs w:val="24"/>
        </w:rPr>
        <w:t>管理人指令的人员及联系方式，应至少提前1个工作日</w:t>
      </w:r>
      <w:r>
        <w:rPr>
          <w:rFonts w:ascii="宋体" w:hAnsi="宋体" w:hint="eastAsia"/>
          <w:sz w:val="24"/>
          <w:szCs w:val="24"/>
        </w:rPr>
        <w:t>通知基金</w:t>
      </w:r>
      <w:r>
        <w:rPr>
          <w:rFonts w:ascii="宋体" w:hAnsi="宋体"/>
          <w:sz w:val="24"/>
          <w:szCs w:val="24"/>
        </w:rPr>
        <w:t>管理人。</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）其他事项</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基金托管人在接收指令时，应对指令的要素是否齐全、印鉴是否与预留的授权文件内容相符进行</w:t>
      </w:r>
      <w:r>
        <w:rPr>
          <w:rFonts w:ascii="宋体" w:hAnsi="宋体" w:hint="eastAsia"/>
          <w:bCs/>
          <w:sz w:val="24"/>
          <w:szCs w:val="24"/>
        </w:rPr>
        <w:t>表面一致性</w:t>
      </w:r>
      <w:r>
        <w:rPr>
          <w:rFonts w:ascii="宋体" w:hAnsi="宋体"/>
          <w:sz w:val="24"/>
          <w:szCs w:val="24"/>
        </w:rPr>
        <w:t>检查，如发现问题，应及时</w:t>
      </w:r>
      <w:r>
        <w:rPr>
          <w:rFonts w:ascii="宋体" w:hAnsi="宋体" w:hint="eastAsia"/>
          <w:sz w:val="24"/>
          <w:szCs w:val="24"/>
        </w:rPr>
        <w:t>通知</w:t>
      </w:r>
      <w:r>
        <w:rPr>
          <w:rFonts w:ascii="宋体" w:hAnsi="宋体"/>
          <w:sz w:val="24"/>
          <w:szCs w:val="24"/>
        </w:rPr>
        <w:t>基金管理人。</w:t>
      </w:r>
    </w:p>
    <w:p w:rsidR="005226C6" w:rsidRDefault="004A7AC5">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w:t>
      </w:r>
      <w:r>
        <w:rPr>
          <w:rFonts w:ascii="宋体" w:hAnsi="宋体" w:hint="eastAsia"/>
          <w:sz w:val="24"/>
          <w:szCs w:val="24"/>
        </w:rPr>
        <w:t>、</w:t>
      </w:r>
      <w:r>
        <w:rPr>
          <w:rFonts w:ascii="宋体" w:hAnsi="宋体"/>
          <w:sz w:val="24"/>
          <w:szCs w:val="24"/>
        </w:rPr>
        <w:t>基金管理人的利益受到损害而负赔偿责任外，基金托管人</w:t>
      </w:r>
      <w:r>
        <w:rPr>
          <w:rFonts w:ascii="宋体" w:hAnsi="宋体" w:hint="eastAsia"/>
          <w:sz w:val="24"/>
          <w:szCs w:val="24"/>
        </w:rPr>
        <w:t>按照法律法规、本托管协议的规定执行基金管理人指令而引起的任何可能发生的损失，均由基金管理人负责。</w:t>
      </w:r>
    </w:p>
    <w:p w:rsidR="005226C6" w:rsidRDefault="004A7AC5">
      <w:pPr>
        <w:pStyle w:val="2"/>
        <w:spacing w:line="360" w:lineRule="auto"/>
        <w:jc w:val="center"/>
        <w:rPr>
          <w:rFonts w:ascii="宋体" w:eastAsia="宋体" w:hAnsi="宋体"/>
          <w:color w:val="000000"/>
          <w:sz w:val="24"/>
          <w:szCs w:val="24"/>
        </w:rPr>
      </w:pPr>
      <w:bookmarkStart w:id="74" w:name="_Toc118972651"/>
      <w:bookmarkStart w:id="75" w:name="_Toc120435786"/>
      <w:bookmarkStart w:id="76" w:name="_Toc110765663"/>
      <w:bookmarkStart w:id="77" w:name="_Toc86649725"/>
      <w:bookmarkStart w:id="78" w:name="_Toc110830495"/>
      <w:bookmarkStart w:id="79" w:name="_Toc119402713"/>
      <w:bookmarkStart w:id="80" w:name="_Toc86726442"/>
      <w:bookmarkStart w:id="81" w:name="_Toc118212953"/>
      <w:bookmarkStart w:id="82" w:name="_Toc86737932"/>
      <w:bookmarkStart w:id="83" w:name="_Toc84133788"/>
      <w:bookmarkStart w:id="84" w:name="_Toc84234390"/>
      <w:bookmarkStart w:id="85" w:name="_Toc145818941"/>
      <w:bookmarkStart w:id="86" w:name="_Toc118774806"/>
      <w:bookmarkStart w:id="87" w:name="_Toc108512361"/>
      <w:bookmarkStart w:id="88" w:name="_Toc86727358"/>
      <w:bookmarkStart w:id="89" w:name="_Toc86204791"/>
      <w:bookmarkStart w:id="90" w:name="_Toc110761799"/>
      <w:bookmarkStart w:id="91" w:name="_Toc84234437"/>
      <w:bookmarkStart w:id="92" w:name="_Toc86223245"/>
      <w:bookmarkStart w:id="93" w:name="_Toc89163371"/>
      <w:bookmarkStart w:id="94" w:name="_Toc86225294"/>
      <w:r>
        <w:rPr>
          <w:rFonts w:ascii="宋体" w:eastAsia="宋体" w:hAnsi="宋体"/>
          <w:color w:val="000000"/>
          <w:sz w:val="24"/>
          <w:szCs w:val="24"/>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hint="eastAsia"/>
          <w:color w:val="000000"/>
          <w:sz w:val="24"/>
          <w:szCs w:val="24"/>
        </w:rPr>
        <w:t>（一）选择代理证券、期货买卖的证券、期货经纪机构</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管理人负责选择代理本基金证券买卖的证券经纪机构，由基金管理人与基金托管人及证券经纪机构签订本基金的证券经纪服务协议，明确三方在本基金参与场内证券买卖中的各类证券交易、证券交收及相关资金交</w:t>
      </w:r>
      <w:proofErr w:type="gramStart"/>
      <w:r>
        <w:rPr>
          <w:rFonts w:ascii="宋体" w:hAnsi="宋体" w:hint="eastAsia"/>
          <w:color w:val="000000"/>
          <w:sz w:val="24"/>
          <w:szCs w:val="24"/>
        </w:rPr>
        <w:t>收过程</w:t>
      </w:r>
      <w:proofErr w:type="gramEnd"/>
      <w:r>
        <w:rPr>
          <w:rFonts w:ascii="宋体" w:hAnsi="宋体" w:hint="eastAsia"/>
          <w:color w:val="000000"/>
          <w:sz w:val="24"/>
          <w:szCs w:val="24"/>
        </w:rPr>
        <w:t>中的职责和义务。</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lastRenderedPageBreak/>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hint="eastAsia"/>
          <w:color w:val="000000"/>
          <w:sz w:val="24"/>
          <w:szCs w:val="24"/>
        </w:rPr>
        <w:t>（二）基金投资证券后的清算交收安排</w:t>
      </w:r>
    </w:p>
    <w:p w:rsidR="005226C6" w:rsidRDefault="004A7AC5">
      <w:pPr>
        <w:adjustRightInd w:val="0"/>
        <w:snapToGrid w:val="0"/>
        <w:spacing w:line="360" w:lineRule="auto"/>
        <w:ind w:firstLine="480"/>
        <w:outlineLvl w:val="2"/>
        <w:rPr>
          <w:rFonts w:ascii="宋体" w:hAnsi="宋体"/>
          <w:color w:val="000000"/>
          <w:sz w:val="24"/>
          <w:szCs w:val="24"/>
        </w:rPr>
      </w:pPr>
      <w:r>
        <w:rPr>
          <w:rFonts w:ascii="宋体" w:hAnsi="宋体" w:hint="eastAsia"/>
          <w:color w:val="000000"/>
          <w:sz w:val="24"/>
          <w:szCs w:val="24"/>
        </w:rPr>
        <w:t>1、清算与交割</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投资于证券发生的所有场外交易的清算交割，由基金托管人负责办理；基金投资于证券发生的所有场内交易的清算交割，由基金管理人选择的证券经纪机构根据相关登记结算公司的结算规则办理。本基金场内证券投资的具体操作按照基金管理人、基金托管人及证券经纪机构签署的证券经纪服务协议的约定执行。</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基金托管人负责基金场外买卖证券的清算交收，场外资金汇划由基金托管人根据基金管理人的场外交易划款指令具体办理。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证券经纪机构代理本基金财产与中国证券登记结算有限责任公司完成证券交易及</w:t>
      </w:r>
      <w:proofErr w:type="gramStart"/>
      <w:r>
        <w:rPr>
          <w:rFonts w:ascii="宋体" w:hAnsi="宋体" w:hint="eastAsia"/>
          <w:color w:val="000000"/>
          <w:sz w:val="24"/>
          <w:szCs w:val="24"/>
        </w:rPr>
        <w:t>非交易</w:t>
      </w:r>
      <w:proofErr w:type="gramEnd"/>
      <w:r>
        <w:rPr>
          <w:rFonts w:ascii="宋体" w:hAnsi="宋体" w:hint="eastAsia"/>
          <w:color w:val="000000"/>
          <w:sz w:val="24"/>
          <w:szCs w:val="24"/>
        </w:rPr>
        <w:t>涉及的证券资金结算业务，并承担由证券经纪机构原因造成的正常结算、交收业务无法完成的责任；由于基金管理人的原因造成的正常结算业务无法完成，责任由基金管理人承担。如果因证券经纪机构过错在清算和交收中造成基金财产的损失，应由证券经纪机构负责赔偿基金的直接经济损失。</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5226C6" w:rsidRDefault="004A7AC5">
      <w:pPr>
        <w:adjustRightInd w:val="0"/>
        <w:snapToGrid w:val="0"/>
        <w:spacing w:line="360" w:lineRule="auto"/>
        <w:ind w:firstLine="480"/>
        <w:outlineLvl w:val="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（1）交易记录的核对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 xml:space="preserve">由此给基金造成的损失由过错方承担。 </w:t>
      </w:r>
      <w:r>
        <w:rPr>
          <w:rFonts w:ascii="宋体" w:hAnsi="宋体"/>
          <w:color w:val="000000"/>
          <w:kern w:val="0"/>
          <w:sz w:val="24"/>
          <w:szCs w:val="24"/>
        </w:rPr>
        <w:t xml:space="preserve"> </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（2）资金账目的核对</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lastRenderedPageBreak/>
        <w:t>（3）证券账目的核对</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w:t>
      </w:r>
      <w:proofErr w:type="gramStart"/>
      <w:r>
        <w:rPr>
          <w:rFonts w:ascii="宋体" w:hAnsi="宋体" w:hint="eastAsia"/>
          <w:color w:val="000000"/>
          <w:sz w:val="24"/>
          <w:szCs w:val="24"/>
        </w:rPr>
        <w:t>中证券</w:t>
      </w:r>
      <w:proofErr w:type="gramEnd"/>
      <w:r>
        <w:rPr>
          <w:rFonts w:ascii="宋体" w:hAnsi="宋体" w:hint="eastAsia"/>
          <w:color w:val="000000"/>
          <w:sz w:val="24"/>
          <w:szCs w:val="24"/>
        </w:rPr>
        <w:t>的种类和数量与基金会计账簿中的记载一致。</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（4）实物</w:t>
      </w:r>
      <w:proofErr w:type="gramStart"/>
      <w:r>
        <w:rPr>
          <w:rFonts w:ascii="宋体" w:hAnsi="宋体" w:hint="eastAsia"/>
          <w:color w:val="000000"/>
          <w:sz w:val="24"/>
          <w:szCs w:val="24"/>
        </w:rPr>
        <w:t>券</w:t>
      </w:r>
      <w:proofErr w:type="gramEnd"/>
      <w:r>
        <w:rPr>
          <w:rFonts w:ascii="宋体" w:hAnsi="宋体" w:hint="eastAsia"/>
          <w:color w:val="000000"/>
          <w:sz w:val="24"/>
          <w:szCs w:val="24"/>
        </w:rPr>
        <w:t>账目</w:t>
      </w:r>
    </w:p>
    <w:p w:rsidR="005226C6" w:rsidRDefault="004A7AC5">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w:t>
      </w:r>
      <w:proofErr w:type="gramStart"/>
      <w:r>
        <w:rPr>
          <w:rFonts w:ascii="宋体" w:hAnsi="宋体" w:hint="eastAsia"/>
          <w:color w:val="000000"/>
          <w:sz w:val="24"/>
          <w:szCs w:val="24"/>
        </w:rPr>
        <w:t>券</w:t>
      </w:r>
      <w:proofErr w:type="gramEnd"/>
      <w:r>
        <w:rPr>
          <w:rFonts w:ascii="宋体" w:hAnsi="宋体" w:hint="eastAsia"/>
          <w:color w:val="000000"/>
          <w:sz w:val="24"/>
          <w:szCs w:val="24"/>
        </w:rPr>
        <w:t>账目，每月月</w:t>
      </w:r>
      <w:proofErr w:type="gramStart"/>
      <w:r>
        <w:rPr>
          <w:rFonts w:ascii="宋体" w:hAnsi="宋体" w:hint="eastAsia"/>
          <w:color w:val="000000"/>
          <w:sz w:val="24"/>
          <w:szCs w:val="24"/>
        </w:rPr>
        <w:t>末相关</w:t>
      </w:r>
      <w:proofErr w:type="gramEnd"/>
      <w:r>
        <w:rPr>
          <w:rFonts w:ascii="宋体" w:hAnsi="宋体" w:hint="eastAsia"/>
          <w:color w:val="000000"/>
          <w:sz w:val="24"/>
          <w:szCs w:val="24"/>
        </w:rPr>
        <w:t>各方进行账实核对。</w:t>
      </w:r>
    </w:p>
    <w:p w:rsidR="005226C6" w:rsidRDefault="004A7AC5">
      <w:pPr>
        <w:adjustRightInd w:val="0"/>
        <w:snapToGrid w:val="0"/>
        <w:spacing w:line="360" w:lineRule="auto"/>
        <w:ind w:firstLine="480"/>
        <w:outlineLvl w:val="1"/>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的确认、清算由基金管理人指定的登记机构负责。</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基金管理人应保证其委托的登记机构必须于每个工作日15:00前向基金托管人发送前一开放</w:t>
      </w:r>
      <w:proofErr w:type="gramStart"/>
      <w:r>
        <w:rPr>
          <w:rFonts w:ascii="宋体" w:hAnsi="宋体"/>
          <w:color w:val="000000"/>
          <w:sz w:val="24"/>
          <w:szCs w:val="24"/>
        </w:rPr>
        <w:t>日上述</w:t>
      </w:r>
      <w:proofErr w:type="gramEnd"/>
      <w:r>
        <w:rPr>
          <w:rFonts w:ascii="宋体" w:hAnsi="宋体"/>
          <w:color w:val="000000"/>
          <w:sz w:val="24"/>
          <w:szCs w:val="24"/>
        </w:rPr>
        <w:t>有关数据，并保证相关数据的准确、完整。</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登记机构应通过与基金托管人建立的系统发送有关数据，如因各种原因，该系统无法正常发送，双方可协商解决处理方式。基金管理人向基金托管人发送的数据，双方各自按有关规定保存。</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如基金管理人委托其他机构办理本基金的登记业务，上述事宜由基金管理人负责。</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rsidR="005226C6" w:rsidRDefault="004A7AC5">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为满足申购、赎回及分红资金汇划的需要，由基金管理人开立资金清算的专用账户，该账户由登记机构管理。</w:t>
      </w:r>
    </w:p>
    <w:p w:rsidR="005226C6" w:rsidRDefault="004A7AC5">
      <w:pPr>
        <w:adjustRightInd w:val="0"/>
        <w:snapToGrid w:val="0"/>
        <w:spacing w:line="360" w:lineRule="auto"/>
        <w:ind w:firstLine="480"/>
        <w:outlineLvl w:val="1"/>
        <w:rPr>
          <w:rFonts w:ascii="宋体" w:hAnsi="宋体"/>
          <w:sz w:val="24"/>
          <w:szCs w:val="24"/>
        </w:rPr>
      </w:pPr>
      <w:r>
        <w:rPr>
          <w:rFonts w:ascii="宋体" w:hAnsi="宋体"/>
          <w:sz w:val="24"/>
          <w:szCs w:val="24"/>
        </w:rPr>
        <w:t>（四）</w:t>
      </w:r>
      <w:r>
        <w:rPr>
          <w:rFonts w:ascii="宋体" w:hAnsi="宋体" w:hint="eastAsia"/>
          <w:sz w:val="24"/>
          <w:szCs w:val="24"/>
        </w:rPr>
        <w:t>开放式基金申购、赎回和基金转换的资金清算</w:t>
      </w:r>
    </w:p>
    <w:p w:rsidR="005226C6" w:rsidRDefault="004A7AC5">
      <w:pPr>
        <w:adjustRightInd w:val="0"/>
        <w:snapToGrid w:val="0"/>
        <w:spacing w:line="360" w:lineRule="auto"/>
        <w:ind w:firstLine="480"/>
        <w:outlineLvl w:val="1"/>
        <w:rPr>
          <w:rFonts w:ascii="宋体" w:hAnsi="宋体"/>
          <w:sz w:val="24"/>
          <w:szCs w:val="24"/>
        </w:rPr>
      </w:pPr>
      <w:r>
        <w:rPr>
          <w:rFonts w:ascii="宋体" w:hAnsi="宋体" w:hint="eastAsia"/>
          <w:sz w:val="24"/>
          <w:szCs w:val="24"/>
        </w:rPr>
        <w:t>如果当日基金为净应收款，基金管理人最晚不迟于款项</w:t>
      </w:r>
      <w:proofErr w:type="gramStart"/>
      <w:r>
        <w:rPr>
          <w:rFonts w:ascii="宋体" w:hAnsi="宋体" w:hint="eastAsia"/>
          <w:sz w:val="24"/>
          <w:szCs w:val="24"/>
        </w:rPr>
        <w:t>交收日当日</w:t>
      </w:r>
      <w:proofErr w:type="gramEnd"/>
      <w:r>
        <w:rPr>
          <w:rFonts w:ascii="宋体" w:hAnsi="宋体" w:hint="eastAsia"/>
          <w:sz w:val="24"/>
          <w:szCs w:val="24"/>
        </w:rPr>
        <w:t>15：00 前将资金</w:t>
      </w:r>
      <w:proofErr w:type="gramStart"/>
      <w:r>
        <w:rPr>
          <w:rFonts w:ascii="宋体" w:hAnsi="宋体" w:hint="eastAsia"/>
          <w:sz w:val="24"/>
          <w:szCs w:val="24"/>
        </w:rPr>
        <w:t>划往资产</w:t>
      </w:r>
      <w:proofErr w:type="gramEnd"/>
      <w:r>
        <w:rPr>
          <w:rFonts w:ascii="宋体" w:hAnsi="宋体" w:hint="eastAsia"/>
          <w:sz w:val="24"/>
          <w:szCs w:val="24"/>
        </w:rPr>
        <w:t>托管专户。</w:t>
      </w:r>
    </w:p>
    <w:p w:rsidR="005226C6" w:rsidRDefault="004A7AC5">
      <w:pPr>
        <w:spacing w:line="360" w:lineRule="auto"/>
        <w:ind w:right="28" w:firstLineChars="200" w:firstLine="480"/>
        <w:rPr>
          <w:rFonts w:ascii="宋体" w:hAnsi="宋体"/>
          <w:sz w:val="24"/>
          <w:szCs w:val="24"/>
        </w:rPr>
      </w:pPr>
      <w:r>
        <w:rPr>
          <w:rFonts w:ascii="宋体" w:hAnsi="宋体" w:hint="eastAsia"/>
          <w:sz w:val="24"/>
          <w:szCs w:val="24"/>
        </w:rPr>
        <w:t>基金托管人应及时查收资金是否到账，对于未准时到账的资金，应及时通知基金管理人划付，因基金管理</w:t>
      </w:r>
      <w:proofErr w:type="gramStart"/>
      <w:r>
        <w:rPr>
          <w:rFonts w:ascii="宋体" w:hAnsi="宋体" w:hint="eastAsia"/>
          <w:sz w:val="24"/>
          <w:szCs w:val="24"/>
        </w:rPr>
        <w:t>人原因</w:t>
      </w:r>
      <w:proofErr w:type="gramEnd"/>
      <w:r>
        <w:rPr>
          <w:rFonts w:ascii="宋体" w:hAnsi="宋体" w:hint="eastAsia"/>
          <w:sz w:val="24"/>
          <w:szCs w:val="24"/>
        </w:rPr>
        <w:t>产生的责任应由基金管理人承担。</w:t>
      </w:r>
    </w:p>
    <w:p w:rsidR="005226C6" w:rsidRDefault="004A7AC5">
      <w:pPr>
        <w:spacing w:line="360" w:lineRule="auto"/>
        <w:ind w:right="28" w:firstLineChars="200" w:firstLine="480"/>
        <w:rPr>
          <w:rFonts w:ascii="宋体" w:hAnsi="宋体"/>
          <w:sz w:val="24"/>
          <w:szCs w:val="24"/>
        </w:rPr>
      </w:pPr>
      <w:r>
        <w:rPr>
          <w:rFonts w:ascii="宋体" w:hAnsi="宋体" w:hint="eastAsia"/>
          <w:sz w:val="24"/>
          <w:szCs w:val="24"/>
        </w:rPr>
        <w:t>如果当日基金为净应付款，基金托管人应根据基金管理人的指令及时进行划付。如果指令接收时，账户余额足以支付，但由于基金托管</w:t>
      </w:r>
      <w:proofErr w:type="gramStart"/>
      <w:r>
        <w:rPr>
          <w:rFonts w:ascii="宋体" w:hAnsi="宋体" w:hint="eastAsia"/>
          <w:sz w:val="24"/>
          <w:szCs w:val="24"/>
        </w:rPr>
        <w:t>人原因</w:t>
      </w:r>
      <w:proofErr w:type="gramEnd"/>
      <w:r>
        <w:rPr>
          <w:rFonts w:ascii="宋体" w:hAnsi="宋体" w:hint="eastAsia"/>
          <w:sz w:val="24"/>
          <w:szCs w:val="24"/>
        </w:rPr>
        <w:t>未及时划付，由此产生的责任由基金托管人承担。如果指令接收时，账户余额不足支付，以账户足额时间为指令接收时间。因基金托管资金账户没有足够的资金，导致基金托</w:t>
      </w:r>
      <w:r>
        <w:rPr>
          <w:rFonts w:ascii="宋体" w:hAnsi="宋体" w:hint="eastAsia"/>
          <w:sz w:val="24"/>
          <w:szCs w:val="24"/>
        </w:rPr>
        <w:lastRenderedPageBreak/>
        <w:t>管人不能按时拨付，如</w:t>
      </w:r>
      <w:proofErr w:type="gramStart"/>
      <w:r>
        <w:rPr>
          <w:rFonts w:ascii="宋体" w:hAnsi="宋体" w:hint="eastAsia"/>
          <w:sz w:val="24"/>
          <w:szCs w:val="24"/>
        </w:rPr>
        <w:t>系基金</w:t>
      </w:r>
      <w:proofErr w:type="gramEnd"/>
      <w:r>
        <w:rPr>
          <w:rFonts w:ascii="宋体" w:hAnsi="宋体" w:hint="eastAsia"/>
          <w:sz w:val="24"/>
          <w:szCs w:val="24"/>
        </w:rPr>
        <w:t>管理人的原因造成，责任由基金管理人承担，基金托管人不承担垫款义务，但应及时通知基金管理人。</w:t>
      </w:r>
    </w:p>
    <w:p w:rsidR="005226C6" w:rsidRDefault="004A7AC5">
      <w:pPr>
        <w:spacing w:line="360" w:lineRule="auto"/>
        <w:ind w:firstLine="480"/>
        <w:outlineLvl w:val="1"/>
        <w:rPr>
          <w:rFonts w:ascii="宋体" w:hAnsi="宋体"/>
          <w:color w:val="000000"/>
          <w:sz w:val="24"/>
          <w:szCs w:val="24"/>
        </w:rPr>
      </w:pPr>
      <w:r>
        <w:rPr>
          <w:rFonts w:ascii="宋体" w:hAnsi="宋体"/>
          <w:color w:val="000000"/>
          <w:sz w:val="24"/>
          <w:szCs w:val="24"/>
        </w:rPr>
        <w:t>（五）</w:t>
      </w:r>
      <w:r>
        <w:rPr>
          <w:rFonts w:ascii="宋体" w:hAnsi="宋体" w:hint="eastAsia"/>
          <w:color w:val="000000"/>
          <w:sz w:val="24"/>
          <w:szCs w:val="24"/>
        </w:rPr>
        <w:t>基金融资、转融通证券出借业务</w:t>
      </w:r>
    </w:p>
    <w:p w:rsidR="005226C6" w:rsidRDefault="004A7AC5">
      <w:pPr>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如本基金按国家有关规定进行融资、转融通证券出借业务时，基金托管人应为基金融资、转融通证券出借业务提供必要的协助。</w:t>
      </w:r>
    </w:p>
    <w:p w:rsidR="005226C6" w:rsidRDefault="004A7AC5">
      <w:pPr>
        <w:pStyle w:val="2"/>
        <w:spacing w:line="360" w:lineRule="auto"/>
        <w:jc w:val="center"/>
        <w:rPr>
          <w:rFonts w:ascii="宋体" w:eastAsia="宋体" w:hAnsi="宋体"/>
          <w:color w:val="000000"/>
          <w:sz w:val="24"/>
          <w:szCs w:val="24"/>
        </w:rPr>
      </w:pPr>
      <w:bookmarkStart w:id="95" w:name="_Toc145818942"/>
      <w:r>
        <w:rPr>
          <w:rFonts w:ascii="宋体" w:eastAsia="宋体" w:hAnsi="宋体"/>
          <w:color w:val="000000"/>
          <w:sz w:val="24"/>
          <w:szCs w:val="24"/>
        </w:rPr>
        <w:t>八、基金资产净值计算和会计核算</w:t>
      </w:r>
      <w:bookmarkEnd w:id="95"/>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（一）基金资产净值的计算及</w:t>
      </w:r>
      <w:r>
        <w:rPr>
          <w:rFonts w:ascii="宋体" w:hAnsi="宋体" w:hint="eastAsia"/>
          <w:color w:val="000000"/>
          <w:sz w:val="24"/>
          <w:szCs w:val="24"/>
        </w:rPr>
        <w:t>复核</w:t>
      </w:r>
      <w:r>
        <w:rPr>
          <w:rFonts w:ascii="宋体" w:hAnsi="宋体"/>
          <w:color w:val="000000"/>
          <w:sz w:val="24"/>
          <w:szCs w:val="24"/>
        </w:rPr>
        <w:t>程序</w:t>
      </w:r>
    </w:p>
    <w:p w:rsidR="005226C6" w:rsidRDefault="004A7AC5">
      <w:pPr>
        <w:adjustRightInd w:val="0"/>
        <w:snapToGrid w:val="0"/>
        <w:spacing w:line="360" w:lineRule="auto"/>
        <w:ind w:firstLineChars="200" w:firstLine="480"/>
        <w:outlineLvl w:val="1"/>
        <w:rPr>
          <w:rFonts w:ascii="宋体" w:hAnsi="宋体"/>
          <w:color w:val="000000"/>
          <w:sz w:val="24"/>
          <w:szCs w:val="24"/>
        </w:rPr>
      </w:pPr>
      <w:bookmarkStart w:id="96" w:name="_Hlk153461763"/>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基金资产净值是指基金资产总值减去</w:t>
      </w:r>
      <w:r>
        <w:rPr>
          <w:rFonts w:ascii="宋体" w:hAnsi="宋体" w:hint="eastAsia"/>
          <w:color w:val="000000"/>
          <w:sz w:val="24"/>
          <w:szCs w:val="24"/>
        </w:rPr>
        <w:t>基金</w:t>
      </w:r>
      <w:r>
        <w:rPr>
          <w:rFonts w:ascii="宋体" w:hAnsi="宋体"/>
          <w:color w:val="000000"/>
          <w:sz w:val="24"/>
          <w:szCs w:val="24"/>
        </w:rPr>
        <w:t>负债后的</w:t>
      </w:r>
      <w:r>
        <w:rPr>
          <w:rFonts w:ascii="宋体" w:hAnsi="宋体" w:hint="eastAsia"/>
          <w:color w:val="000000"/>
          <w:sz w:val="24"/>
          <w:szCs w:val="24"/>
        </w:rPr>
        <w:t>价值</w:t>
      </w:r>
      <w:r>
        <w:rPr>
          <w:rFonts w:ascii="宋体" w:hAnsi="宋体"/>
          <w:color w:val="000000"/>
          <w:sz w:val="24"/>
          <w:szCs w:val="24"/>
        </w:rPr>
        <w:t>。</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类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rsidR="005226C6" w:rsidRDefault="004A7AC5">
      <w:pPr>
        <w:adjustRightInd w:val="0"/>
        <w:snapToGrid w:val="0"/>
        <w:spacing w:line="360" w:lineRule="auto"/>
        <w:ind w:firstLineChars="200" w:firstLine="480"/>
        <w:rPr>
          <w:rFonts w:ascii="宋体" w:hAnsi="宋体"/>
          <w:color w:val="000000"/>
          <w:sz w:val="24"/>
          <w:szCs w:val="24"/>
        </w:rPr>
      </w:pPr>
      <w:bookmarkStart w:id="97" w:name="OLE_LINK4"/>
      <w:r>
        <w:rPr>
          <w:rFonts w:ascii="宋体" w:hAnsi="宋体" w:hint="eastAsia"/>
          <w:color w:val="000000"/>
          <w:sz w:val="24"/>
          <w:szCs w:val="24"/>
        </w:rPr>
        <w:t>基金管理人</w:t>
      </w:r>
      <w:proofErr w:type="gramStart"/>
      <w:r>
        <w:rPr>
          <w:rFonts w:ascii="宋体" w:hAnsi="宋体" w:hint="eastAsia"/>
          <w:color w:val="000000"/>
          <w:sz w:val="24"/>
          <w:szCs w:val="24"/>
        </w:rPr>
        <w:t>应每个</w:t>
      </w:r>
      <w:proofErr w:type="gramEnd"/>
      <w:r>
        <w:rPr>
          <w:rFonts w:ascii="宋体" w:hAnsi="宋体" w:hint="eastAsia"/>
          <w:color w:val="000000"/>
          <w:sz w:val="24"/>
          <w:szCs w:val="24"/>
        </w:rPr>
        <w:t>估值日计算基金资产净值及各类基金份额的基金份额净值，并按规定披露。</w:t>
      </w:r>
    </w:p>
    <w:bookmarkEnd w:id="97"/>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基金管理人每</w:t>
      </w:r>
      <w:r>
        <w:rPr>
          <w:rFonts w:ascii="宋体" w:hAnsi="宋体" w:hint="eastAsia"/>
          <w:color w:val="000000"/>
          <w:sz w:val="24"/>
          <w:szCs w:val="24"/>
        </w:rPr>
        <w:t>个估值</w:t>
      </w:r>
      <w:r>
        <w:rPr>
          <w:rFonts w:ascii="宋体" w:hAnsi="宋体"/>
          <w:color w:val="000000"/>
          <w:sz w:val="24"/>
          <w:szCs w:val="24"/>
        </w:rPr>
        <w:t>日对基金资产进行估值后，将基金份额净值结果发送基金托管人，经基金托管人复核无误后，由基金管理人</w:t>
      </w:r>
      <w:r>
        <w:rPr>
          <w:rFonts w:ascii="宋体" w:hAnsi="宋体" w:hint="eastAsia"/>
          <w:color w:val="000000"/>
          <w:sz w:val="24"/>
          <w:szCs w:val="24"/>
        </w:rPr>
        <w:t>依据基金合同和相关法律法规的规定</w:t>
      </w:r>
      <w:r>
        <w:rPr>
          <w:rFonts w:ascii="宋体" w:hAnsi="宋体"/>
          <w:color w:val="000000"/>
          <w:sz w:val="24"/>
          <w:szCs w:val="24"/>
        </w:rPr>
        <w:t>对外公布。</w:t>
      </w:r>
    </w:p>
    <w:p w:rsidR="005226C6" w:rsidRDefault="004A7AC5">
      <w:pPr>
        <w:adjustRightInd w:val="0"/>
        <w:snapToGrid w:val="0"/>
        <w:spacing w:line="360" w:lineRule="auto"/>
        <w:ind w:firstLineChars="200" w:firstLine="480"/>
        <w:outlineLvl w:val="0"/>
        <w:rPr>
          <w:rFonts w:ascii="宋体" w:hAnsi="宋体"/>
          <w:color w:val="000000"/>
          <w:sz w:val="24"/>
          <w:szCs w:val="24"/>
        </w:rPr>
      </w:pPr>
      <w:bookmarkStart w:id="98" w:name="OLE_LINK5"/>
      <w:bookmarkStart w:id="99" w:name="_Hlk192669951"/>
      <w:r>
        <w:rPr>
          <w:rFonts w:ascii="宋体" w:hAnsi="宋体"/>
          <w:color w:val="000000"/>
          <w:sz w:val="24"/>
          <w:szCs w:val="24"/>
        </w:rPr>
        <w:t>（二）基金资产估值方法和特殊情形的处理</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基金所拥有的目标ETF基金份额、股票、债券、银行存款本息、应收款项、金融衍生品、资产支持证券和其他投资等资产及负债。</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（1）目标ETF的估值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本基金投资的目标ETF份额以其估值日基金份额净值估值，如该日目标ETF未公布净值，则按目标ETF最近公布的净值估值。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（2）以公允价值计量的权益品种的估值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2）交易所处于未上市期间的有价权益证券应区分如下情况处理：</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①送股、转增股、配股和公开增发的新股，按估值日在证券交易所挂牌的同一股票的估值方法估值；该日无交易的，以最近一日的市价（收盘价）估值。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②首次公开发行未上市的股票，采用估值技术确定公允价值，在估值技术难以可靠计量公允价值的情况下，按成本估值。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sz w:val="24"/>
          <w:szCs w:val="24"/>
        </w:rPr>
        <w:t>券</w:t>
      </w:r>
      <w:proofErr w:type="gramEnd"/>
      <w:r>
        <w:rPr>
          <w:rFonts w:ascii="宋体" w:hAnsi="宋体" w:hint="eastAsia"/>
          <w:sz w:val="24"/>
          <w:szCs w:val="24"/>
        </w:rPr>
        <w:t>等流通受限股票，按监管机构或行业协会有关规定确定公允价值。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（3）以公允价值计量的固定收益品种的估值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1）对于已上市或已挂牌转让的不含</w:t>
      </w:r>
      <w:proofErr w:type="gramStart"/>
      <w:r>
        <w:rPr>
          <w:rFonts w:ascii="宋体" w:hAnsi="宋体" w:hint="eastAsia"/>
          <w:sz w:val="24"/>
          <w:szCs w:val="24"/>
        </w:rPr>
        <w:t>权固定</w:t>
      </w:r>
      <w:proofErr w:type="gramEnd"/>
      <w:r>
        <w:rPr>
          <w:rFonts w:ascii="宋体" w:hAnsi="宋体" w:hint="eastAsia"/>
          <w:sz w:val="24"/>
          <w:szCs w:val="24"/>
        </w:rPr>
        <w:t>收益品种（另有规定的除外），选取第三方估值基准服务机构提供的相应品种当日的估值全价，基金管理人应根据相关法律、法规的规定进行涉税处理（下同）。</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2）对于已上市或已挂牌转让的含</w:t>
      </w:r>
      <w:proofErr w:type="gramStart"/>
      <w:r>
        <w:rPr>
          <w:rFonts w:ascii="宋体" w:hAnsi="宋体" w:hint="eastAsia"/>
          <w:sz w:val="24"/>
          <w:szCs w:val="24"/>
        </w:rPr>
        <w:t>权固定</w:t>
      </w:r>
      <w:proofErr w:type="gramEnd"/>
      <w:r>
        <w:rPr>
          <w:rFonts w:ascii="宋体" w:hAnsi="宋体" w:hint="eastAsia"/>
          <w:sz w:val="24"/>
          <w:szCs w:val="24"/>
        </w:rPr>
        <w:t>收益品种（另有规定的除外），选取第三方估值基准服务机构提供的相应品种当日的唯一估值全价或推荐估值全价。</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4）对于未上市或未挂牌转让且不存在活跃市场的固定收益品种，应采用在当前情况下适用并且有足够可利用数据和其他信息支持的估值技术确定其公允价值。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（4）同一证券同时在两个或两个以上市场交易的，按证券所处的市场分别估值。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（5）本基金投资股指期货合约，一般以估值当日结算价进行估值，估值当日无结算价的，且最近交易日后经济环境未发生重大变化的，采用最近交易日结算价估值。如法律法规今后另有规定的，从其规定。</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本基金投资股票期权合约，根据相关法律法规以及监管部门的规定估值。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（6）基金参与融资和转融通证券出借业务的，应参照相关法律法规和中国证券投资基金业协会发布的相关规定进行估值，确保估值的公允性。</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（7）当发生大额申购或赎回情形时，基金管理人可以采用摆动定价机制，以确保基金估值的公平性。具体处理原则与操作规范遵循相关法律法规以及监管部门、自律组织的规定。</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（8）本基金投资存托凭证的估值核算依照境内上市交易的股票执行。</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（9）如有确凿证据表明按原有方法进行估值不能客观反映上述资产或负债公允价值的，基金管理人可根据具体情况与基金托管人商定后，按最能反映公允价值的方法估值。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）相关法律法规以及监管部门、自律规则另有规定的，从其规定。如有新增事项，按国家最新规定估值。</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5226C6" w:rsidRDefault="004A7AC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5226C6" w:rsidRDefault="004A7AC5">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rsidR="005226C6" w:rsidRDefault="004A7AC5">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基金管理人或基金托管人按估值方法的第（9）项进行估值时，所造成的误差不作为基金资产估值错误处理。</w:t>
      </w:r>
    </w:p>
    <w:p w:rsidR="005226C6" w:rsidRDefault="004A7AC5">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由于不可抗力，或由于证券/期货交易所、登记机构、指数编制机构、估值基准服务机构等第三方机构发送的数据错误，或国家会计政策变更、市场规则变更等</w:t>
      </w:r>
      <w:proofErr w:type="gramStart"/>
      <w:r>
        <w:rPr>
          <w:rStyle w:val="read"/>
          <w:rFonts w:ascii="宋体" w:hAnsi="宋体" w:hint="eastAsia"/>
          <w:color w:val="000000"/>
          <w:sz w:val="24"/>
          <w:szCs w:val="24"/>
        </w:rPr>
        <w:t>非基金</w:t>
      </w:r>
      <w:proofErr w:type="gramEnd"/>
      <w:r>
        <w:rPr>
          <w:rStyle w:val="read"/>
          <w:rFonts w:ascii="宋体" w:hAnsi="宋体" w:hint="eastAsia"/>
          <w:color w:val="000000"/>
          <w:sz w:val="24"/>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226C6" w:rsidRDefault="004A7AC5">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（三）基金份额净值错误的处理方式</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基金管理人和基金托管人将采取必要、适当、合理的措施确保基金资产估值的准确性、及时性。当任一类基金份额净值小数点后4位以内（含第4位）发生估值错误时，视为该类基金份额净值错误。</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基金合同的当事人应按照以下约定处理：</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1、估值错误类型</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2、估值错误处理原则</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（2）估值错误的责任方对有关当事人的直接损失负责，不对间接损失负责，并且仅对估值错误的有关直接当事人负责，不对第三方负责。</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（3）因估值错误而获得不当得利的当事人负有及时返还不当得利的义务。但估值错误责任方仍应对估值错误负责。如果由于获得不当得利的当事人</w:t>
      </w:r>
      <w:proofErr w:type="gramStart"/>
      <w:r>
        <w:rPr>
          <w:rFonts w:ascii="宋体" w:hAnsi="宋体" w:hint="eastAsia"/>
          <w:sz w:val="24"/>
          <w:szCs w:val="24"/>
        </w:rPr>
        <w:t>不</w:t>
      </w:r>
      <w:proofErr w:type="gramEnd"/>
      <w:r>
        <w:rPr>
          <w:rFonts w:ascii="宋体"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（4）估值错误调整采用尽量恢复至假设未发生估值错误的正确情形的方式。</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3、估值错误处理程序</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估值错误被发现后，有关的当事人应当及时进行处理，处理的程序如下：</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（1）查明估值错误发生的原因，列明所有的当事人，并根据估值错误发生的原因确定估值错误的责任方；</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（2）根据估值错误处理原则或当事人协商的方法对因估值错误造成的损失进行评估；</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（3）根据估值错误处理原则或当事人协商的方法由估值错误的责任方进行更正和赔偿损失；</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（4）根据估值错误处理的方法，需要修改基金登记机构交易数据的，由基</w:t>
      </w:r>
      <w:r>
        <w:rPr>
          <w:rFonts w:ascii="宋体" w:hAnsi="宋体" w:hint="eastAsia"/>
          <w:sz w:val="24"/>
          <w:szCs w:val="24"/>
        </w:rPr>
        <w:lastRenderedPageBreak/>
        <w:t>金登记机构进行更正，并就估值错误的更正向有关当事人进行确认。</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4、基金份额净值估值错误处理的方法如下：</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（1）基金份额净值计算出现错误时，基金管理人应当立即予以纠正，通报基金托管人，并采取合理的措施防止损失进一步扩大。</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（2）错误偏差达到该类基金份额净值的0.25%时，基金管理人应当通报基金托管人并报中国证监会备案；错误偏差达到该类基金份额净值的0.5%时，基金管理人应当公告，并报中国证监会备案。</w:t>
      </w:r>
    </w:p>
    <w:p w:rsidR="005226C6" w:rsidRDefault="004A7AC5">
      <w:pPr>
        <w:adjustRightInd w:val="0"/>
        <w:snapToGrid w:val="0"/>
        <w:spacing w:line="360" w:lineRule="auto"/>
        <w:ind w:firstLineChars="200" w:firstLine="480"/>
        <w:rPr>
          <w:rFonts w:ascii="宋体" w:hAnsi="宋体"/>
          <w:sz w:val="24"/>
          <w:szCs w:val="24"/>
        </w:rPr>
      </w:pPr>
      <w:r>
        <w:rPr>
          <w:rFonts w:ascii="宋体" w:hAnsi="宋体" w:hint="eastAsia"/>
          <w:sz w:val="24"/>
          <w:szCs w:val="24"/>
        </w:rPr>
        <w:t>（3）前述内容如法律法规或监管机关另有规定的，从其规定处理。如果行业另有通行做法，基金管理人与基金托管人应本着平等和保护基金份额持有人利益的原则进行协商。</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（四）暂停估值与公告基金份额净值的情形</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1、基金投资所涉及的证券/期货交易市场遇法定节假日或因其他原因暂停营业时；</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2、基金所投资的目标ETF发生暂停估值、暂停公告基金份额净值的情形；</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3、因不可抗力致使基金管理人、基金托管人无法准确评估基金资产价值时；</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4、当特定资产占前一估值日基金资产净值50%以上的，经与基金托管人协商确认后，基金管理人应当暂停估值；</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5、中国证监会和基金合同认定的其他情形。</w:t>
      </w:r>
    </w:p>
    <w:bookmarkEnd w:id="96"/>
    <w:bookmarkEnd w:id="98"/>
    <w:bookmarkEnd w:id="99"/>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按国家有关部门规定的会计制度执行。</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w:t>
      </w:r>
      <w:proofErr w:type="gramStart"/>
      <w:r>
        <w:rPr>
          <w:rFonts w:ascii="宋体" w:hAnsi="宋体" w:hint="eastAsia"/>
          <w:sz w:val="24"/>
          <w:szCs w:val="24"/>
        </w:rPr>
        <w:t>若基金</w:t>
      </w:r>
      <w:proofErr w:type="gramEnd"/>
      <w:r>
        <w:rPr>
          <w:rFonts w:ascii="宋体" w:hAnsi="宋体" w:hint="eastAsia"/>
          <w:sz w:val="24"/>
          <w:szCs w:val="24"/>
        </w:rPr>
        <w:t>管理人和基金托管人对会计处理方法存在分歧，应以基金管理人的处理方法为准。若当日核对不符，暂时无法查找到错账的原因而影响到基金净值信息的计算和公告的，以基金管理人的账册为准。</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月度报表的编制，基金管理人应于每月终了后5</w:t>
      </w:r>
      <w:r>
        <w:rPr>
          <w:rFonts w:ascii="宋体" w:hAnsi="宋体" w:hint="eastAsia"/>
          <w:color w:val="000000"/>
          <w:sz w:val="24"/>
          <w:szCs w:val="24"/>
        </w:rPr>
        <w:t>工作</w:t>
      </w:r>
      <w:r>
        <w:rPr>
          <w:rFonts w:ascii="宋体" w:hAnsi="宋体"/>
          <w:color w:val="000000"/>
          <w:sz w:val="24"/>
          <w:szCs w:val="24"/>
        </w:rPr>
        <w:t>日内完成；</w:t>
      </w:r>
      <w:r>
        <w:rPr>
          <w:rFonts w:ascii="宋体" w:hAnsi="宋体" w:hint="eastAsia"/>
          <w:color w:val="000000"/>
          <w:sz w:val="24"/>
          <w:szCs w:val="24"/>
        </w:rPr>
        <w:t>《基金合同》生效后，基金招募说明书的信息发生重大变更的，基金管理人应当在三个工作日内，更新</w:t>
      </w:r>
      <w:r>
        <w:rPr>
          <w:rFonts w:ascii="宋体" w:hAnsi="宋体" w:hint="eastAsia"/>
          <w:color w:val="000000"/>
          <w:sz w:val="24"/>
          <w:szCs w:val="24"/>
        </w:rPr>
        <w:lastRenderedPageBreak/>
        <w:t>基金招募说明书并登载在规定网站上；基金招募说明书其他信息发生变更的，基金管理人至少每年更新一次</w:t>
      </w:r>
      <w:r>
        <w:rPr>
          <w:rFonts w:ascii="宋体" w:hAnsi="宋体"/>
          <w:color w:val="000000"/>
          <w:sz w:val="24"/>
          <w:szCs w:val="24"/>
        </w:rPr>
        <w:t>。</w:t>
      </w:r>
      <w:r>
        <w:rPr>
          <w:rFonts w:ascii="宋体" w:hAnsi="宋体" w:hint="eastAsia"/>
          <w:color w:val="000000"/>
          <w:sz w:val="24"/>
          <w:szCs w:val="24"/>
        </w:rPr>
        <w:t>基金合同终止的，基金管理人不再更新基金招募说明书。</w:t>
      </w:r>
      <w:r>
        <w:rPr>
          <w:rFonts w:ascii="宋体" w:hAnsi="宋体"/>
          <w:color w:val="000000"/>
          <w:sz w:val="24"/>
          <w:szCs w:val="24"/>
        </w:rPr>
        <w:t>季度报告应在季度结束之日起15个工作日内</w:t>
      </w:r>
      <w:r>
        <w:rPr>
          <w:rFonts w:ascii="宋体" w:hAnsi="宋体" w:hint="eastAsia"/>
          <w:color w:val="000000"/>
          <w:sz w:val="24"/>
          <w:szCs w:val="24"/>
        </w:rPr>
        <w:t>编制完毕并</w:t>
      </w:r>
      <w:r>
        <w:rPr>
          <w:rFonts w:ascii="宋体" w:hAnsi="宋体"/>
          <w:color w:val="000000"/>
          <w:sz w:val="24"/>
          <w:szCs w:val="24"/>
        </w:rPr>
        <w:t>予以公告；中期报告在会计年度半年终了后2</w:t>
      </w:r>
      <w:r>
        <w:rPr>
          <w:rFonts w:ascii="宋体" w:hAnsi="宋体" w:hint="eastAsia"/>
          <w:color w:val="000000"/>
          <w:sz w:val="24"/>
          <w:szCs w:val="24"/>
        </w:rPr>
        <w:t>个月</w:t>
      </w:r>
      <w:r>
        <w:rPr>
          <w:rFonts w:ascii="宋体" w:hAnsi="宋体"/>
          <w:color w:val="000000"/>
          <w:sz w:val="24"/>
          <w:szCs w:val="24"/>
        </w:rPr>
        <w:t>内</w:t>
      </w:r>
      <w:r>
        <w:rPr>
          <w:rFonts w:ascii="宋体" w:hAnsi="宋体" w:hint="eastAsia"/>
          <w:color w:val="000000"/>
          <w:sz w:val="24"/>
          <w:szCs w:val="24"/>
        </w:rPr>
        <w:t>编制完毕并</w:t>
      </w:r>
      <w:r>
        <w:rPr>
          <w:rFonts w:ascii="宋体" w:hAnsi="宋体"/>
          <w:color w:val="000000"/>
          <w:sz w:val="24"/>
          <w:szCs w:val="24"/>
        </w:rPr>
        <w:t>予以公告；年度报告在会计年度结束后3</w:t>
      </w:r>
      <w:r>
        <w:rPr>
          <w:rFonts w:ascii="宋体" w:hAnsi="宋体" w:hint="eastAsia"/>
          <w:color w:val="000000"/>
          <w:sz w:val="24"/>
          <w:szCs w:val="24"/>
        </w:rPr>
        <w:t>个月内编制完毕并</w:t>
      </w:r>
      <w:r>
        <w:rPr>
          <w:rFonts w:ascii="宋体" w:hAnsi="宋体"/>
          <w:color w:val="000000"/>
          <w:sz w:val="24"/>
          <w:szCs w:val="24"/>
        </w:rPr>
        <w:t>予以公告。基金合同生效不足</w:t>
      </w:r>
      <w:r>
        <w:rPr>
          <w:rFonts w:ascii="宋体" w:hAnsi="宋体" w:hint="eastAsia"/>
          <w:color w:val="000000"/>
          <w:sz w:val="24"/>
          <w:szCs w:val="24"/>
        </w:rPr>
        <w:t>2</w:t>
      </w:r>
      <w:r>
        <w:rPr>
          <w:rFonts w:ascii="宋体" w:hAnsi="宋体"/>
          <w:color w:val="000000"/>
          <w:sz w:val="24"/>
          <w:szCs w:val="24"/>
        </w:rPr>
        <w:t>个月的，基金管理人可以不编制当期季度报告、中期报告或者年度报告。</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w:t>
      </w:r>
      <w:r>
        <w:rPr>
          <w:rFonts w:ascii="宋体" w:hAnsi="宋体" w:hint="eastAsia"/>
          <w:color w:val="000000"/>
          <w:sz w:val="24"/>
          <w:szCs w:val="24"/>
        </w:rPr>
        <w:t>专用</w:t>
      </w:r>
      <w:r>
        <w:rPr>
          <w:rFonts w:ascii="宋体" w:hAnsi="宋体"/>
          <w:color w:val="000000"/>
          <w:sz w:val="24"/>
          <w:szCs w:val="24"/>
        </w:rPr>
        <w:t>章或者出具加盖托管业务专用章的复核意见书</w:t>
      </w:r>
      <w:r>
        <w:rPr>
          <w:rFonts w:ascii="宋体" w:hAnsi="宋体" w:hint="eastAsia"/>
          <w:sz w:val="24"/>
          <w:szCs w:val="24"/>
        </w:rPr>
        <w:t>或进行电子确认</w:t>
      </w:r>
      <w:r>
        <w:rPr>
          <w:rFonts w:ascii="宋体" w:hAnsi="宋体"/>
          <w:color w:val="000000"/>
          <w:sz w:val="24"/>
          <w:szCs w:val="24"/>
        </w:rPr>
        <w:t>，双方各自留存一份。如果基金管理人与基金托管人不能</w:t>
      </w:r>
      <w:proofErr w:type="gramStart"/>
      <w:r>
        <w:rPr>
          <w:rFonts w:ascii="宋体" w:hAnsi="宋体"/>
          <w:color w:val="000000"/>
          <w:sz w:val="24"/>
          <w:szCs w:val="24"/>
        </w:rPr>
        <w:t>于应当</w:t>
      </w:r>
      <w:proofErr w:type="gramEnd"/>
      <w:r>
        <w:rPr>
          <w:rFonts w:ascii="宋体" w:hAnsi="宋体"/>
          <w:color w:val="000000"/>
          <w:sz w:val="24"/>
          <w:szCs w:val="24"/>
        </w:rPr>
        <w:t>发布公告之日之前就相关报表达成一致，基金管理人有权按照其编制的报表对外发布公告，基金托管人有权就相关情况报中国证监会备案。</w:t>
      </w:r>
    </w:p>
    <w:p w:rsidR="005226C6" w:rsidRDefault="004A7AC5">
      <w:pPr>
        <w:adjustRightInd w:val="0"/>
        <w:snapToGrid w:val="0"/>
        <w:spacing w:line="360" w:lineRule="auto"/>
        <w:ind w:firstLineChars="200" w:firstLine="480"/>
        <w:outlineLvl w:val="0"/>
        <w:rPr>
          <w:rFonts w:ascii="宋体" w:hAnsi="宋体"/>
          <w:sz w:val="24"/>
          <w:szCs w:val="24"/>
        </w:rPr>
      </w:pPr>
      <w:r>
        <w:rPr>
          <w:rFonts w:ascii="宋体" w:hAnsi="宋体"/>
          <w:sz w:val="24"/>
          <w:szCs w:val="24"/>
        </w:rPr>
        <w:t>（八）基金管理人应每</w:t>
      </w:r>
      <w:r>
        <w:rPr>
          <w:rFonts w:ascii="宋体" w:hAnsi="宋体" w:hint="eastAsia"/>
          <w:sz w:val="24"/>
          <w:szCs w:val="24"/>
        </w:rPr>
        <w:t>季</w:t>
      </w:r>
      <w:r>
        <w:rPr>
          <w:rFonts w:ascii="宋体" w:hAnsi="宋体"/>
          <w:sz w:val="24"/>
          <w:szCs w:val="24"/>
        </w:rPr>
        <w:t>向基金托管人提供基金业绩比较基准的基础数据和编制结果。</w:t>
      </w:r>
    </w:p>
    <w:p w:rsidR="005226C6" w:rsidRDefault="004A7AC5">
      <w:pPr>
        <w:pStyle w:val="2"/>
        <w:spacing w:line="360" w:lineRule="auto"/>
        <w:jc w:val="center"/>
        <w:rPr>
          <w:rFonts w:ascii="宋体" w:eastAsia="宋体" w:hAnsi="宋体"/>
          <w:color w:val="000000"/>
          <w:sz w:val="24"/>
          <w:szCs w:val="24"/>
        </w:rPr>
      </w:pPr>
      <w:bookmarkStart w:id="100" w:name="_Toc145818943"/>
      <w:bookmarkStart w:id="101" w:name="_Hlk153462249"/>
      <w:r>
        <w:rPr>
          <w:rFonts w:ascii="宋体" w:eastAsia="宋体" w:hAnsi="宋体"/>
          <w:color w:val="000000"/>
          <w:sz w:val="24"/>
          <w:szCs w:val="24"/>
        </w:rPr>
        <w:t>九、基金收益分配</w:t>
      </w:r>
      <w:bookmarkEnd w:id="100"/>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1、在符合有关基金分红条件的前提下，基金管理人可以根据实际情况进行</w:t>
      </w:r>
      <w:r>
        <w:rPr>
          <w:rFonts w:ascii="宋体" w:hAnsi="宋体" w:hint="eastAsia"/>
          <w:color w:val="000000"/>
          <w:sz w:val="24"/>
          <w:szCs w:val="24"/>
        </w:rPr>
        <w:lastRenderedPageBreak/>
        <w:t>收益分配，具体分配方案详见届时基金管理人发布的公告，若《基金合同》生效不满3个月可不进行收益分配；</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管理人可每月评估是否进行收益分配。基金管理人可每月对基金相对业绩比较基准的超额收益率以及基金的可供分配利润进行评价，在符合基金收益分配条件下，可安排收益分配。收益分配条件、评估时间、分配时间、分配方案及每次基金收益分配数额等内容，基金管理人可以根据实际情况确定并按照有关规定公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3、本基金收益分配方式分两种：现金分红与红利再投资，投资者可选择现金红利或将现金红利自动转为相应类别的基金份额进行再投资；若投资者不选择，本基金默认的收益分配方式是现金分红；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4、由于本基金A类基金份额不收取销售服务费，而C类基金份额收取销售服务费，各基金份额类别对应的可供分配利润将有所不同。本基金同一类别的每一基金份额享有同等分配权；</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5、法律法规或监管机关另有规定的，从其规定。</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登记机构可在法律法规允许、对基金份额持有人利益无实质性不利影响的前提下，按照监管部门要求履行适当程序后，经与基金托管人协商一致酌情调整以上基金收益分配原则，但应于变更实施日前在规定媒介公告。</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（二）基金收益分配</w:t>
      </w:r>
      <w:r>
        <w:rPr>
          <w:rFonts w:ascii="宋体" w:hAnsi="宋体" w:hint="eastAsia"/>
          <w:color w:val="000000"/>
          <w:sz w:val="24"/>
          <w:szCs w:val="24"/>
        </w:rPr>
        <w:t>方案</w:t>
      </w:r>
      <w:r>
        <w:rPr>
          <w:rFonts w:ascii="宋体" w:hAnsi="宋体"/>
          <w:color w:val="000000"/>
          <w:sz w:val="24"/>
          <w:szCs w:val="24"/>
        </w:rPr>
        <w:t>的</w:t>
      </w:r>
      <w:r>
        <w:rPr>
          <w:rFonts w:ascii="宋体" w:hAnsi="宋体" w:hint="eastAsia"/>
          <w:sz w:val="24"/>
          <w:szCs w:val="24"/>
        </w:rPr>
        <w:t>确定、公告与实施</w:t>
      </w:r>
    </w:p>
    <w:p w:rsidR="005226C6" w:rsidRDefault="004A7AC5">
      <w:pPr>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本基金收益分配方案由基金管理人拟定、由基金托管人核实后确定，基金管理人按法律法规的规定公告。</w:t>
      </w:r>
    </w:p>
    <w:p w:rsidR="005226C6" w:rsidRDefault="004A7AC5">
      <w:pPr>
        <w:adjustRightInd w:val="0"/>
        <w:snapToGrid w:val="0"/>
        <w:spacing w:line="360" w:lineRule="auto"/>
        <w:ind w:firstLineChars="200" w:firstLine="480"/>
        <w:outlineLvl w:val="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在分配方案公布后(依据具体方案的规定)，基金管理人就支付的现金红利向基金托管人发送划款指令，基金托管人按照基金管理人的指令及时进行分红资金的划付。</w:t>
      </w:r>
    </w:p>
    <w:p w:rsidR="005226C6" w:rsidRDefault="004A7AC5">
      <w:pPr>
        <w:spacing w:line="360" w:lineRule="auto"/>
        <w:ind w:firstLineChars="200" w:firstLine="480"/>
        <w:rPr>
          <w:rFonts w:ascii="宋体" w:hAnsi="宋体"/>
          <w:sz w:val="24"/>
          <w:szCs w:val="24"/>
        </w:rPr>
      </w:pPr>
      <w:r>
        <w:rPr>
          <w:rFonts w:ascii="宋体" w:hAnsi="宋体" w:hint="eastAsia"/>
          <w:sz w:val="24"/>
          <w:szCs w:val="24"/>
        </w:rPr>
        <w:t>3、法律法规或监管机关另有规定的，从其规定。</w:t>
      </w:r>
    </w:p>
    <w:bookmarkEnd w:id="101"/>
    <w:p w:rsidR="005226C6" w:rsidRDefault="005226C6">
      <w:pPr>
        <w:snapToGrid w:val="0"/>
        <w:spacing w:line="460" w:lineRule="exact"/>
        <w:rPr>
          <w:rFonts w:ascii="宋体" w:hAnsi="宋体"/>
          <w:color w:val="000000"/>
          <w:sz w:val="24"/>
          <w:szCs w:val="24"/>
        </w:rPr>
      </w:pPr>
    </w:p>
    <w:p w:rsidR="005226C6" w:rsidRDefault="004A7AC5">
      <w:pPr>
        <w:pStyle w:val="2"/>
        <w:spacing w:line="360" w:lineRule="auto"/>
        <w:ind w:firstLineChars="946" w:firstLine="2279"/>
        <w:rPr>
          <w:rFonts w:ascii="宋体" w:eastAsia="宋体" w:hAnsi="宋体"/>
          <w:color w:val="000000"/>
          <w:sz w:val="24"/>
          <w:szCs w:val="24"/>
        </w:rPr>
      </w:pPr>
      <w:bookmarkStart w:id="102" w:name="_Toc145818944"/>
      <w:r>
        <w:rPr>
          <w:rFonts w:ascii="宋体" w:eastAsia="宋体" w:hAnsi="宋体"/>
          <w:color w:val="000000"/>
          <w:sz w:val="24"/>
          <w:szCs w:val="24"/>
        </w:rPr>
        <w:t>十、基金信息披露</w:t>
      </w:r>
      <w:bookmarkEnd w:id="102"/>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（一）保密义务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基金托管人和基金管理人应按法律法规、基金合同的有关规定进行信息披露，拟公开披露的信息在公开披露之前应予保密。除按《基金法》、《信息披露办法》</w:t>
      </w:r>
      <w:r>
        <w:rPr>
          <w:rFonts w:ascii="宋体" w:hAnsi="宋体" w:hint="eastAsia"/>
          <w:color w:val="000000"/>
          <w:sz w:val="24"/>
          <w:szCs w:val="24"/>
        </w:rPr>
        <w:t>、</w:t>
      </w:r>
      <w:r>
        <w:rPr>
          <w:rFonts w:ascii="宋体" w:hAnsi="宋体"/>
          <w:color w:val="000000"/>
          <w:sz w:val="24"/>
          <w:szCs w:val="24"/>
        </w:rPr>
        <w:lastRenderedPageBreak/>
        <w:t>基金合同、及其他有关规定进行信息披露外，基金管理人和基金托管人对基金运作中产生的信息以及从对方获得的业务信息应予保密。</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w:t>
      </w:r>
      <w:proofErr w:type="gramStart"/>
      <w:r>
        <w:rPr>
          <w:rFonts w:ascii="宋体" w:hAnsi="宋体" w:hint="eastAsia"/>
          <w:color w:val="000000"/>
          <w:sz w:val="24"/>
          <w:szCs w:val="24"/>
        </w:rPr>
        <w:t>合法履行</w:t>
      </w:r>
      <w:proofErr w:type="gramEnd"/>
      <w:r>
        <w:rPr>
          <w:rFonts w:ascii="宋体" w:hAnsi="宋体" w:hint="eastAsia"/>
          <w:color w:val="000000"/>
          <w:sz w:val="24"/>
          <w:szCs w:val="24"/>
        </w:rPr>
        <w:t>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（1）非因基金管理人和基金托管人的原因导致保密信息被披露、泄露或公开；</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（2）基金管理人和基金托管人为遵守和服从法院判决或裁定、仲裁裁决或中国证监会等监管机构的命令、决定所做出的信息披露或公开。</w:t>
      </w:r>
    </w:p>
    <w:p w:rsidR="005226C6" w:rsidRDefault="005226C6">
      <w:pPr>
        <w:adjustRightInd w:val="0"/>
        <w:snapToGrid w:val="0"/>
        <w:spacing w:line="360" w:lineRule="auto"/>
        <w:ind w:firstLineChars="200" w:firstLine="480"/>
        <w:rPr>
          <w:rFonts w:ascii="宋体" w:hAnsi="宋体"/>
          <w:color w:val="000000"/>
          <w:sz w:val="24"/>
          <w:szCs w:val="24"/>
        </w:rPr>
      </w:pP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（二）信息披露的内容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基金的信息披露主要包括基金招募说明书、基金合同、托管协议</w:t>
      </w:r>
      <w:r>
        <w:rPr>
          <w:rFonts w:ascii="宋体" w:hAnsi="宋体" w:hint="eastAsia"/>
          <w:color w:val="000000"/>
          <w:sz w:val="24"/>
          <w:szCs w:val="24"/>
        </w:rPr>
        <w:t>、基金产品资料概要</w:t>
      </w:r>
      <w:r>
        <w:rPr>
          <w:rFonts w:ascii="宋体" w:hAnsi="宋体"/>
          <w:color w:val="000000"/>
          <w:sz w:val="24"/>
          <w:szCs w:val="24"/>
        </w:rPr>
        <w:t>、基金份额发售公告、基金合同生效公告、基金净值</w:t>
      </w:r>
      <w:r>
        <w:rPr>
          <w:rFonts w:ascii="宋体" w:hAnsi="宋体" w:hint="eastAsia"/>
          <w:color w:val="000000"/>
          <w:sz w:val="24"/>
          <w:szCs w:val="24"/>
        </w:rPr>
        <w:t>信息</w:t>
      </w:r>
      <w:r>
        <w:rPr>
          <w:rFonts w:ascii="宋体" w:hAnsi="宋体"/>
          <w:color w:val="000000"/>
          <w:sz w:val="24"/>
          <w:szCs w:val="24"/>
        </w:rPr>
        <w:t>、</w:t>
      </w:r>
      <w:r>
        <w:rPr>
          <w:rFonts w:ascii="宋体" w:hAnsi="宋体" w:hint="eastAsia"/>
          <w:color w:val="000000"/>
          <w:sz w:val="24"/>
          <w:szCs w:val="24"/>
        </w:rPr>
        <w:t>基金份额申购、赎回价格、</w:t>
      </w:r>
      <w:r>
        <w:rPr>
          <w:rFonts w:ascii="宋体" w:hAnsi="宋体"/>
          <w:color w:val="000000"/>
          <w:sz w:val="24"/>
          <w:szCs w:val="24"/>
        </w:rPr>
        <w:t>基金定期报告</w:t>
      </w:r>
      <w:r>
        <w:rPr>
          <w:rFonts w:ascii="宋体" w:hAnsi="宋体" w:hint="eastAsia"/>
          <w:color w:val="000000"/>
          <w:sz w:val="24"/>
          <w:szCs w:val="24"/>
        </w:rPr>
        <w:t>：</w:t>
      </w:r>
      <w:r>
        <w:rPr>
          <w:rFonts w:ascii="宋体" w:hAnsi="宋体"/>
          <w:color w:val="000000"/>
          <w:sz w:val="24"/>
          <w:szCs w:val="24"/>
        </w:rPr>
        <w:t>包括基金年度报告、基金中期报告和基金季度报告</w:t>
      </w:r>
      <w:r>
        <w:rPr>
          <w:rFonts w:ascii="宋体" w:hAnsi="宋体" w:hint="eastAsia"/>
          <w:color w:val="000000"/>
          <w:sz w:val="24"/>
          <w:szCs w:val="24"/>
        </w:rPr>
        <w:t>，以及</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投资股指期货/股票期权/资产支持证券/存托凭证/目标ETF的信息披露、参与融资/转融通证券出借业务的信息披露、实施</w:t>
      </w:r>
      <w:proofErr w:type="gramStart"/>
      <w:r>
        <w:rPr>
          <w:rFonts w:ascii="宋体" w:hAnsi="宋体" w:hint="eastAsia"/>
          <w:color w:val="000000"/>
          <w:sz w:val="24"/>
          <w:szCs w:val="24"/>
        </w:rPr>
        <w:t>侧袋机制</w:t>
      </w:r>
      <w:proofErr w:type="gramEnd"/>
      <w:r>
        <w:rPr>
          <w:rFonts w:ascii="宋体" w:hAnsi="宋体" w:hint="eastAsia"/>
          <w:color w:val="000000"/>
          <w:sz w:val="24"/>
          <w:szCs w:val="24"/>
        </w:rPr>
        <w:t>期间的信息披露、清算报告、</w:t>
      </w:r>
      <w:r>
        <w:rPr>
          <w:rFonts w:ascii="宋体" w:hAnsi="宋体"/>
          <w:color w:val="000000"/>
          <w:sz w:val="24"/>
          <w:szCs w:val="24"/>
        </w:rPr>
        <w:t>中国证监会规定的其他信息。基金年度报告</w:t>
      </w:r>
      <w:r>
        <w:rPr>
          <w:rFonts w:ascii="宋体" w:hAnsi="宋体" w:hint="eastAsia"/>
          <w:color w:val="000000"/>
          <w:sz w:val="24"/>
          <w:szCs w:val="24"/>
        </w:rPr>
        <w:t>中的财务会计报告</w:t>
      </w:r>
      <w:r>
        <w:rPr>
          <w:rFonts w:ascii="宋体" w:hAnsi="宋体"/>
          <w:color w:val="000000"/>
          <w:sz w:val="24"/>
          <w:szCs w:val="24"/>
        </w:rPr>
        <w:t>需</w:t>
      </w:r>
      <w:proofErr w:type="gramStart"/>
      <w:r>
        <w:rPr>
          <w:rFonts w:ascii="宋体" w:hAnsi="宋体"/>
          <w:color w:val="000000"/>
          <w:sz w:val="24"/>
          <w:szCs w:val="24"/>
        </w:rPr>
        <w:t>经</w:t>
      </w:r>
      <w:r>
        <w:rPr>
          <w:rFonts w:hint="eastAsia"/>
          <w:bCs/>
          <w:sz w:val="24"/>
        </w:rPr>
        <w:t>符合</w:t>
      </w:r>
      <w:proofErr w:type="gramEnd"/>
      <w:r>
        <w:rPr>
          <w:rFonts w:hint="eastAsia"/>
          <w:bCs/>
          <w:sz w:val="24"/>
        </w:rPr>
        <w:t>《证券法》规定</w:t>
      </w:r>
      <w:r>
        <w:rPr>
          <w:rFonts w:ascii="宋体" w:hAnsi="宋体"/>
          <w:color w:val="000000"/>
          <w:sz w:val="24"/>
          <w:szCs w:val="24"/>
        </w:rPr>
        <w:t>的会计师事务所审计后，方可披露。</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1</w:t>
      </w:r>
      <w:r>
        <w:rPr>
          <w:rFonts w:ascii="宋体" w:hAnsi="宋体" w:hint="eastAsia"/>
          <w:sz w:val="24"/>
          <w:szCs w:val="24"/>
        </w:rPr>
        <w:t>、</w:t>
      </w:r>
      <w:r>
        <w:rPr>
          <w:rFonts w:ascii="宋体" w:hAnsi="宋体"/>
          <w:color w:val="000000"/>
          <w:sz w:val="24"/>
          <w:szCs w:val="24"/>
        </w:rPr>
        <w:t>职责</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基金管理人应当在中国证监会规定的时间内，将应予披露的基金信息通过</w:t>
      </w:r>
      <w:r>
        <w:rPr>
          <w:rFonts w:ascii="宋体" w:hAnsi="宋体" w:hint="eastAsia"/>
          <w:color w:val="000000"/>
          <w:sz w:val="24"/>
          <w:szCs w:val="24"/>
        </w:rPr>
        <w:t>规定报刊</w:t>
      </w:r>
      <w:r>
        <w:rPr>
          <w:rFonts w:ascii="宋体" w:hAnsi="宋体"/>
          <w:color w:val="000000"/>
          <w:sz w:val="24"/>
          <w:szCs w:val="24"/>
        </w:rPr>
        <w:t>和基金管理人的互联网网站等媒介披露。根据法律法规应由基金托管人公开披露的信息，基金托管人将通过</w:t>
      </w:r>
      <w:r>
        <w:rPr>
          <w:rFonts w:ascii="宋体" w:hAnsi="宋体" w:hint="eastAsia"/>
          <w:color w:val="000000"/>
          <w:sz w:val="24"/>
          <w:szCs w:val="24"/>
        </w:rPr>
        <w:t>规定媒介</w:t>
      </w:r>
      <w:r>
        <w:rPr>
          <w:rFonts w:ascii="宋体" w:hAnsi="宋体"/>
          <w:color w:val="000000"/>
          <w:sz w:val="24"/>
          <w:szCs w:val="24"/>
        </w:rPr>
        <w:t>公开披露。</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w:t>
      </w:r>
      <w:r>
        <w:rPr>
          <w:rFonts w:ascii="宋体" w:hAnsi="宋体" w:hint="eastAsia"/>
          <w:color w:val="000000"/>
          <w:sz w:val="24"/>
          <w:szCs w:val="24"/>
        </w:rPr>
        <w:t>相关</w:t>
      </w:r>
      <w:r>
        <w:rPr>
          <w:rFonts w:ascii="宋体" w:hAnsi="宋体"/>
          <w:color w:val="000000"/>
          <w:sz w:val="24"/>
          <w:szCs w:val="24"/>
        </w:rPr>
        <w:t>信</w:t>
      </w:r>
      <w:r>
        <w:rPr>
          <w:rFonts w:ascii="宋体" w:hAnsi="宋体"/>
          <w:color w:val="000000"/>
          <w:sz w:val="24"/>
          <w:szCs w:val="24"/>
        </w:rPr>
        <w:lastRenderedPageBreak/>
        <w:t>息：</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(1)不可抗力；</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基金投资所涉及的证券/期货交易市场遇法定节假日或因其他原因暂停营业时；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当特定资产占前一估值日基金资产净值50%以上的，经与基金托管人协商确认后暂停估值的；</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(4)法律法规、基金合同或中国证监会规定的情况。</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2</w:t>
      </w:r>
      <w:r>
        <w:rPr>
          <w:rFonts w:ascii="宋体" w:hAnsi="宋体" w:hint="eastAsia"/>
          <w:sz w:val="24"/>
          <w:szCs w:val="24"/>
        </w:rPr>
        <w:t>、</w:t>
      </w:r>
      <w:r>
        <w:rPr>
          <w:rFonts w:ascii="宋体" w:hAnsi="宋体"/>
          <w:color w:val="000000"/>
          <w:sz w:val="24"/>
          <w:szCs w:val="24"/>
        </w:rPr>
        <w:t>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3</w:t>
      </w:r>
      <w:r>
        <w:rPr>
          <w:rFonts w:ascii="宋体" w:hAnsi="宋体" w:hint="eastAsia"/>
          <w:sz w:val="24"/>
          <w:szCs w:val="24"/>
        </w:rPr>
        <w:t>、</w:t>
      </w:r>
      <w:r>
        <w:rPr>
          <w:rFonts w:ascii="宋体" w:hAnsi="宋体"/>
          <w:color w:val="000000"/>
          <w:sz w:val="24"/>
          <w:szCs w:val="24"/>
        </w:rPr>
        <w:t>信息文本的存放</w:t>
      </w:r>
    </w:p>
    <w:p w:rsidR="005226C6" w:rsidRDefault="004A7AC5">
      <w:pPr>
        <w:spacing w:line="360" w:lineRule="auto"/>
        <w:ind w:firstLineChars="200" w:firstLine="480"/>
        <w:rPr>
          <w:rFonts w:ascii="宋体" w:hAnsi="宋体"/>
          <w:sz w:val="24"/>
          <w:szCs w:val="24"/>
        </w:rPr>
      </w:pPr>
      <w:r>
        <w:rPr>
          <w:rFonts w:hint="eastAsia"/>
          <w:bCs/>
          <w:sz w:val="24"/>
        </w:rPr>
        <w:t>依法必须披露的信息发布后，基金管理人、基金托管人应当按照相关法律法规规定将信息置备于各自住所，供社会公众查阅、复制。</w:t>
      </w:r>
    </w:p>
    <w:p w:rsidR="005226C6" w:rsidRDefault="004A7AC5">
      <w:pPr>
        <w:pStyle w:val="a0"/>
        <w:spacing w:line="360" w:lineRule="auto"/>
        <w:ind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5226C6" w:rsidRDefault="004A7AC5">
      <w:pPr>
        <w:pStyle w:val="2"/>
        <w:spacing w:line="360" w:lineRule="auto"/>
        <w:jc w:val="center"/>
        <w:rPr>
          <w:rFonts w:ascii="宋体" w:eastAsia="宋体" w:hAnsi="宋体"/>
          <w:color w:val="000000"/>
          <w:sz w:val="24"/>
          <w:szCs w:val="24"/>
        </w:rPr>
      </w:pPr>
      <w:bookmarkStart w:id="103" w:name="_Toc145818945"/>
      <w:r>
        <w:rPr>
          <w:rFonts w:ascii="宋体" w:eastAsia="宋体" w:hAnsi="宋体"/>
          <w:color w:val="000000"/>
          <w:sz w:val="24"/>
          <w:szCs w:val="24"/>
        </w:rPr>
        <w:t>十一、基金费用</w:t>
      </w:r>
      <w:bookmarkEnd w:id="103"/>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（一）基金管理人的管理费 </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w:t>
      </w:r>
      <w:proofErr w:type="gramStart"/>
      <w:r>
        <w:rPr>
          <w:rFonts w:ascii="宋体" w:hAnsi="宋体" w:hint="eastAsia"/>
          <w:color w:val="000000"/>
          <w:sz w:val="24"/>
          <w:szCs w:val="24"/>
        </w:rPr>
        <w:t>基金基金</w:t>
      </w:r>
      <w:proofErr w:type="gramEnd"/>
      <w:r>
        <w:rPr>
          <w:rFonts w:ascii="宋体" w:hAnsi="宋体" w:hint="eastAsia"/>
          <w:color w:val="000000"/>
          <w:sz w:val="24"/>
          <w:szCs w:val="24"/>
        </w:rPr>
        <w:t>财产中投资于目标ETF的部分不收取管理费。本基金的管理费按前一日基金资产净值扣除所持有目标ETF基金份额部分基金资产后的余额（若为负数，则取0）的0.15%年费率计提。管理费的计算方法如下：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H＝E×0.15%÷当年天数</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H为每日应计提的基金管理费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E为前一日的基金资产净值扣除前一日所持有目标ETF基金份额部分基金资产后的余额（若为负数，则E取0）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基金管理费每日计算，逐日累计至每月月末，按月支付，由基金托管人根据与基金管理人核对一致的财务数据，自动在月初5</w:t>
      </w:r>
      <w:proofErr w:type="gramStart"/>
      <w:r>
        <w:rPr>
          <w:rFonts w:ascii="宋体" w:hAnsi="宋体" w:hint="eastAsia"/>
          <w:color w:val="000000"/>
          <w:sz w:val="24"/>
          <w:szCs w:val="24"/>
        </w:rPr>
        <w:t>个</w:t>
      </w:r>
      <w:proofErr w:type="gramEnd"/>
      <w:r>
        <w:rPr>
          <w:rFonts w:ascii="宋体" w:hAnsi="宋体" w:hint="eastAsia"/>
          <w:color w:val="000000"/>
          <w:sz w:val="24"/>
          <w:szCs w:val="24"/>
        </w:rPr>
        <w:t>工作日内、按照指定的账户路径进行资金支付，基金管理人无需再出具资金划拨指令。基金管理人应与基金</w:t>
      </w:r>
      <w:r>
        <w:rPr>
          <w:rFonts w:ascii="宋体" w:hAnsi="宋体" w:hint="eastAsia"/>
          <w:color w:val="000000"/>
          <w:sz w:val="24"/>
          <w:szCs w:val="24"/>
        </w:rPr>
        <w:lastRenderedPageBreak/>
        <w:t>托管人另行签订自动支付授权委托书，并确保支付当日账户余额充足，如因资金余额不足造成自动支付无法进行，基金管理人应另行出具划款指令。若遇法定节假日、公休假或不可抗力等，支付日期顺延。费用自动扣划后，基金管理人应进行核对，如发现数据不符，及时联系基金托管人协商解决。</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（二）基金托管人的托管费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w:t>
      </w:r>
      <w:proofErr w:type="gramStart"/>
      <w:r>
        <w:rPr>
          <w:rFonts w:ascii="宋体" w:hAnsi="宋体" w:hint="eastAsia"/>
          <w:color w:val="000000"/>
          <w:sz w:val="24"/>
          <w:szCs w:val="24"/>
        </w:rPr>
        <w:t>基金基金</w:t>
      </w:r>
      <w:proofErr w:type="gramEnd"/>
      <w:r>
        <w:rPr>
          <w:rFonts w:ascii="宋体" w:hAnsi="宋体" w:hint="eastAsia"/>
          <w:color w:val="000000"/>
          <w:sz w:val="24"/>
          <w:szCs w:val="24"/>
        </w:rPr>
        <w:t>财产中投资于目标ETF的部分不收取托管费。本基金的托管费按前一日基金资产净值扣除所持有目标ETF基金份额部分基金资产后的余额（若为负数，则取0）的0.05%的年费率计提。托管费的计算方法如下：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H＝E×0.05%÷当年天数</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H为每日应计提的基金托管费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E为前一日的基金资产净值扣除前一日所持有目标ETF基金份额部分基金资产后的余额（若为负数，则E取0）</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基金托管费每日计算，逐日累计至每月月末，按月支付，由基金托管人根据与基金管理人核对一致的财务数据，自动在月初5</w:t>
      </w:r>
      <w:proofErr w:type="gramStart"/>
      <w:r>
        <w:rPr>
          <w:rFonts w:ascii="宋体" w:hAnsi="宋体" w:hint="eastAsia"/>
          <w:color w:val="000000"/>
          <w:sz w:val="24"/>
          <w:szCs w:val="24"/>
        </w:rPr>
        <w:t>个</w:t>
      </w:r>
      <w:proofErr w:type="gramEnd"/>
      <w:r>
        <w:rPr>
          <w:rFonts w:ascii="宋体" w:hAnsi="宋体" w:hint="eastAsia"/>
          <w:color w:val="000000"/>
          <w:sz w:val="24"/>
          <w:szCs w:val="24"/>
        </w:rPr>
        <w:t>工作日内、按照指定的账户路径进行资金支付，基金管理人无需再出具资金划拨指令。基金管理人应与基金托管人另行签订自动支付授权委托书，并确保支付当日账户余额充足，如因资金余额不足造成自动支付无法进行，基金管理人应另行出具划款指令。若遇法定节假日、公休假或不可抗力等，支付日期顺延。费用自动扣划后，基金管理人应进行核对，如发现数据不符，及时联系基金托管人协商解决。</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（三）从C类基金份额的基金财产中计提的销售服务费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本基金A类基金份额不收取销售服务费，C类基金份额的销售服务费年费率为0.2%。本基金销售服务费按前一日C类基金份额的基金资产净值的0.2%年费率计提。销售服务费的计算方法如下：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H＝E×年销售服务费率÷当年天数</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H为C类基金份额每日应计提的基金销售服务费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E为C类基金份额前一日基金资产净值</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销售服务费每日计算，逐日累计至每月月末，按月支付，由基金托管人根据与基金管理人核对一致的财务数据，自动在月初5</w:t>
      </w:r>
      <w:proofErr w:type="gramStart"/>
      <w:r>
        <w:rPr>
          <w:rFonts w:ascii="宋体" w:hAnsi="宋体" w:hint="eastAsia"/>
          <w:color w:val="000000"/>
          <w:sz w:val="24"/>
          <w:szCs w:val="24"/>
        </w:rPr>
        <w:t>个</w:t>
      </w:r>
      <w:proofErr w:type="gramEnd"/>
      <w:r>
        <w:rPr>
          <w:rFonts w:ascii="宋体" w:hAnsi="宋体" w:hint="eastAsia"/>
          <w:color w:val="000000"/>
          <w:sz w:val="24"/>
          <w:szCs w:val="24"/>
        </w:rPr>
        <w:t>工作日内、按照指定的账户路径进行资金支付，基金管理人无需再出具资金划拨指令。基金管理人应与基金托管人另行签订自动支付授权委托书，并确保支付当日账户余额充足，如因资金</w:t>
      </w:r>
      <w:r>
        <w:rPr>
          <w:rFonts w:ascii="宋体" w:hAnsi="宋体" w:hint="eastAsia"/>
          <w:color w:val="000000"/>
          <w:sz w:val="24"/>
          <w:szCs w:val="24"/>
        </w:rPr>
        <w:lastRenderedPageBreak/>
        <w:t>余额不足造成自动支付无法进行，基金管理人应另行出具划款指令。若遇法定节假日、公休假或不可抗力等，支付日期顺延。费用自动扣划后，基金管理人应进行核对，如发现数据不符，及时联系基金托管人协商解决。</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银行汇划费用、基金的证券</w:t>
      </w:r>
      <w:r>
        <w:rPr>
          <w:rFonts w:hint="eastAsia"/>
          <w:bCs/>
          <w:sz w:val="24"/>
        </w:rPr>
        <w:t>/</w:t>
      </w:r>
      <w:r>
        <w:rPr>
          <w:rFonts w:hint="eastAsia"/>
          <w:bCs/>
          <w:sz w:val="24"/>
        </w:rPr>
        <w:t>期货</w:t>
      </w:r>
      <w:r>
        <w:rPr>
          <w:bCs/>
          <w:sz w:val="24"/>
        </w:rPr>
        <w:t>/</w:t>
      </w:r>
      <w:r>
        <w:rPr>
          <w:bCs/>
          <w:sz w:val="24"/>
        </w:rPr>
        <w:t>期权</w:t>
      </w:r>
      <w:r>
        <w:rPr>
          <w:rFonts w:ascii="宋体" w:hAnsi="宋体" w:hint="eastAsia"/>
          <w:color w:val="000000"/>
          <w:sz w:val="24"/>
          <w:szCs w:val="24"/>
        </w:rPr>
        <w:t>交易费用、相关账户开户及维护费、基金合同生效后与基金相关的</w:t>
      </w:r>
      <w:r>
        <w:rPr>
          <w:rFonts w:ascii="宋体" w:hAnsi="宋体"/>
          <w:color w:val="000000"/>
          <w:sz w:val="24"/>
          <w:szCs w:val="24"/>
        </w:rPr>
        <w:t>信息披露费用、基金份额持有人大会费用、</w:t>
      </w:r>
      <w:r>
        <w:rPr>
          <w:rFonts w:ascii="宋体" w:hAnsi="宋体" w:hint="eastAsia"/>
          <w:color w:val="000000"/>
          <w:sz w:val="24"/>
          <w:szCs w:val="24"/>
        </w:rPr>
        <w:t>基金合同生效后与基金相关的</w:t>
      </w:r>
      <w:r>
        <w:rPr>
          <w:rFonts w:ascii="宋体" w:hAnsi="宋体"/>
          <w:color w:val="000000"/>
          <w:sz w:val="24"/>
          <w:szCs w:val="24"/>
        </w:rPr>
        <w:t>会计师</w:t>
      </w:r>
      <w:r>
        <w:rPr>
          <w:rFonts w:ascii="宋体" w:hAnsi="宋体" w:hint="eastAsia"/>
          <w:color w:val="000000"/>
          <w:sz w:val="24"/>
          <w:szCs w:val="24"/>
        </w:rPr>
        <w:t>费、</w:t>
      </w:r>
      <w:r>
        <w:rPr>
          <w:rFonts w:ascii="宋体" w:hAnsi="宋体"/>
          <w:color w:val="000000"/>
          <w:sz w:val="24"/>
          <w:szCs w:val="24"/>
        </w:rPr>
        <w:t>律师费</w:t>
      </w:r>
      <w:r>
        <w:rPr>
          <w:rFonts w:ascii="宋体" w:hAnsi="宋体" w:hint="eastAsia"/>
          <w:color w:val="000000"/>
          <w:sz w:val="24"/>
          <w:szCs w:val="24"/>
        </w:rPr>
        <w:t>、</w:t>
      </w:r>
      <w:r>
        <w:rPr>
          <w:rFonts w:hint="eastAsia"/>
          <w:bCs/>
          <w:sz w:val="24"/>
        </w:rPr>
        <w:t>公证费、</w:t>
      </w:r>
      <w:r>
        <w:rPr>
          <w:bCs/>
          <w:sz w:val="24"/>
        </w:rPr>
        <w:t>诉讼费</w:t>
      </w:r>
      <w:r>
        <w:rPr>
          <w:rFonts w:hint="eastAsia"/>
          <w:bCs/>
          <w:sz w:val="24"/>
        </w:rPr>
        <w:t>和仲裁费、因参与融资及转融通证券出借业务而产生的各项合理费用、基金投资目标</w:t>
      </w:r>
      <w:r>
        <w:rPr>
          <w:rFonts w:hint="eastAsia"/>
          <w:bCs/>
          <w:sz w:val="24"/>
        </w:rPr>
        <w:t>ETF</w:t>
      </w:r>
      <w:r>
        <w:rPr>
          <w:rFonts w:hint="eastAsia"/>
          <w:bCs/>
          <w:sz w:val="24"/>
        </w:rPr>
        <w:t>的相关费用（包括但不限于目标</w:t>
      </w:r>
      <w:r>
        <w:rPr>
          <w:rFonts w:hint="eastAsia"/>
          <w:bCs/>
          <w:sz w:val="24"/>
        </w:rPr>
        <w:t>ETF</w:t>
      </w:r>
      <w:r>
        <w:rPr>
          <w:rFonts w:hint="eastAsia"/>
          <w:bCs/>
          <w:sz w:val="24"/>
        </w:rPr>
        <w:t>的交易费用、</w:t>
      </w:r>
      <w:proofErr w:type="gramStart"/>
      <w:r>
        <w:rPr>
          <w:rFonts w:hint="eastAsia"/>
          <w:bCs/>
          <w:sz w:val="24"/>
        </w:rPr>
        <w:t>申赎费用</w:t>
      </w:r>
      <w:proofErr w:type="gramEnd"/>
      <w:r>
        <w:rPr>
          <w:rFonts w:hint="eastAsia"/>
          <w:bCs/>
          <w:sz w:val="24"/>
        </w:rPr>
        <w:t>等）</w:t>
      </w:r>
      <w:r>
        <w:rPr>
          <w:rFonts w:ascii="宋体" w:hAnsi="宋体"/>
          <w:color w:val="000000"/>
          <w:sz w:val="24"/>
          <w:szCs w:val="24"/>
        </w:rPr>
        <w:t>等根据有关法律法规、基金合同及相应协议的规定，</w:t>
      </w:r>
      <w:r>
        <w:rPr>
          <w:rFonts w:ascii="宋体" w:hAnsi="宋体" w:hint="eastAsia"/>
          <w:color w:val="000000"/>
          <w:sz w:val="24"/>
          <w:szCs w:val="24"/>
        </w:rPr>
        <w:t>可以</w:t>
      </w:r>
      <w:r>
        <w:rPr>
          <w:rFonts w:ascii="宋体" w:hAnsi="宋体"/>
          <w:color w:val="000000"/>
          <w:sz w:val="24"/>
          <w:szCs w:val="24"/>
        </w:rPr>
        <w:t>列入当期基金费用。</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Pr>
          <w:rFonts w:ascii="宋体" w:hAnsi="宋体" w:hint="eastAsia"/>
          <w:color w:val="000000"/>
          <w:sz w:val="24"/>
          <w:szCs w:val="24"/>
        </w:rPr>
        <w:t>基金合同生效前的相关费用，包括但不限于</w:t>
      </w:r>
      <w:proofErr w:type="gramStart"/>
      <w:r>
        <w:rPr>
          <w:rFonts w:ascii="宋体" w:hAnsi="宋体" w:hint="eastAsia"/>
          <w:color w:val="000000"/>
          <w:sz w:val="24"/>
          <w:szCs w:val="24"/>
        </w:rPr>
        <w:t>验</w:t>
      </w:r>
      <w:proofErr w:type="gramEnd"/>
      <w:r>
        <w:rPr>
          <w:rFonts w:ascii="宋体" w:hAnsi="宋体" w:hint="eastAsia"/>
          <w:color w:val="000000"/>
          <w:sz w:val="24"/>
          <w:szCs w:val="24"/>
        </w:rPr>
        <w:t>资费、会计师和律师费、信息披露费等费用不列入基金费用。标的指数许可使用费应当由基金管理人承担，不得从基金财产中列支。</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本基金运作前产生的相关费用由基金管理人垫付，运作后</w:t>
      </w:r>
      <w:r>
        <w:rPr>
          <w:rFonts w:ascii="宋体" w:hAnsi="宋体"/>
          <w:color w:val="000000"/>
          <w:sz w:val="24"/>
          <w:szCs w:val="24"/>
        </w:rPr>
        <w:t>次日起3个工作日内由基金管理人向基金托管人发送划付指令,经基金托管人复核后从基金资产中一次性支付给基金管理人</w:t>
      </w:r>
      <w:r>
        <w:rPr>
          <w:rFonts w:ascii="宋体" w:hAnsi="宋体" w:hint="eastAsia"/>
          <w:color w:val="000000"/>
          <w:sz w:val="24"/>
          <w:szCs w:val="24"/>
        </w:rPr>
        <w:t>。</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、销售服务费</w:t>
      </w:r>
      <w:r>
        <w:rPr>
          <w:rFonts w:ascii="宋体" w:hAnsi="宋体"/>
          <w:color w:val="000000"/>
          <w:sz w:val="24"/>
          <w:szCs w:val="24"/>
        </w:rPr>
        <w:t>的复核程序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w:t>
      </w:r>
      <w:r>
        <w:rPr>
          <w:rFonts w:ascii="宋体" w:hAnsi="宋体" w:hint="eastAsia"/>
          <w:color w:val="000000"/>
          <w:sz w:val="24"/>
          <w:szCs w:val="24"/>
        </w:rPr>
        <w:t>和销售服务费</w:t>
      </w:r>
      <w:r>
        <w:rPr>
          <w:rFonts w:ascii="宋体" w:hAnsi="宋体"/>
          <w:color w:val="000000"/>
          <w:sz w:val="24"/>
          <w:szCs w:val="24"/>
        </w:rPr>
        <w:t>等，根据本托管协议和基金合同的有关规定进行复核。</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（八）</w:t>
      </w:r>
      <w:r>
        <w:rPr>
          <w:rFonts w:ascii="宋体" w:hAnsi="宋体"/>
          <w:color w:val="000000"/>
          <w:sz w:val="24"/>
          <w:szCs w:val="24"/>
        </w:rPr>
        <w:t>违规处理方式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226C6" w:rsidRDefault="005226C6">
      <w:pPr>
        <w:adjustRightInd w:val="0"/>
        <w:snapToGrid w:val="0"/>
        <w:spacing w:line="360" w:lineRule="auto"/>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04" w:name="_Toc145818946"/>
      <w:r>
        <w:rPr>
          <w:rFonts w:ascii="宋体" w:eastAsia="宋体" w:hAnsi="宋体"/>
          <w:color w:val="000000"/>
          <w:sz w:val="24"/>
          <w:szCs w:val="24"/>
        </w:rPr>
        <w:t>十二、基金份额持有人名册的</w:t>
      </w:r>
      <w:r>
        <w:rPr>
          <w:rFonts w:ascii="宋体" w:eastAsia="宋体" w:hAnsi="宋体" w:hint="eastAsia"/>
          <w:color w:val="000000"/>
          <w:sz w:val="24"/>
          <w:szCs w:val="24"/>
        </w:rPr>
        <w:t>登记与</w:t>
      </w:r>
      <w:r>
        <w:rPr>
          <w:rFonts w:ascii="宋体" w:eastAsia="宋体" w:hAnsi="宋体"/>
          <w:color w:val="000000"/>
          <w:sz w:val="24"/>
          <w:szCs w:val="24"/>
        </w:rPr>
        <w:t>保管</w:t>
      </w:r>
      <w:bookmarkEnd w:id="104"/>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w:t>
      </w:r>
      <w:r>
        <w:rPr>
          <w:rFonts w:ascii="宋体" w:hAnsi="宋体" w:hint="eastAsia"/>
          <w:color w:val="000000"/>
          <w:sz w:val="24"/>
          <w:szCs w:val="24"/>
        </w:rPr>
        <w:lastRenderedPageBreak/>
        <w:t>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基金份额持有人大会权益登记日、每年6月30日、12月31日的基金份额持有人名册。基金份额持有人名册的内容至少应包括基金份额持有人的名称和持有的基金份额。</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基金管理人和基金托管人应妥善保管基金份额持有人名册，保存期限不低于法律法规要求的最低期限。基金托管人不得将所保管的基金份额持有人名册用于基金托管业务以外的其他用途，并应遵守保密义务。</w:t>
      </w:r>
      <w:proofErr w:type="gramStart"/>
      <w:r>
        <w:rPr>
          <w:rFonts w:ascii="宋体" w:hAnsi="宋体" w:hint="eastAsia"/>
          <w:color w:val="000000"/>
          <w:sz w:val="24"/>
          <w:szCs w:val="24"/>
        </w:rPr>
        <w:t>若基金</w:t>
      </w:r>
      <w:proofErr w:type="gramEnd"/>
      <w:r>
        <w:rPr>
          <w:rFonts w:ascii="宋体" w:hAnsi="宋体" w:hint="eastAsia"/>
          <w:color w:val="000000"/>
          <w:sz w:val="24"/>
          <w:szCs w:val="24"/>
        </w:rPr>
        <w:t>管理人或基金托管人由于自身原因无法妥善保管基金份额持有人名册，应按有关法律法规规定各自承担相应的责任。</w:t>
      </w:r>
    </w:p>
    <w:p w:rsidR="005226C6" w:rsidRDefault="005226C6">
      <w:pPr>
        <w:adjustRightInd w:val="0"/>
        <w:snapToGrid w:val="0"/>
        <w:spacing w:line="360" w:lineRule="auto"/>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05" w:name="_Toc145818947"/>
      <w:r>
        <w:rPr>
          <w:rFonts w:ascii="宋体" w:eastAsia="宋体" w:hAnsi="宋体"/>
          <w:color w:val="000000"/>
          <w:sz w:val="24"/>
          <w:szCs w:val="24"/>
        </w:rPr>
        <w:t>十三、基金有关文件档案的保存</w:t>
      </w:r>
      <w:bookmarkEnd w:id="105"/>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宋体" w:hAnsi="宋体" w:hint="eastAsia"/>
          <w:color w:val="000000"/>
          <w:sz w:val="24"/>
          <w:szCs w:val="24"/>
        </w:rPr>
        <w:t>不低于法律法规要求的最低期限</w:t>
      </w:r>
      <w:r>
        <w:rPr>
          <w:rFonts w:ascii="宋体" w:hAnsi="宋体"/>
          <w:color w:val="000000"/>
          <w:sz w:val="24"/>
          <w:szCs w:val="24"/>
        </w:rPr>
        <w:t>。</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（二）合同档案的建立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rsidR="005226C6" w:rsidRDefault="004A7AC5">
      <w:pPr>
        <w:adjustRightInd w:val="0"/>
        <w:snapToGrid w:val="0"/>
        <w:spacing w:line="360" w:lineRule="auto"/>
        <w:ind w:firstLineChars="200" w:firstLine="480"/>
        <w:rPr>
          <w:rFonts w:ascii="宋体" w:hAnsi="宋体"/>
          <w:b/>
          <w:color w:val="000000"/>
          <w:sz w:val="24"/>
          <w:szCs w:val="24"/>
        </w:rPr>
      </w:pPr>
      <w:proofErr w:type="gramStart"/>
      <w:r>
        <w:rPr>
          <w:rFonts w:ascii="宋体" w:hAnsi="宋体"/>
          <w:color w:val="000000"/>
          <w:sz w:val="24"/>
          <w:szCs w:val="24"/>
        </w:rPr>
        <w:t>若基金</w:t>
      </w:r>
      <w:proofErr w:type="gramEnd"/>
      <w:r>
        <w:rPr>
          <w:rFonts w:ascii="宋体" w:hAnsi="宋体"/>
          <w:color w:val="000000"/>
          <w:sz w:val="24"/>
          <w:szCs w:val="24"/>
        </w:rPr>
        <w:t>管理人/基金托管人发生变更，未变更的一方有义务协助变更后的接任人接收相应文件。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（四）基金管理人和基金托管人应按各自职责完整保存原始凭证、记账凭证、基金账册、交易记录和重要合同等，承担保密义务并保存</w:t>
      </w:r>
      <w:r>
        <w:rPr>
          <w:rFonts w:ascii="宋体" w:hAnsi="宋体" w:hint="eastAsia"/>
          <w:color w:val="000000"/>
          <w:sz w:val="24"/>
          <w:szCs w:val="24"/>
        </w:rPr>
        <w:t>不低于法律法规要求的最低期限</w:t>
      </w:r>
      <w:r>
        <w:rPr>
          <w:rFonts w:ascii="宋体" w:hAnsi="宋体"/>
          <w:color w:val="000000"/>
          <w:sz w:val="24"/>
          <w:szCs w:val="24"/>
        </w:rPr>
        <w:t>。</w:t>
      </w:r>
    </w:p>
    <w:p w:rsidR="005226C6" w:rsidRDefault="005226C6">
      <w:pPr>
        <w:adjustRightInd w:val="0"/>
        <w:snapToGrid w:val="0"/>
        <w:spacing w:line="360" w:lineRule="auto"/>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06" w:name="_Toc145818948"/>
      <w:r>
        <w:rPr>
          <w:rFonts w:ascii="宋体" w:eastAsia="宋体" w:hAnsi="宋体"/>
          <w:color w:val="000000"/>
          <w:sz w:val="24"/>
          <w:szCs w:val="24"/>
        </w:rPr>
        <w:t>十四、基金管理人和基金托管人的更换</w:t>
      </w:r>
      <w:bookmarkEnd w:id="106"/>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（一）基金管理人的更换</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hint="eastAsia"/>
          <w:color w:val="000000"/>
          <w:sz w:val="24"/>
          <w:szCs w:val="24"/>
        </w:rPr>
        <w:t>1</w:t>
      </w:r>
      <w:r>
        <w:rPr>
          <w:rFonts w:ascii="宋体" w:hAnsi="宋体" w:hint="eastAsia"/>
          <w:sz w:val="24"/>
          <w:szCs w:val="24"/>
        </w:rPr>
        <w:t>、</w:t>
      </w:r>
      <w:r>
        <w:rPr>
          <w:rFonts w:ascii="宋体" w:hAnsi="宋体" w:hint="eastAsia"/>
          <w:color w:val="000000"/>
          <w:sz w:val="24"/>
          <w:szCs w:val="24"/>
        </w:rPr>
        <w:t>基金管理人的更换条件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有下列情形之一的，基金管理人职责终止：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（1）被依法取消基金管理资格；</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）被基金份额持有人大会解任；</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（3）依法解散、被依法撤销或被依法宣告破产；</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（4）法律法规及中国证监会规定的和《基金合同》约定的其他情形。</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hint="eastAsia"/>
          <w:color w:val="000000"/>
          <w:sz w:val="24"/>
          <w:szCs w:val="24"/>
        </w:rPr>
        <w:t>2</w:t>
      </w:r>
      <w:r>
        <w:rPr>
          <w:rFonts w:ascii="宋体" w:hAnsi="宋体" w:hint="eastAsia"/>
          <w:sz w:val="24"/>
          <w:szCs w:val="24"/>
        </w:rPr>
        <w:t>、</w:t>
      </w:r>
      <w:r>
        <w:rPr>
          <w:rFonts w:ascii="宋体" w:hAnsi="宋体" w:hint="eastAsia"/>
          <w:color w:val="000000"/>
          <w:sz w:val="24"/>
          <w:szCs w:val="24"/>
        </w:rPr>
        <w:t>基金管理人的更换程序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更换基金管理人必须依照如下程序进行：</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（1）提名：</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管理人由基金托管人或由单独或合计持有10%以上（含10%）基金份额的基金份额持有人提名；</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（3）临时基金管理人：</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管理人产生之前，由中国证监会指定临时基金管理人；</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（4）备案：基金份额持有人大会更换基金管理人的决议须报中国证监会备案；</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（5）公告：基金管理人更换后，由基金托管人在更换基金管理人的基金份额持有人大会决议生效后2日内在规定媒介公告；</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（6）交接：基金管理人职责终止的，基金管理人应妥善保管基金管理业务资料，及时向临时基金管理人或</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管理人办理基金管理业务的移交手续，临时基金管理人或</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管理人应及时接收。</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管理人或临时基金管理</w:t>
      </w:r>
      <w:r>
        <w:rPr>
          <w:rFonts w:ascii="宋体" w:hAnsi="宋体" w:hint="eastAsia"/>
          <w:color w:val="000000"/>
          <w:sz w:val="24"/>
          <w:szCs w:val="24"/>
        </w:rPr>
        <w:lastRenderedPageBreak/>
        <w:t>人应与基金托管人核对基金资产总值和基金资产净值；</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（7）审计：基金管理人职责终止的，应当按照法律法规规定聘请符合《证券法》规定的会计师事务所对基金财产进行审计，并将审计结果予以公告，同时报中国证监会备案，审计费用从基金财产中列支；</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（8）基金名称变更：基金管理人更换后，如果原任或</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管理人要求，应按其要求替换或删除基金名称中与原任基金管理人有关的名称字样。</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（二）基金托管人的更换</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1、基金托管人的更换条件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有下列情形之一的，基金托管人职责终止：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（1）被依法取消基金托管资格；</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（2）被基金份额持有人大会解任；</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（3）依法解散、被依法撤销或被依法宣告破产；</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（4）法律法规及中国证监会规定的和《基金合同》约定的其他情形。</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2、基金托管人的更换程序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（1）提名：</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托管人由基金管理人或由单独或合计持有10%以上（含10%）基金份额的基金份额持有人提名；</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（3）临时基金托管人：</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托管人产生之前，由中国证监会指定临时基金托管人；</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（4）备案：基金份额持有人大会更换基金托管人的决议须报中国证监会备案；</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（5）公告：基金托管人更换后，由基金管理人在更换基金托管人的基金份额持有人大会决议生效后2日内在规定媒介公告；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（6）交接：基金托管人职责终止的，应当妥善保管基金财产和基金托管业务资料，及时办理基金财产和基金托管业务的移交手续，</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托管人或者临时基金托管人应当及时接收。</w:t>
      </w:r>
      <w:proofErr w:type="gramStart"/>
      <w:r>
        <w:rPr>
          <w:rFonts w:ascii="宋体" w:hAnsi="宋体" w:hint="eastAsia"/>
          <w:color w:val="000000"/>
          <w:sz w:val="24"/>
          <w:szCs w:val="24"/>
        </w:rPr>
        <w:t>新任基金</w:t>
      </w:r>
      <w:proofErr w:type="gramEnd"/>
      <w:r>
        <w:rPr>
          <w:rFonts w:ascii="宋体" w:hAnsi="宋体" w:hint="eastAsia"/>
          <w:color w:val="000000"/>
          <w:sz w:val="24"/>
          <w:szCs w:val="24"/>
        </w:rPr>
        <w:t xml:space="preserve">托管人或者临时基金托管人应与基金管理人核对基金资产总值和基金资产净值； </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（7）审计：基金托管人职责终止的，应当按照法律法规规定聘请符合《证</w:t>
      </w:r>
      <w:r>
        <w:rPr>
          <w:rFonts w:ascii="宋体" w:hAnsi="宋体" w:hint="eastAsia"/>
          <w:color w:val="000000"/>
          <w:sz w:val="24"/>
          <w:szCs w:val="24"/>
        </w:rPr>
        <w:lastRenderedPageBreak/>
        <w:t>券法》规定的会计师事务所对基金财产进行审计，并将审计结果予以公告，同时报中国证监会备案，审计费用从基金财产中列支。</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3、基金管理人与基金托管人同时更换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（1）提名：如果基金管理人和基金托管人同时更换，由单独或合计持有基金总份额10%以上（含10%）的基金份额持有人提名新的基金管理人和基金托管人；</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（2）基金管理人和基金托管人的更换分别按上述程序进行；</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（3）公告：新任或临时基金管理人和新任或临时基金托管人应在更换基金管理人和基金托管人的基金份额持有人大会决议生效后2日内在规定媒介上联合公告。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基金合同的规定收取基金管理费或基金托管费。</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（四）本部</w:t>
      </w:r>
      <w:proofErr w:type="gramStart"/>
      <w:r>
        <w:rPr>
          <w:rFonts w:ascii="宋体" w:hAnsi="宋体" w:hint="eastAsia"/>
          <w:color w:val="000000"/>
          <w:sz w:val="24"/>
          <w:szCs w:val="24"/>
        </w:rPr>
        <w:t>分关于</w:t>
      </w:r>
      <w:proofErr w:type="gramEnd"/>
      <w:r>
        <w:rPr>
          <w:rFonts w:ascii="宋体" w:hAnsi="宋体" w:hint="eastAsia"/>
          <w:color w:val="000000"/>
          <w:sz w:val="24"/>
          <w:szCs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rsidR="005226C6" w:rsidRDefault="004A7AC5">
      <w:pPr>
        <w:pStyle w:val="2"/>
        <w:spacing w:line="360" w:lineRule="auto"/>
        <w:jc w:val="center"/>
        <w:rPr>
          <w:rFonts w:ascii="宋体" w:eastAsia="宋体" w:hAnsi="宋体"/>
          <w:color w:val="000000"/>
          <w:sz w:val="24"/>
          <w:szCs w:val="24"/>
        </w:rPr>
      </w:pPr>
      <w:bookmarkStart w:id="107" w:name="_Toc145818949"/>
      <w:r>
        <w:rPr>
          <w:rFonts w:ascii="宋体" w:eastAsia="宋体" w:hAnsi="宋体"/>
          <w:color w:val="000000"/>
          <w:sz w:val="24"/>
          <w:szCs w:val="24"/>
        </w:rPr>
        <w:t>十五、禁止行为</w:t>
      </w:r>
      <w:bookmarkEnd w:id="107"/>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托管协议当事人禁止从事的行为，包括但不限于：</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（一）基金管理人、基金托管人将其固有财产或者他人财产混同于基金财产从事证券投资。</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（二）基金管理人不公平地对待其管理的不同基金财产</w:t>
      </w:r>
      <w:r>
        <w:rPr>
          <w:rFonts w:ascii="宋体" w:hAnsi="宋体" w:hint="eastAsia"/>
          <w:color w:val="000000"/>
          <w:sz w:val="24"/>
          <w:szCs w:val="24"/>
        </w:rPr>
        <w:t>。基金托管人不公平地对待其托管的不同基金财产。</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lastRenderedPageBreak/>
        <w:t>（四）基金管理人、基金托管人向基金份额持有人违规承诺收益或者承担损失。</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w:t>
      </w:r>
      <w:r>
        <w:rPr>
          <w:rFonts w:ascii="宋体" w:hAnsi="宋体" w:hint="eastAsia"/>
          <w:color w:val="000000"/>
          <w:sz w:val="24"/>
          <w:szCs w:val="24"/>
        </w:rPr>
        <w:t>基金管理人、基金托管人侵占、挪用基金财产。</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sz w:val="24"/>
          <w:szCs w:val="24"/>
        </w:rPr>
        <w:t>（六）</w:t>
      </w:r>
      <w:r>
        <w:rPr>
          <w:rFonts w:ascii="宋体" w:hAnsi="宋体"/>
          <w:color w:val="000000"/>
          <w:sz w:val="24"/>
          <w:szCs w:val="24"/>
        </w:rPr>
        <w:t>基金管理人、基金托管人对泄</w:t>
      </w:r>
      <w:r>
        <w:rPr>
          <w:rFonts w:ascii="宋体" w:hAnsi="宋体" w:hint="eastAsia"/>
          <w:color w:val="000000"/>
          <w:sz w:val="24"/>
          <w:szCs w:val="24"/>
        </w:rPr>
        <w:t>露因职务便利获取的未公开信息、利用该信息从事或者明示、暗示他人从事相关的交易活动。</w:t>
      </w:r>
    </w:p>
    <w:p w:rsidR="005226C6" w:rsidRDefault="004A7AC5">
      <w:pPr>
        <w:pStyle w:val="Style6"/>
        <w:spacing w:line="360" w:lineRule="auto"/>
        <w:outlineLvl w:val="0"/>
        <w:rPr>
          <w:rFonts w:ascii="宋体" w:eastAsia="宋体"/>
          <w:szCs w:val="24"/>
        </w:rPr>
      </w:pPr>
      <w:r>
        <w:rPr>
          <w:rFonts w:ascii="宋体" w:eastAsia="宋体"/>
          <w:szCs w:val="24"/>
        </w:rPr>
        <w:t>（七）</w:t>
      </w:r>
      <w:r>
        <w:rPr>
          <w:rFonts w:ascii="宋体" w:eastAsia="宋体" w:hint="eastAsia"/>
          <w:szCs w:val="24"/>
        </w:rPr>
        <w:t>基金管理人、基金托管人玩忽职守，不按照规定履行职责。</w:t>
      </w:r>
    </w:p>
    <w:p w:rsidR="005226C6" w:rsidRDefault="004A7AC5">
      <w:pPr>
        <w:pStyle w:val="Style6"/>
        <w:spacing w:line="360" w:lineRule="auto"/>
        <w:outlineLvl w:val="0"/>
        <w:rPr>
          <w:rFonts w:ascii="宋体" w:eastAsia="宋体"/>
          <w:szCs w:val="24"/>
        </w:rPr>
      </w:pPr>
      <w:r>
        <w:rPr>
          <w:rFonts w:ascii="宋体" w:eastAsia="宋体"/>
          <w:szCs w:val="24"/>
        </w:rPr>
        <w:t>（八）基金管理人在没有充足资金的情况下向基金托管人发出投资指令和</w:t>
      </w:r>
      <w:r>
        <w:rPr>
          <w:rFonts w:ascii="宋体" w:eastAsia="宋体" w:hint="eastAsia"/>
          <w:szCs w:val="24"/>
        </w:rPr>
        <w:t>付款指令</w:t>
      </w:r>
      <w:r>
        <w:rPr>
          <w:rFonts w:ascii="宋体" w:eastAsia="宋体"/>
          <w:szCs w:val="24"/>
        </w:rPr>
        <w:t>，或违规向基金托管人发出指令。</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（九）基金管理人、基金托管人在行政上、财务上不</w:t>
      </w:r>
      <w:proofErr w:type="gramStart"/>
      <w:r>
        <w:rPr>
          <w:rFonts w:ascii="宋体" w:hAnsi="宋体"/>
          <w:color w:val="000000"/>
          <w:sz w:val="24"/>
          <w:szCs w:val="24"/>
        </w:rPr>
        <w:t>独立,</w:t>
      </w:r>
      <w:proofErr w:type="gramEnd"/>
      <w:r>
        <w:rPr>
          <w:rFonts w:ascii="宋体" w:hAnsi="宋体"/>
          <w:color w:val="000000"/>
          <w:sz w:val="24"/>
          <w:szCs w:val="24"/>
        </w:rPr>
        <w:t xml:space="preserve"> 其高级管理人员和</w:t>
      </w:r>
      <w:r>
        <w:rPr>
          <w:rFonts w:ascii="宋体" w:hAnsi="宋体"/>
          <w:sz w:val="24"/>
          <w:szCs w:val="24"/>
        </w:rPr>
        <w:t>其他从业人员相互</w:t>
      </w:r>
      <w:r>
        <w:rPr>
          <w:rFonts w:ascii="宋体" w:hAnsi="宋体"/>
          <w:color w:val="000000"/>
          <w:sz w:val="24"/>
          <w:szCs w:val="24"/>
        </w:rPr>
        <w:t>兼职。</w:t>
      </w:r>
    </w:p>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）基金托管人私自动用或处分基金资产，根据基金管理人的合法指令、基金合同或托管协议的规定进行处分的除外。</w:t>
      </w:r>
    </w:p>
    <w:p w:rsidR="005226C6" w:rsidRDefault="004A7AC5">
      <w:pPr>
        <w:spacing w:line="360" w:lineRule="auto"/>
        <w:ind w:firstLineChars="200" w:firstLine="480"/>
        <w:rPr>
          <w:rFonts w:ascii="宋体" w:hAnsi="宋体"/>
          <w:color w:val="000000"/>
          <w:sz w:val="24"/>
          <w:szCs w:val="24"/>
        </w:rPr>
      </w:pPr>
      <w:bookmarkStart w:id="108" w:name="_Hlk153459924"/>
      <w:r>
        <w:rPr>
          <w:rFonts w:ascii="宋体" w:hAnsi="宋体"/>
          <w:color w:val="000000"/>
          <w:sz w:val="24"/>
          <w:szCs w:val="24"/>
        </w:rPr>
        <w:t>（</w:t>
      </w:r>
      <w:r>
        <w:rPr>
          <w:rFonts w:ascii="宋体" w:hAnsi="宋体" w:hint="eastAsia"/>
          <w:color w:val="000000"/>
          <w:sz w:val="24"/>
          <w:szCs w:val="24"/>
        </w:rPr>
        <w:t>十一</w:t>
      </w:r>
      <w:r>
        <w:rPr>
          <w:rFonts w:ascii="宋体" w:hAnsi="宋体"/>
          <w:color w:val="000000"/>
          <w:sz w:val="24"/>
          <w:szCs w:val="24"/>
        </w:rPr>
        <w:t>）基金财产用于下列投资或者活动：</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1、承销证券；</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2、违反规定向他人贷款或者提供担保；</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3、从事承担无限责任的投资；</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4、买卖</w:t>
      </w:r>
      <w:proofErr w:type="gramStart"/>
      <w:r>
        <w:rPr>
          <w:rFonts w:ascii="宋体" w:hAnsi="宋体" w:hint="eastAsia"/>
          <w:color w:val="000000"/>
          <w:sz w:val="24"/>
          <w:szCs w:val="24"/>
        </w:rPr>
        <w:t>除目标</w:t>
      </w:r>
      <w:proofErr w:type="gramEnd"/>
      <w:r>
        <w:rPr>
          <w:rFonts w:ascii="宋体" w:hAnsi="宋体" w:hint="eastAsia"/>
          <w:color w:val="000000"/>
          <w:sz w:val="24"/>
          <w:szCs w:val="24"/>
        </w:rPr>
        <w:t>ETF以外的其他基金份额，但是中国证监会另有规定的除外；</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5、向其基金管理人、基金托管人出资； </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6、从事内幕交易、操纵证券交易价格及其他不正当的证券交易活动； </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7、法律、行政法规和中国证监会规定禁止的其他活动。</w:t>
      </w:r>
    </w:p>
    <w:p w:rsidR="005226C6" w:rsidRDefault="004A7AC5">
      <w:pPr>
        <w:spacing w:line="360" w:lineRule="auto"/>
        <w:ind w:firstLineChars="200" w:firstLine="480"/>
        <w:rPr>
          <w:rFonts w:ascii="宋体" w:hAnsi="宋体"/>
          <w:color w:val="000000"/>
          <w:sz w:val="24"/>
          <w:szCs w:val="24"/>
        </w:rPr>
      </w:pPr>
      <w:r>
        <w:rPr>
          <w:rFonts w:ascii="宋体" w:hAnsi="宋体" w:hint="eastAsia"/>
          <w:color w:val="000000"/>
          <w:sz w:val="24"/>
          <w:szCs w:val="24"/>
        </w:rPr>
        <w:t>法律、行政法规或监管部门取消或变更上述限制，如适用于本基金，基金管理人在履行适当程序后，则本基金投资不再受相关限制或按变更后的规定执行。</w:t>
      </w:r>
    </w:p>
    <w:bookmarkEnd w:id="108"/>
    <w:p w:rsidR="005226C6" w:rsidRDefault="004A7AC5">
      <w:pPr>
        <w:spacing w:line="360" w:lineRule="auto"/>
        <w:ind w:firstLineChars="200" w:firstLine="480"/>
        <w:rPr>
          <w:rFonts w:ascii="宋体" w:hAnsi="宋体"/>
          <w:color w:val="000000"/>
          <w:sz w:val="24"/>
          <w:szCs w:val="24"/>
        </w:rPr>
      </w:pPr>
      <w:r>
        <w:rPr>
          <w:rFonts w:ascii="宋体" w:hAnsi="宋体"/>
          <w:color w:val="000000"/>
          <w:sz w:val="24"/>
          <w:szCs w:val="24"/>
        </w:rPr>
        <w:t>（十</w:t>
      </w:r>
      <w:r>
        <w:rPr>
          <w:rFonts w:ascii="宋体" w:hAnsi="宋体" w:hint="eastAsia"/>
          <w:color w:val="000000"/>
          <w:sz w:val="24"/>
          <w:szCs w:val="24"/>
        </w:rPr>
        <w:t>二</w:t>
      </w:r>
      <w:r>
        <w:rPr>
          <w:rFonts w:ascii="宋体" w:hAnsi="宋体"/>
          <w:color w:val="000000"/>
          <w:sz w:val="24"/>
          <w:szCs w:val="24"/>
        </w:rPr>
        <w:t>）法律法规和基金合同禁止的其他行为，以及依照法律、行政法规有关规定，由中国证监会规定禁止基金管理人、基金托管人从事的其他行为。</w:t>
      </w:r>
    </w:p>
    <w:p w:rsidR="005226C6" w:rsidRDefault="005226C6">
      <w:pPr>
        <w:adjustRightInd w:val="0"/>
        <w:snapToGrid w:val="0"/>
        <w:spacing w:line="360" w:lineRule="auto"/>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09" w:name="_Toc145818950"/>
      <w:r>
        <w:rPr>
          <w:rFonts w:ascii="宋体" w:eastAsia="宋体" w:hAnsi="宋体"/>
          <w:color w:val="000000"/>
          <w:sz w:val="24"/>
          <w:szCs w:val="24"/>
        </w:rPr>
        <w:t>十六、托管协议的变更、终止与基金财产的清算</w:t>
      </w:r>
      <w:bookmarkEnd w:id="109"/>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（一）托管协议的变更程序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lastRenderedPageBreak/>
        <w:t>（二）基金托管协议终止的情形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w:t>
      </w:r>
      <w:r>
        <w:rPr>
          <w:rFonts w:ascii="宋体" w:hAnsi="宋体" w:hint="eastAsia"/>
          <w:color w:val="000000"/>
          <w:sz w:val="24"/>
          <w:szCs w:val="24"/>
        </w:rPr>
        <w:t>、中国证监会</w:t>
      </w:r>
      <w:r>
        <w:rPr>
          <w:rFonts w:ascii="宋体" w:hAnsi="宋体"/>
          <w:color w:val="000000"/>
          <w:sz w:val="24"/>
          <w:szCs w:val="24"/>
        </w:rPr>
        <w:t>或基金合同规定的终止事项。</w:t>
      </w:r>
    </w:p>
    <w:p w:rsidR="005226C6" w:rsidRDefault="004A7AC5">
      <w:pPr>
        <w:adjustRightInd w:val="0"/>
        <w:snapToGrid w:val="0"/>
        <w:spacing w:line="360" w:lineRule="auto"/>
        <w:ind w:firstLineChars="200" w:firstLine="480"/>
        <w:outlineLvl w:val="1"/>
        <w:rPr>
          <w:rFonts w:ascii="宋体" w:hAnsi="宋体"/>
          <w:color w:val="000000"/>
          <w:sz w:val="24"/>
          <w:szCs w:val="24"/>
        </w:rPr>
      </w:pPr>
      <w:r>
        <w:rPr>
          <w:rFonts w:ascii="宋体" w:hAnsi="宋体"/>
          <w:color w:val="000000"/>
          <w:sz w:val="24"/>
          <w:szCs w:val="24"/>
        </w:rPr>
        <w:t>（三）基金财产的清算</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 自出现《基金合同》终止事由之日起30个工作日内</w:t>
      </w:r>
      <w:r>
        <w:rPr>
          <w:rFonts w:ascii="宋体" w:hAnsi="宋体"/>
          <w:color w:val="000000"/>
          <w:sz w:val="24"/>
          <w:szCs w:val="24"/>
        </w:rPr>
        <w:t>成立清算小组，</w:t>
      </w:r>
      <w:r>
        <w:rPr>
          <w:rFonts w:ascii="宋体" w:hAnsi="宋体" w:hint="eastAsia"/>
          <w:color w:val="000000"/>
          <w:sz w:val="24"/>
          <w:szCs w:val="24"/>
        </w:rPr>
        <w:t>基金管理人组织</w:t>
      </w:r>
      <w:r>
        <w:rPr>
          <w:rFonts w:ascii="宋体" w:hAnsi="宋体"/>
          <w:color w:val="000000"/>
          <w:sz w:val="24"/>
          <w:szCs w:val="24"/>
        </w:rPr>
        <w:t>基金财产清算小组</w:t>
      </w:r>
      <w:r>
        <w:rPr>
          <w:rFonts w:ascii="宋体" w:hAnsi="宋体" w:hint="eastAsia"/>
          <w:color w:val="000000"/>
          <w:sz w:val="24"/>
          <w:szCs w:val="24"/>
        </w:rPr>
        <w:t>并</w:t>
      </w:r>
      <w:r>
        <w:rPr>
          <w:rFonts w:ascii="宋体" w:hAnsi="宋体"/>
          <w:color w:val="000000"/>
          <w:sz w:val="24"/>
          <w:szCs w:val="24"/>
        </w:rPr>
        <w:t>在中国证监会的监督下进行基金清算。</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w:t>
      </w:r>
      <w:r>
        <w:rPr>
          <w:bCs/>
          <w:sz w:val="24"/>
        </w:rPr>
        <w:t>财产</w:t>
      </w:r>
      <w:r>
        <w:rPr>
          <w:rFonts w:ascii="宋体" w:hAnsi="宋体"/>
          <w:color w:val="000000"/>
          <w:sz w:val="24"/>
          <w:szCs w:val="24"/>
        </w:rPr>
        <w:t>清算小组成员由基金管理人、基金托管人、</w:t>
      </w:r>
      <w:r>
        <w:rPr>
          <w:rFonts w:hint="eastAsia"/>
          <w:bCs/>
          <w:sz w:val="24"/>
        </w:rPr>
        <w:t>符合《证券法》规定</w:t>
      </w:r>
      <w:r>
        <w:rPr>
          <w:rFonts w:ascii="宋体" w:hAnsi="宋体"/>
          <w:color w:val="000000"/>
          <w:sz w:val="24"/>
          <w:szCs w:val="24"/>
        </w:rPr>
        <w:t>的注册会计师、律师以及中国证监会指定的人员组成。基金</w:t>
      </w:r>
      <w:r>
        <w:rPr>
          <w:rFonts w:ascii="宋体" w:hAnsi="宋体" w:hint="eastAsia"/>
          <w:color w:val="000000"/>
          <w:sz w:val="24"/>
          <w:szCs w:val="24"/>
        </w:rPr>
        <w:t>财产</w:t>
      </w:r>
      <w:r>
        <w:rPr>
          <w:rFonts w:ascii="宋体" w:hAnsi="宋体"/>
          <w:color w:val="000000"/>
          <w:sz w:val="24"/>
          <w:szCs w:val="24"/>
        </w:rPr>
        <w:t>清算小组可以聘用必要的工作人员。</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(4)基金</w:t>
      </w:r>
      <w:r>
        <w:rPr>
          <w:bCs/>
          <w:sz w:val="24"/>
        </w:rPr>
        <w:t>财产</w:t>
      </w:r>
      <w:r>
        <w:rPr>
          <w:rFonts w:ascii="宋体" w:hAnsi="宋体"/>
          <w:color w:val="000000"/>
          <w:sz w:val="24"/>
          <w:szCs w:val="24"/>
        </w:rPr>
        <w:t>清算小组负责基金财产的保管、清理、估价、变现和分配。基金</w:t>
      </w:r>
      <w:r>
        <w:rPr>
          <w:bCs/>
          <w:sz w:val="24"/>
        </w:rPr>
        <w:t>财产</w:t>
      </w:r>
      <w:r>
        <w:rPr>
          <w:rFonts w:ascii="宋体" w:hAnsi="宋体"/>
          <w:color w:val="000000"/>
          <w:sz w:val="24"/>
          <w:szCs w:val="24"/>
        </w:rPr>
        <w:t>清算小组可以依法进行必要的民事活动。</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(1)基金合同终止</w:t>
      </w:r>
      <w:r>
        <w:rPr>
          <w:rFonts w:ascii="宋体" w:hAnsi="宋体" w:hint="eastAsia"/>
          <w:color w:val="000000"/>
          <w:sz w:val="24"/>
          <w:szCs w:val="24"/>
        </w:rPr>
        <w:t>情形出现</w:t>
      </w:r>
      <w:r>
        <w:rPr>
          <w:rFonts w:ascii="宋体" w:hAnsi="宋体"/>
          <w:color w:val="000000"/>
          <w:sz w:val="24"/>
          <w:szCs w:val="24"/>
        </w:rPr>
        <w:t>时，由基金财产清算小组统一接管基金；</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(2)对基金财产</w:t>
      </w:r>
      <w:r>
        <w:rPr>
          <w:rFonts w:ascii="宋体" w:hAnsi="宋体" w:hint="eastAsia"/>
          <w:color w:val="000000"/>
          <w:sz w:val="24"/>
          <w:szCs w:val="24"/>
        </w:rPr>
        <w:t>和债权债务</w:t>
      </w:r>
      <w:r>
        <w:rPr>
          <w:rFonts w:ascii="宋体" w:hAnsi="宋体"/>
          <w:color w:val="000000"/>
          <w:sz w:val="24"/>
          <w:szCs w:val="24"/>
        </w:rPr>
        <w:t>进行清理和确认；</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(3)对基金财产进行</w:t>
      </w:r>
      <w:r>
        <w:rPr>
          <w:rFonts w:ascii="宋体" w:hAnsi="宋体" w:hint="eastAsia"/>
          <w:color w:val="000000"/>
          <w:sz w:val="24"/>
          <w:szCs w:val="24"/>
        </w:rPr>
        <w:t>估值</w:t>
      </w:r>
      <w:r>
        <w:rPr>
          <w:rFonts w:ascii="宋体" w:hAnsi="宋体"/>
          <w:color w:val="000000"/>
          <w:sz w:val="24"/>
          <w:szCs w:val="24"/>
        </w:rPr>
        <w:t>和变现；</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bCs/>
          <w:sz w:val="24"/>
        </w:rPr>
        <w:t xml:space="preserve"> </w:t>
      </w:r>
      <w:r>
        <w:rPr>
          <w:bCs/>
          <w:sz w:val="24"/>
        </w:rPr>
        <w:t>制作</w:t>
      </w:r>
      <w:r>
        <w:rPr>
          <w:rFonts w:ascii="宋体" w:hAnsi="宋体" w:hint="eastAsia"/>
          <w:color w:val="000000"/>
          <w:sz w:val="24"/>
          <w:szCs w:val="24"/>
        </w:rPr>
        <w:t>清算报告；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5</w:t>
      </w:r>
      <w:r>
        <w:rPr>
          <w:rFonts w:ascii="宋体" w:hAnsi="宋体"/>
          <w:color w:val="000000"/>
          <w:sz w:val="24"/>
          <w:szCs w:val="24"/>
        </w:rPr>
        <w:t>)聘请</w:t>
      </w:r>
      <w:r>
        <w:rPr>
          <w:rFonts w:hint="eastAsia"/>
          <w:bCs/>
          <w:sz w:val="24"/>
        </w:rPr>
        <w:t>符合《证券法》规定的</w:t>
      </w:r>
      <w:r>
        <w:rPr>
          <w:rFonts w:ascii="宋体" w:hAnsi="宋体"/>
          <w:color w:val="000000"/>
          <w:sz w:val="24"/>
          <w:szCs w:val="24"/>
        </w:rPr>
        <w:t>会计师事务所对清算报告进行</w:t>
      </w:r>
      <w:r>
        <w:rPr>
          <w:rFonts w:ascii="宋体" w:hAnsi="宋体" w:hint="eastAsia"/>
          <w:color w:val="000000"/>
          <w:sz w:val="24"/>
          <w:szCs w:val="24"/>
        </w:rPr>
        <w:t>外部</w:t>
      </w:r>
      <w:r>
        <w:rPr>
          <w:rFonts w:ascii="宋体" w:hAnsi="宋体"/>
          <w:color w:val="000000"/>
          <w:sz w:val="24"/>
          <w:szCs w:val="24"/>
        </w:rPr>
        <w:t>审计；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)聘请律师事务所</w:t>
      </w:r>
      <w:r>
        <w:rPr>
          <w:rFonts w:ascii="宋体" w:hAnsi="宋体" w:hint="eastAsia"/>
          <w:color w:val="000000"/>
          <w:sz w:val="24"/>
          <w:szCs w:val="24"/>
        </w:rPr>
        <w:t>对清算报告</w:t>
      </w:r>
      <w:r>
        <w:rPr>
          <w:rFonts w:ascii="宋体" w:hAnsi="宋体"/>
          <w:color w:val="000000"/>
          <w:sz w:val="24"/>
          <w:szCs w:val="24"/>
        </w:rPr>
        <w:t>出具法律意见书；</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7</w:t>
      </w:r>
      <w:r>
        <w:rPr>
          <w:rFonts w:ascii="宋体" w:hAnsi="宋体"/>
          <w:color w:val="000000"/>
          <w:sz w:val="24"/>
          <w:szCs w:val="24"/>
        </w:rPr>
        <w:t>)将清算报告</w:t>
      </w:r>
      <w:r>
        <w:rPr>
          <w:rFonts w:ascii="宋体" w:hAnsi="宋体"/>
          <w:bCs/>
          <w:sz w:val="24"/>
          <w:szCs w:val="24"/>
        </w:rPr>
        <w:t>报</w:t>
      </w:r>
      <w:r>
        <w:rPr>
          <w:rFonts w:ascii="宋体" w:hAnsi="宋体"/>
          <w:color w:val="000000"/>
          <w:sz w:val="24"/>
          <w:szCs w:val="24"/>
        </w:rPr>
        <w:t>中国证监会备案</w:t>
      </w:r>
      <w:r>
        <w:rPr>
          <w:bCs/>
          <w:sz w:val="24"/>
        </w:rPr>
        <w:t>并公告</w:t>
      </w:r>
      <w:r>
        <w:rPr>
          <w:rFonts w:ascii="宋体" w:hAnsi="宋体"/>
          <w:color w:val="000000"/>
          <w:sz w:val="24"/>
          <w:szCs w:val="24"/>
        </w:rPr>
        <w:t>；</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8</w:t>
      </w:r>
      <w:r>
        <w:rPr>
          <w:rFonts w:ascii="宋体" w:hAnsi="宋体"/>
          <w:color w:val="000000"/>
          <w:sz w:val="24"/>
          <w:szCs w:val="24"/>
        </w:rPr>
        <w:t>)对基金</w:t>
      </w:r>
      <w:r>
        <w:rPr>
          <w:rFonts w:ascii="宋体" w:hAnsi="宋体" w:hint="eastAsia"/>
          <w:color w:val="000000"/>
          <w:sz w:val="24"/>
          <w:szCs w:val="24"/>
        </w:rPr>
        <w:t>剩余</w:t>
      </w:r>
      <w:r>
        <w:rPr>
          <w:rFonts w:ascii="宋体" w:hAnsi="宋体"/>
          <w:color w:val="000000"/>
          <w:sz w:val="24"/>
          <w:szCs w:val="24"/>
        </w:rPr>
        <w:t>财产进行分配。</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基金财产清算的期限为6个月，但因本基金所持证券的流动性受到限制而不能及时变现的，清算期限相应顺延。</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基金管理人与基金托管人协商一致或基金财产清算小组认为有对基金份额</w:t>
      </w:r>
      <w:r>
        <w:rPr>
          <w:rFonts w:ascii="宋体" w:hAnsi="宋体" w:hint="eastAsia"/>
          <w:color w:val="000000"/>
          <w:sz w:val="24"/>
          <w:szCs w:val="24"/>
        </w:rPr>
        <w:lastRenderedPageBreak/>
        <w:t>持有人更为有利的清算方法，本基金财产的清算可按该方法进行，并及时公告，不需召开基金份额持有人大会。相关法律法规或监管部门另有规定的，按相关法律法规或监管部门的要求办理。</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清算费用</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w:t>
      </w:r>
      <w:r>
        <w:rPr>
          <w:bCs/>
          <w:sz w:val="24"/>
        </w:rPr>
        <w:t>财产</w:t>
      </w:r>
      <w:r>
        <w:rPr>
          <w:rFonts w:ascii="宋体" w:hAnsi="宋体"/>
          <w:color w:val="000000"/>
          <w:sz w:val="24"/>
          <w:szCs w:val="24"/>
        </w:rPr>
        <w:t>清算小组在进行基金清算过程中发生的所有合理费用，清算费用由基金</w:t>
      </w:r>
      <w:r>
        <w:rPr>
          <w:bCs/>
          <w:sz w:val="24"/>
        </w:rPr>
        <w:t>财产</w:t>
      </w:r>
      <w:r>
        <w:rPr>
          <w:rFonts w:ascii="宋体" w:hAnsi="宋体"/>
          <w:color w:val="000000"/>
          <w:sz w:val="24"/>
          <w:szCs w:val="24"/>
        </w:rPr>
        <w:t>清算小组优先从基金财产中支付。</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基金财产按下列顺序清偿：</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(1)支付清算费用；</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(2)交纳所欠税款；</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(3)清偿基金债务；</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(4)按基金份额持有人持有的基金份额比例进行分配。</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基金财产未按前款(1)－(3)项规定清偿前，不分配给基金份额持有人。</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基金财产清算的公告</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基金财产清算报告</w:t>
      </w:r>
      <w:proofErr w:type="gramStart"/>
      <w:r>
        <w:rPr>
          <w:rFonts w:ascii="宋体" w:hAnsi="宋体" w:hint="eastAsia"/>
          <w:color w:val="000000"/>
          <w:sz w:val="24"/>
          <w:szCs w:val="24"/>
        </w:rPr>
        <w:t>经</w:t>
      </w:r>
      <w:r>
        <w:rPr>
          <w:rFonts w:hint="eastAsia"/>
          <w:bCs/>
          <w:sz w:val="24"/>
        </w:rPr>
        <w:t>符合</w:t>
      </w:r>
      <w:proofErr w:type="gramEnd"/>
      <w:r>
        <w:rPr>
          <w:rFonts w:hint="eastAsia"/>
          <w:bCs/>
          <w:sz w:val="24"/>
        </w:rPr>
        <w:t>《证券法》规定的</w:t>
      </w:r>
      <w:r>
        <w:rPr>
          <w:rFonts w:ascii="宋体" w:hAnsi="宋体" w:hint="eastAsia"/>
          <w:color w:val="000000"/>
          <w:sz w:val="24"/>
          <w:szCs w:val="24"/>
        </w:rPr>
        <w:t>会计师事务所审计并由律师事务所出具法律意见书后报中国证监会备案并公告。</w:t>
      </w:r>
      <w:r>
        <w:rPr>
          <w:rFonts w:ascii="宋体" w:hAnsi="宋体"/>
          <w:color w:val="000000"/>
          <w:sz w:val="24"/>
          <w:szCs w:val="24"/>
        </w:rPr>
        <w:t>基金财产清算公告于基金财产清算报告报中国证监会备案后</w:t>
      </w:r>
      <w:r>
        <w:rPr>
          <w:rFonts w:ascii="宋体" w:hAnsi="宋体" w:hint="eastAsia"/>
          <w:color w:val="000000"/>
          <w:sz w:val="24"/>
          <w:szCs w:val="24"/>
        </w:rPr>
        <w:t>5</w:t>
      </w:r>
      <w:r>
        <w:rPr>
          <w:rFonts w:ascii="宋体" w:hAnsi="宋体"/>
          <w:color w:val="000000"/>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ascii="宋体" w:hAnsi="宋体"/>
          <w:color w:val="000000"/>
          <w:sz w:val="24"/>
          <w:szCs w:val="24"/>
        </w:rPr>
        <w:t>。</w:t>
      </w:r>
    </w:p>
    <w:p w:rsidR="005226C6" w:rsidRDefault="004A7AC5">
      <w:pPr>
        <w:adjustRightInd w:val="0"/>
        <w:snapToGrid w:val="0"/>
        <w:spacing w:line="360" w:lineRule="auto"/>
        <w:ind w:firstLineChars="200" w:firstLine="480"/>
        <w:outlineLvl w:val="2"/>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基金财产清算账册及文件的保存</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w:t>
      </w:r>
      <w:r>
        <w:rPr>
          <w:rFonts w:ascii="宋体" w:hAnsi="宋体" w:hint="eastAsia"/>
          <w:color w:val="000000"/>
          <w:sz w:val="24"/>
          <w:szCs w:val="24"/>
        </w:rPr>
        <w:t>不</w:t>
      </w:r>
      <w:r>
        <w:rPr>
          <w:rFonts w:hint="eastAsia"/>
          <w:bCs/>
          <w:sz w:val="24"/>
        </w:rPr>
        <w:t>少于</w:t>
      </w:r>
      <w:r>
        <w:rPr>
          <w:rFonts w:ascii="宋体" w:hAnsi="宋体" w:hint="eastAsia"/>
          <w:color w:val="000000"/>
          <w:sz w:val="24"/>
          <w:szCs w:val="24"/>
        </w:rPr>
        <w:t>法律法规规定的最低</w:t>
      </w:r>
      <w:r>
        <w:rPr>
          <w:rFonts w:hint="eastAsia"/>
          <w:bCs/>
          <w:sz w:val="24"/>
        </w:rPr>
        <w:t>年限</w:t>
      </w:r>
      <w:r>
        <w:rPr>
          <w:rFonts w:ascii="宋体" w:hAnsi="宋体"/>
          <w:color w:val="000000"/>
          <w:sz w:val="24"/>
          <w:szCs w:val="24"/>
        </w:rPr>
        <w:t>。</w:t>
      </w:r>
    </w:p>
    <w:p w:rsidR="005226C6" w:rsidRDefault="004A7AC5">
      <w:pPr>
        <w:numPr>
          <w:ilvl w:val="0"/>
          <w:numId w:val="1"/>
        </w:numPr>
        <w:adjustRightInd w:val="0"/>
        <w:snapToGrid w:val="0"/>
        <w:spacing w:line="360" w:lineRule="auto"/>
        <w:ind w:firstLineChars="200" w:firstLine="480"/>
        <w:outlineLvl w:val="2"/>
        <w:rPr>
          <w:rFonts w:ascii="宋体" w:hAnsi="宋体"/>
          <w:color w:val="000000"/>
          <w:sz w:val="24"/>
          <w:szCs w:val="24"/>
        </w:rPr>
      </w:pPr>
      <w:r>
        <w:rPr>
          <w:rFonts w:ascii="宋体" w:hAnsi="宋体" w:hint="eastAsia"/>
          <w:color w:val="000000"/>
          <w:sz w:val="24"/>
          <w:szCs w:val="24"/>
        </w:rPr>
        <w:t>基金财产账户销户。</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基金财产清算完成后，基金托管人负责由指定人员办理资金账户、证券账户、债券托管专户的销户工作，销</w:t>
      </w:r>
      <w:proofErr w:type="gramStart"/>
      <w:r>
        <w:rPr>
          <w:rFonts w:ascii="宋体" w:hAnsi="宋体"/>
          <w:color w:val="000000"/>
          <w:sz w:val="24"/>
          <w:szCs w:val="24"/>
        </w:rPr>
        <w:t>户过程</w:t>
      </w:r>
      <w:proofErr w:type="gramEnd"/>
      <w:r>
        <w:rPr>
          <w:rFonts w:ascii="宋体" w:hAnsi="宋体"/>
          <w:color w:val="000000"/>
          <w:sz w:val="24"/>
          <w:szCs w:val="24"/>
        </w:rPr>
        <w:t>中基金管理人应给予必要的配合</w:t>
      </w:r>
      <w:r>
        <w:rPr>
          <w:rFonts w:ascii="宋体" w:hAnsi="宋体" w:hint="eastAsia"/>
          <w:color w:val="000000"/>
          <w:sz w:val="24"/>
          <w:szCs w:val="24"/>
        </w:rPr>
        <w:t>。</w:t>
      </w:r>
    </w:p>
    <w:p w:rsidR="005226C6" w:rsidRDefault="005226C6">
      <w:pPr>
        <w:adjustRightInd w:val="0"/>
        <w:snapToGrid w:val="0"/>
        <w:spacing w:line="360" w:lineRule="auto"/>
        <w:ind w:firstLineChars="200" w:firstLine="480"/>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10" w:name="_Toc145818951"/>
      <w:r>
        <w:rPr>
          <w:rFonts w:ascii="宋体" w:eastAsia="宋体" w:hAnsi="宋体"/>
          <w:color w:val="000000"/>
          <w:sz w:val="24"/>
          <w:szCs w:val="24"/>
        </w:rPr>
        <w:t>十七、违约责任</w:t>
      </w:r>
      <w:bookmarkEnd w:id="110"/>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w:t>
      </w:r>
      <w:r>
        <w:rPr>
          <w:rFonts w:ascii="宋体" w:hAnsi="宋体"/>
          <w:color w:val="000000"/>
          <w:sz w:val="24"/>
          <w:szCs w:val="24"/>
        </w:rPr>
        <w:lastRenderedPageBreak/>
        <w:t>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color w:val="000000"/>
          <w:sz w:val="24"/>
          <w:szCs w:val="24"/>
        </w:rPr>
        <w:t>对损失的赔偿，仅限于直接损失。</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基金管理人及</w:t>
      </w:r>
      <w:r>
        <w:rPr>
          <w:rFonts w:ascii="宋体" w:hAnsi="宋体" w:hint="eastAsia"/>
          <w:color w:val="000000"/>
          <w:sz w:val="24"/>
          <w:szCs w:val="24"/>
        </w:rPr>
        <w:t>/或</w:t>
      </w:r>
      <w:r>
        <w:rPr>
          <w:rFonts w:ascii="宋体" w:hAnsi="宋体"/>
          <w:color w:val="000000"/>
          <w:sz w:val="24"/>
          <w:szCs w:val="24"/>
        </w:rPr>
        <w:t>基金托管人按照当时有效的法律法规或中国证监会的规定作为或不作为而造成的损失等；</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w:t>
      </w:r>
      <w:r>
        <w:rPr>
          <w:rFonts w:ascii="宋体" w:hAnsi="宋体" w:hint="eastAsia"/>
          <w:sz w:val="24"/>
          <w:szCs w:val="24"/>
        </w:rPr>
        <w:t>行使或不行使其</w:t>
      </w:r>
      <w:r>
        <w:rPr>
          <w:rFonts w:ascii="宋体" w:hAnsi="宋体"/>
          <w:color w:val="000000"/>
          <w:sz w:val="24"/>
          <w:szCs w:val="24"/>
        </w:rPr>
        <w:t>投资</w:t>
      </w:r>
      <w:r>
        <w:rPr>
          <w:rFonts w:ascii="宋体" w:hAnsi="宋体" w:hint="eastAsia"/>
          <w:sz w:val="24"/>
          <w:szCs w:val="24"/>
        </w:rPr>
        <w:t>权而</w:t>
      </w:r>
      <w:r>
        <w:rPr>
          <w:rFonts w:ascii="宋体" w:hAnsi="宋体"/>
          <w:color w:val="000000"/>
          <w:sz w:val="24"/>
          <w:szCs w:val="24"/>
        </w:rPr>
        <w:t>造成的损失等</w:t>
      </w:r>
      <w:r>
        <w:rPr>
          <w:rFonts w:ascii="宋体" w:hAnsi="宋体" w:hint="eastAsia"/>
          <w:color w:val="000000"/>
          <w:sz w:val="24"/>
          <w:szCs w:val="24"/>
        </w:rPr>
        <w:t>。</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r>
        <w:rPr>
          <w:rFonts w:ascii="宋体" w:hAnsi="宋体" w:hint="eastAsia"/>
          <w:color w:val="000000"/>
          <w:sz w:val="24"/>
          <w:szCs w:val="24"/>
        </w:rPr>
        <w:t>没有采取适当措施致使损失进一步扩大的，不得就扩大的损失要求赔偿。非违约方因防止损失扩大而支出的合理费用由违约方承担。</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w:t>
      </w:r>
      <w:proofErr w:type="gramStart"/>
      <w:r>
        <w:rPr>
          <w:rFonts w:ascii="宋体" w:hAnsi="宋体"/>
          <w:color w:val="000000"/>
          <w:sz w:val="24"/>
          <w:szCs w:val="24"/>
        </w:rPr>
        <w:t>若基金</w:t>
      </w:r>
      <w:proofErr w:type="gramEnd"/>
      <w:r>
        <w:rPr>
          <w:rFonts w:ascii="宋体" w:hAnsi="宋体"/>
          <w:color w:val="000000"/>
          <w:sz w:val="24"/>
          <w:szCs w:val="24"/>
        </w:rPr>
        <w:t>管理人或基金托管人因履行本协议而被起诉，另一方应提供合理的必要支持。</w:t>
      </w:r>
    </w:p>
    <w:p w:rsidR="005226C6" w:rsidRDefault="004A7AC5">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（六）由于</w:t>
      </w:r>
      <w:r>
        <w:rPr>
          <w:rFonts w:ascii="宋体" w:hAnsi="宋体" w:hint="eastAsia"/>
          <w:sz w:val="24"/>
          <w:szCs w:val="24"/>
        </w:rPr>
        <w:t>基金管理人、基金托管人不可控制的因素导致业务出现差错</w:t>
      </w:r>
      <w:r>
        <w:rPr>
          <w:rFonts w:ascii="宋体" w:hAnsi="宋体" w:hint="eastAsia"/>
          <w:color w:val="000000"/>
          <w:sz w:val="24"/>
          <w:szCs w:val="24"/>
        </w:rPr>
        <w:t>，基金管理人和基金托管人虽然已经采取必要、适当、合理的措施进行检查，但是未能发现</w:t>
      </w:r>
      <w:r>
        <w:rPr>
          <w:bCs/>
          <w:sz w:val="24"/>
        </w:rPr>
        <w:t>错误</w:t>
      </w:r>
      <w:r>
        <w:rPr>
          <w:rFonts w:hint="eastAsia"/>
          <w:bCs/>
          <w:sz w:val="24"/>
        </w:rPr>
        <w:t>或因前述原因未能避免或更正</w:t>
      </w:r>
      <w:r>
        <w:rPr>
          <w:rFonts w:ascii="宋体" w:hAnsi="宋体" w:hint="eastAsia"/>
          <w:color w:val="000000"/>
          <w:sz w:val="24"/>
          <w:szCs w:val="24"/>
        </w:rPr>
        <w:t>错误的，由此造成基金财产或基金投资者损失，基金管理人和基金托管人免除赔偿责任。但基金管理人和基金托管人应当积极采取必要的措施消除或减轻由此造成的影响。</w:t>
      </w:r>
    </w:p>
    <w:p w:rsidR="005226C6" w:rsidRDefault="005226C6"/>
    <w:p w:rsidR="005226C6" w:rsidRDefault="004A7AC5">
      <w:pPr>
        <w:pStyle w:val="2"/>
        <w:spacing w:line="360" w:lineRule="auto"/>
        <w:jc w:val="center"/>
        <w:rPr>
          <w:rFonts w:ascii="宋体" w:eastAsia="宋体" w:hAnsi="宋体"/>
          <w:color w:val="000000"/>
          <w:sz w:val="24"/>
          <w:szCs w:val="24"/>
        </w:rPr>
      </w:pPr>
      <w:bookmarkStart w:id="111" w:name="_Toc145818952"/>
      <w:r>
        <w:rPr>
          <w:rFonts w:ascii="宋体" w:eastAsia="宋体" w:hAnsi="宋体"/>
          <w:color w:val="000000"/>
          <w:sz w:val="24"/>
          <w:szCs w:val="24"/>
        </w:rPr>
        <w:t>十八、争议解决方式</w:t>
      </w:r>
      <w:bookmarkEnd w:id="111"/>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因本协议产生或与之相关的争议，双方当事人应通过协商解决，协商不能解决的，任何一方均有权将争议提交</w:t>
      </w:r>
      <w:r>
        <w:rPr>
          <w:rFonts w:ascii="宋体" w:hAnsi="宋体" w:hint="eastAsia"/>
          <w:color w:val="000000"/>
          <w:sz w:val="24"/>
          <w:szCs w:val="24"/>
        </w:rPr>
        <w:t>中国国际经济贸易仲裁委员会</w:t>
      </w:r>
      <w:r>
        <w:rPr>
          <w:rFonts w:ascii="宋体" w:hAnsi="宋体"/>
          <w:color w:val="000000"/>
          <w:sz w:val="24"/>
          <w:szCs w:val="24"/>
        </w:rPr>
        <w:t>，仲裁地点为</w:t>
      </w:r>
      <w:r>
        <w:rPr>
          <w:rFonts w:ascii="宋体" w:hAnsi="宋体" w:hint="eastAsia"/>
          <w:color w:val="000000"/>
          <w:sz w:val="24"/>
          <w:szCs w:val="24"/>
        </w:rPr>
        <w:t>北京市</w:t>
      </w:r>
      <w:r>
        <w:rPr>
          <w:rFonts w:ascii="宋体" w:hAnsi="宋体"/>
          <w:color w:val="000000"/>
          <w:sz w:val="24"/>
          <w:szCs w:val="24"/>
        </w:rPr>
        <w:t>，按照</w:t>
      </w:r>
      <w:r>
        <w:rPr>
          <w:rFonts w:ascii="宋体" w:hAnsi="宋体" w:hint="eastAsia"/>
          <w:color w:val="000000"/>
          <w:sz w:val="24"/>
          <w:szCs w:val="24"/>
        </w:rPr>
        <w:t>中国国际经济贸易仲裁委员会</w:t>
      </w:r>
      <w:r>
        <w:rPr>
          <w:rFonts w:ascii="宋体" w:hAnsi="宋体"/>
          <w:color w:val="000000"/>
          <w:sz w:val="24"/>
          <w:szCs w:val="24"/>
        </w:rPr>
        <w:t>届时有效的仲裁规则进行仲裁。仲裁裁决是终局的，对当事人均有约束力。</w:t>
      </w:r>
      <w:r>
        <w:rPr>
          <w:rFonts w:ascii="宋体" w:hAnsi="宋体" w:hint="eastAsia"/>
          <w:color w:val="000000"/>
          <w:sz w:val="24"/>
          <w:szCs w:val="24"/>
        </w:rPr>
        <w:t>除非仲裁裁决另有规定，仲裁费由败诉方承</w:t>
      </w:r>
      <w:r>
        <w:rPr>
          <w:rFonts w:ascii="宋体" w:hAnsi="宋体" w:hint="eastAsia"/>
          <w:color w:val="000000"/>
          <w:sz w:val="24"/>
          <w:szCs w:val="24"/>
        </w:rPr>
        <w:lastRenderedPageBreak/>
        <w:t>担。</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5226C6" w:rsidRDefault="004A7AC5">
      <w:pPr>
        <w:adjustRightInd w:val="0"/>
        <w:snapToGrid w:val="0"/>
        <w:spacing w:line="360" w:lineRule="auto"/>
        <w:ind w:firstLineChars="225" w:firstLine="540"/>
        <w:rPr>
          <w:rFonts w:ascii="宋体" w:hAnsi="宋体"/>
          <w:color w:val="000000"/>
          <w:sz w:val="24"/>
          <w:szCs w:val="24"/>
        </w:rPr>
      </w:pPr>
      <w:r>
        <w:rPr>
          <w:rFonts w:ascii="宋体" w:hAnsi="宋体" w:hint="eastAsia"/>
          <w:sz w:val="24"/>
          <w:szCs w:val="24"/>
        </w:rPr>
        <w:t>本协议受中华人民共和国法律</w:t>
      </w:r>
      <w:r>
        <w:rPr>
          <w:rFonts w:hint="eastAsia"/>
          <w:bCs/>
          <w:sz w:val="24"/>
        </w:rPr>
        <w:t>（为</w:t>
      </w:r>
      <w:r>
        <w:rPr>
          <w:rFonts w:ascii="宋体" w:hAnsi="宋体" w:hint="eastAsia"/>
          <w:sz w:val="24"/>
          <w:szCs w:val="24"/>
        </w:rPr>
        <w:t>本协议</w:t>
      </w:r>
      <w:r>
        <w:rPr>
          <w:rFonts w:hint="eastAsia"/>
          <w:bCs/>
          <w:sz w:val="24"/>
        </w:rPr>
        <w:t>之目的，不包括香港特别行政区、澳门特别行政区和台湾地区法律）</w:t>
      </w:r>
      <w:r>
        <w:rPr>
          <w:rFonts w:ascii="宋体" w:hAnsi="宋体" w:hint="eastAsia"/>
          <w:sz w:val="24"/>
          <w:szCs w:val="24"/>
        </w:rPr>
        <w:t>管辖并从其解释。</w:t>
      </w:r>
    </w:p>
    <w:p w:rsidR="005226C6" w:rsidRDefault="004A7AC5">
      <w:pPr>
        <w:pStyle w:val="2"/>
        <w:spacing w:line="360" w:lineRule="auto"/>
        <w:jc w:val="center"/>
        <w:rPr>
          <w:rFonts w:ascii="宋体" w:eastAsia="宋体" w:hAnsi="宋体"/>
          <w:color w:val="000000"/>
          <w:sz w:val="24"/>
          <w:szCs w:val="24"/>
        </w:rPr>
      </w:pPr>
      <w:bookmarkStart w:id="112" w:name="_Toc145818953"/>
      <w:r>
        <w:rPr>
          <w:rFonts w:ascii="宋体" w:eastAsia="宋体" w:hAnsi="宋体"/>
          <w:color w:val="000000"/>
          <w:sz w:val="24"/>
          <w:szCs w:val="24"/>
        </w:rPr>
        <w:t>十九、托管协议的效力</w:t>
      </w:r>
      <w:bookmarkEnd w:id="112"/>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（一）基金管理人在向中国证监会申请</w:t>
      </w:r>
      <w:r>
        <w:rPr>
          <w:rFonts w:ascii="宋体" w:hAnsi="宋体" w:hint="eastAsia"/>
          <w:color w:val="000000"/>
          <w:sz w:val="24"/>
          <w:szCs w:val="24"/>
        </w:rPr>
        <w:t>募集注册本</w:t>
      </w:r>
      <w:r>
        <w:rPr>
          <w:rFonts w:ascii="宋体" w:hAnsi="宋体"/>
          <w:color w:val="000000"/>
          <w:sz w:val="24"/>
          <w:szCs w:val="24"/>
        </w:rPr>
        <w:t>基金时提交的托管协议草案，应经托管协议当事人双方盖章以及双方法定代表人或授权代表签字</w:t>
      </w:r>
      <w:r>
        <w:rPr>
          <w:rFonts w:hint="eastAsia"/>
          <w:bCs/>
          <w:sz w:val="24"/>
        </w:rPr>
        <w:t>或签章</w:t>
      </w:r>
      <w:r>
        <w:rPr>
          <w:rFonts w:ascii="宋体" w:hAnsi="宋体"/>
          <w:color w:val="000000"/>
          <w:sz w:val="24"/>
          <w:szCs w:val="24"/>
        </w:rPr>
        <w:t>，协议当事人双方根据中国证监会的意见修改托管协议草案。托管协议以中国证监会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w:t>
      </w:r>
      <w:r>
        <w:rPr>
          <w:rFonts w:ascii="宋体" w:hAnsi="宋体" w:hint="eastAsia"/>
          <w:color w:val="000000"/>
          <w:sz w:val="24"/>
          <w:szCs w:val="24"/>
        </w:rPr>
        <w:t>报告</w:t>
      </w:r>
      <w:r>
        <w:rPr>
          <w:rFonts w:ascii="宋体" w:hAnsi="宋体"/>
          <w:color w:val="000000"/>
          <w:sz w:val="24"/>
          <w:szCs w:val="24"/>
        </w:rPr>
        <w:t>报中国证监会</w:t>
      </w:r>
      <w:r>
        <w:rPr>
          <w:rFonts w:ascii="宋体" w:hAnsi="宋体" w:hint="eastAsia"/>
          <w:color w:val="000000"/>
          <w:sz w:val="24"/>
          <w:szCs w:val="24"/>
        </w:rPr>
        <w:t>备案</w:t>
      </w:r>
      <w:r>
        <w:rPr>
          <w:rFonts w:ascii="宋体" w:hAnsi="宋体"/>
          <w:color w:val="000000"/>
          <w:sz w:val="24"/>
          <w:szCs w:val="24"/>
        </w:rPr>
        <w:t>并公告之日止。</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三</w:t>
      </w:r>
      <w:r>
        <w:rPr>
          <w:rFonts w:ascii="宋体" w:hAnsi="宋体"/>
          <w:color w:val="000000"/>
          <w:sz w:val="24"/>
          <w:szCs w:val="24"/>
        </w:rPr>
        <w:t>份，协议双方各持</w:t>
      </w:r>
      <w:r>
        <w:rPr>
          <w:rFonts w:hint="eastAsia"/>
          <w:bCs/>
          <w:sz w:val="24"/>
        </w:rPr>
        <w:t>一</w:t>
      </w:r>
      <w:r>
        <w:rPr>
          <w:rFonts w:ascii="宋体" w:hAnsi="宋体"/>
          <w:color w:val="000000"/>
          <w:sz w:val="24"/>
          <w:szCs w:val="24"/>
        </w:rPr>
        <w:t>份，上报</w:t>
      </w:r>
      <w:r>
        <w:rPr>
          <w:rFonts w:ascii="宋体" w:hAnsi="宋体" w:hint="eastAsia"/>
          <w:color w:val="000000"/>
          <w:sz w:val="24"/>
          <w:szCs w:val="24"/>
        </w:rPr>
        <w:t>有关监管部门</w:t>
      </w:r>
      <w:r>
        <w:rPr>
          <w:rFonts w:hint="eastAsia"/>
          <w:bCs/>
          <w:sz w:val="24"/>
        </w:rPr>
        <w:t>一</w:t>
      </w:r>
      <w:r>
        <w:rPr>
          <w:rFonts w:ascii="宋体" w:hAnsi="宋体"/>
          <w:color w:val="000000"/>
          <w:sz w:val="24"/>
          <w:szCs w:val="24"/>
        </w:rPr>
        <w:t>份，每份具有同等法律效力。</w:t>
      </w:r>
    </w:p>
    <w:p w:rsidR="005226C6" w:rsidRDefault="005226C6">
      <w:pPr>
        <w:adjustRightInd w:val="0"/>
        <w:snapToGrid w:val="0"/>
        <w:spacing w:line="360" w:lineRule="auto"/>
        <w:rPr>
          <w:rFonts w:ascii="宋体" w:hAnsi="宋体"/>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13" w:name="_Toc145818954"/>
      <w:r>
        <w:rPr>
          <w:rFonts w:ascii="宋体" w:eastAsia="宋体" w:hAnsi="宋体"/>
          <w:color w:val="000000"/>
          <w:sz w:val="24"/>
          <w:szCs w:val="24"/>
        </w:rPr>
        <w:t>二十、其他事项</w:t>
      </w:r>
      <w:bookmarkEnd w:id="113"/>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rsidR="005226C6" w:rsidRDefault="005226C6">
      <w:pPr>
        <w:adjustRightInd w:val="0"/>
        <w:snapToGrid w:val="0"/>
        <w:spacing w:line="360" w:lineRule="auto"/>
        <w:ind w:firstLineChars="200" w:firstLine="480"/>
        <w:rPr>
          <w:rFonts w:ascii="宋体" w:hAnsi="宋体"/>
          <w:color w:val="000000"/>
          <w:sz w:val="24"/>
          <w:szCs w:val="24"/>
        </w:rPr>
      </w:pPr>
    </w:p>
    <w:p w:rsidR="005226C6" w:rsidRDefault="005226C6">
      <w:pPr>
        <w:adjustRightInd w:val="0"/>
        <w:snapToGrid w:val="0"/>
        <w:spacing w:line="360" w:lineRule="auto"/>
        <w:rPr>
          <w:rFonts w:ascii="宋体" w:hAnsi="宋体"/>
          <w:b/>
          <w:color w:val="000000"/>
          <w:sz w:val="24"/>
          <w:szCs w:val="24"/>
        </w:rPr>
      </w:pPr>
    </w:p>
    <w:p w:rsidR="005226C6" w:rsidRDefault="004A7AC5">
      <w:pPr>
        <w:pStyle w:val="2"/>
        <w:spacing w:line="360" w:lineRule="auto"/>
        <w:jc w:val="center"/>
        <w:rPr>
          <w:rFonts w:ascii="宋体" w:eastAsia="宋体" w:hAnsi="宋体"/>
          <w:color w:val="000000"/>
          <w:sz w:val="24"/>
          <w:szCs w:val="24"/>
        </w:rPr>
      </w:pPr>
      <w:bookmarkStart w:id="114" w:name="_Toc145818955"/>
      <w:r>
        <w:rPr>
          <w:rFonts w:ascii="宋体" w:eastAsia="宋体" w:hAnsi="宋体"/>
          <w:color w:val="000000"/>
          <w:sz w:val="24"/>
          <w:szCs w:val="24"/>
        </w:rPr>
        <w:t>二十一、托管协议的签订</w:t>
      </w:r>
      <w:bookmarkEnd w:id="114"/>
    </w:p>
    <w:p w:rsidR="005226C6" w:rsidRDefault="004A7AC5">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本协议双方法定代表人或授权代表签章、签订地、签订日</w:t>
      </w:r>
    </w:p>
    <w:p w:rsidR="005226C6" w:rsidRDefault="004A7AC5">
      <w:pPr>
        <w:pStyle w:val="Style6"/>
        <w:spacing w:line="360" w:lineRule="auto"/>
        <w:ind w:firstLineChars="171" w:firstLine="410"/>
        <w:rPr>
          <w:rFonts w:ascii="宋体" w:eastAsia="宋体"/>
          <w:szCs w:val="24"/>
        </w:rPr>
      </w:pPr>
      <w:r>
        <w:rPr>
          <w:rFonts w:ascii="宋体" w:eastAsia="宋体"/>
          <w:szCs w:val="24"/>
        </w:rPr>
        <w:br w:type="page"/>
      </w:r>
      <w:r>
        <w:rPr>
          <w:rFonts w:ascii="宋体" w:eastAsia="宋体" w:hint="eastAsia"/>
          <w:szCs w:val="24"/>
        </w:rPr>
        <w:lastRenderedPageBreak/>
        <w:t>（</w:t>
      </w:r>
      <w:r>
        <w:rPr>
          <w:rFonts w:ascii="宋体" w:eastAsia="宋体"/>
          <w:szCs w:val="24"/>
        </w:rPr>
        <w:t>本页无正文</w:t>
      </w:r>
      <w:r>
        <w:rPr>
          <w:rFonts w:ascii="宋体" w:eastAsia="宋体" w:hint="eastAsia"/>
          <w:szCs w:val="24"/>
        </w:rPr>
        <w:t>，为《南方深证100交易型开放式指数证券投资基金联接基金托管协议》盖章页</w:t>
      </w:r>
      <w:r>
        <w:rPr>
          <w:rFonts w:ascii="宋体" w:eastAsia="宋体"/>
          <w:szCs w:val="24"/>
        </w:rPr>
        <w:t>）</w:t>
      </w:r>
    </w:p>
    <w:p w:rsidR="005226C6" w:rsidRDefault="005226C6">
      <w:pPr>
        <w:spacing w:line="360" w:lineRule="auto"/>
        <w:ind w:firstLineChars="192" w:firstLine="461"/>
        <w:rPr>
          <w:rFonts w:ascii="宋体" w:hAnsi="宋体"/>
          <w:sz w:val="24"/>
          <w:szCs w:val="24"/>
        </w:rPr>
      </w:pPr>
    </w:p>
    <w:p w:rsidR="005226C6" w:rsidRDefault="005226C6">
      <w:pPr>
        <w:spacing w:line="360" w:lineRule="auto"/>
        <w:ind w:firstLineChars="192" w:firstLine="461"/>
        <w:rPr>
          <w:rFonts w:ascii="宋体" w:hAnsi="宋体"/>
          <w:sz w:val="24"/>
          <w:szCs w:val="24"/>
        </w:rPr>
      </w:pPr>
    </w:p>
    <w:p w:rsidR="005226C6" w:rsidRDefault="004A7AC5">
      <w:pPr>
        <w:spacing w:line="360" w:lineRule="auto"/>
        <w:ind w:firstLineChars="192" w:firstLine="461"/>
        <w:rPr>
          <w:rFonts w:ascii="宋体" w:hAnsi="宋体"/>
          <w:sz w:val="24"/>
          <w:szCs w:val="24"/>
        </w:rPr>
      </w:pPr>
      <w:r>
        <w:rPr>
          <w:rFonts w:ascii="宋体" w:hAnsi="宋体"/>
          <w:sz w:val="24"/>
          <w:szCs w:val="24"/>
        </w:rPr>
        <w:t>基金管理人：</w:t>
      </w:r>
      <w:r>
        <w:rPr>
          <w:rFonts w:ascii="宋体" w:hAnsi="宋体" w:hint="eastAsia"/>
          <w:sz w:val="24"/>
          <w:szCs w:val="24"/>
        </w:rPr>
        <w:t>南方基金管理股份有限公司</w:t>
      </w:r>
      <w:r>
        <w:rPr>
          <w:rFonts w:ascii="宋体" w:hAnsi="宋体"/>
          <w:sz w:val="24"/>
          <w:szCs w:val="24"/>
        </w:rPr>
        <w:t>（法人盖章）</w:t>
      </w:r>
    </w:p>
    <w:p w:rsidR="005226C6" w:rsidRDefault="005226C6">
      <w:pPr>
        <w:pStyle w:val="Style6"/>
        <w:spacing w:line="360" w:lineRule="auto"/>
        <w:rPr>
          <w:rFonts w:ascii="宋体" w:eastAsia="宋体"/>
          <w:szCs w:val="24"/>
        </w:rPr>
      </w:pPr>
    </w:p>
    <w:p w:rsidR="005226C6" w:rsidRDefault="005226C6">
      <w:pPr>
        <w:pStyle w:val="Style6"/>
        <w:spacing w:line="360" w:lineRule="auto"/>
        <w:rPr>
          <w:rFonts w:ascii="宋体" w:eastAsia="宋体"/>
          <w:szCs w:val="24"/>
        </w:rPr>
      </w:pPr>
    </w:p>
    <w:p w:rsidR="005226C6" w:rsidRDefault="005226C6"/>
    <w:p w:rsidR="005226C6" w:rsidRDefault="004A7AC5">
      <w:pPr>
        <w:pStyle w:val="Style6"/>
        <w:spacing w:line="360" w:lineRule="auto"/>
        <w:ind w:firstLineChars="192" w:firstLine="461"/>
        <w:rPr>
          <w:rFonts w:ascii="宋体" w:eastAsia="宋体"/>
          <w:szCs w:val="24"/>
        </w:rPr>
      </w:pPr>
      <w:r>
        <w:rPr>
          <w:rFonts w:ascii="宋体" w:eastAsia="宋体"/>
          <w:szCs w:val="24"/>
        </w:rPr>
        <w:t>法定代表人或授权代表（签字</w:t>
      </w:r>
      <w:r>
        <w:rPr>
          <w:rFonts w:ascii="宋体" w:eastAsia="宋体" w:hint="eastAsia"/>
          <w:szCs w:val="24"/>
        </w:rPr>
        <w:t>或签章</w:t>
      </w:r>
      <w:r>
        <w:rPr>
          <w:rFonts w:ascii="宋体" w:eastAsia="宋体"/>
          <w:szCs w:val="24"/>
        </w:rPr>
        <w:t xml:space="preserve">）： </w:t>
      </w:r>
    </w:p>
    <w:p w:rsidR="005226C6" w:rsidRDefault="005226C6">
      <w:pPr>
        <w:pStyle w:val="Style6"/>
        <w:spacing w:line="360" w:lineRule="auto"/>
        <w:rPr>
          <w:rFonts w:ascii="宋体" w:eastAsia="宋体"/>
          <w:szCs w:val="24"/>
        </w:rPr>
      </w:pPr>
    </w:p>
    <w:p w:rsidR="005226C6" w:rsidRDefault="005226C6">
      <w:pPr>
        <w:pStyle w:val="Style6"/>
        <w:spacing w:line="360" w:lineRule="auto"/>
        <w:rPr>
          <w:rFonts w:ascii="宋体" w:eastAsia="宋体"/>
          <w:szCs w:val="24"/>
        </w:rPr>
      </w:pPr>
    </w:p>
    <w:p w:rsidR="005226C6" w:rsidRDefault="005226C6">
      <w:pPr>
        <w:pStyle w:val="Style6"/>
        <w:spacing w:line="360" w:lineRule="auto"/>
        <w:rPr>
          <w:rFonts w:ascii="宋体" w:eastAsia="宋体"/>
          <w:szCs w:val="24"/>
        </w:rPr>
      </w:pPr>
    </w:p>
    <w:p w:rsidR="005226C6" w:rsidRDefault="004A7AC5">
      <w:pPr>
        <w:pStyle w:val="Style6"/>
        <w:spacing w:line="360" w:lineRule="auto"/>
        <w:ind w:firstLineChars="192" w:firstLine="461"/>
        <w:rPr>
          <w:rFonts w:ascii="宋体" w:eastAsia="宋体"/>
          <w:szCs w:val="24"/>
        </w:rPr>
      </w:pPr>
      <w:r>
        <w:rPr>
          <w:rFonts w:ascii="宋体" w:eastAsia="宋体"/>
          <w:szCs w:val="24"/>
        </w:rPr>
        <w:t xml:space="preserve">签订日：　</w:t>
      </w:r>
      <w:r>
        <w:rPr>
          <w:rFonts w:ascii="宋体" w:eastAsia="宋体" w:hint="eastAsia"/>
          <w:szCs w:val="24"/>
        </w:rPr>
        <w:t xml:space="preserve">　　　　</w:t>
      </w:r>
      <w:r>
        <w:rPr>
          <w:rFonts w:ascii="宋体" w:eastAsia="宋体"/>
          <w:szCs w:val="24"/>
        </w:rPr>
        <w:t>年   月    日</w:t>
      </w:r>
    </w:p>
    <w:p w:rsidR="005226C6" w:rsidRDefault="005226C6">
      <w:pPr>
        <w:spacing w:line="360" w:lineRule="auto"/>
        <w:rPr>
          <w:rFonts w:ascii="宋体" w:hAnsi="宋体"/>
          <w:sz w:val="24"/>
          <w:szCs w:val="24"/>
        </w:rPr>
      </w:pPr>
    </w:p>
    <w:p w:rsidR="005226C6" w:rsidRDefault="005226C6">
      <w:pPr>
        <w:spacing w:line="360" w:lineRule="auto"/>
        <w:rPr>
          <w:rFonts w:ascii="宋体" w:hAnsi="宋体"/>
          <w:color w:val="000000"/>
          <w:sz w:val="24"/>
          <w:szCs w:val="24"/>
        </w:rPr>
      </w:pPr>
    </w:p>
    <w:p w:rsidR="005226C6" w:rsidRDefault="005226C6">
      <w:pPr>
        <w:spacing w:line="360" w:lineRule="auto"/>
        <w:rPr>
          <w:rFonts w:ascii="宋体" w:hAnsi="宋体"/>
          <w:color w:val="000000"/>
          <w:sz w:val="24"/>
          <w:szCs w:val="24"/>
        </w:rPr>
      </w:pPr>
    </w:p>
    <w:p w:rsidR="005226C6" w:rsidRDefault="005226C6">
      <w:pPr>
        <w:spacing w:line="360" w:lineRule="auto"/>
        <w:rPr>
          <w:rFonts w:ascii="宋体" w:hAnsi="宋体"/>
          <w:color w:val="000000"/>
          <w:sz w:val="24"/>
          <w:szCs w:val="24"/>
        </w:rPr>
      </w:pPr>
    </w:p>
    <w:p w:rsidR="005226C6" w:rsidRDefault="005226C6">
      <w:pPr>
        <w:spacing w:line="360" w:lineRule="auto"/>
        <w:rPr>
          <w:rFonts w:ascii="宋体" w:hAnsi="宋体"/>
          <w:color w:val="000000"/>
          <w:sz w:val="24"/>
          <w:szCs w:val="24"/>
        </w:rPr>
      </w:pPr>
    </w:p>
    <w:p w:rsidR="005226C6" w:rsidRDefault="005226C6">
      <w:pPr>
        <w:spacing w:line="360" w:lineRule="auto"/>
        <w:rPr>
          <w:rFonts w:ascii="宋体" w:hAnsi="宋体"/>
          <w:color w:val="000000"/>
          <w:sz w:val="24"/>
          <w:szCs w:val="24"/>
        </w:rPr>
      </w:pPr>
    </w:p>
    <w:p w:rsidR="005226C6" w:rsidRDefault="004A7AC5">
      <w:pPr>
        <w:pStyle w:val="Style6"/>
        <w:spacing w:line="360" w:lineRule="auto"/>
        <w:rPr>
          <w:rFonts w:ascii="宋体" w:eastAsia="宋体"/>
          <w:szCs w:val="24"/>
        </w:rPr>
      </w:pPr>
      <w:r>
        <w:rPr>
          <w:rFonts w:ascii="宋体" w:eastAsia="宋体"/>
          <w:szCs w:val="24"/>
        </w:rPr>
        <w:t>基金托管人:中国农业银行</w:t>
      </w:r>
      <w:r>
        <w:rPr>
          <w:rFonts w:ascii="宋体" w:eastAsia="宋体" w:hint="eastAsia"/>
          <w:szCs w:val="24"/>
        </w:rPr>
        <w:t>股份有限公司</w:t>
      </w:r>
      <w:r>
        <w:rPr>
          <w:rFonts w:ascii="宋体" w:eastAsia="宋体"/>
          <w:szCs w:val="24"/>
        </w:rPr>
        <w:t>（法人盖章）</w:t>
      </w:r>
    </w:p>
    <w:p w:rsidR="005226C6" w:rsidRDefault="005226C6">
      <w:pPr>
        <w:pStyle w:val="Style6"/>
        <w:spacing w:line="360" w:lineRule="auto"/>
        <w:ind w:firstLineChars="192" w:firstLine="461"/>
        <w:rPr>
          <w:rFonts w:ascii="宋体" w:eastAsia="宋体"/>
          <w:szCs w:val="24"/>
        </w:rPr>
      </w:pPr>
    </w:p>
    <w:p w:rsidR="005226C6" w:rsidRDefault="005226C6">
      <w:pPr>
        <w:rPr>
          <w:rFonts w:ascii="宋体"/>
          <w:sz w:val="24"/>
          <w:szCs w:val="24"/>
        </w:rPr>
      </w:pPr>
    </w:p>
    <w:p w:rsidR="005226C6" w:rsidRDefault="005226C6">
      <w:pPr>
        <w:pStyle w:val="Style6"/>
        <w:spacing w:line="360" w:lineRule="auto"/>
        <w:ind w:firstLineChars="192" w:firstLine="461"/>
        <w:rPr>
          <w:rFonts w:ascii="宋体" w:eastAsia="宋体"/>
          <w:szCs w:val="24"/>
        </w:rPr>
      </w:pPr>
    </w:p>
    <w:p w:rsidR="005226C6" w:rsidRDefault="004A7AC5">
      <w:pPr>
        <w:pStyle w:val="Style6"/>
        <w:spacing w:line="360" w:lineRule="auto"/>
        <w:ind w:firstLineChars="192" w:firstLine="461"/>
        <w:rPr>
          <w:rFonts w:ascii="宋体" w:eastAsia="宋体"/>
          <w:szCs w:val="24"/>
        </w:rPr>
      </w:pPr>
      <w:r>
        <w:rPr>
          <w:rFonts w:ascii="宋体" w:eastAsia="宋体"/>
          <w:szCs w:val="24"/>
        </w:rPr>
        <w:t>法定代表人或授权代表（签字</w:t>
      </w:r>
      <w:r>
        <w:rPr>
          <w:rFonts w:ascii="宋体" w:eastAsia="宋体" w:hint="eastAsia"/>
          <w:szCs w:val="24"/>
        </w:rPr>
        <w:t>或签章</w:t>
      </w:r>
      <w:r>
        <w:rPr>
          <w:rFonts w:ascii="宋体" w:eastAsia="宋体"/>
          <w:szCs w:val="24"/>
        </w:rPr>
        <w:t>）：</w:t>
      </w:r>
    </w:p>
    <w:p w:rsidR="005226C6" w:rsidRDefault="005226C6">
      <w:pPr>
        <w:rPr>
          <w:rFonts w:ascii="宋体"/>
          <w:sz w:val="24"/>
          <w:szCs w:val="24"/>
        </w:rPr>
      </w:pPr>
    </w:p>
    <w:p w:rsidR="005226C6" w:rsidRDefault="005226C6">
      <w:pPr>
        <w:pStyle w:val="Style6"/>
        <w:spacing w:line="360" w:lineRule="auto"/>
        <w:rPr>
          <w:rFonts w:ascii="宋体" w:eastAsia="宋体"/>
          <w:szCs w:val="24"/>
        </w:rPr>
      </w:pPr>
    </w:p>
    <w:p w:rsidR="005226C6" w:rsidRDefault="005226C6"/>
    <w:p w:rsidR="005226C6" w:rsidRDefault="005226C6"/>
    <w:p w:rsidR="005226C6" w:rsidRDefault="005226C6"/>
    <w:p w:rsidR="005226C6" w:rsidRDefault="005226C6"/>
    <w:p w:rsidR="005226C6" w:rsidRDefault="004A7AC5">
      <w:pPr>
        <w:pStyle w:val="Style6"/>
        <w:spacing w:line="360" w:lineRule="auto"/>
        <w:rPr>
          <w:rFonts w:ascii="宋体" w:eastAsia="宋体"/>
          <w:szCs w:val="24"/>
        </w:rPr>
      </w:pPr>
      <w:r>
        <w:rPr>
          <w:rFonts w:ascii="宋体" w:eastAsia="宋体"/>
          <w:szCs w:val="24"/>
        </w:rPr>
        <w:t>签订地：北京</w:t>
      </w:r>
    </w:p>
    <w:p w:rsidR="005226C6" w:rsidRDefault="004A7AC5">
      <w:pPr>
        <w:pStyle w:val="Style6"/>
        <w:spacing w:line="360" w:lineRule="auto"/>
        <w:ind w:firstLineChars="192" w:firstLine="461"/>
      </w:pPr>
      <w:r>
        <w:rPr>
          <w:rFonts w:ascii="宋体" w:eastAsia="宋体"/>
          <w:szCs w:val="24"/>
        </w:rPr>
        <w:t>签订日：</w:t>
      </w:r>
      <w:r>
        <w:rPr>
          <w:rFonts w:ascii="宋体" w:eastAsia="宋体" w:hint="eastAsia"/>
          <w:szCs w:val="24"/>
        </w:rPr>
        <w:t xml:space="preserve">　　　　</w:t>
      </w:r>
      <w:r>
        <w:rPr>
          <w:rFonts w:ascii="宋体" w:eastAsia="宋体"/>
          <w:szCs w:val="24"/>
        </w:rPr>
        <w:t>年   月   日</w:t>
      </w:r>
      <w:bookmarkStart w:id="115" w:name="_Hlt89590562"/>
      <w:bookmarkEnd w:id="115"/>
    </w:p>
    <w:sectPr w:rsidR="005226C6">
      <w:headerReference w:type="default" r:id="rId7"/>
      <w:footerReference w:type="default" r:id="rId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CE" w:rsidRDefault="007E07CE">
      <w:r>
        <w:separator/>
      </w:r>
    </w:p>
  </w:endnote>
  <w:endnote w:type="continuationSeparator" w:id="0">
    <w:p w:rsidR="007E07CE" w:rsidRDefault="007E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1F00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2F8" w:rsidRDefault="00F862F8">
    <w:pPr>
      <w:pStyle w:val="ab"/>
      <w:framePr w:wrap="around" w:vAnchor="text" w:hAnchor="margin" w:xAlign="center" w:y="1"/>
      <w:rPr>
        <w:rStyle w:val="af0"/>
      </w:rPr>
    </w:pPr>
    <w:r>
      <w:fldChar w:fldCharType="begin"/>
    </w:r>
    <w:r>
      <w:rPr>
        <w:rStyle w:val="af0"/>
      </w:rPr>
      <w:instrText xml:space="preserve">PAGE  </w:instrText>
    </w:r>
    <w:r>
      <w:fldChar w:fldCharType="separate"/>
    </w:r>
    <w:r w:rsidR="00266B79">
      <w:rPr>
        <w:rStyle w:val="af0"/>
        <w:noProof/>
      </w:rPr>
      <w:t>22</w:t>
    </w:r>
    <w:r>
      <w:fldChar w:fldCharType="end"/>
    </w:r>
  </w:p>
  <w:p w:rsidR="00F862F8" w:rsidRDefault="00F862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CE" w:rsidRDefault="007E07CE">
      <w:r>
        <w:separator/>
      </w:r>
    </w:p>
  </w:footnote>
  <w:footnote w:type="continuationSeparator" w:id="0">
    <w:p w:rsidR="007E07CE" w:rsidRDefault="007E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2F8" w:rsidRDefault="00F862F8">
    <w:pPr>
      <w:pStyle w:val="ac"/>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C0F33"/>
    <w:multiLevelType w:val="singleLevel"/>
    <w:tmpl w:val="633C0F33"/>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7"/>
    <w:rsid w:val="00003179"/>
    <w:rsid w:val="000047ED"/>
    <w:rsid w:val="00005E54"/>
    <w:rsid w:val="0001117A"/>
    <w:rsid w:val="0001503E"/>
    <w:rsid w:val="00022288"/>
    <w:rsid w:val="00023E15"/>
    <w:rsid w:val="00024047"/>
    <w:rsid w:val="00024E72"/>
    <w:rsid w:val="000414FD"/>
    <w:rsid w:val="0005014F"/>
    <w:rsid w:val="000632B6"/>
    <w:rsid w:val="000666D5"/>
    <w:rsid w:val="000676AE"/>
    <w:rsid w:val="00070FD2"/>
    <w:rsid w:val="000717C2"/>
    <w:rsid w:val="00073A7A"/>
    <w:rsid w:val="000937DA"/>
    <w:rsid w:val="00093F91"/>
    <w:rsid w:val="000A0182"/>
    <w:rsid w:val="000A771D"/>
    <w:rsid w:val="000B62A3"/>
    <w:rsid w:val="000B63CF"/>
    <w:rsid w:val="000C38F9"/>
    <w:rsid w:val="000C3EC1"/>
    <w:rsid w:val="000C64AF"/>
    <w:rsid w:val="000D1AE3"/>
    <w:rsid w:val="000D2A6D"/>
    <w:rsid w:val="000D2DDF"/>
    <w:rsid w:val="000D768F"/>
    <w:rsid w:val="000E39D7"/>
    <w:rsid w:val="00100F00"/>
    <w:rsid w:val="001026E5"/>
    <w:rsid w:val="00111384"/>
    <w:rsid w:val="0011419B"/>
    <w:rsid w:val="0011459F"/>
    <w:rsid w:val="00141699"/>
    <w:rsid w:val="00151FA1"/>
    <w:rsid w:val="00155929"/>
    <w:rsid w:val="00164CA0"/>
    <w:rsid w:val="001670E4"/>
    <w:rsid w:val="00171AC1"/>
    <w:rsid w:val="00171FA2"/>
    <w:rsid w:val="00172A27"/>
    <w:rsid w:val="00177687"/>
    <w:rsid w:val="001859FD"/>
    <w:rsid w:val="0019128A"/>
    <w:rsid w:val="00192FF2"/>
    <w:rsid w:val="0019393B"/>
    <w:rsid w:val="00194DA0"/>
    <w:rsid w:val="001A2A50"/>
    <w:rsid w:val="001A4153"/>
    <w:rsid w:val="001A74CD"/>
    <w:rsid w:val="001B00C1"/>
    <w:rsid w:val="001B0696"/>
    <w:rsid w:val="001B23F8"/>
    <w:rsid w:val="001C61F9"/>
    <w:rsid w:val="001D132E"/>
    <w:rsid w:val="001D5248"/>
    <w:rsid w:val="001D6D8A"/>
    <w:rsid w:val="001E4561"/>
    <w:rsid w:val="001F09AA"/>
    <w:rsid w:val="00205C47"/>
    <w:rsid w:val="0021279C"/>
    <w:rsid w:val="00213F89"/>
    <w:rsid w:val="00216774"/>
    <w:rsid w:val="00222975"/>
    <w:rsid w:val="002236A0"/>
    <w:rsid w:val="00223E1A"/>
    <w:rsid w:val="00225A4B"/>
    <w:rsid w:val="0023485E"/>
    <w:rsid w:val="00243CC4"/>
    <w:rsid w:val="00243F9C"/>
    <w:rsid w:val="002571A6"/>
    <w:rsid w:val="00257541"/>
    <w:rsid w:val="00260ECA"/>
    <w:rsid w:val="00265696"/>
    <w:rsid w:val="00266B79"/>
    <w:rsid w:val="00272244"/>
    <w:rsid w:val="00275735"/>
    <w:rsid w:val="00275F05"/>
    <w:rsid w:val="0027641E"/>
    <w:rsid w:val="002839E9"/>
    <w:rsid w:val="00283F8C"/>
    <w:rsid w:val="0029317E"/>
    <w:rsid w:val="0029638F"/>
    <w:rsid w:val="002A64FD"/>
    <w:rsid w:val="002B54CF"/>
    <w:rsid w:val="002C2762"/>
    <w:rsid w:val="002E3BCF"/>
    <w:rsid w:val="002E5A8D"/>
    <w:rsid w:val="002E7860"/>
    <w:rsid w:val="002F3284"/>
    <w:rsid w:val="00300F63"/>
    <w:rsid w:val="003011CD"/>
    <w:rsid w:val="0032457E"/>
    <w:rsid w:val="00332A76"/>
    <w:rsid w:val="00333F4D"/>
    <w:rsid w:val="00336368"/>
    <w:rsid w:val="00340C0F"/>
    <w:rsid w:val="00342A1F"/>
    <w:rsid w:val="00345C05"/>
    <w:rsid w:val="00353D29"/>
    <w:rsid w:val="003549BA"/>
    <w:rsid w:val="0036509B"/>
    <w:rsid w:val="00371782"/>
    <w:rsid w:val="003746D4"/>
    <w:rsid w:val="00381959"/>
    <w:rsid w:val="00381998"/>
    <w:rsid w:val="00385185"/>
    <w:rsid w:val="00385D9D"/>
    <w:rsid w:val="00390651"/>
    <w:rsid w:val="00390BAD"/>
    <w:rsid w:val="00391617"/>
    <w:rsid w:val="00397B58"/>
    <w:rsid w:val="00397E91"/>
    <w:rsid w:val="003A168E"/>
    <w:rsid w:val="003A7E9E"/>
    <w:rsid w:val="003B0DEC"/>
    <w:rsid w:val="003C07F5"/>
    <w:rsid w:val="003C09E6"/>
    <w:rsid w:val="003D225D"/>
    <w:rsid w:val="003D2F75"/>
    <w:rsid w:val="003E04BB"/>
    <w:rsid w:val="003E78C6"/>
    <w:rsid w:val="003F046B"/>
    <w:rsid w:val="00414B44"/>
    <w:rsid w:val="00425696"/>
    <w:rsid w:val="00460F57"/>
    <w:rsid w:val="004676D5"/>
    <w:rsid w:val="00467868"/>
    <w:rsid w:val="00467FF5"/>
    <w:rsid w:val="00470B75"/>
    <w:rsid w:val="00474052"/>
    <w:rsid w:val="00476EDB"/>
    <w:rsid w:val="00483B09"/>
    <w:rsid w:val="004A0A01"/>
    <w:rsid w:val="004A797A"/>
    <w:rsid w:val="004A7AC5"/>
    <w:rsid w:val="004B5F37"/>
    <w:rsid w:val="004D3825"/>
    <w:rsid w:val="004D7117"/>
    <w:rsid w:val="004E0349"/>
    <w:rsid w:val="004E6504"/>
    <w:rsid w:val="004F4759"/>
    <w:rsid w:val="004F6D15"/>
    <w:rsid w:val="00501902"/>
    <w:rsid w:val="00503846"/>
    <w:rsid w:val="005038E5"/>
    <w:rsid w:val="00504B96"/>
    <w:rsid w:val="005078FC"/>
    <w:rsid w:val="00510B5B"/>
    <w:rsid w:val="005226C6"/>
    <w:rsid w:val="00522EF5"/>
    <w:rsid w:val="00536EE7"/>
    <w:rsid w:val="005428A2"/>
    <w:rsid w:val="00563F57"/>
    <w:rsid w:val="00564B04"/>
    <w:rsid w:val="00571EA5"/>
    <w:rsid w:val="00573AEC"/>
    <w:rsid w:val="005745FB"/>
    <w:rsid w:val="00577C1C"/>
    <w:rsid w:val="005821B9"/>
    <w:rsid w:val="005830EA"/>
    <w:rsid w:val="005853A1"/>
    <w:rsid w:val="00586137"/>
    <w:rsid w:val="00591685"/>
    <w:rsid w:val="00596196"/>
    <w:rsid w:val="005A2380"/>
    <w:rsid w:val="005A2E13"/>
    <w:rsid w:val="005A75E1"/>
    <w:rsid w:val="005B2B66"/>
    <w:rsid w:val="005B2D02"/>
    <w:rsid w:val="005B34F5"/>
    <w:rsid w:val="005B57F9"/>
    <w:rsid w:val="005B62FF"/>
    <w:rsid w:val="005C41EA"/>
    <w:rsid w:val="005C66B4"/>
    <w:rsid w:val="005D1703"/>
    <w:rsid w:val="005D65F3"/>
    <w:rsid w:val="005E2AE2"/>
    <w:rsid w:val="005F01B6"/>
    <w:rsid w:val="005F67B6"/>
    <w:rsid w:val="005F6C0B"/>
    <w:rsid w:val="00612DA7"/>
    <w:rsid w:val="0061484E"/>
    <w:rsid w:val="00617FBB"/>
    <w:rsid w:val="006202E6"/>
    <w:rsid w:val="00630005"/>
    <w:rsid w:val="00635DB4"/>
    <w:rsid w:val="00662F45"/>
    <w:rsid w:val="00663919"/>
    <w:rsid w:val="006672E1"/>
    <w:rsid w:val="006717B4"/>
    <w:rsid w:val="00682AF6"/>
    <w:rsid w:val="006A1262"/>
    <w:rsid w:val="006A1849"/>
    <w:rsid w:val="006A3AB3"/>
    <w:rsid w:val="006C23F3"/>
    <w:rsid w:val="006C781F"/>
    <w:rsid w:val="006D40A9"/>
    <w:rsid w:val="006E213D"/>
    <w:rsid w:val="006F12FF"/>
    <w:rsid w:val="006F1597"/>
    <w:rsid w:val="006F176E"/>
    <w:rsid w:val="006F2F6D"/>
    <w:rsid w:val="00706018"/>
    <w:rsid w:val="00727252"/>
    <w:rsid w:val="007321A1"/>
    <w:rsid w:val="00742E32"/>
    <w:rsid w:val="00743653"/>
    <w:rsid w:val="00750951"/>
    <w:rsid w:val="00750ACC"/>
    <w:rsid w:val="00765E7F"/>
    <w:rsid w:val="00784F16"/>
    <w:rsid w:val="00790DE5"/>
    <w:rsid w:val="007972A0"/>
    <w:rsid w:val="007A23E4"/>
    <w:rsid w:val="007A3B18"/>
    <w:rsid w:val="007A6779"/>
    <w:rsid w:val="007B2340"/>
    <w:rsid w:val="007C04D6"/>
    <w:rsid w:val="007C425C"/>
    <w:rsid w:val="007E07CE"/>
    <w:rsid w:val="007F05A9"/>
    <w:rsid w:val="007F0BD8"/>
    <w:rsid w:val="007F2D0E"/>
    <w:rsid w:val="007F729E"/>
    <w:rsid w:val="008173DC"/>
    <w:rsid w:val="00827730"/>
    <w:rsid w:val="00827E8E"/>
    <w:rsid w:val="0083355B"/>
    <w:rsid w:val="0083571F"/>
    <w:rsid w:val="00850FA5"/>
    <w:rsid w:val="00857FD0"/>
    <w:rsid w:val="00864F15"/>
    <w:rsid w:val="00865EE5"/>
    <w:rsid w:val="00876A31"/>
    <w:rsid w:val="008820A2"/>
    <w:rsid w:val="00885856"/>
    <w:rsid w:val="00887CFA"/>
    <w:rsid w:val="008A028E"/>
    <w:rsid w:val="008B2469"/>
    <w:rsid w:val="008B66D5"/>
    <w:rsid w:val="008C0FDC"/>
    <w:rsid w:val="008C545C"/>
    <w:rsid w:val="008D0FAE"/>
    <w:rsid w:val="008D63B3"/>
    <w:rsid w:val="008E00EC"/>
    <w:rsid w:val="008E2761"/>
    <w:rsid w:val="008E549D"/>
    <w:rsid w:val="008E70F9"/>
    <w:rsid w:val="008F0B0D"/>
    <w:rsid w:val="009019FC"/>
    <w:rsid w:val="00902477"/>
    <w:rsid w:val="00925151"/>
    <w:rsid w:val="0093640B"/>
    <w:rsid w:val="0093652D"/>
    <w:rsid w:val="00943B4B"/>
    <w:rsid w:val="00954091"/>
    <w:rsid w:val="00962116"/>
    <w:rsid w:val="00963208"/>
    <w:rsid w:val="0096749A"/>
    <w:rsid w:val="00970638"/>
    <w:rsid w:val="0097090D"/>
    <w:rsid w:val="0097422A"/>
    <w:rsid w:val="0097526D"/>
    <w:rsid w:val="009961B3"/>
    <w:rsid w:val="009A0208"/>
    <w:rsid w:val="009A1570"/>
    <w:rsid w:val="009A75A9"/>
    <w:rsid w:val="009B3FDE"/>
    <w:rsid w:val="009C1473"/>
    <w:rsid w:val="009D14F2"/>
    <w:rsid w:val="009D1EE8"/>
    <w:rsid w:val="009D22C7"/>
    <w:rsid w:val="009F5CAC"/>
    <w:rsid w:val="00A04316"/>
    <w:rsid w:val="00A1094E"/>
    <w:rsid w:val="00A133B9"/>
    <w:rsid w:val="00A231C1"/>
    <w:rsid w:val="00A4715F"/>
    <w:rsid w:val="00A50CE7"/>
    <w:rsid w:val="00A606F4"/>
    <w:rsid w:val="00A636D6"/>
    <w:rsid w:val="00A642E2"/>
    <w:rsid w:val="00A75E03"/>
    <w:rsid w:val="00A76150"/>
    <w:rsid w:val="00A92605"/>
    <w:rsid w:val="00AB1488"/>
    <w:rsid w:val="00AC6B53"/>
    <w:rsid w:val="00AE0267"/>
    <w:rsid w:val="00AE1E81"/>
    <w:rsid w:val="00B00CC2"/>
    <w:rsid w:val="00B04A09"/>
    <w:rsid w:val="00B06011"/>
    <w:rsid w:val="00B06BF1"/>
    <w:rsid w:val="00B12002"/>
    <w:rsid w:val="00B207EA"/>
    <w:rsid w:val="00B256FA"/>
    <w:rsid w:val="00B30633"/>
    <w:rsid w:val="00B37F39"/>
    <w:rsid w:val="00B442BC"/>
    <w:rsid w:val="00B47ABF"/>
    <w:rsid w:val="00B5480D"/>
    <w:rsid w:val="00B61B29"/>
    <w:rsid w:val="00B624AF"/>
    <w:rsid w:val="00B70BA9"/>
    <w:rsid w:val="00B800F5"/>
    <w:rsid w:val="00B84F87"/>
    <w:rsid w:val="00B85666"/>
    <w:rsid w:val="00B86ECA"/>
    <w:rsid w:val="00B878EB"/>
    <w:rsid w:val="00B91FAA"/>
    <w:rsid w:val="00BA363C"/>
    <w:rsid w:val="00BA7EBC"/>
    <w:rsid w:val="00BC39A8"/>
    <w:rsid w:val="00BC7DC3"/>
    <w:rsid w:val="00BC7FDD"/>
    <w:rsid w:val="00BD48C9"/>
    <w:rsid w:val="00BD5BC9"/>
    <w:rsid w:val="00BD5F4E"/>
    <w:rsid w:val="00BD77FE"/>
    <w:rsid w:val="00BE4B30"/>
    <w:rsid w:val="00BF09CD"/>
    <w:rsid w:val="00BF4A4F"/>
    <w:rsid w:val="00C0068A"/>
    <w:rsid w:val="00C0397D"/>
    <w:rsid w:val="00C0525F"/>
    <w:rsid w:val="00C11202"/>
    <w:rsid w:val="00C1130E"/>
    <w:rsid w:val="00C22B91"/>
    <w:rsid w:val="00C32527"/>
    <w:rsid w:val="00C42512"/>
    <w:rsid w:val="00C43FF3"/>
    <w:rsid w:val="00C44361"/>
    <w:rsid w:val="00C70823"/>
    <w:rsid w:val="00C70E4A"/>
    <w:rsid w:val="00C75A8C"/>
    <w:rsid w:val="00C76079"/>
    <w:rsid w:val="00C824CC"/>
    <w:rsid w:val="00C82DCB"/>
    <w:rsid w:val="00C85AF1"/>
    <w:rsid w:val="00C87A2B"/>
    <w:rsid w:val="00C97AEA"/>
    <w:rsid w:val="00CA39D8"/>
    <w:rsid w:val="00CC1052"/>
    <w:rsid w:val="00CC3FD8"/>
    <w:rsid w:val="00CC4E1F"/>
    <w:rsid w:val="00CE0A11"/>
    <w:rsid w:val="00CE3658"/>
    <w:rsid w:val="00CF61F3"/>
    <w:rsid w:val="00CF6D9E"/>
    <w:rsid w:val="00CF77D5"/>
    <w:rsid w:val="00D00975"/>
    <w:rsid w:val="00D03957"/>
    <w:rsid w:val="00D0536E"/>
    <w:rsid w:val="00D06AE9"/>
    <w:rsid w:val="00D06DA7"/>
    <w:rsid w:val="00D1086F"/>
    <w:rsid w:val="00D14CC6"/>
    <w:rsid w:val="00D237C2"/>
    <w:rsid w:val="00D37943"/>
    <w:rsid w:val="00D42B16"/>
    <w:rsid w:val="00D676B4"/>
    <w:rsid w:val="00D679EA"/>
    <w:rsid w:val="00D82573"/>
    <w:rsid w:val="00D937F6"/>
    <w:rsid w:val="00DB4A2F"/>
    <w:rsid w:val="00DC5FFD"/>
    <w:rsid w:val="00DF4479"/>
    <w:rsid w:val="00E0268A"/>
    <w:rsid w:val="00E03AC1"/>
    <w:rsid w:val="00E055BC"/>
    <w:rsid w:val="00E12564"/>
    <w:rsid w:val="00E17FDD"/>
    <w:rsid w:val="00E21561"/>
    <w:rsid w:val="00E26151"/>
    <w:rsid w:val="00E30E51"/>
    <w:rsid w:val="00E32166"/>
    <w:rsid w:val="00E3455D"/>
    <w:rsid w:val="00E50420"/>
    <w:rsid w:val="00E52D3A"/>
    <w:rsid w:val="00E54E26"/>
    <w:rsid w:val="00E677D9"/>
    <w:rsid w:val="00E70ED2"/>
    <w:rsid w:val="00E7302D"/>
    <w:rsid w:val="00E84253"/>
    <w:rsid w:val="00E87A9C"/>
    <w:rsid w:val="00E9450F"/>
    <w:rsid w:val="00E95612"/>
    <w:rsid w:val="00EA3BFE"/>
    <w:rsid w:val="00EB3ED8"/>
    <w:rsid w:val="00EB4E1C"/>
    <w:rsid w:val="00EB68F5"/>
    <w:rsid w:val="00EC6BF5"/>
    <w:rsid w:val="00ED266D"/>
    <w:rsid w:val="00EE4F8B"/>
    <w:rsid w:val="00EE572D"/>
    <w:rsid w:val="00EF22B0"/>
    <w:rsid w:val="00F042B6"/>
    <w:rsid w:val="00F0623D"/>
    <w:rsid w:val="00F1010E"/>
    <w:rsid w:val="00F11FA7"/>
    <w:rsid w:val="00F21389"/>
    <w:rsid w:val="00F32BB0"/>
    <w:rsid w:val="00F35F66"/>
    <w:rsid w:val="00F36A66"/>
    <w:rsid w:val="00F4479D"/>
    <w:rsid w:val="00F45DEC"/>
    <w:rsid w:val="00F50DD9"/>
    <w:rsid w:val="00F60CFB"/>
    <w:rsid w:val="00F71FF5"/>
    <w:rsid w:val="00F7364C"/>
    <w:rsid w:val="00F8303C"/>
    <w:rsid w:val="00F862F8"/>
    <w:rsid w:val="00F949CE"/>
    <w:rsid w:val="00F97C0D"/>
    <w:rsid w:val="00FA6FBA"/>
    <w:rsid w:val="00FA77DC"/>
    <w:rsid w:val="00FC1157"/>
    <w:rsid w:val="00FC404E"/>
    <w:rsid w:val="00FC5579"/>
    <w:rsid w:val="00FD692D"/>
    <w:rsid w:val="00FE1E89"/>
    <w:rsid w:val="00FF07C0"/>
    <w:rsid w:val="01033AEA"/>
    <w:rsid w:val="043A3667"/>
    <w:rsid w:val="05161227"/>
    <w:rsid w:val="07A06094"/>
    <w:rsid w:val="07D96EA0"/>
    <w:rsid w:val="08195BC1"/>
    <w:rsid w:val="082D6012"/>
    <w:rsid w:val="08360891"/>
    <w:rsid w:val="09272A31"/>
    <w:rsid w:val="0948067A"/>
    <w:rsid w:val="0B110CA9"/>
    <w:rsid w:val="0B2E38C6"/>
    <w:rsid w:val="0BA437A0"/>
    <w:rsid w:val="0BA81609"/>
    <w:rsid w:val="0C2C0250"/>
    <w:rsid w:val="0CA663E8"/>
    <w:rsid w:val="0CE4717A"/>
    <w:rsid w:val="0D3627F4"/>
    <w:rsid w:val="0D556F9C"/>
    <w:rsid w:val="0EBF2D7D"/>
    <w:rsid w:val="0F852442"/>
    <w:rsid w:val="10E1484B"/>
    <w:rsid w:val="11764943"/>
    <w:rsid w:val="12451B3A"/>
    <w:rsid w:val="12CC7234"/>
    <w:rsid w:val="13966526"/>
    <w:rsid w:val="13BA2AEB"/>
    <w:rsid w:val="13E62E5A"/>
    <w:rsid w:val="14A915AF"/>
    <w:rsid w:val="14AD1033"/>
    <w:rsid w:val="17631EB4"/>
    <w:rsid w:val="190C2FDA"/>
    <w:rsid w:val="194F59F8"/>
    <w:rsid w:val="1AB836C4"/>
    <w:rsid w:val="1DA6429A"/>
    <w:rsid w:val="1E104DC4"/>
    <w:rsid w:val="20226907"/>
    <w:rsid w:val="20AD5A46"/>
    <w:rsid w:val="20CA2C03"/>
    <w:rsid w:val="21B03996"/>
    <w:rsid w:val="21EF5B93"/>
    <w:rsid w:val="238D0AD0"/>
    <w:rsid w:val="25382975"/>
    <w:rsid w:val="25F00870"/>
    <w:rsid w:val="296D5AEE"/>
    <w:rsid w:val="29782309"/>
    <w:rsid w:val="297D6D09"/>
    <w:rsid w:val="298B1292"/>
    <w:rsid w:val="29A91E50"/>
    <w:rsid w:val="2AAD32A6"/>
    <w:rsid w:val="2B7B7DB8"/>
    <w:rsid w:val="2C862442"/>
    <w:rsid w:val="2D17486A"/>
    <w:rsid w:val="2F5804EB"/>
    <w:rsid w:val="31BF7CA2"/>
    <w:rsid w:val="33DD625A"/>
    <w:rsid w:val="33EA56E6"/>
    <w:rsid w:val="34C00A80"/>
    <w:rsid w:val="34C31E3F"/>
    <w:rsid w:val="34EE5659"/>
    <w:rsid w:val="35AD428B"/>
    <w:rsid w:val="36900572"/>
    <w:rsid w:val="372D7152"/>
    <w:rsid w:val="376F5F11"/>
    <w:rsid w:val="39790C1A"/>
    <w:rsid w:val="399A4C93"/>
    <w:rsid w:val="3A2F30BF"/>
    <w:rsid w:val="3B655C11"/>
    <w:rsid w:val="3CE52096"/>
    <w:rsid w:val="3DD0474F"/>
    <w:rsid w:val="3E191C4F"/>
    <w:rsid w:val="3E85591E"/>
    <w:rsid w:val="3EA96370"/>
    <w:rsid w:val="3EBD0911"/>
    <w:rsid w:val="3F09791D"/>
    <w:rsid w:val="40FD5C31"/>
    <w:rsid w:val="453E716E"/>
    <w:rsid w:val="46711559"/>
    <w:rsid w:val="4A121AA9"/>
    <w:rsid w:val="4AF61B24"/>
    <w:rsid w:val="4C0E6CB4"/>
    <w:rsid w:val="4D6E03DD"/>
    <w:rsid w:val="50C4452E"/>
    <w:rsid w:val="51085E36"/>
    <w:rsid w:val="546C15FF"/>
    <w:rsid w:val="553D42F2"/>
    <w:rsid w:val="571545E6"/>
    <w:rsid w:val="57344CC0"/>
    <w:rsid w:val="57676D47"/>
    <w:rsid w:val="57F66BA2"/>
    <w:rsid w:val="59306FF5"/>
    <w:rsid w:val="59335419"/>
    <w:rsid w:val="599F2F4A"/>
    <w:rsid w:val="59EA0ED0"/>
    <w:rsid w:val="59F37E09"/>
    <w:rsid w:val="5A4C4828"/>
    <w:rsid w:val="5B6B2B46"/>
    <w:rsid w:val="5C2A578E"/>
    <w:rsid w:val="5CD133C5"/>
    <w:rsid w:val="5D613951"/>
    <w:rsid w:val="5E8359CF"/>
    <w:rsid w:val="5E9D596B"/>
    <w:rsid w:val="5EE0204D"/>
    <w:rsid w:val="5F673705"/>
    <w:rsid w:val="60E912EC"/>
    <w:rsid w:val="62803D4C"/>
    <w:rsid w:val="62B94D3D"/>
    <w:rsid w:val="62BF3BFD"/>
    <w:rsid w:val="632839AB"/>
    <w:rsid w:val="63B67252"/>
    <w:rsid w:val="63E31B0E"/>
    <w:rsid w:val="64DE6EE2"/>
    <w:rsid w:val="65781153"/>
    <w:rsid w:val="6843700C"/>
    <w:rsid w:val="68484D65"/>
    <w:rsid w:val="689E7F4B"/>
    <w:rsid w:val="69A16059"/>
    <w:rsid w:val="6B924B64"/>
    <w:rsid w:val="6BBD1FCD"/>
    <w:rsid w:val="6BC23363"/>
    <w:rsid w:val="6C7E4FCD"/>
    <w:rsid w:val="6D0B1085"/>
    <w:rsid w:val="6F4A6C49"/>
    <w:rsid w:val="6F7B0E65"/>
    <w:rsid w:val="6F8C6A19"/>
    <w:rsid w:val="70260734"/>
    <w:rsid w:val="705C343E"/>
    <w:rsid w:val="705D78BF"/>
    <w:rsid w:val="70796972"/>
    <w:rsid w:val="70A02098"/>
    <w:rsid w:val="718D030D"/>
    <w:rsid w:val="71B7402E"/>
    <w:rsid w:val="71C10309"/>
    <w:rsid w:val="720E17D3"/>
    <w:rsid w:val="721B048E"/>
    <w:rsid w:val="72CD188E"/>
    <w:rsid w:val="73B56FF2"/>
    <w:rsid w:val="73B87014"/>
    <w:rsid w:val="74774FE9"/>
    <w:rsid w:val="74866524"/>
    <w:rsid w:val="74F90F0F"/>
    <w:rsid w:val="755E1496"/>
    <w:rsid w:val="75B878D8"/>
    <w:rsid w:val="76555E78"/>
    <w:rsid w:val="76BC1C57"/>
    <w:rsid w:val="79D07D8C"/>
    <w:rsid w:val="7AFF6DFB"/>
    <w:rsid w:val="7B77573E"/>
    <w:rsid w:val="7B791A9F"/>
    <w:rsid w:val="7BE45EA5"/>
    <w:rsid w:val="7C117838"/>
    <w:rsid w:val="7CB851CC"/>
    <w:rsid w:val="7CEB6EBF"/>
    <w:rsid w:val="7D500BFC"/>
    <w:rsid w:val="7D775EBA"/>
    <w:rsid w:val="7DD9714A"/>
    <w:rsid w:val="7F152778"/>
    <w:rsid w:val="7F1B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804A7E-C13C-482C-BB60-BEB6118D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after="120"/>
    </w:pPr>
  </w:style>
  <w:style w:type="paragraph" w:styleId="a8">
    <w:name w:val="Body Text Indent"/>
    <w:basedOn w:val="a"/>
    <w:qFormat/>
    <w:pPr>
      <w:spacing w:after="120"/>
      <w:ind w:leftChars="200" w:left="420"/>
    </w:pPr>
  </w:style>
  <w:style w:type="paragraph" w:styleId="a9">
    <w:name w:val="Plain Text"/>
    <w:basedOn w:val="a"/>
    <w:uiPriority w:val="99"/>
    <w:unhideWhenUsed/>
    <w:qFormat/>
    <w:pPr>
      <w:spacing w:line="360" w:lineRule="auto"/>
      <w:ind w:left="482" w:firstLine="482"/>
    </w:pPr>
    <w:rPr>
      <w:rFonts w:ascii="宋体" w:hAnsi="Courier New"/>
    </w:rPr>
  </w:style>
  <w:style w:type="paragraph" w:styleId="20">
    <w:name w:val="Body Text Indent 2"/>
    <w:basedOn w:val="a"/>
    <w:qFormat/>
    <w:pPr>
      <w:spacing w:after="120" w:line="480" w:lineRule="auto"/>
      <w:ind w:leftChars="200" w:left="420"/>
    </w:p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after="120"/>
      <w:ind w:leftChars="200" w:left="420"/>
    </w:pPr>
    <w:rPr>
      <w:sz w:val="16"/>
    </w:rPr>
  </w:style>
  <w:style w:type="paragraph" w:styleId="21">
    <w:name w:val="toc 2"/>
    <w:basedOn w:val="a"/>
    <w:next w:val="a"/>
    <w:qFormat/>
    <w:pPr>
      <w:ind w:leftChars="200" w:left="420"/>
    </w:pPr>
  </w:style>
  <w:style w:type="paragraph" w:styleId="ad">
    <w:name w:val="Normal (Web)"/>
    <w:basedOn w:val="a"/>
    <w:qFormat/>
    <w:rPr>
      <w:sz w:val="24"/>
    </w:rPr>
  </w:style>
  <w:style w:type="paragraph" w:styleId="ae">
    <w:name w:val="annotation subject"/>
    <w:basedOn w:val="a5"/>
    <w:next w:val="a5"/>
    <w:qFormat/>
    <w:rPr>
      <w:b/>
    </w:rPr>
  </w:style>
  <w:style w:type="character" w:styleId="af">
    <w:name w:val="Strong"/>
    <w:qFormat/>
    <w:rPr>
      <w:b/>
    </w:rPr>
  </w:style>
  <w:style w:type="character" w:styleId="af0">
    <w:name w:val="page number"/>
    <w:qFormat/>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21"/>
    </w:rPr>
  </w:style>
  <w:style w:type="character" w:customStyle="1" w:styleId="a6">
    <w:name w:val="批注文字 字符"/>
    <w:link w:val="a5"/>
    <w:qFormat/>
    <w:rPr>
      <w:kern w:val="2"/>
      <w:sz w:val="21"/>
    </w:rPr>
  </w:style>
  <w:style w:type="character" w:customStyle="1" w:styleId="read">
    <w:name w:val="read"/>
    <w:qFormat/>
  </w:style>
  <w:style w:type="paragraph" w:customStyle="1" w:styleId="CharChar1">
    <w:name w:val="Char Char1"/>
    <w:basedOn w:val="a"/>
    <w:qFormat/>
  </w:style>
  <w:style w:type="paragraph" w:customStyle="1" w:styleId="22">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1">
    <w:name w:val="修订1"/>
    <w:qFormat/>
    <w:rPr>
      <w:kern w:val="2"/>
      <w:sz w:val="21"/>
    </w:rPr>
  </w:style>
  <w:style w:type="paragraph" w:customStyle="1" w:styleId="Char">
    <w:name w:val="Char"/>
    <w:basedOn w:val="a"/>
    <w:qFormat/>
  </w:style>
  <w:style w:type="paragraph" w:customStyle="1" w:styleId="CharCharChar1">
    <w:name w:val="Char Char Char1"/>
    <w:basedOn w:val="a"/>
    <w:qFormat/>
  </w:style>
  <w:style w:type="paragraph" w:customStyle="1" w:styleId="CharCharChar">
    <w:name w:val="Char Char 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3">
    <w:name w:val="_Style 3"/>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10">
    <w:name w:val="1"/>
    <w:basedOn w:val="a"/>
    <w:next w:val="3"/>
    <w:qFormat/>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43</Pages>
  <Words>4983</Words>
  <Characters>28407</Characters>
  <Application>Microsoft Office Word</Application>
  <DocSecurity>0</DocSecurity>
  <Lines>236</Lines>
  <Paragraphs>66</Paragraphs>
  <ScaleCrop>false</ScaleCrop>
  <Company>JJTG</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张钦</cp:lastModifiedBy>
  <cp:revision>151</cp:revision>
  <cp:lastPrinted>2025-03-14T12:06:00Z</cp:lastPrinted>
  <dcterms:created xsi:type="dcterms:W3CDTF">2023-12-13T18:45:00Z</dcterms:created>
  <dcterms:modified xsi:type="dcterms:W3CDTF">2025-04-23T07:24:00Z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