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42AD" w14:textId="77777777" w:rsidR="006C190A" w:rsidRDefault="006C190A">
      <w:pPr>
        <w:spacing w:before="960" w:line="320" w:lineRule="exact"/>
        <w:jc w:val="center"/>
        <w:rPr>
          <w:rFonts w:ascii="Calibri" w:hAnsi="Calibri"/>
          <w:b/>
          <w:w w:val="200"/>
        </w:rPr>
      </w:pPr>
    </w:p>
    <w:p w14:paraId="31076C93" w14:textId="77777777" w:rsidR="006C190A" w:rsidRPr="004E30C2" w:rsidRDefault="00CC37BA">
      <w:pPr>
        <w:spacing w:before="960" w:line="620" w:lineRule="exact"/>
        <w:jc w:val="center"/>
        <w:outlineLvl w:val="2"/>
        <w:rPr>
          <w:rFonts w:ascii="Calibri" w:hAnsi="Calibri"/>
          <w:b/>
          <w:sz w:val="44"/>
        </w:rPr>
      </w:pPr>
      <w:bookmarkStart w:id="0" w:name="_Toc119263415"/>
      <w:bookmarkStart w:id="1" w:name="_Toc119267454"/>
      <w:r w:rsidRPr="004E30C2">
        <w:rPr>
          <w:rFonts w:ascii="Calibri" w:hAnsi="Calibri" w:hint="eastAsia"/>
          <w:b/>
          <w:sz w:val="44"/>
        </w:rPr>
        <w:t>华安</w:t>
      </w:r>
      <w:proofErr w:type="gramStart"/>
      <w:r w:rsidRPr="004E30C2">
        <w:rPr>
          <w:rFonts w:ascii="Calibri" w:hAnsi="Calibri" w:hint="eastAsia"/>
          <w:b/>
          <w:sz w:val="44"/>
        </w:rPr>
        <w:t>众泰纯债</w:t>
      </w:r>
      <w:proofErr w:type="gramEnd"/>
      <w:r w:rsidRPr="004E30C2">
        <w:rPr>
          <w:rFonts w:ascii="Calibri" w:hAnsi="Calibri" w:hint="eastAsia"/>
          <w:b/>
          <w:sz w:val="44"/>
        </w:rPr>
        <w:t>债券型证券投资基金</w:t>
      </w:r>
      <w:bookmarkEnd w:id="0"/>
      <w:bookmarkEnd w:id="1"/>
    </w:p>
    <w:p w14:paraId="4145218F" w14:textId="77777777" w:rsidR="006C190A" w:rsidRPr="004E30C2" w:rsidRDefault="00CC37BA">
      <w:pPr>
        <w:spacing w:before="960" w:line="620" w:lineRule="exact"/>
        <w:jc w:val="center"/>
        <w:outlineLvl w:val="2"/>
        <w:rPr>
          <w:rFonts w:ascii="Calibri" w:hAnsi="Calibri"/>
          <w:b/>
          <w:sz w:val="44"/>
        </w:rPr>
      </w:pPr>
      <w:bookmarkStart w:id="2" w:name="_Toc119267455"/>
      <w:bookmarkStart w:id="3" w:name="_Toc119263416"/>
      <w:r w:rsidRPr="004E30C2">
        <w:rPr>
          <w:rFonts w:ascii="Calibri" w:hAnsi="Calibri" w:hint="eastAsia"/>
          <w:b/>
          <w:sz w:val="44"/>
        </w:rPr>
        <w:t>托管协议</w:t>
      </w:r>
      <w:bookmarkEnd w:id="2"/>
      <w:bookmarkEnd w:id="3"/>
    </w:p>
    <w:p w14:paraId="7C4B1540" w14:textId="77777777" w:rsidR="006C190A" w:rsidRPr="004E30C2" w:rsidRDefault="006C190A">
      <w:pPr>
        <w:spacing w:before="960" w:line="620" w:lineRule="exact"/>
        <w:jc w:val="center"/>
        <w:rPr>
          <w:rFonts w:ascii="Calibri" w:hAnsi="Calibri"/>
          <w:b/>
          <w:sz w:val="44"/>
        </w:rPr>
      </w:pPr>
    </w:p>
    <w:p w14:paraId="7205A101" w14:textId="77777777" w:rsidR="006C190A" w:rsidRPr="004E30C2" w:rsidRDefault="006C190A">
      <w:pPr>
        <w:spacing w:before="960" w:line="620" w:lineRule="exact"/>
        <w:jc w:val="center"/>
        <w:rPr>
          <w:rFonts w:ascii="Calibri" w:hAnsi="Calibri"/>
          <w:b/>
          <w:sz w:val="44"/>
        </w:rPr>
      </w:pPr>
    </w:p>
    <w:p w14:paraId="74D16E81" w14:textId="77777777" w:rsidR="006C190A" w:rsidRPr="004E30C2" w:rsidRDefault="006C190A">
      <w:pPr>
        <w:spacing w:line="320" w:lineRule="exact"/>
        <w:ind w:left="360" w:right="26"/>
        <w:jc w:val="center"/>
        <w:rPr>
          <w:rFonts w:ascii="Calibri" w:hAnsi="Calibri"/>
          <w:b/>
          <w:sz w:val="30"/>
        </w:rPr>
      </w:pPr>
    </w:p>
    <w:p w14:paraId="626C2BD1" w14:textId="77777777" w:rsidR="006C190A" w:rsidRPr="004E30C2" w:rsidRDefault="00CC37BA">
      <w:pPr>
        <w:spacing w:line="320" w:lineRule="exact"/>
        <w:ind w:left="479" w:right="26" w:firstLine="1200"/>
        <w:rPr>
          <w:rFonts w:ascii="Calibri" w:hAnsi="Calibri"/>
          <w:sz w:val="28"/>
          <w:szCs w:val="28"/>
        </w:rPr>
      </w:pPr>
      <w:r w:rsidRPr="004E30C2">
        <w:rPr>
          <w:rFonts w:ascii="Calibri" w:hAnsi="Calibri" w:hint="eastAsia"/>
          <w:sz w:val="28"/>
          <w:szCs w:val="28"/>
        </w:rPr>
        <w:t>基金管理人：华安基金管理有限公司</w:t>
      </w:r>
    </w:p>
    <w:p w14:paraId="0ECC2FB1" w14:textId="77777777" w:rsidR="006C190A" w:rsidRPr="004E30C2" w:rsidRDefault="006C190A">
      <w:pPr>
        <w:spacing w:line="320" w:lineRule="exact"/>
        <w:ind w:left="359" w:right="26" w:firstLine="1200"/>
        <w:rPr>
          <w:rFonts w:ascii="Calibri" w:hAnsi="Calibri"/>
          <w:sz w:val="28"/>
          <w:szCs w:val="28"/>
        </w:rPr>
      </w:pPr>
    </w:p>
    <w:p w14:paraId="727CC998" w14:textId="77777777" w:rsidR="006C190A" w:rsidRPr="004E30C2" w:rsidRDefault="00CC37BA">
      <w:pPr>
        <w:spacing w:line="320" w:lineRule="exact"/>
        <w:ind w:left="479" w:right="26" w:firstLine="1200"/>
        <w:rPr>
          <w:rFonts w:ascii="Calibri" w:hAnsi="Calibri"/>
          <w:sz w:val="28"/>
          <w:szCs w:val="28"/>
        </w:rPr>
      </w:pPr>
      <w:r w:rsidRPr="004E30C2">
        <w:rPr>
          <w:rFonts w:ascii="Calibri" w:hAnsi="Calibri" w:hint="eastAsia"/>
          <w:sz w:val="28"/>
          <w:szCs w:val="28"/>
        </w:rPr>
        <w:t>基金托管人：中国银行股份有限公司</w:t>
      </w:r>
    </w:p>
    <w:p w14:paraId="0079031B" w14:textId="77777777" w:rsidR="006C190A" w:rsidRPr="004E30C2" w:rsidRDefault="006C190A">
      <w:pPr>
        <w:spacing w:line="320" w:lineRule="exact"/>
        <w:ind w:right="26"/>
        <w:rPr>
          <w:rFonts w:ascii="Calibri" w:hAnsi="Calibri"/>
          <w:sz w:val="28"/>
          <w:szCs w:val="28"/>
        </w:rPr>
      </w:pPr>
    </w:p>
    <w:p w14:paraId="028D30B7" w14:textId="77777777" w:rsidR="006C190A" w:rsidRPr="004E30C2" w:rsidRDefault="00CC37BA">
      <w:pPr>
        <w:tabs>
          <w:tab w:val="left" w:pos="6153"/>
        </w:tabs>
        <w:spacing w:line="320" w:lineRule="exact"/>
        <w:ind w:right="26"/>
        <w:rPr>
          <w:rFonts w:ascii="Calibri" w:hAnsi="Calibri"/>
          <w:sz w:val="28"/>
          <w:szCs w:val="28"/>
        </w:rPr>
      </w:pPr>
      <w:r w:rsidRPr="004E30C2">
        <w:rPr>
          <w:rFonts w:ascii="Calibri" w:hAnsi="Calibri"/>
          <w:sz w:val="28"/>
          <w:szCs w:val="28"/>
        </w:rPr>
        <w:tab/>
      </w:r>
    </w:p>
    <w:p w14:paraId="714766A6" w14:textId="77777777" w:rsidR="006C190A" w:rsidRPr="004E30C2" w:rsidRDefault="006C190A">
      <w:pPr>
        <w:spacing w:line="320" w:lineRule="exact"/>
        <w:ind w:right="26"/>
        <w:jc w:val="center"/>
        <w:rPr>
          <w:rFonts w:ascii="Calibri" w:hAnsi="Calibri"/>
          <w:sz w:val="28"/>
          <w:szCs w:val="28"/>
        </w:rPr>
      </w:pPr>
    </w:p>
    <w:p w14:paraId="33F158C6" w14:textId="77777777" w:rsidR="006C190A" w:rsidRPr="004E30C2" w:rsidRDefault="006C190A">
      <w:pPr>
        <w:spacing w:line="320" w:lineRule="exact"/>
        <w:ind w:right="26"/>
        <w:jc w:val="center"/>
        <w:rPr>
          <w:rFonts w:ascii="Calibri" w:hAnsi="Calibri"/>
          <w:sz w:val="28"/>
          <w:szCs w:val="28"/>
        </w:rPr>
      </w:pPr>
    </w:p>
    <w:p w14:paraId="3D5DC468" w14:textId="77777777" w:rsidR="006C190A" w:rsidRPr="004E30C2" w:rsidRDefault="006C190A">
      <w:pPr>
        <w:spacing w:line="320" w:lineRule="exact"/>
        <w:ind w:right="26"/>
        <w:jc w:val="center"/>
        <w:rPr>
          <w:rFonts w:ascii="Calibri" w:hAnsi="Calibri"/>
          <w:sz w:val="28"/>
          <w:szCs w:val="28"/>
        </w:rPr>
      </w:pPr>
    </w:p>
    <w:p w14:paraId="75A4D038" w14:textId="77777777" w:rsidR="006C190A" w:rsidRPr="004E30C2" w:rsidRDefault="006C190A">
      <w:pPr>
        <w:spacing w:line="320" w:lineRule="exact"/>
        <w:ind w:right="26"/>
        <w:jc w:val="center"/>
        <w:rPr>
          <w:rFonts w:ascii="Calibri" w:hAnsi="Calibri"/>
          <w:sz w:val="28"/>
          <w:szCs w:val="28"/>
        </w:rPr>
      </w:pPr>
    </w:p>
    <w:p w14:paraId="07EFE7EC" w14:textId="77777777" w:rsidR="006C190A" w:rsidRPr="004E30C2" w:rsidRDefault="006C190A">
      <w:pPr>
        <w:spacing w:line="320" w:lineRule="exact"/>
        <w:ind w:right="26"/>
        <w:jc w:val="center"/>
        <w:rPr>
          <w:rFonts w:ascii="Calibri" w:hAnsi="Calibri"/>
          <w:sz w:val="28"/>
          <w:szCs w:val="28"/>
        </w:rPr>
      </w:pPr>
    </w:p>
    <w:p w14:paraId="1C29983F" w14:textId="0C4D838B" w:rsidR="006C190A" w:rsidRPr="004E30C2" w:rsidRDefault="00CC37BA">
      <w:pPr>
        <w:spacing w:line="320" w:lineRule="exact"/>
        <w:ind w:right="26"/>
        <w:jc w:val="center"/>
        <w:rPr>
          <w:rFonts w:ascii="Calibri" w:hAnsi="Calibri"/>
          <w:sz w:val="28"/>
          <w:szCs w:val="28"/>
        </w:rPr>
      </w:pPr>
      <w:r w:rsidRPr="004E30C2">
        <w:rPr>
          <w:rFonts w:ascii="Calibri" w:hAnsi="Calibri" w:hint="eastAsia"/>
          <w:sz w:val="28"/>
          <w:szCs w:val="28"/>
        </w:rPr>
        <w:t>二〇二</w:t>
      </w:r>
      <w:r w:rsidRPr="004E30C2">
        <w:rPr>
          <w:rFonts w:ascii="Calibri" w:hAnsi="Calibri" w:hint="eastAsia"/>
          <w:sz w:val="28"/>
          <w:szCs w:val="28"/>
        </w:rPr>
        <w:t>五</w:t>
      </w:r>
      <w:r w:rsidRPr="004E30C2">
        <w:rPr>
          <w:rFonts w:ascii="Calibri" w:hAnsi="Calibri" w:hint="eastAsia"/>
          <w:sz w:val="28"/>
          <w:szCs w:val="28"/>
        </w:rPr>
        <w:t>年</w:t>
      </w:r>
      <w:r w:rsidRPr="004E30C2">
        <w:rPr>
          <w:rFonts w:ascii="Calibri" w:hAnsi="Calibri" w:hint="eastAsia"/>
          <w:sz w:val="28"/>
          <w:szCs w:val="28"/>
        </w:rPr>
        <w:t>四</w:t>
      </w:r>
      <w:r w:rsidRPr="004E30C2">
        <w:rPr>
          <w:rFonts w:ascii="Calibri" w:hAnsi="Calibri" w:hint="eastAsia"/>
          <w:sz w:val="28"/>
          <w:szCs w:val="28"/>
        </w:rPr>
        <w:t>月</w:t>
      </w:r>
    </w:p>
    <w:p w14:paraId="6A1A3C0E" w14:textId="77777777" w:rsidR="006C190A" w:rsidRPr="004E30C2" w:rsidRDefault="00CC37BA">
      <w:pPr>
        <w:widowControl/>
        <w:jc w:val="left"/>
        <w:rPr>
          <w:rFonts w:ascii="Calibri" w:hAnsi="Calibri"/>
          <w:b/>
        </w:rPr>
      </w:pPr>
      <w:r w:rsidRPr="004E30C2">
        <w:rPr>
          <w:rFonts w:ascii="Calibri" w:hAnsi="Calibri"/>
          <w:b/>
        </w:rPr>
        <w:br w:type="page"/>
      </w:r>
    </w:p>
    <w:p w14:paraId="287EF9DB" w14:textId="77777777" w:rsidR="006C190A" w:rsidRPr="004E30C2" w:rsidRDefault="00CC37BA">
      <w:pPr>
        <w:pStyle w:val="113"/>
        <w:rPr>
          <w:rFonts w:ascii="Arial" w:hAnsi="Arial"/>
          <w:shd w:val="clear" w:color="auto" w:fill="E6E6E6"/>
        </w:rPr>
      </w:pPr>
      <w:r w:rsidRPr="004E30C2">
        <w:rPr>
          <w:rFonts w:ascii="Arial" w:hAnsi="Arial"/>
        </w:rPr>
        <w:lastRenderedPageBreak/>
        <w:t>目</w:t>
      </w:r>
      <w:r w:rsidRPr="004E30C2">
        <w:rPr>
          <w:rFonts w:ascii="Arial" w:hAnsi="Arial"/>
        </w:rPr>
        <w:t xml:space="preserve">   </w:t>
      </w:r>
      <w:r w:rsidRPr="004E30C2">
        <w:rPr>
          <w:rFonts w:ascii="Arial" w:hAnsi="Arial"/>
        </w:rPr>
        <w:t>录</w:t>
      </w:r>
      <w:r w:rsidRPr="004E30C2">
        <w:rPr>
          <w:rFonts w:ascii="Arial" w:hAnsi="Arial"/>
          <w:shd w:val="clear" w:color="auto" w:fill="E6E6E6"/>
        </w:rPr>
        <w:br/>
      </w:r>
    </w:p>
    <w:p w14:paraId="53276BC9" w14:textId="77777777" w:rsidR="006C190A" w:rsidRPr="004E30C2" w:rsidRDefault="00CC37BA">
      <w:pPr>
        <w:pStyle w:val="31"/>
        <w:tabs>
          <w:tab w:val="right" w:pos="8296"/>
        </w:tabs>
        <w:spacing w:line="360" w:lineRule="auto"/>
        <w:rPr>
          <w:rFonts w:ascii="Calibri" w:hAnsi="Calibri" w:cs="Calibri"/>
          <w:b/>
          <w:szCs w:val="22"/>
        </w:rPr>
      </w:pPr>
      <w:r w:rsidRPr="004E30C2">
        <w:rPr>
          <w:rStyle w:val="17"/>
        </w:rPr>
        <w:fldChar w:fldCharType="begin"/>
      </w:r>
      <w:r w:rsidRPr="004E30C2">
        <w:rPr>
          <w:rStyle w:val="17"/>
          <w:b/>
          <w:caps/>
        </w:rPr>
        <w:instrText xml:space="preserve"> TOC \o "1-3" \h \z \u </w:instrText>
      </w:r>
      <w:r w:rsidRPr="004E30C2">
        <w:rPr>
          <w:rStyle w:val="17"/>
        </w:rPr>
        <w:fldChar w:fldCharType="separate"/>
      </w:r>
    </w:p>
    <w:p w14:paraId="416D7D16" w14:textId="77777777" w:rsidR="006C190A" w:rsidRPr="004E30C2" w:rsidRDefault="00CC37BA">
      <w:pPr>
        <w:pStyle w:val="11"/>
        <w:tabs>
          <w:tab w:val="right" w:pos="8296"/>
        </w:tabs>
        <w:spacing w:line="360" w:lineRule="auto"/>
        <w:rPr>
          <w:rFonts w:ascii="Calibri" w:hAnsi="Calibri" w:cs="Calibri"/>
          <w:b/>
          <w:szCs w:val="22"/>
        </w:rPr>
      </w:pPr>
      <w:hyperlink w:anchor="_Toc119267457" w:history="1">
        <w:r w:rsidRPr="004E30C2">
          <w:rPr>
            <w:rStyle w:val="af7"/>
            <w:rFonts w:ascii="Calibri" w:hAnsi="Calibri" w:hint="eastAsia"/>
            <w:b/>
          </w:rPr>
          <w:t>一、托管协议当事人</w:t>
        </w:r>
        <w:r w:rsidRPr="004E30C2">
          <w:rPr>
            <w:b/>
          </w:rPr>
          <w:tab/>
        </w:r>
        <w:r w:rsidRPr="004E30C2">
          <w:rPr>
            <w:b/>
          </w:rPr>
          <w:fldChar w:fldCharType="begin"/>
        </w:r>
        <w:r w:rsidRPr="004E30C2">
          <w:rPr>
            <w:b/>
          </w:rPr>
          <w:instrText xml:space="preserve"> PAGEREF _Toc119267457 \h </w:instrText>
        </w:r>
        <w:r w:rsidRPr="004E30C2">
          <w:rPr>
            <w:b/>
          </w:rPr>
        </w:r>
        <w:r w:rsidRPr="004E30C2">
          <w:rPr>
            <w:b/>
          </w:rPr>
          <w:fldChar w:fldCharType="separate"/>
        </w:r>
        <w:r w:rsidRPr="004E30C2">
          <w:rPr>
            <w:b/>
          </w:rPr>
          <w:t>1</w:t>
        </w:r>
        <w:r w:rsidRPr="004E30C2">
          <w:rPr>
            <w:b/>
          </w:rPr>
          <w:fldChar w:fldCharType="end"/>
        </w:r>
      </w:hyperlink>
    </w:p>
    <w:p w14:paraId="7ADC728E" w14:textId="77777777" w:rsidR="006C190A" w:rsidRPr="004E30C2" w:rsidRDefault="00CC37BA">
      <w:pPr>
        <w:pStyle w:val="11"/>
        <w:tabs>
          <w:tab w:val="right" w:pos="8296"/>
        </w:tabs>
        <w:spacing w:line="360" w:lineRule="auto"/>
        <w:rPr>
          <w:rFonts w:ascii="Calibri" w:hAnsi="Calibri" w:cs="Calibri"/>
          <w:b/>
          <w:szCs w:val="22"/>
        </w:rPr>
      </w:pPr>
      <w:hyperlink w:anchor="_Toc119267458" w:history="1">
        <w:r w:rsidRPr="004E30C2">
          <w:rPr>
            <w:rStyle w:val="af7"/>
            <w:rFonts w:ascii="Calibri" w:hAnsi="Calibri" w:hint="eastAsia"/>
            <w:b/>
          </w:rPr>
          <w:t>二、托管协议的依据、目的、原则和解释</w:t>
        </w:r>
        <w:r w:rsidRPr="004E30C2">
          <w:rPr>
            <w:b/>
          </w:rPr>
          <w:tab/>
        </w:r>
        <w:r w:rsidRPr="004E30C2">
          <w:rPr>
            <w:b/>
          </w:rPr>
          <w:fldChar w:fldCharType="begin"/>
        </w:r>
        <w:r w:rsidRPr="004E30C2">
          <w:rPr>
            <w:b/>
          </w:rPr>
          <w:instrText xml:space="preserve"> PAGEREF _Toc119267458 \h </w:instrText>
        </w:r>
        <w:r w:rsidRPr="004E30C2">
          <w:rPr>
            <w:b/>
          </w:rPr>
        </w:r>
        <w:r w:rsidRPr="004E30C2">
          <w:rPr>
            <w:b/>
          </w:rPr>
          <w:fldChar w:fldCharType="separate"/>
        </w:r>
        <w:r w:rsidRPr="004E30C2">
          <w:rPr>
            <w:b/>
          </w:rPr>
          <w:t>3</w:t>
        </w:r>
        <w:r w:rsidRPr="004E30C2">
          <w:rPr>
            <w:b/>
          </w:rPr>
          <w:fldChar w:fldCharType="end"/>
        </w:r>
      </w:hyperlink>
    </w:p>
    <w:p w14:paraId="61A29FDD" w14:textId="77777777" w:rsidR="006C190A" w:rsidRPr="004E30C2" w:rsidRDefault="00CC37BA">
      <w:pPr>
        <w:pStyle w:val="11"/>
        <w:tabs>
          <w:tab w:val="right" w:pos="8296"/>
        </w:tabs>
        <w:spacing w:line="360" w:lineRule="auto"/>
        <w:rPr>
          <w:rFonts w:ascii="Calibri" w:hAnsi="Calibri" w:cs="Calibri"/>
          <w:b/>
          <w:szCs w:val="22"/>
        </w:rPr>
      </w:pPr>
      <w:hyperlink w:anchor="_Toc119267459" w:history="1">
        <w:r w:rsidRPr="004E30C2">
          <w:rPr>
            <w:rStyle w:val="af7"/>
            <w:rFonts w:ascii="Calibri" w:hAnsi="Calibri" w:hint="eastAsia"/>
            <w:b/>
          </w:rPr>
          <w:t>三、基金托管人对基金</w:t>
        </w:r>
        <w:r w:rsidRPr="004E30C2">
          <w:rPr>
            <w:rStyle w:val="af7"/>
            <w:rFonts w:ascii="Calibri" w:hAnsi="Calibri" w:hint="eastAsia"/>
            <w:b/>
          </w:rPr>
          <w:t>管理人的业务监督和核查</w:t>
        </w:r>
        <w:r w:rsidRPr="004E30C2">
          <w:rPr>
            <w:b/>
          </w:rPr>
          <w:tab/>
        </w:r>
        <w:r w:rsidRPr="004E30C2">
          <w:rPr>
            <w:b/>
          </w:rPr>
          <w:fldChar w:fldCharType="begin"/>
        </w:r>
        <w:r w:rsidRPr="004E30C2">
          <w:rPr>
            <w:b/>
          </w:rPr>
          <w:instrText xml:space="preserve"> PAGEREF _Toc119267459 \h </w:instrText>
        </w:r>
        <w:r w:rsidRPr="004E30C2">
          <w:rPr>
            <w:b/>
          </w:rPr>
        </w:r>
        <w:r w:rsidRPr="004E30C2">
          <w:rPr>
            <w:b/>
          </w:rPr>
          <w:fldChar w:fldCharType="separate"/>
        </w:r>
        <w:r w:rsidRPr="004E30C2">
          <w:rPr>
            <w:b/>
          </w:rPr>
          <w:t>3</w:t>
        </w:r>
        <w:r w:rsidRPr="004E30C2">
          <w:rPr>
            <w:b/>
          </w:rPr>
          <w:fldChar w:fldCharType="end"/>
        </w:r>
      </w:hyperlink>
    </w:p>
    <w:p w14:paraId="45364B09" w14:textId="77777777" w:rsidR="006C190A" w:rsidRPr="004E30C2" w:rsidRDefault="00CC37BA">
      <w:pPr>
        <w:pStyle w:val="11"/>
        <w:tabs>
          <w:tab w:val="right" w:pos="8296"/>
        </w:tabs>
        <w:spacing w:line="360" w:lineRule="auto"/>
        <w:rPr>
          <w:rFonts w:ascii="Calibri" w:hAnsi="Calibri" w:cs="Calibri"/>
          <w:b/>
          <w:szCs w:val="22"/>
        </w:rPr>
      </w:pPr>
      <w:hyperlink w:anchor="_Toc119267460" w:history="1">
        <w:r w:rsidRPr="004E30C2">
          <w:rPr>
            <w:rStyle w:val="af7"/>
            <w:rFonts w:ascii="Calibri" w:hAnsi="Calibri" w:hint="eastAsia"/>
            <w:b/>
          </w:rPr>
          <w:t>四、基金管理人对基金托管人的业务核查</w:t>
        </w:r>
        <w:r w:rsidRPr="004E30C2">
          <w:rPr>
            <w:b/>
          </w:rPr>
          <w:tab/>
        </w:r>
        <w:r w:rsidRPr="004E30C2">
          <w:rPr>
            <w:b/>
          </w:rPr>
          <w:fldChar w:fldCharType="begin"/>
        </w:r>
        <w:r w:rsidRPr="004E30C2">
          <w:rPr>
            <w:b/>
          </w:rPr>
          <w:instrText xml:space="preserve"> PAGEREF _Toc119267460 \h </w:instrText>
        </w:r>
        <w:r w:rsidRPr="004E30C2">
          <w:rPr>
            <w:b/>
          </w:rPr>
        </w:r>
        <w:r w:rsidRPr="004E30C2">
          <w:rPr>
            <w:b/>
          </w:rPr>
          <w:fldChar w:fldCharType="separate"/>
        </w:r>
        <w:r w:rsidRPr="004E30C2">
          <w:rPr>
            <w:b/>
          </w:rPr>
          <w:t>7</w:t>
        </w:r>
        <w:r w:rsidRPr="004E30C2">
          <w:rPr>
            <w:b/>
          </w:rPr>
          <w:fldChar w:fldCharType="end"/>
        </w:r>
      </w:hyperlink>
    </w:p>
    <w:p w14:paraId="78B0AE7A" w14:textId="77777777" w:rsidR="006C190A" w:rsidRPr="004E30C2" w:rsidRDefault="00CC37BA">
      <w:pPr>
        <w:pStyle w:val="11"/>
        <w:tabs>
          <w:tab w:val="right" w:pos="8296"/>
        </w:tabs>
        <w:spacing w:line="360" w:lineRule="auto"/>
        <w:rPr>
          <w:rFonts w:ascii="Calibri" w:hAnsi="Calibri" w:cs="Calibri"/>
          <w:b/>
          <w:szCs w:val="22"/>
        </w:rPr>
      </w:pPr>
      <w:hyperlink w:anchor="_Toc119267461" w:history="1">
        <w:r w:rsidRPr="004E30C2">
          <w:rPr>
            <w:rStyle w:val="af7"/>
            <w:rFonts w:ascii="Calibri" w:hAnsi="Calibri" w:hint="eastAsia"/>
            <w:b/>
          </w:rPr>
          <w:t>五、基金财产的保管</w:t>
        </w:r>
        <w:r w:rsidRPr="004E30C2">
          <w:rPr>
            <w:b/>
          </w:rPr>
          <w:tab/>
        </w:r>
        <w:r w:rsidRPr="004E30C2">
          <w:rPr>
            <w:b/>
          </w:rPr>
          <w:fldChar w:fldCharType="begin"/>
        </w:r>
        <w:r w:rsidRPr="004E30C2">
          <w:rPr>
            <w:b/>
          </w:rPr>
          <w:instrText xml:space="preserve"> PAGEREF _Toc119267461 \h </w:instrText>
        </w:r>
        <w:r w:rsidRPr="004E30C2">
          <w:rPr>
            <w:b/>
          </w:rPr>
        </w:r>
        <w:r w:rsidRPr="004E30C2">
          <w:rPr>
            <w:b/>
          </w:rPr>
          <w:fldChar w:fldCharType="separate"/>
        </w:r>
        <w:r w:rsidRPr="004E30C2">
          <w:rPr>
            <w:b/>
          </w:rPr>
          <w:t>7</w:t>
        </w:r>
        <w:r w:rsidRPr="004E30C2">
          <w:rPr>
            <w:b/>
          </w:rPr>
          <w:fldChar w:fldCharType="end"/>
        </w:r>
      </w:hyperlink>
    </w:p>
    <w:p w14:paraId="5710075F" w14:textId="77777777" w:rsidR="006C190A" w:rsidRPr="004E30C2" w:rsidRDefault="00CC37BA">
      <w:pPr>
        <w:pStyle w:val="11"/>
        <w:tabs>
          <w:tab w:val="right" w:pos="8296"/>
        </w:tabs>
        <w:spacing w:line="360" w:lineRule="auto"/>
        <w:rPr>
          <w:rFonts w:ascii="Calibri" w:hAnsi="Calibri" w:cs="Calibri"/>
          <w:b/>
          <w:szCs w:val="22"/>
        </w:rPr>
      </w:pPr>
      <w:hyperlink w:anchor="_Toc119267462" w:history="1">
        <w:r w:rsidRPr="004E30C2">
          <w:rPr>
            <w:rStyle w:val="af7"/>
            <w:rFonts w:ascii="Calibri" w:hAnsi="Calibri" w:hint="eastAsia"/>
            <w:b/>
          </w:rPr>
          <w:t>六、指令的发送、确认及执行</w:t>
        </w:r>
        <w:r w:rsidRPr="004E30C2">
          <w:rPr>
            <w:b/>
          </w:rPr>
          <w:tab/>
        </w:r>
        <w:r w:rsidRPr="004E30C2">
          <w:rPr>
            <w:b/>
          </w:rPr>
          <w:fldChar w:fldCharType="begin"/>
        </w:r>
        <w:r w:rsidRPr="004E30C2">
          <w:rPr>
            <w:b/>
          </w:rPr>
          <w:instrText xml:space="preserve"> PAGEREF _Toc119267462 \h </w:instrText>
        </w:r>
        <w:r w:rsidRPr="004E30C2">
          <w:rPr>
            <w:b/>
          </w:rPr>
        </w:r>
        <w:r w:rsidRPr="004E30C2">
          <w:rPr>
            <w:b/>
          </w:rPr>
          <w:fldChar w:fldCharType="separate"/>
        </w:r>
        <w:r w:rsidRPr="004E30C2">
          <w:rPr>
            <w:b/>
          </w:rPr>
          <w:t>10</w:t>
        </w:r>
        <w:r w:rsidRPr="004E30C2">
          <w:rPr>
            <w:b/>
          </w:rPr>
          <w:fldChar w:fldCharType="end"/>
        </w:r>
      </w:hyperlink>
    </w:p>
    <w:p w14:paraId="2398C1A5" w14:textId="77777777" w:rsidR="006C190A" w:rsidRPr="004E30C2" w:rsidRDefault="00CC37BA">
      <w:pPr>
        <w:pStyle w:val="11"/>
        <w:tabs>
          <w:tab w:val="right" w:pos="8296"/>
        </w:tabs>
        <w:spacing w:line="360" w:lineRule="auto"/>
        <w:rPr>
          <w:rFonts w:ascii="Calibri" w:hAnsi="Calibri" w:cs="Calibri"/>
          <w:b/>
          <w:szCs w:val="22"/>
        </w:rPr>
      </w:pPr>
      <w:hyperlink w:anchor="_Toc119267463" w:history="1">
        <w:r w:rsidRPr="004E30C2">
          <w:rPr>
            <w:rStyle w:val="af7"/>
            <w:rFonts w:ascii="Calibri" w:hAnsi="Calibri" w:hint="eastAsia"/>
            <w:b/>
          </w:rPr>
          <w:t>七、交易及清算交收安排</w:t>
        </w:r>
        <w:r w:rsidRPr="004E30C2">
          <w:rPr>
            <w:b/>
          </w:rPr>
          <w:tab/>
        </w:r>
        <w:r w:rsidRPr="004E30C2">
          <w:rPr>
            <w:b/>
          </w:rPr>
          <w:fldChar w:fldCharType="begin"/>
        </w:r>
        <w:r w:rsidRPr="004E30C2">
          <w:rPr>
            <w:b/>
          </w:rPr>
          <w:instrText xml:space="preserve"> PAGEREF _Toc119267463 \h </w:instrText>
        </w:r>
        <w:r w:rsidRPr="004E30C2">
          <w:rPr>
            <w:b/>
          </w:rPr>
        </w:r>
        <w:r w:rsidRPr="004E30C2">
          <w:rPr>
            <w:b/>
          </w:rPr>
          <w:fldChar w:fldCharType="separate"/>
        </w:r>
        <w:r w:rsidRPr="004E30C2">
          <w:rPr>
            <w:b/>
          </w:rPr>
          <w:t>13</w:t>
        </w:r>
        <w:r w:rsidRPr="004E30C2">
          <w:rPr>
            <w:b/>
          </w:rPr>
          <w:fldChar w:fldCharType="end"/>
        </w:r>
      </w:hyperlink>
    </w:p>
    <w:p w14:paraId="648DE9FE" w14:textId="77777777" w:rsidR="006C190A" w:rsidRPr="004E30C2" w:rsidRDefault="00CC37BA">
      <w:pPr>
        <w:pStyle w:val="11"/>
        <w:tabs>
          <w:tab w:val="right" w:pos="8296"/>
        </w:tabs>
        <w:spacing w:line="360" w:lineRule="auto"/>
        <w:rPr>
          <w:rFonts w:ascii="Calibri" w:hAnsi="Calibri" w:cs="Calibri"/>
          <w:b/>
          <w:szCs w:val="22"/>
        </w:rPr>
      </w:pPr>
      <w:hyperlink w:anchor="_Toc119267464" w:history="1">
        <w:r w:rsidRPr="004E30C2">
          <w:rPr>
            <w:rStyle w:val="af7"/>
            <w:rFonts w:ascii="Calibri" w:hAnsi="Calibri" w:hint="eastAsia"/>
            <w:b/>
          </w:rPr>
          <w:t>八、基金资产净值计算和会计核算</w:t>
        </w:r>
        <w:r w:rsidRPr="004E30C2">
          <w:rPr>
            <w:b/>
          </w:rPr>
          <w:tab/>
        </w:r>
        <w:r w:rsidRPr="004E30C2">
          <w:rPr>
            <w:b/>
          </w:rPr>
          <w:fldChar w:fldCharType="begin"/>
        </w:r>
        <w:r w:rsidRPr="004E30C2">
          <w:rPr>
            <w:b/>
          </w:rPr>
          <w:instrText xml:space="preserve"> PAGEREF _Toc119267464 \h </w:instrText>
        </w:r>
        <w:r w:rsidRPr="004E30C2">
          <w:rPr>
            <w:b/>
          </w:rPr>
        </w:r>
        <w:r w:rsidRPr="004E30C2">
          <w:rPr>
            <w:b/>
          </w:rPr>
          <w:fldChar w:fldCharType="separate"/>
        </w:r>
        <w:r w:rsidRPr="004E30C2">
          <w:rPr>
            <w:b/>
          </w:rPr>
          <w:t>15</w:t>
        </w:r>
        <w:r w:rsidRPr="004E30C2">
          <w:rPr>
            <w:b/>
          </w:rPr>
          <w:fldChar w:fldCharType="end"/>
        </w:r>
      </w:hyperlink>
    </w:p>
    <w:p w14:paraId="70F69043" w14:textId="77777777" w:rsidR="006C190A" w:rsidRPr="004E30C2" w:rsidRDefault="00CC37BA">
      <w:pPr>
        <w:pStyle w:val="11"/>
        <w:tabs>
          <w:tab w:val="right" w:pos="8296"/>
        </w:tabs>
        <w:spacing w:line="360" w:lineRule="auto"/>
        <w:rPr>
          <w:rFonts w:ascii="Calibri" w:hAnsi="Calibri" w:cs="Calibri"/>
          <w:b/>
          <w:szCs w:val="22"/>
        </w:rPr>
      </w:pPr>
      <w:hyperlink w:anchor="_Toc119267465" w:history="1">
        <w:r w:rsidRPr="004E30C2">
          <w:rPr>
            <w:rStyle w:val="af7"/>
            <w:rFonts w:ascii="Calibri" w:hAnsi="Calibri" w:hint="eastAsia"/>
            <w:b/>
          </w:rPr>
          <w:t>九、基金收益分配</w:t>
        </w:r>
        <w:r w:rsidRPr="004E30C2">
          <w:rPr>
            <w:b/>
          </w:rPr>
          <w:tab/>
        </w:r>
        <w:r w:rsidRPr="004E30C2">
          <w:rPr>
            <w:b/>
          </w:rPr>
          <w:fldChar w:fldCharType="begin"/>
        </w:r>
        <w:r w:rsidRPr="004E30C2">
          <w:rPr>
            <w:b/>
          </w:rPr>
          <w:instrText xml:space="preserve"> PAGEREF _Toc119267465 \h </w:instrText>
        </w:r>
        <w:r w:rsidRPr="004E30C2">
          <w:rPr>
            <w:b/>
          </w:rPr>
        </w:r>
        <w:r w:rsidRPr="004E30C2">
          <w:rPr>
            <w:b/>
          </w:rPr>
          <w:fldChar w:fldCharType="separate"/>
        </w:r>
        <w:r w:rsidRPr="004E30C2">
          <w:rPr>
            <w:b/>
          </w:rPr>
          <w:t>18</w:t>
        </w:r>
        <w:r w:rsidRPr="004E30C2">
          <w:rPr>
            <w:b/>
          </w:rPr>
          <w:fldChar w:fldCharType="end"/>
        </w:r>
      </w:hyperlink>
    </w:p>
    <w:p w14:paraId="6586D3D1" w14:textId="77777777" w:rsidR="006C190A" w:rsidRPr="004E30C2" w:rsidRDefault="00CC37BA">
      <w:pPr>
        <w:pStyle w:val="11"/>
        <w:tabs>
          <w:tab w:val="right" w:pos="8296"/>
        </w:tabs>
        <w:spacing w:line="360" w:lineRule="auto"/>
        <w:rPr>
          <w:rFonts w:ascii="Calibri" w:hAnsi="Calibri" w:cs="Calibri"/>
          <w:b/>
          <w:szCs w:val="22"/>
        </w:rPr>
      </w:pPr>
      <w:hyperlink w:anchor="_Toc119267466" w:history="1">
        <w:r w:rsidRPr="004E30C2">
          <w:rPr>
            <w:rStyle w:val="af7"/>
            <w:rFonts w:ascii="Calibri" w:hAnsi="Calibri" w:hint="eastAsia"/>
            <w:b/>
          </w:rPr>
          <w:t>十、基金信息披露</w:t>
        </w:r>
        <w:r w:rsidRPr="004E30C2">
          <w:rPr>
            <w:b/>
          </w:rPr>
          <w:tab/>
        </w:r>
        <w:r w:rsidRPr="004E30C2">
          <w:rPr>
            <w:b/>
          </w:rPr>
          <w:fldChar w:fldCharType="begin"/>
        </w:r>
        <w:r w:rsidRPr="004E30C2">
          <w:rPr>
            <w:b/>
          </w:rPr>
          <w:instrText xml:space="preserve"> PAGEREF _Toc119267466 \h </w:instrText>
        </w:r>
        <w:r w:rsidRPr="004E30C2">
          <w:rPr>
            <w:b/>
          </w:rPr>
        </w:r>
        <w:r w:rsidRPr="004E30C2">
          <w:rPr>
            <w:b/>
          </w:rPr>
          <w:fldChar w:fldCharType="separate"/>
        </w:r>
        <w:r w:rsidRPr="004E30C2">
          <w:rPr>
            <w:b/>
          </w:rPr>
          <w:t>19</w:t>
        </w:r>
        <w:r w:rsidRPr="004E30C2">
          <w:rPr>
            <w:b/>
          </w:rPr>
          <w:fldChar w:fldCharType="end"/>
        </w:r>
      </w:hyperlink>
    </w:p>
    <w:p w14:paraId="6534D7B4" w14:textId="77777777" w:rsidR="006C190A" w:rsidRPr="004E30C2" w:rsidRDefault="00CC37BA">
      <w:pPr>
        <w:pStyle w:val="11"/>
        <w:tabs>
          <w:tab w:val="right" w:pos="8296"/>
        </w:tabs>
        <w:spacing w:line="360" w:lineRule="auto"/>
        <w:rPr>
          <w:rFonts w:ascii="Calibri" w:hAnsi="Calibri" w:cs="Calibri"/>
          <w:b/>
          <w:szCs w:val="22"/>
        </w:rPr>
      </w:pPr>
      <w:hyperlink w:anchor="_Toc119267467" w:history="1">
        <w:r w:rsidRPr="004E30C2">
          <w:rPr>
            <w:rStyle w:val="af7"/>
            <w:rFonts w:ascii="Calibri" w:hAnsi="Calibri" w:hint="eastAsia"/>
            <w:b/>
          </w:rPr>
          <w:t>十一、基金费用</w:t>
        </w:r>
        <w:r w:rsidRPr="004E30C2">
          <w:rPr>
            <w:b/>
          </w:rPr>
          <w:tab/>
        </w:r>
        <w:r w:rsidRPr="004E30C2">
          <w:rPr>
            <w:b/>
          </w:rPr>
          <w:fldChar w:fldCharType="begin"/>
        </w:r>
        <w:r w:rsidRPr="004E30C2">
          <w:rPr>
            <w:b/>
          </w:rPr>
          <w:instrText xml:space="preserve"> PAGEREF _To</w:instrText>
        </w:r>
        <w:r w:rsidRPr="004E30C2">
          <w:rPr>
            <w:b/>
          </w:rPr>
          <w:instrText xml:space="preserve">c119267467 \h </w:instrText>
        </w:r>
        <w:r w:rsidRPr="004E30C2">
          <w:rPr>
            <w:b/>
          </w:rPr>
        </w:r>
        <w:r w:rsidRPr="004E30C2">
          <w:rPr>
            <w:b/>
          </w:rPr>
          <w:fldChar w:fldCharType="separate"/>
        </w:r>
        <w:r w:rsidRPr="004E30C2">
          <w:rPr>
            <w:b/>
          </w:rPr>
          <w:t>20</w:t>
        </w:r>
        <w:r w:rsidRPr="004E30C2">
          <w:rPr>
            <w:b/>
          </w:rPr>
          <w:fldChar w:fldCharType="end"/>
        </w:r>
      </w:hyperlink>
    </w:p>
    <w:p w14:paraId="30996A69" w14:textId="77777777" w:rsidR="006C190A" w:rsidRPr="004E30C2" w:rsidRDefault="00CC37BA">
      <w:pPr>
        <w:pStyle w:val="11"/>
        <w:tabs>
          <w:tab w:val="right" w:pos="8296"/>
        </w:tabs>
        <w:spacing w:line="360" w:lineRule="auto"/>
        <w:rPr>
          <w:rFonts w:ascii="Calibri" w:hAnsi="Calibri" w:cs="Calibri"/>
          <w:b/>
          <w:szCs w:val="22"/>
        </w:rPr>
      </w:pPr>
      <w:hyperlink w:anchor="_Toc119267468" w:history="1">
        <w:r w:rsidRPr="004E30C2">
          <w:rPr>
            <w:rStyle w:val="af7"/>
            <w:rFonts w:ascii="Calibri" w:hAnsi="Calibri" w:hint="eastAsia"/>
            <w:b/>
          </w:rPr>
          <w:t>十二、基金份额持有人名册的保管</w:t>
        </w:r>
        <w:r w:rsidRPr="004E30C2">
          <w:rPr>
            <w:b/>
          </w:rPr>
          <w:tab/>
        </w:r>
        <w:r w:rsidRPr="004E30C2">
          <w:rPr>
            <w:b/>
          </w:rPr>
          <w:fldChar w:fldCharType="begin"/>
        </w:r>
        <w:r w:rsidRPr="004E30C2">
          <w:rPr>
            <w:b/>
          </w:rPr>
          <w:instrText xml:space="preserve"> PAGEREF _Toc119267468 \h </w:instrText>
        </w:r>
        <w:r w:rsidRPr="004E30C2">
          <w:rPr>
            <w:b/>
          </w:rPr>
        </w:r>
        <w:r w:rsidRPr="004E30C2">
          <w:rPr>
            <w:b/>
          </w:rPr>
          <w:fldChar w:fldCharType="separate"/>
        </w:r>
        <w:r w:rsidRPr="004E30C2">
          <w:rPr>
            <w:b/>
          </w:rPr>
          <w:t>22</w:t>
        </w:r>
        <w:r w:rsidRPr="004E30C2">
          <w:rPr>
            <w:b/>
          </w:rPr>
          <w:fldChar w:fldCharType="end"/>
        </w:r>
      </w:hyperlink>
    </w:p>
    <w:p w14:paraId="1A41F699" w14:textId="77777777" w:rsidR="006C190A" w:rsidRPr="004E30C2" w:rsidRDefault="00CC37BA">
      <w:pPr>
        <w:pStyle w:val="11"/>
        <w:tabs>
          <w:tab w:val="right" w:pos="8296"/>
        </w:tabs>
        <w:spacing w:line="360" w:lineRule="auto"/>
        <w:rPr>
          <w:rFonts w:ascii="Calibri" w:hAnsi="Calibri" w:cs="Calibri"/>
          <w:b/>
          <w:szCs w:val="22"/>
        </w:rPr>
      </w:pPr>
      <w:hyperlink w:anchor="_Toc119267469" w:history="1">
        <w:r w:rsidRPr="004E30C2">
          <w:rPr>
            <w:rStyle w:val="af7"/>
            <w:rFonts w:ascii="Calibri" w:hAnsi="Calibri" w:hint="eastAsia"/>
            <w:b/>
          </w:rPr>
          <w:t>十三、基金有关文件档案的保存</w:t>
        </w:r>
        <w:r w:rsidRPr="004E30C2">
          <w:rPr>
            <w:b/>
          </w:rPr>
          <w:tab/>
        </w:r>
        <w:r w:rsidRPr="004E30C2">
          <w:rPr>
            <w:b/>
          </w:rPr>
          <w:fldChar w:fldCharType="begin"/>
        </w:r>
        <w:r w:rsidRPr="004E30C2">
          <w:rPr>
            <w:b/>
          </w:rPr>
          <w:instrText xml:space="preserve"> PAGEREF _Toc119267469 \h </w:instrText>
        </w:r>
        <w:r w:rsidRPr="004E30C2">
          <w:rPr>
            <w:b/>
          </w:rPr>
        </w:r>
        <w:r w:rsidRPr="004E30C2">
          <w:rPr>
            <w:b/>
          </w:rPr>
          <w:fldChar w:fldCharType="separate"/>
        </w:r>
        <w:r w:rsidRPr="004E30C2">
          <w:rPr>
            <w:b/>
          </w:rPr>
          <w:t>22</w:t>
        </w:r>
        <w:r w:rsidRPr="004E30C2">
          <w:rPr>
            <w:b/>
          </w:rPr>
          <w:fldChar w:fldCharType="end"/>
        </w:r>
      </w:hyperlink>
    </w:p>
    <w:p w14:paraId="5358265D" w14:textId="77777777" w:rsidR="006C190A" w:rsidRPr="004E30C2" w:rsidRDefault="00CC37BA">
      <w:pPr>
        <w:pStyle w:val="11"/>
        <w:tabs>
          <w:tab w:val="right" w:pos="8296"/>
        </w:tabs>
        <w:spacing w:line="360" w:lineRule="auto"/>
        <w:rPr>
          <w:rFonts w:ascii="Calibri" w:hAnsi="Calibri" w:cs="Calibri"/>
          <w:b/>
          <w:szCs w:val="22"/>
        </w:rPr>
      </w:pPr>
      <w:hyperlink w:anchor="_Toc119267470" w:history="1">
        <w:r w:rsidRPr="004E30C2">
          <w:rPr>
            <w:rStyle w:val="af7"/>
            <w:rFonts w:ascii="Calibri" w:hAnsi="Calibri" w:hint="eastAsia"/>
            <w:b/>
          </w:rPr>
          <w:t>十四、基金托管人和基金管理人的更换</w:t>
        </w:r>
        <w:r w:rsidRPr="004E30C2">
          <w:rPr>
            <w:b/>
          </w:rPr>
          <w:tab/>
        </w:r>
        <w:r w:rsidRPr="004E30C2">
          <w:rPr>
            <w:b/>
          </w:rPr>
          <w:fldChar w:fldCharType="begin"/>
        </w:r>
        <w:r w:rsidRPr="004E30C2">
          <w:rPr>
            <w:b/>
          </w:rPr>
          <w:instrText xml:space="preserve"> PAGEREF _Toc119267470 \h </w:instrText>
        </w:r>
        <w:r w:rsidRPr="004E30C2">
          <w:rPr>
            <w:b/>
          </w:rPr>
        </w:r>
        <w:r w:rsidRPr="004E30C2">
          <w:rPr>
            <w:b/>
          </w:rPr>
          <w:fldChar w:fldCharType="separate"/>
        </w:r>
        <w:r w:rsidRPr="004E30C2">
          <w:rPr>
            <w:b/>
          </w:rPr>
          <w:t>23</w:t>
        </w:r>
        <w:r w:rsidRPr="004E30C2">
          <w:rPr>
            <w:b/>
          </w:rPr>
          <w:fldChar w:fldCharType="end"/>
        </w:r>
      </w:hyperlink>
    </w:p>
    <w:p w14:paraId="6E10ABBE" w14:textId="77777777" w:rsidR="006C190A" w:rsidRPr="004E30C2" w:rsidRDefault="00CC37BA">
      <w:pPr>
        <w:pStyle w:val="11"/>
        <w:tabs>
          <w:tab w:val="right" w:pos="8296"/>
        </w:tabs>
        <w:spacing w:line="360" w:lineRule="auto"/>
        <w:rPr>
          <w:rFonts w:ascii="Calibri" w:hAnsi="Calibri" w:cs="Calibri"/>
          <w:b/>
          <w:szCs w:val="22"/>
        </w:rPr>
      </w:pPr>
      <w:hyperlink w:anchor="_Toc119267471" w:history="1">
        <w:r w:rsidRPr="004E30C2">
          <w:rPr>
            <w:rStyle w:val="af7"/>
            <w:rFonts w:ascii="Calibri" w:hAnsi="Calibri" w:hint="eastAsia"/>
            <w:b/>
          </w:rPr>
          <w:t>十五、禁止行为</w:t>
        </w:r>
        <w:r w:rsidRPr="004E30C2">
          <w:rPr>
            <w:b/>
          </w:rPr>
          <w:tab/>
        </w:r>
        <w:r w:rsidRPr="004E30C2">
          <w:rPr>
            <w:b/>
          </w:rPr>
          <w:fldChar w:fldCharType="begin"/>
        </w:r>
        <w:r w:rsidRPr="004E30C2">
          <w:rPr>
            <w:b/>
          </w:rPr>
          <w:instrText xml:space="preserve"> PAGEREF _Toc119267471 \h </w:instrText>
        </w:r>
        <w:r w:rsidRPr="004E30C2">
          <w:rPr>
            <w:b/>
          </w:rPr>
        </w:r>
        <w:r w:rsidRPr="004E30C2">
          <w:rPr>
            <w:b/>
          </w:rPr>
          <w:fldChar w:fldCharType="separate"/>
        </w:r>
        <w:r w:rsidRPr="004E30C2">
          <w:rPr>
            <w:b/>
          </w:rPr>
          <w:t>23</w:t>
        </w:r>
        <w:r w:rsidRPr="004E30C2">
          <w:rPr>
            <w:b/>
          </w:rPr>
          <w:fldChar w:fldCharType="end"/>
        </w:r>
      </w:hyperlink>
    </w:p>
    <w:p w14:paraId="017353DC" w14:textId="77777777" w:rsidR="006C190A" w:rsidRPr="004E30C2" w:rsidRDefault="00CC37BA">
      <w:pPr>
        <w:pStyle w:val="11"/>
        <w:tabs>
          <w:tab w:val="right" w:pos="8296"/>
        </w:tabs>
        <w:spacing w:line="360" w:lineRule="auto"/>
        <w:rPr>
          <w:rFonts w:ascii="Calibri" w:hAnsi="Calibri" w:cs="Calibri"/>
          <w:b/>
          <w:szCs w:val="22"/>
        </w:rPr>
      </w:pPr>
      <w:hyperlink w:anchor="_Toc119267472" w:history="1">
        <w:r w:rsidRPr="004E30C2">
          <w:rPr>
            <w:rStyle w:val="af7"/>
            <w:rFonts w:ascii="Calibri" w:hAnsi="Calibri" w:hint="eastAsia"/>
            <w:b/>
          </w:rPr>
          <w:t>十六、托管协议的变更、终止与基金财产的清算</w:t>
        </w:r>
        <w:r w:rsidRPr="004E30C2">
          <w:rPr>
            <w:b/>
          </w:rPr>
          <w:tab/>
        </w:r>
        <w:r w:rsidRPr="004E30C2">
          <w:rPr>
            <w:b/>
          </w:rPr>
          <w:fldChar w:fldCharType="begin"/>
        </w:r>
        <w:r w:rsidRPr="004E30C2">
          <w:rPr>
            <w:b/>
          </w:rPr>
          <w:instrText xml:space="preserve"> PAGEREF _Toc119267472 \h </w:instrText>
        </w:r>
        <w:r w:rsidRPr="004E30C2">
          <w:rPr>
            <w:b/>
          </w:rPr>
        </w:r>
        <w:r w:rsidRPr="004E30C2">
          <w:rPr>
            <w:b/>
          </w:rPr>
          <w:fldChar w:fldCharType="separate"/>
        </w:r>
        <w:r w:rsidRPr="004E30C2">
          <w:rPr>
            <w:b/>
          </w:rPr>
          <w:t>24</w:t>
        </w:r>
        <w:r w:rsidRPr="004E30C2">
          <w:rPr>
            <w:b/>
          </w:rPr>
          <w:fldChar w:fldCharType="end"/>
        </w:r>
      </w:hyperlink>
    </w:p>
    <w:p w14:paraId="67A3A2DD" w14:textId="77777777" w:rsidR="006C190A" w:rsidRPr="004E30C2" w:rsidRDefault="00CC37BA">
      <w:pPr>
        <w:pStyle w:val="11"/>
        <w:tabs>
          <w:tab w:val="right" w:pos="8296"/>
        </w:tabs>
        <w:spacing w:line="360" w:lineRule="auto"/>
        <w:rPr>
          <w:rFonts w:ascii="Calibri" w:hAnsi="Calibri" w:cs="Calibri"/>
          <w:b/>
          <w:szCs w:val="22"/>
        </w:rPr>
      </w:pPr>
      <w:hyperlink w:anchor="_Toc119267473" w:history="1">
        <w:r w:rsidRPr="004E30C2">
          <w:rPr>
            <w:rStyle w:val="af7"/>
            <w:rFonts w:ascii="Calibri" w:hAnsi="Calibri" w:hint="eastAsia"/>
            <w:b/>
          </w:rPr>
          <w:t>十七、违约责任和责任划分</w:t>
        </w:r>
        <w:r w:rsidRPr="004E30C2">
          <w:rPr>
            <w:b/>
          </w:rPr>
          <w:tab/>
        </w:r>
        <w:r w:rsidRPr="004E30C2">
          <w:rPr>
            <w:b/>
          </w:rPr>
          <w:fldChar w:fldCharType="begin"/>
        </w:r>
        <w:r w:rsidRPr="004E30C2">
          <w:rPr>
            <w:b/>
          </w:rPr>
          <w:instrText xml:space="preserve"> PAGEREF _Toc119267473 \h </w:instrText>
        </w:r>
        <w:r w:rsidRPr="004E30C2">
          <w:rPr>
            <w:b/>
          </w:rPr>
        </w:r>
        <w:r w:rsidRPr="004E30C2">
          <w:rPr>
            <w:b/>
          </w:rPr>
          <w:fldChar w:fldCharType="separate"/>
        </w:r>
        <w:r w:rsidRPr="004E30C2">
          <w:rPr>
            <w:b/>
          </w:rPr>
          <w:t>24</w:t>
        </w:r>
        <w:r w:rsidRPr="004E30C2">
          <w:rPr>
            <w:b/>
          </w:rPr>
          <w:fldChar w:fldCharType="end"/>
        </w:r>
      </w:hyperlink>
    </w:p>
    <w:p w14:paraId="7C66A6FB" w14:textId="77777777" w:rsidR="006C190A" w:rsidRPr="004E30C2" w:rsidRDefault="00CC37BA">
      <w:pPr>
        <w:pStyle w:val="11"/>
        <w:tabs>
          <w:tab w:val="right" w:pos="8296"/>
        </w:tabs>
        <w:spacing w:line="360" w:lineRule="auto"/>
        <w:rPr>
          <w:rFonts w:ascii="Calibri" w:hAnsi="Calibri" w:cs="Calibri"/>
          <w:b/>
          <w:szCs w:val="22"/>
        </w:rPr>
      </w:pPr>
      <w:hyperlink w:anchor="_Toc119267474" w:history="1">
        <w:r w:rsidRPr="004E30C2">
          <w:rPr>
            <w:rStyle w:val="af7"/>
            <w:rFonts w:ascii="Calibri" w:hAnsi="Calibri" w:hint="eastAsia"/>
            <w:b/>
          </w:rPr>
          <w:t>十八、适用法律与争议解决方式</w:t>
        </w:r>
        <w:r w:rsidRPr="004E30C2">
          <w:rPr>
            <w:b/>
          </w:rPr>
          <w:tab/>
        </w:r>
        <w:r w:rsidRPr="004E30C2">
          <w:rPr>
            <w:b/>
          </w:rPr>
          <w:fldChar w:fldCharType="begin"/>
        </w:r>
        <w:r w:rsidRPr="004E30C2">
          <w:rPr>
            <w:b/>
          </w:rPr>
          <w:instrText xml:space="preserve"> PAGEREF _Toc119267474 \h </w:instrText>
        </w:r>
        <w:r w:rsidRPr="004E30C2">
          <w:rPr>
            <w:b/>
          </w:rPr>
        </w:r>
        <w:r w:rsidRPr="004E30C2">
          <w:rPr>
            <w:b/>
          </w:rPr>
          <w:fldChar w:fldCharType="separate"/>
        </w:r>
        <w:r w:rsidRPr="004E30C2">
          <w:rPr>
            <w:b/>
          </w:rPr>
          <w:t>26</w:t>
        </w:r>
        <w:r w:rsidRPr="004E30C2">
          <w:rPr>
            <w:b/>
          </w:rPr>
          <w:fldChar w:fldCharType="end"/>
        </w:r>
      </w:hyperlink>
    </w:p>
    <w:p w14:paraId="5980FA71" w14:textId="77777777" w:rsidR="006C190A" w:rsidRPr="004E30C2" w:rsidRDefault="00CC37BA">
      <w:pPr>
        <w:pStyle w:val="11"/>
        <w:tabs>
          <w:tab w:val="right" w:pos="8296"/>
        </w:tabs>
        <w:spacing w:line="360" w:lineRule="auto"/>
        <w:rPr>
          <w:rFonts w:ascii="Calibri" w:hAnsi="Calibri" w:cs="Calibri"/>
          <w:b/>
          <w:szCs w:val="22"/>
        </w:rPr>
      </w:pPr>
      <w:hyperlink w:anchor="_Toc119267475" w:history="1">
        <w:r w:rsidRPr="004E30C2">
          <w:rPr>
            <w:rStyle w:val="af7"/>
            <w:rFonts w:ascii="Calibri" w:hAnsi="Calibri" w:hint="eastAsia"/>
            <w:b/>
          </w:rPr>
          <w:t>十九、托管协议的效力</w:t>
        </w:r>
        <w:r w:rsidRPr="004E30C2">
          <w:rPr>
            <w:b/>
          </w:rPr>
          <w:tab/>
        </w:r>
        <w:r w:rsidRPr="004E30C2">
          <w:rPr>
            <w:b/>
          </w:rPr>
          <w:fldChar w:fldCharType="begin"/>
        </w:r>
        <w:r w:rsidRPr="004E30C2">
          <w:rPr>
            <w:b/>
          </w:rPr>
          <w:instrText xml:space="preserve"> PA</w:instrText>
        </w:r>
        <w:r w:rsidRPr="004E30C2">
          <w:rPr>
            <w:b/>
          </w:rPr>
          <w:instrText xml:space="preserve">GEREF _Toc119267475 \h </w:instrText>
        </w:r>
        <w:r w:rsidRPr="004E30C2">
          <w:rPr>
            <w:b/>
          </w:rPr>
        </w:r>
        <w:r w:rsidRPr="004E30C2">
          <w:rPr>
            <w:b/>
          </w:rPr>
          <w:fldChar w:fldCharType="separate"/>
        </w:r>
        <w:r w:rsidRPr="004E30C2">
          <w:rPr>
            <w:b/>
          </w:rPr>
          <w:t>26</w:t>
        </w:r>
        <w:r w:rsidRPr="004E30C2">
          <w:rPr>
            <w:b/>
          </w:rPr>
          <w:fldChar w:fldCharType="end"/>
        </w:r>
      </w:hyperlink>
    </w:p>
    <w:p w14:paraId="5FBD499F" w14:textId="77777777" w:rsidR="006C190A" w:rsidRPr="004E30C2" w:rsidRDefault="00CC37BA">
      <w:pPr>
        <w:pStyle w:val="11"/>
        <w:tabs>
          <w:tab w:val="right" w:pos="8296"/>
        </w:tabs>
        <w:spacing w:line="360" w:lineRule="auto"/>
        <w:rPr>
          <w:rFonts w:ascii="Calibri" w:hAnsi="Calibri" w:cs="Calibri"/>
          <w:b/>
          <w:szCs w:val="22"/>
        </w:rPr>
      </w:pPr>
      <w:hyperlink w:anchor="_Toc119267476" w:history="1">
        <w:r w:rsidRPr="004E30C2">
          <w:rPr>
            <w:rStyle w:val="af7"/>
            <w:rFonts w:ascii="Calibri" w:hAnsi="Calibri" w:hint="eastAsia"/>
            <w:b/>
          </w:rPr>
          <w:t>二十、托管协议的签订</w:t>
        </w:r>
        <w:r w:rsidRPr="004E30C2">
          <w:rPr>
            <w:b/>
          </w:rPr>
          <w:tab/>
        </w:r>
        <w:r w:rsidRPr="004E30C2">
          <w:rPr>
            <w:b/>
          </w:rPr>
          <w:fldChar w:fldCharType="begin"/>
        </w:r>
        <w:r w:rsidRPr="004E30C2">
          <w:rPr>
            <w:b/>
          </w:rPr>
          <w:instrText xml:space="preserve"> PAGEREF _Toc119267476 \h </w:instrText>
        </w:r>
        <w:r w:rsidRPr="004E30C2">
          <w:rPr>
            <w:b/>
          </w:rPr>
        </w:r>
        <w:r w:rsidRPr="004E30C2">
          <w:rPr>
            <w:b/>
          </w:rPr>
          <w:fldChar w:fldCharType="separate"/>
        </w:r>
        <w:r w:rsidRPr="004E30C2">
          <w:rPr>
            <w:b/>
          </w:rPr>
          <w:t>27</w:t>
        </w:r>
        <w:r w:rsidRPr="004E30C2">
          <w:rPr>
            <w:b/>
          </w:rPr>
          <w:fldChar w:fldCharType="end"/>
        </w:r>
      </w:hyperlink>
    </w:p>
    <w:p w14:paraId="6690C446" w14:textId="77777777" w:rsidR="006C190A" w:rsidRPr="004E30C2" w:rsidRDefault="00CC37BA">
      <w:pPr>
        <w:tabs>
          <w:tab w:val="left" w:pos="0"/>
        </w:tabs>
        <w:spacing w:before="100" w:beforeAutospacing="1" w:after="100" w:afterAutospacing="1" w:line="360" w:lineRule="auto"/>
        <w:ind w:right="26" w:firstLine="422"/>
        <w:rPr>
          <w:rFonts w:ascii="Calibri" w:hAnsi="Calibri"/>
          <w:b/>
        </w:rPr>
        <w:sectPr w:rsidR="006C190A" w:rsidRPr="004E30C2">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pgNumType w:start="1"/>
          <w:cols w:space="425"/>
          <w:titlePg/>
          <w:docGrid w:type="lines" w:linePitch="312"/>
        </w:sectPr>
      </w:pPr>
      <w:r w:rsidRPr="004E30C2">
        <w:rPr>
          <w:rStyle w:val="17"/>
          <w:b/>
          <w:caps/>
        </w:rPr>
        <w:fldChar w:fldCharType="end"/>
      </w:r>
    </w:p>
    <w:p w14:paraId="1F1F5766" w14:textId="77777777" w:rsidR="006C190A" w:rsidRPr="004E30C2" w:rsidRDefault="00CC37BA">
      <w:pPr>
        <w:tabs>
          <w:tab w:val="left" w:pos="0"/>
        </w:tabs>
        <w:spacing w:before="100" w:beforeAutospacing="1" w:after="100" w:afterAutospacing="1" w:line="400" w:lineRule="exact"/>
        <w:ind w:right="26" w:firstLine="420"/>
        <w:outlineLvl w:val="0"/>
        <w:rPr>
          <w:rFonts w:ascii="Calibri" w:hAnsi="Calibri"/>
          <w:szCs w:val="21"/>
        </w:rPr>
      </w:pPr>
      <w:bookmarkStart w:id="4" w:name="_Toc17889"/>
      <w:bookmarkStart w:id="5" w:name="_Toc119267456"/>
      <w:bookmarkStart w:id="6" w:name="_Toc119263417"/>
      <w:r w:rsidRPr="004E30C2">
        <w:rPr>
          <w:rFonts w:ascii="Calibri" w:hAnsi="Calibri" w:hint="eastAsia"/>
          <w:szCs w:val="21"/>
        </w:rPr>
        <w:lastRenderedPageBreak/>
        <w:t>鉴于华安基金管理有限公司是一家依照中国法律合法成立并有效存续的有限责任公司，按照相关法律法规的规定具备担任基金管理人的资格和能力；</w:t>
      </w:r>
      <w:bookmarkEnd w:id="4"/>
      <w:bookmarkEnd w:id="5"/>
      <w:bookmarkEnd w:id="6"/>
    </w:p>
    <w:p w14:paraId="0A0268E4" w14:textId="77777777" w:rsidR="006C190A" w:rsidRPr="004E30C2" w:rsidRDefault="00CC37BA">
      <w:pPr>
        <w:pStyle w:val="a8"/>
        <w:spacing w:before="100" w:beforeAutospacing="1" w:after="100" w:afterAutospacing="1" w:line="400" w:lineRule="exact"/>
        <w:ind w:firstLine="549"/>
        <w:rPr>
          <w:rFonts w:ascii="Calibri" w:hAnsi="Calibri"/>
        </w:rPr>
      </w:pPr>
      <w:r w:rsidRPr="004E30C2">
        <w:rPr>
          <w:rFonts w:ascii="Calibri" w:hAnsi="Calibri" w:hint="eastAsia"/>
        </w:rPr>
        <w:t>鉴于中国银行股份有限公司是一家依照中国法律合法成立并有效存续的银行，按照相关法律法规的规定具备担任基金托管人的资格和能力；</w:t>
      </w:r>
    </w:p>
    <w:p w14:paraId="34886C62" w14:textId="77777777" w:rsidR="006C190A" w:rsidRPr="004E30C2" w:rsidRDefault="00CC37BA">
      <w:pPr>
        <w:pStyle w:val="a8"/>
        <w:spacing w:before="100" w:beforeAutospacing="1" w:after="100" w:afterAutospacing="1" w:line="400" w:lineRule="exact"/>
        <w:ind w:firstLine="549"/>
        <w:rPr>
          <w:rFonts w:ascii="Calibri" w:hAnsi="Calibri"/>
        </w:rPr>
      </w:pPr>
      <w:r w:rsidRPr="004E30C2">
        <w:rPr>
          <w:rFonts w:ascii="Calibri" w:hAnsi="Calibri" w:hint="eastAsia"/>
        </w:rPr>
        <w:t>鉴于华安基金管理有限公司拟担任华安</w:t>
      </w:r>
      <w:proofErr w:type="gramStart"/>
      <w:r w:rsidRPr="004E30C2">
        <w:rPr>
          <w:rFonts w:ascii="Calibri" w:hAnsi="Calibri" w:hint="eastAsia"/>
        </w:rPr>
        <w:t>众泰纯债</w:t>
      </w:r>
      <w:proofErr w:type="gramEnd"/>
      <w:r w:rsidRPr="004E30C2">
        <w:rPr>
          <w:rFonts w:ascii="Calibri" w:hAnsi="Calibri" w:hint="eastAsia"/>
        </w:rPr>
        <w:t>债券型证券投资基金的基金管理人，中国银行股份有限公司拟担任华安</w:t>
      </w:r>
      <w:proofErr w:type="gramStart"/>
      <w:r w:rsidRPr="004E30C2">
        <w:rPr>
          <w:rFonts w:ascii="Calibri" w:hAnsi="Calibri" w:hint="eastAsia"/>
        </w:rPr>
        <w:t>众泰纯债</w:t>
      </w:r>
      <w:proofErr w:type="gramEnd"/>
      <w:r w:rsidRPr="004E30C2">
        <w:rPr>
          <w:rFonts w:ascii="Calibri" w:hAnsi="Calibri" w:hint="eastAsia"/>
        </w:rPr>
        <w:t>债券型证券投资基金的基金托管人；</w:t>
      </w:r>
    </w:p>
    <w:p w14:paraId="7DDE6071" w14:textId="77777777" w:rsidR="006C190A" w:rsidRPr="004E30C2" w:rsidRDefault="00CC37BA">
      <w:pPr>
        <w:pStyle w:val="a8"/>
        <w:spacing w:before="100" w:beforeAutospacing="1" w:after="100" w:afterAutospacing="1" w:line="400" w:lineRule="exact"/>
        <w:ind w:firstLine="549"/>
        <w:rPr>
          <w:rFonts w:ascii="Calibri" w:hAnsi="Calibri"/>
        </w:rPr>
      </w:pPr>
      <w:r w:rsidRPr="004E30C2">
        <w:rPr>
          <w:rFonts w:ascii="Calibri" w:hAnsi="Calibri" w:hint="eastAsia"/>
        </w:rPr>
        <w:t>为明确华安</w:t>
      </w:r>
      <w:proofErr w:type="gramStart"/>
      <w:r w:rsidRPr="004E30C2">
        <w:rPr>
          <w:rFonts w:ascii="Calibri" w:hAnsi="Calibri" w:hint="eastAsia"/>
        </w:rPr>
        <w:t>众泰纯债</w:t>
      </w:r>
      <w:proofErr w:type="gramEnd"/>
      <w:r w:rsidRPr="004E30C2">
        <w:rPr>
          <w:rFonts w:ascii="Calibri" w:hAnsi="Calibri" w:hint="eastAsia"/>
        </w:rPr>
        <w:t>债券型证券投资基金（以下简称“本基金”）基金管理人和基金托管人之间的权利义务关系，特制订本协议。</w:t>
      </w:r>
      <w:bookmarkStart w:id="7" w:name="_Toc30230313"/>
    </w:p>
    <w:p w14:paraId="3EC8557A" w14:textId="77777777" w:rsidR="006C190A" w:rsidRPr="004E30C2" w:rsidRDefault="00CC37BA">
      <w:pPr>
        <w:pStyle w:val="a8"/>
        <w:spacing w:before="100" w:beforeAutospacing="1" w:after="100" w:afterAutospacing="1" w:line="400" w:lineRule="exact"/>
        <w:ind w:firstLine="549"/>
        <w:rPr>
          <w:rFonts w:ascii="Calibri" w:hAnsi="Calibri"/>
        </w:rPr>
      </w:pPr>
      <w:r w:rsidRPr="004E30C2">
        <w:rPr>
          <w:rFonts w:ascii="Calibri" w:hAnsi="Calibri" w:hint="eastAsia"/>
        </w:rPr>
        <w:t>若本基金实施</w:t>
      </w:r>
      <w:proofErr w:type="gramStart"/>
      <w:r w:rsidRPr="004E30C2">
        <w:rPr>
          <w:rFonts w:ascii="Calibri" w:hAnsi="Calibri" w:hint="eastAsia"/>
        </w:rPr>
        <w:t>侧袋机制</w:t>
      </w:r>
      <w:proofErr w:type="gramEnd"/>
      <w:r w:rsidRPr="004E30C2">
        <w:rPr>
          <w:rFonts w:ascii="Calibri" w:hAnsi="Calibri" w:hint="eastAsia"/>
        </w:rPr>
        <w:t>的，</w:t>
      </w:r>
      <w:proofErr w:type="gramStart"/>
      <w:r w:rsidRPr="004E30C2">
        <w:rPr>
          <w:rFonts w:ascii="Calibri" w:hAnsi="Calibri" w:hint="eastAsia"/>
        </w:rPr>
        <w:t>侧袋机制</w:t>
      </w:r>
      <w:proofErr w:type="gramEnd"/>
      <w:r w:rsidRPr="004E30C2">
        <w:rPr>
          <w:rFonts w:ascii="Calibri" w:hAnsi="Calibri" w:hint="eastAsia"/>
        </w:rPr>
        <w:t>实施期间的相关安排</w:t>
      </w:r>
      <w:proofErr w:type="gramStart"/>
      <w:r w:rsidRPr="004E30C2">
        <w:rPr>
          <w:rFonts w:ascii="Calibri" w:hAnsi="Calibri" w:hint="eastAsia"/>
        </w:rPr>
        <w:t>见基金</w:t>
      </w:r>
      <w:proofErr w:type="gramEnd"/>
      <w:r w:rsidRPr="004E30C2">
        <w:rPr>
          <w:rFonts w:ascii="Calibri" w:hAnsi="Calibri" w:hint="eastAsia"/>
        </w:rPr>
        <w:t>合同和招募说明书的规定。</w:t>
      </w:r>
    </w:p>
    <w:p w14:paraId="0267FD90" w14:textId="77777777" w:rsidR="006C190A" w:rsidRPr="004E30C2" w:rsidRDefault="006C190A">
      <w:pPr>
        <w:pStyle w:val="a8"/>
        <w:spacing w:before="100" w:beforeAutospacing="1" w:after="100" w:afterAutospacing="1" w:line="400" w:lineRule="exact"/>
        <w:ind w:firstLine="549"/>
        <w:rPr>
          <w:rFonts w:ascii="Calibri" w:hAnsi="Calibri"/>
        </w:rPr>
      </w:pPr>
    </w:p>
    <w:p w14:paraId="6A7E8465"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8" w:name="_Toc119267457"/>
      <w:bookmarkStart w:id="9" w:name="_Toc116900096"/>
      <w:bookmarkStart w:id="10" w:name="_Toc9882"/>
      <w:r w:rsidRPr="004E30C2">
        <w:rPr>
          <w:rFonts w:ascii="Calibri" w:hAnsi="Calibri" w:hint="eastAsia"/>
          <w:sz w:val="21"/>
          <w:szCs w:val="21"/>
        </w:rPr>
        <w:t>一、托管协议当事人</w:t>
      </w:r>
      <w:bookmarkEnd w:id="7"/>
      <w:bookmarkEnd w:id="8"/>
      <w:bookmarkEnd w:id="9"/>
      <w:bookmarkEnd w:id="10"/>
    </w:p>
    <w:p w14:paraId="5D27847B" w14:textId="77777777" w:rsidR="006C190A" w:rsidRPr="004E30C2" w:rsidRDefault="00CC37BA">
      <w:pPr>
        <w:pStyle w:val="a8"/>
        <w:spacing w:before="100" w:beforeAutospacing="1" w:after="100" w:afterAutospacing="1" w:line="400" w:lineRule="exact"/>
        <w:ind w:firstLine="403"/>
        <w:rPr>
          <w:rFonts w:ascii="Calibri" w:hAnsi="Calibri"/>
        </w:rPr>
      </w:pPr>
      <w:r w:rsidRPr="004E30C2">
        <w:rPr>
          <w:rFonts w:ascii="Calibri" w:hAnsi="Calibri" w:hint="eastAsia"/>
        </w:rPr>
        <w:t>（一）基金管理人（或简称“管理人”）</w:t>
      </w:r>
    </w:p>
    <w:p w14:paraId="3B8E7333"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名称：华安基金管理有限公司</w:t>
      </w:r>
    </w:p>
    <w:p w14:paraId="6F1F62AA"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住所：</w:t>
      </w:r>
      <w:r w:rsidRPr="004E30C2">
        <w:rPr>
          <w:rFonts w:ascii="Calibri" w:hAnsi="Calibri" w:hint="eastAsia"/>
          <w:bCs/>
        </w:rPr>
        <w:t>中国（上海）自由贸易试验区临港新片区环湖西二路</w:t>
      </w:r>
      <w:r w:rsidRPr="004E30C2">
        <w:rPr>
          <w:rFonts w:ascii="Calibri" w:hAnsi="Calibri" w:hint="eastAsia"/>
          <w:bCs/>
        </w:rPr>
        <w:t>888</w:t>
      </w:r>
      <w:r w:rsidRPr="004E30C2">
        <w:rPr>
          <w:rFonts w:ascii="Calibri" w:hAnsi="Calibri" w:hint="eastAsia"/>
          <w:bCs/>
        </w:rPr>
        <w:t>号</w:t>
      </w:r>
      <w:r w:rsidRPr="004E30C2">
        <w:rPr>
          <w:rFonts w:ascii="Calibri" w:hAnsi="Calibri" w:hint="eastAsia"/>
          <w:bCs/>
        </w:rPr>
        <w:t>B</w:t>
      </w:r>
      <w:r w:rsidRPr="004E30C2">
        <w:rPr>
          <w:rFonts w:ascii="Calibri" w:hAnsi="Calibri" w:hint="eastAsia"/>
          <w:bCs/>
        </w:rPr>
        <w:t>楼</w:t>
      </w:r>
      <w:r w:rsidRPr="004E30C2">
        <w:rPr>
          <w:rFonts w:ascii="Calibri" w:hAnsi="Calibri" w:hint="eastAsia"/>
          <w:bCs/>
        </w:rPr>
        <w:t>2118</w:t>
      </w:r>
      <w:r w:rsidRPr="004E30C2">
        <w:rPr>
          <w:rFonts w:ascii="Calibri" w:hAnsi="Calibri" w:hint="eastAsia"/>
          <w:bCs/>
        </w:rPr>
        <w:t>室</w:t>
      </w:r>
    </w:p>
    <w:p w14:paraId="6E445327"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法定</w:t>
      </w:r>
      <w:r w:rsidRPr="004E30C2">
        <w:rPr>
          <w:rFonts w:ascii="Calibri" w:hAnsi="Calibri" w:hint="eastAsia"/>
          <w:szCs w:val="21"/>
        </w:rPr>
        <w:t>代表人</w:t>
      </w:r>
      <w:r w:rsidRPr="004E30C2">
        <w:rPr>
          <w:rFonts w:ascii="Calibri" w:hAnsi="Calibri"/>
          <w:szCs w:val="21"/>
        </w:rPr>
        <w:t>：</w:t>
      </w:r>
      <w:r w:rsidRPr="004E30C2">
        <w:rPr>
          <w:rFonts w:ascii="Calibri" w:hAnsi="Calibri" w:hint="eastAsia"/>
        </w:rPr>
        <w:t>朱学华</w:t>
      </w:r>
    </w:p>
    <w:p w14:paraId="0A8BD7D8"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成立时间：</w:t>
      </w:r>
      <w:r w:rsidRPr="004E30C2">
        <w:rPr>
          <w:rFonts w:ascii="Calibri" w:hAnsi="Calibri"/>
        </w:rPr>
        <w:t>1998</w:t>
      </w:r>
      <w:r w:rsidRPr="004E30C2">
        <w:rPr>
          <w:rFonts w:ascii="Calibri" w:hAnsi="Calibri" w:hint="eastAsia"/>
        </w:rPr>
        <w:t>年</w:t>
      </w:r>
      <w:r w:rsidRPr="004E30C2">
        <w:rPr>
          <w:rFonts w:ascii="Calibri" w:hAnsi="Calibri"/>
        </w:rPr>
        <w:t>6</w:t>
      </w:r>
      <w:r w:rsidRPr="004E30C2">
        <w:rPr>
          <w:rFonts w:ascii="Calibri" w:hAnsi="Calibri" w:hint="eastAsia"/>
        </w:rPr>
        <w:t>月</w:t>
      </w:r>
      <w:r w:rsidRPr="004E30C2">
        <w:rPr>
          <w:rFonts w:ascii="Calibri" w:hAnsi="Calibri"/>
        </w:rPr>
        <w:t>4</w:t>
      </w:r>
      <w:r w:rsidRPr="004E30C2">
        <w:rPr>
          <w:rFonts w:ascii="Calibri" w:hAnsi="Calibri" w:hint="eastAsia"/>
        </w:rPr>
        <w:t>日</w:t>
      </w:r>
    </w:p>
    <w:p w14:paraId="34B3779C"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批准设立机关：</w:t>
      </w:r>
      <w:r w:rsidRPr="004E30C2">
        <w:rPr>
          <w:rFonts w:ascii="Calibri" w:hAnsi="Calibri" w:hint="eastAsia"/>
        </w:rPr>
        <w:t>中国证监会</w:t>
      </w:r>
    </w:p>
    <w:p w14:paraId="2CD696A0"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批准设立文号：</w:t>
      </w:r>
      <w:proofErr w:type="gramStart"/>
      <w:r w:rsidRPr="004E30C2">
        <w:rPr>
          <w:rFonts w:ascii="Calibri" w:hAnsi="Calibri" w:hint="eastAsia"/>
        </w:rPr>
        <w:t>证监基字</w:t>
      </w:r>
      <w:proofErr w:type="gramEnd"/>
      <w:r w:rsidRPr="004E30C2">
        <w:rPr>
          <w:rFonts w:ascii="Calibri" w:hAnsi="Calibri"/>
        </w:rPr>
        <w:t>[1998]20</w:t>
      </w:r>
      <w:r w:rsidRPr="004E30C2">
        <w:rPr>
          <w:rFonts w:ascii="Calibri" w:hAnsi="Calibri" w:hint="eastAsia"/>
        </w:rPr>
        <w:t>号</w:t>
      </w:r>
    </w:p>
    <w:p w14:paraId="77C696CE"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组织形式：有限责任公司</w:t>
      </w:r>
    </w:p>
    <w:p w14:paraId="5D5055BB" w14:textId="77777777" w:rsidR="006C190A" w:rsidRPr="004E30C2" w:rsidRDefault="00CC37BA">
      <w:pPr>
        <w:spacing w:before="100" w:beforeAutospacing="1" w:after="100" w:afterAutospacing="1" w:line="400" w:lineRule="exact"/>
        <w:ind w:right="26" w:firstLine="403"/>
        <w:rPr>
          <w:rFonts w:ascii="Calibri" w:hAnsi="Calibri"/>
          <w:szCs w:val="21"/>
        </w:rPr>
      </w:pPr>
      <w:r w:rsidRPr="004E30C2">
        <w:rPr>
          <w:rFonts w:ascii="Calibri" w:hAnsi="Calibri" w:hint="eastAsia"/>
          <w:szCs w:val="21"/>
        </w:rPr>
        <w:t>注册资本：</w:t>
      </w:r>
      <w:r w:rsidRPr="004E30C2">
        <w:rPr>
          <w:rFonts w:ascii="Calibri" w:hAnsi="Calibri"/>
          <w:bCs/>
        </w:rPr>
        <w:t>1.5</w:t>
      </w:r>
      <w:r w:rsidRPr="004E30C2">
        <w:rPr>
          <w:rFonts w:ascii="Calibri" w:hAnsi="Calibri" w:hint="eastAsia"/>
          <w:bCs/>
        </w:rPr>
        <w:t>亿元</w:t>
      </w:r>
      <w:r w:rsidRPr="004E30C2">
        <w:rPr>
          <w:rFonts w:ascii="Calibri" w:hAnsi="Calibri" w:hint="eastAsia"/>
        </w:rPr>
        <w:t>人民币</w:t>
      </w:r>
    </w:p>
    <w:p w14:paraId="3A32CC46" w14:textId="77777777" w:rsidR="006C190A" w:rsidRPr="004E30C2" w:rsidRDefault="00CC37BA">
      <w:pPr>
        <w:spacing w:before="100" w:beforeAutospacing="1" w:after="100" w:afterAutospacing="1" w:line="400" w:lineRule="exact"/>
        <w:ind w:right="26" w:firstLine="403"/>
        <w:rPr>
          <w:rFonts w:ascii="Calibri" w:hAnsi="Calibri"/>
          <w:szCs w:val="21"/>
          <w:u w:val="single"/>
        </w:rPr>
      </w:pPr>
      <w:r w:rsidRPr="004E30C2">
        <w:rPr>
          <w:rFonts w:ascii="Calibri" w:hAnsi="Calibri" w:hint="eastAsia"/>
          <w:szCs w:val="21"/>
        </w:rPr>
        <w:t>经营范围：基金设立，基金业务管理及中国证监会批准的其他业务。【依法须经批准的项目，经相关部门批准后方可开展经营活动】</w:t>
      </w:r>
    </w:p>
    <w:p w14:paraId="79488CB5" w14:textId="77777777" w:rsidR="006C190A" w:rsidRPr="004E30C2" w:rsidRDefault="00CC37BA">
      <w:pPr>
        <w:pStyle w:val="a8"/>
        <w:spacing w:before="100" w:beforeAutospacing="1" w:after="100" w:afterAutospacing="1" w:line="400" w:lineRule="exact"/>
        <w:ind w:firstLine="403"/>
        <w:rPr>
          <w:rFonts w:ascii="Calibri" w:hAnsi="Calibri"/>
        </w:rPr>
      </w:pPr>
      <w:r w:rsidRPr="004E30C2">
        <w:rPr>
          <w:rFonts w:ascii="Calibri" w:hAnsi="Calibri" w:hint="eastAsia"/>
        </w:rPr>
        <w:lastRenderedPageBreak/>
        <w:t>存续期间：持续经营</w:t>
      </w:r>
    </w:p>
    <w:p w14:paraId="5A951ED9" w14:textId="77777777" w:rsidR="006C190A" w:rsidRPr="004E30C2" w:rsidRDefault="00CC37BA">
      <w:pPr>
        <w:pStyle w:val="a8"/>
        <w:spacing w:before="100" w:beforeAutospacing="1" w:after="100" w:afterAutospacing="1" w:line="400" w:lineRule="exact"/>
        <w:ind w:firstLine="403"/>
        <w:rPr>
          <w:rFonts w:ascii="Calibri" w:hAnsi="Calibri"/>
        </w:rPr>
      </w:pPr>
      <w:r w:rsidRPr="004E30C2">
        <w:rPr>
          <w:rFonts w:ascii="Calibri" w:hAnsi="Calibri" w:hint="eastAsia"/>
        </w:rPr>
        <w:t>（二）基金托管人（或简称“托管人”）</w:t>
      </w:r>
    </w:p>
    <w:p w14:paraId="170507FE" w14:textId="77777777" w:rsidR="006C190A" w:rsidRPr="004E30C2" w:rsidRDefault="00CC37BA">
      <w:pPr>
        <w:spacing w:before="100" w:beforeAutospacing="1" w:after="100" w:afterAutospacing="1" w:line="400" w:lineRule="exact"/>
        <w:ind w:right="26" w:firstLine="403"/>
        <w:rPr>
          <w:rFonts w:ascii="宋体" w:hAnsi="宋体"/>
          <w:szCs w:val="21"/>
        </w:rPr>
      </w:pPr>
      <w:r w:rsidRPr="004E30C2">
        <w:rPr>
          <w:rFonts w:ascii="宋体" w:hAnsi="宋体" w:hint="eastAsia"/>
          <w:szCs w:val="21"/>
        </w:rPr>
        <w:t>名称：</w:t>
      </w:r>
      <w:r w:rsidRPr="004E30C2">
        <w:rPr>
          <w:rFonts w:ascii="宋体" w:hAnsi="宋体" w:hint="eastAsia"/>
          <w:szCs w:val="21"/>
        </w:rPr>
        <w:tab/>
      </w:r>
      <w:r w:rsidRPr="004E30C2">
        <w:rPr>
          <w:rFonts w:ascii="宋体" w:hAnsi="宋体" w:hint="eastAsia"/>
          <w:szCs w:val="21"/>
        </w:rPr>
        <w:tab/>
      </w:r>
      <w:r w:rsidRPr="004E30C2">
        <w:rPr>
          <w:rFonts w:ascii="宋体" w:hAnsi="宋体" w:hint="eastAsia"/>
          <w:szCs w:val="21"/>
        </w:rPr>
        <w:t>中国银行股份有限公司</w:t>
      </w:r>
    </w:p>
    <w:p w14:paraId="4542900F" w14:textId="77777777" w:rsidR="006C190A" w:rsidRPr="004E30C2" w:rsidRDefault="00CC37BA">
      <w:pPr>
        <w:spacing w:before="100" w:beforeAutospacing="1" w:after="100" w:afterAutospacing="1" w:line="400" w:lineRule="exact"/>
        <w:ind w:right="26" w:firstLine="403"/>
        <w:rPr>
          <w:rFonts w:ascii="宋体" w:hAnsi="宋体"/>
          <w:szCs w:val="21"/>
        </w:rPr>
      </w:pPr>
      <w:r w:rsidRPr="004E30C2">
        <w:rPr>
          <w:rFonts w:ascii="宋体" w:hAnsi="宋体" w:hint="eastAsia"/>
          <w:szCs w:val="21"/>
        </w:rPr>
        <w:t>住所：</w:t>
      </w:r>
      <w:r w:rsidRPr="004E30C2">
        <w:rPr>
          <w:rFonts w:ascii="宋体" w:hAnsi="宋体" w:hint="eastAsia"/>
          <w:szCs w:val="21"/>
        </w:rPr>
        <w:tab/>
      </w:r>
      <w:r w:rsidRPr="004E30C2">
        <w:rPr>
          <w:rFonts w:ascii="宋体" w:hAnsi="宋体" w:hint="eastAsia"/>
          <w:szCs w:val="21"/>
        </w:rPr>
        <w:tab/>
      </w:r>
      <w:r w:rsidRPr="004E30C2">
        <w:rPr>
          <w:rFonts w:ascii="宋体" w:hAnsi="宋体" w:hint="eastAsia"/>
          <w:szCs w:val="21"/>
        </w:rPr>
        <w:t>北京市西城区复兴门内大街</w:t>
      </w:r>
      <w:r w:rsidRPr="004E30C2">
        <w:rPr>
          <w:rFonts w:ascii="宋体" w:hAnsi="宋体" w:hint="eastAsia"/>
          <w:szCs w:val="21"/>
        </w:rPr>
        <w:t>1</w:t>
      </w:r>
      <w:r w:rsidRPr="004E30C2">
        <w:rPr>
          <w:rFonts w:ascii="宋体" w:hAnsi="宋体" w:hint="eastAsia"/>
          <w:szCs w:val="21"/>
        </w:rPr>
        <w:t>号</w:t>
      </w:r>
    </w:p>
    <w:p w14:paraId="0CB66FB2" w14:textId="77777777" w:rsidR="006C190A" w:rsidRPr="004E30C2" w:rsidRDefault="00CC37BA">
      <w:pPr>
        <w:spacing w:before="100" w:beforeAutospacing="1" w:after="100" w:afterAutospacing="1" w:line="400" w:lineRule="exact"/>
        <w:ind w:right="26" w:firstLine="403"/>
        <w:rPr>
          <w:rFonts w:ascii="宋体" w:hAnsi="宋体"/>
          <w:szCs w:val="21"/>
        </w:rPr>
      </w:pPr>
      <w:r w:rsidRPr="004E30C2">
        <w:rPr>
          <w:rFonts w:ascii="宋体" w:hAnsi="宋体" w:hint="eastAsia"/>
          <w:szCs w:val="21"/>
        </w:rPr>
        <w:t>法定代表人：葛海蛟</w:t>
      </w:r>
    </w:p>
    <w:p w14:paraId="6235E5BE" w14:textId="77777777" w:rsidR="006C190A" w:rsidRPr="004E30C2" w:rsidRDefault="00CC37BA">
      <w:pPr>
        <w:spacing w:before="100" w:beforeAutospacing="1" w:after="100" w:afterAutospacing="1" w:line="400" w:lineRule="exact"/>
        <w:ind w:firstLine="435"/>
        <w:rPr>
          <w:rFonts w:ascii="宋体" w:hAnsi="宋体"/>
          <w:szCs w:val="21"/>
        </w:rPr>
      </w:pPr>
      <w:r w:rsidRPr="004E30C2">
        <w:rPr>
          <w:rFonts w:ascii="宋体" w:hAnsi="宋体" w:hint="eastAsia"/>
          <w:szCs w:val="21"/>
        </w:rPr>
        <w:t>成立时间：</w:t>
      </w:r>
      <w:r w:rsidRPr="004E30C2">
        <w:rPr>
          <w:rFonts w:ascii="宋体" w:hAnsi="宋体" w:hint="eastAsia"/>
          <w:szCs w:val="21"/>
        </w:rPr>
        <w:t xml:space="preserve">  1983</w:t>
      </w:r>
      <w:r w:rsidRPr="004E30C2">
        <w:rPr>
          <w:rFonts w:ascii="宋体" w:hAnsi="宋体" w:hint="eastAsia"/>
          <w:szCs w:val="21"/>
        </w:rPr>
        <w:t>年</w:t>
      </w:r>
      <w:r w:rsidRPr="004E30C2">
        <w:rPr>
          <w:rFonts w:ascii="宋体" w:hAnsi="宋体" w:hint="eastAsia"/>
          <w:szCs w:val="21"/>
        </w:rPr>
        <w:t>10</w:t>
      </w:r>
      <w:r w:rsidRPr="004E30C2">
        <w:rPr>
          <w:rFonts w:ascii="宋体" w:hAnsi="宋体" w:hint="eastAsia"/>
          <w:szCs w:val="21"/>
        </w:rPr>
        <w:t>月</w:t>
      </w:r>
      <w:r w:rsidRPr="004E30C2">
        <w:rPr>
          <w:rFonts w:ascii="宋体" w:hAnsi="宋体" w:hint="eastAsia"/>
          <w:szCs w:val="21"/>
        </w:rPr>
        <w:t>31</w:t>
      </w:r>
      <w:r w:rsidRPr="004E30C2">
        <w:rPr>
          <w:rFonts w:ascii="宋体" w:hAnsi="宋体" w:hint="eastAsia"/>
          <w:szCs w:val="21"/>
        </w:rPr>
        <w:t>日</w:t>
      </w:r>
    </w:p>
    <w:p w14:paraId="0E3E918C" w14:textId="77777777" w:rsidR="006C190A" w:rsidRPr="004E30C2" w:rsidRDefault="00CC37BA">
      <w:pPr>
        <w:spacing w:before="100" w:beforeAutospacing="1" w:after="100" w:afterAutospacing="1" w:line="400" w:lineRule="exact"/>
        <w:ind w:firstLine="420"/>
        <w:rPr>
          <w:rFonts w:ascii="宋体" w:hAnsi="宋体"/>
          <w:szCs w:val="21"/>
        </w:rPr>
      </w:pPr>
      <w:r w:rsidRPr="004E30C2">
        <w:rPr>
          <w:rFonts w:ascii="宋体" w:hAnsi="宋体" w:hint="eastAsia"/>
          <w:szCs w:val="21"/>
        </w:rPr>
        <w:t>批准设立机关和批准设立文号：国务院批转中国人民银行《关于改革中国银行体制的请示报告》（国发</w:t>
      </w:r>
      <w:r w:rsidRPr="004E30C2">
        <w:rPr>
          <w:rFonts w:ascii="宋体" w:hAnsi="宋体" w:hint="eastAsia"/>
          <w:szCs w:val="21"/>
        </w:rPr>
        <w:t>[1979]72</w:t>
      </w:r>
      <w:r w:rsidRPr="004E30C2">
        <w:rPr>
          <w:rFonts w:ascii="宋体" w:hAnsi="宋体" w:hint="eastAsia"/>
          <w:szCs w:val="21"/>
        </w:rPr>
        <w:t>号）</w:t>
      </w:r>
    </w:p>
    <w:p w14:paraId="14D9AA53" w14:textId="77777777" w:rsidR="006C190A" w:rsidRPr="004E30C2" w:rsidRDefault="00CC37BA">
      <w:pPr>
        <w:spacing w:before="100" w:beforeAutospacing="1" w:after="100" w:afterAutospacing="1" w:line="400" w:lineRule="exact"/>
        <w:ind w:firstLine="420"/>
        <w:rPr>
          <w:rFonts w:ascii="宋体" w:hAnsi="宋体"/>
          <w:szCs w:val="21"/>
        </w:rPr>
      </w:pPr>
      <w:r w:rsidRPr="004E30C2">
        <w:rPr>
          <w:rFonts w:ascii="宋体" w:hAnsi="宋体" w:hint="eastAsia"/>
          <w:szCs w:val="21"/>
        </w:rPr>
        <w:t>基金托管业务批准文号：中国证监会</w:t>
      </w:r>
      <w:proofErr w:type="gramStart"/>
      <w:r w:rsidRPr="004E30C2">
        <w:rPr>
          <w:rFonts w:ascii="宋体" w:hAnsi="宋体" w:hint="eastAsia"/>
          <w:szCs w:val="21"/>
        </w:rPr>
        <w:t>证监基字</w:t>
      </w:r>
      <w:proofErr w:type="gramEnd"/>
      <w:r w:rsidRPr="004E30C2">
        <w:rPr>
          <w:rFonts w:ascii="宋体" w:hAnsi="宋体" w:hint="eastAsia"/>
          <w:szCs w:val="21"/>
        </w:rPr>
        <w:t>【</w:t>
      </w:r>
      <w:r w:rsidRPr="004E30C2">
        <w:rPr>
          <w:rFonts w:ascii="宋体" w:hAnsi="宋体" w:hint="eastAsia"/>
          <w:szCs w:val="21"/>
        </w:rPr>
        <w:t>1998</w:t>
      </w:r>
      <w:r w:rsidRPr="004E30C2">
        <w:rPr>
          <w:rFonts w:ascii="宋体" w:hAnsi="宋体" w:hint="eastAsia"/>
          <w:szCs w:val="21"/>
        </w:rPr>
        <w:t>】</w:t>
      </w:r>
      <w:r w:rsidRPr="004E30C2">
        <w:rPr>
          <w:rFonts w:ascii="宋体" w:hAnsi="宋体" w:hint="eastAsia"/>
          <w:szCs w:val="21"/>
        </w:rPr>
        <w:t>24</w:t>
      </w:r>
      <w:r w:rsidRPr="004E30C2">
        <w:rPr>
          <w:rFonts w:ascii="宋体" w:hAnsi="宋体" w:hint="eastAsia"/>
          <w:szCs w:val="21"/>
        </w:rPr>
        <w:t>号</w:t>
      </w:r>
    </w:p>
    <w:p w14:paraId="4EAA3DD0" w14:textId="77777777" w:rsidR="006C190A" w:rsidRPr="004E30C2" w:rsidRDefault="00CC37BA">
      <w:pPr>
        <w:tabs>
          <w:tab w:val="left" w:pos="1110"/>
        </w:tabs>
        <w:spacing w:before="100" w:beforeAutospacing="1" w:after="100" w:afterAutospacing="1" w:line="400" w:lineRule="exact"/>
        <w:ind w:firstLine="420"/>
        <w:rPr>
          <w:rFonts w:ascii="宋体" w:hAnsi="宋体"/>
          <w:szCs w:val="21"/>
        </w:rPr>
      </w:pPr>
      <w:r w:rsidRPr="004E30C2">
        <w:rPr>
          <w:rFonts w:ascii="宋体" w:hAnsi="宋体" w:hint="eastAsia"/>
          <w:szCs w:val="21"/>
        </w:rPr>
        <w:t>组织形式：</w:t>
      </w:r>
      <w:r w:rsidRPr="004E30C2">
        <w:rPr>
          <w:rFonts w:ascii="宋体" w:hAnsi="宋体" w:hint="eastAsia"/>
          <w:szCs w:val="21"/>
        </w:rPr>
        <w:t xml:space="preserve">  </w:t>
      </w:r>
      <w:r w:rsidRPr="004E30C2">
        <w:rPr>
          <w:rFonts w:ascii="宋体" w:hAnsi="宋体" w:hint="eastAsia"/>
          <w:szCs w:val="21"/>
        </w:rPr>
        <w:t>股份有限公司</w:t>
      </w:r>
    </w:p>
    <w:p w14:paraId="0367A14E" w14:textId="77777777" w:rsidR="006C190A" w:rsidRPr="004E30C2" w:rsidRDefault="00CC37BA">
      <w:pPr>
        <w:spacing w:before="100" w:beforeAutospacing="1" w:after="100" w:afterAutospacing="1" w:line="400" w:lineRule="exact"/>
        <w:ind w:right="26" w:firstLine="403"/>
        <w:rPr>
          <w:rFonts w:ascii="宋体" w:hAnsi="宋体"/>
          <w:szCs w:val="21"/>
        </w:rPr>
      </w:pPr>
      <w:r w:rsidRPr="004E30C2">
        <w:rPr>
          <w:rFonts w:ascii="宋体" w:hAnsi="宋体" w:hint="eastAsia"/>
          <w:szCs w:val="21"/>
        </w:rPr>
        <w:t>注册资本：</w:t>
      </w:r>
      <w:r w:rsidRPr="004E30C2">
        <w:rPr>
          <w:rFonts w:ascii="宋体" w:hAnsi="宋体" w:hint="eastAsia"/>
          <w:szCs w:val="21"/>
        </w:rPr>
        <w:tab/>
      </w:r>
      <w:r w:rsidRPr="004E30C2">
        <w:rPr>
          <w:rFonts w:ascii="宋体" w:hAnsi="宋体" w:hint="eastAsia"/>
          <w:szCs w:val="21"/>
        </w:rPr>
        <w:t>人民币</w:t>
      </w:r>
      <w:proofErr w:type="gramStart"/>
      <w:r w:rsidRPr="004E30C2">
        <w:rPr>
          <w:rFonts w:ascii="宋体" w:hAnsi="宋体" w:hint="eastAsia"/>
          <w:szCs w:val="21"/>
        </w:rPr>
        <w:t>贰仟玖佰肆拾叁亿捌仟柒佰柒拾玖万壹仟贰佰肆拾壹</w:t>
      </w:r>
      <w:proofErr w:type="gramEnd"/>
      <w:r w:rsidRPr="004E30C2">
        <w:rPr>
          <w:rFonts w:ascii="宋体" w:hAnsi="宋体" w:hint="eastAsia"/>
          <w:szCs w:val="21"/>
        </w:rPr>
        <w:t>元整</w:t>
      </w:r>
    </w:p>
    <w:p w14:paraId="250E3288" w14:textId="77777777" w:rsidR="006C190A" w:rsidRPr="004E30C2" w:rsidRDefault="00CC37BA">
      <w:pPr>
        <w:spacing w:before="100" w:beforeAutospacing="1" w:after="100" w:afterAutospacing="1" w:line="400" w:lineRule="exact"/>
        <w:ind w:left="1674" w:right="26" w:hanging="1271"/>
        <w:rPr>
          <w:rFonts w:ascii="宋体" w:hAnsi="宋体"/>
          <w:szCs w:val="21"/>
        </w:rPr>
      </w:pPr>
      <w:r w:rsidRPr="004E30C2">
        <w:rPr>
          <w:rFonts w:ascii="宋体" w:hAnsi="宋体" w:hint="eastAsia"/>
          <w:szCs w:val="21"/>
        </w:rPr>
        <w:t>经营范围：</w:t>
      </w:r>
      <w:r w:rsidRPr="004E30C2">
        <w:rPr>
          <w:rFonts w:ascii="宋体" w:hAnsi="宋体"/>
          <w:szCs w:val="21"/>
        </w:rPr>
        <w:tab/>
      </w:r>
      <w:r w:rsidRPr="004E30C2">
        <w:rPr>
          <w:rFonts w:ascii="宋体" w:hAnsi="宋体"/>
          <w:szCs w:val="21"/>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w:t>
      </w:r>
      <w:r w:rsidRPr="004E30C2">
        <w:rPr>
          <w:rFonts w:ascii="宋体" w:hAnsi="宋体"/>
          <w:szCs w:val="21"/>
        </w:rPr>
        <w:t>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13AF3C45" w14:textId="77777777" w:rsidR="006C190A" w:rsidRPr="004E30C2" w:rsidRDefault="00CC37BA">
      <w:pPr>
        <w:spacing w:before="100" w:beforeAutospacing="1" w:after="100" w:afterAutospacing="1" w:line="400" w:lineRule="exact"/>
        <w:ind w:firstLine="403"/>
        <w:rPr>
          <w:rFonts w:ascii="宋体" w:hAnsi="宋体"/>
          <w:szCs w:val="21"/>
        </w:rPr>
      </w:pPr>
      <w:r w:rsidRPr="004E30C2">
        <w:rPr>
          <w:rFonts w:ascii="宋体" w:hAnsi="宋体" w:hint="eastAsia"/>
          <w:szCs w:val="21"/>
        </w:rPr>
        <w:t>存续期间：</w:t>
      </w:r>
      <w:r w:rsidRPr="004E30C2">
        <w:rPr>
          <w:rFonts w:ascii="宋体" w:hAnsi="宋体" w:hint="eastAsia"/>
          <w:szCs w:val="21"/>
        </w:rPr>
        <w:tab/>
      </w:r>
      <w:r w:rsidRPr="004E30C2">
        <w:rPr>
          <w:rFonts w:ascii="宋体" w:hAnsi="宋体" w:hint="eastAsia"/>
          <w:szCs w:val="21"/>
        </w:rPr>
        <w:t>持续经营</w:t>
      </w:r>
    </w:p>
    <w:p w14:paraId="3CF1C9B6" w14:textId="77777777" w:rsidR="006C190A" w:rsidRPr="004E30C2" w:rsidRDefault="006C190A">
      <w:pPr>
        <w:spacing w:before="100" w:beforeAutospacing="1" w:after="100" w:afterAutospacing="1" w:line="400" w:lineRule="exact"/>
        <w:ind w:firstLine="403"/>
        <w:rPr>
          <w:rFonts w:ascii="Calibri" w:hAnsi="Calibri"/>
          <w:szCs w:val="21"/>
        </w:rPr>
      </w:pPr>
    </w:p>
    <w:p w14:paraId="7BED1254"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11" w:name="_Toc4175"/>
      <w:bookmarkStart w:id="12" w:name="_Toc116900097"/>
      <w:bookmarkStart w:id="13" w:name="_Toc119267458"/>
      <w:r w:rsidRPr="004E30C2">
        <w:rPr>
          <w:rFonts w:ascii="Calibri" w:hAnsi="Calibri" w:hint="eastAsia"/>
          <w:sz w:val="21"/>
          <w:szCs w:val="21"/>
        </w:rPr>
        <w:lastRenderedPageBreak/>
        <w:t>二、托管协议的依据、目的、原则和解释</w:t>
      </w:r>
      <w:bookmarkEnd w:id="11"/>
      <w:bookmarkEnd w:id="12"/>
      <w:bookmarkEnd w:id="13"/>
    </w:p>
    <w:p w14:paraId="532F226F" w14:textId="77777777" w:rsidR="006C190A" w:rsidRPr="004E30C2" w:rsidRDefault="00CC37BA">
      <w:pPr>
        <w:spacing w:before="100" w:beforeAutospacing="1" w:after="100" w:afterAutospacing="1" w:line="400" w:lineRule="exact"/>
        <w:ind w:firstLine="403"/>
        <w:rPr>
          <w:rFonts w:ascii="Calibri" w:hAnsi="Calibri"/>
          <w:szCs w:val="21"/>
        </w:rPr>
      </w:pPr>
      <w:r w:rsidRPr="004E30C2">
        <w:rPr>
          <w:rFonts w:ascii="Calibri" w:hAnsi="Calibri" w:hint="eastAsia"/>
          <w:szCs w:val="21"/>
        </w:rPr>
        <w:t>（一）</w:t>
      </w:r>
      <w:r w:rsidRPr="004E30C2">
        <w:rPr>
          <w:rFonts w:ascii="Calibri" w:hAnsi="Calibri" w:hint="eastAsia"/>
          <w:szCs w:val="21"/>
        </w:rPr>
        <w:t>依据</w:t>
      </w:r>
    </w:p>
    <w:p w14:paraId="088C3A9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本协议依据《中华人民共和国民法典》、《中华人民共和国证券法》（以下简称“《证券法》”）、《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及其他有关法律法规与《华安众泰纯债债券型证券投资基金基金合同》（以下简称“《基金合同》”或“基金合同”）订立。</w:t>
      </w:r>
    </w:p>
    <w:p w14:paraId="55C0F97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（二）目的</w:t>
      </w:r>
    </w:p>
    <w:p w14:paraId="53D43C0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订立本协议的目的是明确华安</w:t>
      </w:r>
      <w:proofErr w:type="gramStart"/>
      <w:r w:rsidRPr="004E30C2">
        <w:rPr>
          <w:rFonts w:ascii="Calibri" w:eastAsia="宋体" w:hAnsi="Calibri" w:hint="eastAsia"/>
          <w:color w:val="auto"/>
          <w:sz w:val="21"/>
          <w:szCs w:val="21"/>
        </w:rPr>
        <w:t>众泰纯债</w:t>
      </w:r>
      <w:proofErr w:type="gramEnd"/>
      <w:r w:rsidRPr="004E30C2">
        <w:rPr>
          <w:rFonts w:ascii="Calibri" w:eastAsia="宋体" w:hAnsi="Calibri" w:hint="eastAsia"/>
          <w:color w:val="auto"/>
          <w:sz w:val="21"/>
          <w:szCs w:val="21"/>
        </w:rPr>
        <w:t>债券型证券投</w:t>
      </w:r>
      <w:r w:rsidRPr="004E30C2">
        <w:rPr>
          <w:rFonts w:ascii="Calibri" w:eastAsia="宋体" w:hAnsi="Calibri" w:hint="eastAsia"/>
          <w:color w:val="auto"/>
          <w:sz w:val="21"/>
          <w:szCs w:val="21"/>
        </w:rPr>
        <w:t>资</w:t>
      </w:r>
      <w:proofErr w:type="gramStart"/>
      <w:r w:rsidRPr="004E30C2">
        <w:rPr>
          <w:rFonts w:ascii="Calibri" w:eastAsia="宋体" w:hAnsi="Calibri" w:hint="eastAsia"/>
          <w:color w:val="auto"/>
          <w:sz w:val="21"/>
          <w:szCs w:val="21"/>
        </w:rPr>
        <w:t>基金基金</w:t>
      </w:r>
      <w:proofErr w:type="gramEnd"/>
      <w:r w:rsidRPr="004E30C2">
        <w:rPr>
          <w:rFonts w:ascii="Calibri" w:eastAsia="宋体" w:hAnsi="Calibri" w:hint="eastAsia"/>
          <w:color w:val="auto"/>
          <w:sz w:val="21"/>
          <w:szCs w:val="21"/>
        </w:rPr>
        <w:t>托管人和华安</w:t>
      </w:r>
      <w:proofErr w:type="gramStart"/>
      <w:r w:rsidRPr="004E30C2">
        <w:rPr>
          <w:rFonts w:ascii="Calibri" w:eastAsia="宋体" w:hAnsi="Calibri" w:hint="eastAsia"/>
          <w:color w:val="auto"/>
          <w:sz w:val="21"/>
          <w:szCs w:val="21"/>
        </w:rPr>
        <w:t>众泰纯债</w:t>
      </w:r>
      <w:proofErr w:type="gramEnd"/>
      <w:r w:rsidRPr="004E30C2">
        <w:rPr>
          <w:rFonts w:ascii="Calibri" w:eastAsia="宋体" w:hAnsi="Calibri" w:hint="eastAsia"/>
          <w:color w:val="auto"/>
          <w:sz w:val="21"/>
          <w:szCs w:val="21"/>
        </w:rPr>
        <w:t>债券型证券投资</w:t>
      </w:r>
      <w:proofErr w:type="gramStart"/>
      <w:r w:rsidRPr="004E30C2">
        <w:rPr>
          <w:rFonts w:ascii="Calibri" w:eastAsia="宋体" w:hAnsi="Calibri" w:hint="eastAsia"/>
          <w:color w:val="auto"/>
          <w:sz w:val="21"/>
          <w:szCs w:val="21"/>
        </w:rPr>
        <w:t>基金基金</w:t>
      </w:r>
      <w:proofErr w:type="gramEnd"/>
      <w:r w:rsidRPr="004E30C2">
        <w:rPr>
          <w:rFonts w:ascii="Calibri" w:eastAsia="宋体" w:hAnsi="Calibri" w:hint="eastAsia"/>
          <w:color w:val="auto"/>
          <w:sz w:val="21"/>
          <w:szCs w:val="21"/>
        </w:rPr>
        <w:t>管理人之间在基金财产的保管、投资运作、净值计算、收益分配、信息披露及相互监督等相关事宜中的权利、义务及职责，确保基金财产的安全，保护基金份额持有人的合法权益。</w:t>
      </w:r>
    </w:p>
    <w:p w14:paraId="218E184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（三）原则</w:t>
      </w:r>
    </w:p>
    <w:p w14:paraId="6C71DEAD"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基金管理人和基金托管人本着平等自愿、诚实信用的原则，经协商一致，签订本协议。</w:t>
      </w:r>
    </w:p>
    <w:p w14:paraId="79316C9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（四）解释</w:t>
      </w:r>
    </w:p>
    <w:p w14:paraId="5C82C04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除非文义另有所指，本协议的所有术语与</w:t>
      </w:r>
      <w:bookmarkStart w:id="14" w:name="OLE_LINK3"/>
      <w:r w:rsidRPr="004E30C2">
        <w:rPr>
          <w:rFonts w:ascii="Calibri" w:eastAsia="宋体" w:hAnsi="Calibri" w:hint="eastAsia"/>
          <w:color w:val="auto"/>
          <w:sz w:val="21"/>
          <w:szCs w:val="21"/>
        </w:rPr>
        <w:t>《基金合同》</w:t>
      </w:r>
      <w:bookmarkEnd w:id="14"/>
      <w:r w:rsidRPr="004E30C2">
        <w:rPr>
          <w:rFonts w:ascii="Calibri" w:eastAsia="宋体" w:hAnsi="Calibri" w:hint="eastAsia"/>
          <w:color w:val="auto"/>
          <w:sz w:val="21"/>
          <w:szCs w:val="21"/>
        </w:rPr>
        <w:t>的相应术语具有相同含义；</w:t>
      </w:r>
      <w:r w:rsidRPr="004E30C2">
        <w:rPr>
          <w:rFonts w:ascii="Calibri" w:eastAsia="宋体" w:hAnsi="Calibri"/>
          <w:color w:val="auto"/>
          <w:sz w:val="21"/>
          <w:szCs w:val="21"/>
        </w:rPr>
        <w:t>若有抵触应以《</w:t>
      </w:r>
      <w:r w:rsidRPr="004E30C2">
        <w:rPr>
          <w:rFonts w:ascii="Calibri" w:eastAsia="宋体" w:hAnsi="Calibri" w:hint="eastAsia"/>
          <w:color w:val="auto"/>
          <w:sz w:val="21"/>
          <w:szCs w:val="21"/>
        </w:rPr>
        <w:t>基金</w:t>
      </w:r>
      <w:r w:rsidRPr="004E30C2">
        <w:rPr>
          <w:rFonts w:ascii="Calibri" w:eastAsia="宋体" w:hAnsi="Calibri"/>
          <w:color w:val="auto"/>
          <w:sz w:val="21"/>
          <w:szCs w:val="21"/>
        </w:rPr>
        <w:t>合同》</w:t>
      </w:r>
      <w:r w:rsidRPr="004E30C2">
        <w:rPr>
          <w:rFonts w:ascii="Calibri" w:eastAsia="宋体" w:hAnsi="Calibri" w:hint="eastAsia"/>
          <w:color w:val="auto"/>
          <w:sz w:val="21"/>
          <w:szCs w:val="21"/>
        </w:rPr>
        <w:t>为准。</w:t>
      </w:r>
    </w:p>
    <w:p w14:paraId="691232DE"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30EB00D1" w14:textId="77777777" w:rsidR="006C190A" w:rsidRPr="004E30C2" w:rsidRDefault="00CC37BA">
      <w:pPr>
        <w:pStyle w:val="1"/>
        <w:spacing w:before="100" w:beforeAutospacing="1" w:after="100" w:afterAutospacing="1" w:line="400" w:lineRule="exact"/>
        <w:ind w:firstLine="422"/>
        <w:rPr>
          <w:rFonts w:ascii="Calibri" w:hAnsi="Calibri"/>
        </w:rPr>
      </w:pPr>
      <w:bookmarkStart w:id="15" w:name="_Toc116900098"/>
      <w:bookmarkStart w:id="16" w:name="_Toc119267459"/>
      <w:bookmarkStart w:id="17" w:name="_Toc8833"/>
      <w:r w:rsidRPr="004E30C2">
        <w:rPr>
          <w:rFonts w:ascii="Calibri" w:hAnsi="Calibri" w:hint="eastAsia"/>
          <w:sz w:val="21"/>
          <w:szCs w:val="21"/>
        </w:rPr>
        <w:t>三、基金托管人对基金管理人的业务监督和核查</w:t>
      </w:r>
      <w:bookmarkEnd w:id="15"/>
      <w:bookmarkEnd w:id="16"/>
      <w:bookmarkEnd w:id="17"/>
    </w:p>
    <w:p w14:paraId="622E275E"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（一）基金托管人根据有关法律法规的规定对基金管理人的下列投资运作进行监督：</w:t>
      </w:r>
    </w:p>
    <w:p w14:paraId="3513E93F"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szCs w:val="21"/>
        </w:rPr>
        <w:t>1</w:t>
      </w:r>
      <w:r w:rsidRPr="004E30C2">
        <w:rPr>
          <w:rFonts w:ascii="Calibri" w:hAnsi="Calibri" w:cs="方正仿宋简体"/>
          <w:szCs w:val="21"/>
        </w:rPr>
        <w:t>、</w:t>
      </w:r>
      <w:r w:rsidRPr="004E30C2">
        <w:rPr>
          <w:rFonts w:ascii="Calibri" w:hAnsi="Calibri" w:cs="方正仿宋简体" w:hint="eastAsia"/>
          <w:szCs w:val="21"/>
        </w:rPr>
        <w:t>对基金的投资范围、投资对象进行监督。基金管理人应将拟投资的债券库中各投资品种的具体范围及时提供给基金托管人。基金</w:t>
      </w:r>
      <w:r w:rsidRPr="004E30C2">
        <w:rPr>
          <w:rFonts w:ascii="Calibri" w:hAnsi="Calibri" w:hint="eastAsia"/>
          <w:szCs w:val="21"/>
        </w:rPr>
        <w:t>管理人可以根据实际情况的变化，对各投资品种的具体范围予以更新和调整，并及时通知基金托管人。</w:t>
      </w:r>
    </w:p>
    <w:p w14:paraId="0C043E87"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hint="eastAsia"/>
          <w:szCs w:val="21"/>
        </w:rPr>
        <w:lastRenderedPageBreak/>
        <w:t>基金托管人根据以下投资范围对基金的投资进行监督：</w:t>
      </w:r>
    </w:p>
    <w:p w14:paraId="403A52DA" w14:textId="77777777" w:rsidR="006C190A" w:rsidRPr="004E30C2" w:rsidRDefault="00CC37BA">
      <w:pPr>
        <w:pStyle w:val="a7"/>
        <w:spacing w:before="100" w:beforeAutospacing="1" w:after="100" w:afterAutospacing="1" w:line="360" w:lineRule="auto"/>
        <w:ind w:firstLine="403"/>
        <w:rPr>
          <w:rFonts w:ascii="Calibri" w:hAnsi="Calibri"/>
          <w:bCs/>
          <w:sz w:val="21"/>
          <w:szCs w:val="21"/>
        </w:rPr>
      </w:pPr>
      <w:bookmarkStart w:id="18" w:name="_Hlk51753356"/>
      <w:r w:rsidRPr="004E30C2">
        <w:rPr>
          <w:rFonts w:ascii="Calibri" w:eastAsia="宋体" w:hAnsi="Calibri" w:hint="eastAsia"/>
          <w:bCs/>
          <w:color w:val="auto"/>
          <w:sz w:val="21"/>
          <w:szCs w:val="21"/>
        </w:rPr>
        <w:t>本基金的投资范围为具有良好流动性的金融工具，包括国内依法发行或上市的各类债券（国债、央行票据、金融债、企业债、公司债、公开发行的次级债、地方政府债、政府支持机构债、政府支持债券、中期票据、短期融资</w:t>
      </w:r>
      <w:proofErr w:type="gramStart"/>
      <w:r w:rsidRPr="004E30C2">
        <w:rPr>
          <w:rFonts w:ascii="Calibri" w:eastAsia="宋体" w:hAnsi="Calibri" w:hint="eastAsia"/>
          <w:bCs/>
          <w:color w:val="auto"/>
          <w:sz w:val="21"/>
          <w:szCs w:val="21"/>
        </w:rPr>
        <w:t>券</w:t>
      </w:r>
      <w:proofErr w:type="gramEnd"/>
      <w:r w:rsidRPr="004E30C2">
        <w:rPr>
          <w:rFonts w:ascii="Calibri" w:eastAsia="宋体" w:hAnsi="Calibri" w:hint="eastAsia"/>
          <w:bCs/>
          <w:color w:val="auto"/>
          <w:sz w:val="21"/>
          <w:szCs w:val="21"/>
        </w:rPr>
        <w:t>、超短期融资</w:t>
      </w:r>
      <w:proofErr w:type="gramStart"/>
      <w:r w:rsidRPr="004E30C2">
        <w:rPr>
          <w:rFonts w:ascii="Calibri" w:eastAsia="宋体" w:hAnsi="Calibri" w:hint="eastAsia"/>
          <w:bCs/>
          <w:color w:val="auto"/>
          <w:sz w:val="21"/>
          <w:szCs w:val="21"/>
        </w:rPr>
        <w:t>券</w:t>
      </w:r>
      <w:proofErr w:type="gramEnd"/>
      <w:r w:rsidRPr="004E30C2">
        <w:rPr>
          <w:rFonts w:ascii="Calibri" w:eastAsia="宋体" w:hAnsi="Calibri" w:hint="eastAsia"/>
          <w:bCs/>
          <w:color w:val="auto"/>
          <w:sz w:val="21"/>
          <w:szCs w:val="21"/>
        </w:rPr>
        <w:t>、可分离交易可转债的</w:t>
      </w:r>
      <w:proofErr w:type="gramStart"/>
      <w:r w:rsidRPr="004E30C2">
        <w:rPr>
          <w:rFonts w:ascii="Calibri" w:eastAsia="宋体" w:hAnsi="Calibri" w:hint="eastAsia"/>
          <w:bCs/>
          <w:color w:val="auto"/>
          <w:sz w:val="21"/>
          <w:szCs w:val="21"/>
        </w:rPr>
        <w:t>纯债部分</w:t>
      </w:r>
      <w:proofErr w:type="gramEnd"/>
      <w:r w:rsidRPr="004E30C2">
        <w:rPr>
          <w:rFonts w:ascii="Calibri" w:eastAsia="宋体" w:hAnsi="Calibri" w:hint="eastAsia"/>
          <w:bCs/>
          <w:color w:val="auto"/>
          <w:sz w:val="21"/>
          <w:szCs w:val="21"/>
        </w:rPr>
        <w:t>等）、资产支持证券、债券回购、国债期货、银行存款、同业存单、货币市场工具以及法律法规或中国证监会允许基金投资的其他金融工具（但须符合中国证监会的相关规定）。</w:t>
      </w:r>
    </w:p>
    <w:p w14:paraId="567FAAB0" w14:textId="77777777" w:rsidR="006C190A" w:rsidRPr="004E30C2" w:rsidRDefault="00CC37BA">
      <w:pPr>
        <w:pStyle w:val="a7"/>
        <w:spacing w:before="100" w:beforeAutospacing="1" w:after="100" w:afterAutospacing="1" w:line="360" w:lineRule="auto"/>
        <w:ind w:firstLine="403"/>
        <w:rPr>
          <w:rFonts w:ascii="Calibri" w:hAnsi="Calibri"/>
          <w:bCs/>
          <w:sz w:val="21"/>
          <w:szCs w:val="21"/>
        </w:rPr>
      </w:pPr>
      <w:r w:rsidRPr="004E30C2">
        <w:rPr>
          <w:rFonts w:ascii="Calibri" w:eastAsia="宋体" w:hAnsi="Calibri" w:hint="eastAsia"/>
          <w:bCs/>
          <w:color w:val="auto"/>
          <w:sz w:val="21"/>
          <w:szCs w:val="21"/>
        </w:rPr>
        <w:t>本基金不投资于股票，也不投资于可转换债券、可交换债券（可分离交易可转债的</w:t>
      </w:r>
      <w:proofErr w:type="gramStart"/>
      <w:r w:rsidRPr="004E30C2">
        <w:rPr>
          <w:rFonts w:ascii="Calibri" w:eastAsia="宋体" w:hAnsi="Calibri" w:hint="eastAsia"/>
          <w:bCs/>
          <w:color w:val="auto"/>
          <w:sz w:val="21"/>
          <w:szCs w:val="21"/>
        </w:rPr>
        <w:t>纯债部分</w:t>
      </w:r>
      <w:proofErr w:type="gramEnd"/>
      <w:r w:rsidRPr="004E30C2">
        <w:rPr>
          <w:rFonts w:ascii="Calibri" w:eastAsia="宋体" w:hAnsi="Calibri" w:hint="eastAsia"/>
          <w:bCs/>
          <w:color w:val="auto"/>
          <w:sz w:val="21"/>
          <w:szCs w:val="21"/>
        </w:rPr>
        <w:t>除外）。</w:t>
      </w:r>
    </w:p>
    <w:p w14:paraId="55EFD1B2" w14:textId="77777777" w:rsidR="006C190A" w:rsidRPr="004E30C2" w:rsidRDefault="00CC37BA">
      <w:pPr>
        <w:pStyle w:val="a7"/>
        <w:spacing w:before="100" w:beforeAutospacing="1" w:after="100" w:afterAutospacing="1" w:line="360" w:lineRule="auto"/>
        <w:ind w:firstLine="403"/>
        <w:rPr>
          <w:rFonts w:ascii="Calibri" w:hAnsi="Calibri"/>
          <w:bCs/>
          <w:sz w:val="21"/>
          <w:szCs w:val="21"/>
        </w:rPr>
      </w:pPr>
      <w:r w:rsidRPr="004E30C2">
        <w:rPr>
          <w:rFonts w:ascii="Calibri" w:eastAsia="宋体" w:hAnsi="Calibri" w:hint="eastAsia"/>
          <w:bCs/>
          <w:color w:val="auto"/>
          <w:sz w:val="21"/>
          <w:szCs w:val="21"/>
        </w:rPr>
        <w:t>如法律法规或监管机构以后</w:t>
      </w:r>
      <w:r w:rsidRPr="004E30C2">
        <w:rPr>
          <w:rFonts w:ascii="Calibri" w:eastAsia="宋体" w:hAnsi="Calibri" w:hint="eastAsia"/>
          <w:bCs/>
          <w:color w:val="auto"/>
          <w:sz w:val="21"/>
          <w:szCs w:val="21"/>
        </w:rPr>
        <w:t>允许基金投资其他品种，基金管理人在履行适当程序后，可以将其纳入投资范围。</w:t>
      </w:r>
    </w:p>
    <w:p w14:paraId="51205FA5" w14:textId="77777777" w:rsidR="006C190A" w:rsidRPr="004E30C2" w:rsidRDefault="00CC37BA">
      <w:pPr>
        <w:pStyle w:val="a7"/>
        <w:spacing w:before="100" w:beforeAutospacing="1" w:after="100" w:afterAutospacing="1" w:line="360" w:lineRule="auto"/>
        <w:ind w:firstLine="403"/>
        <w:rPr>
          <w:rFonts w:ascii="Calibri" w:hAnsi="Calibri"/>
          <w:bCs/>
          <w:sz w:val="21"/>
          <w:szCs w:val="21"/>
        </w:rPr>
      </w:pPr>
      <w:r w:rsidRPr="004E30C2">
        <w:rPr>
          <w:rFonts w:ascii="Calibri" w:eastAsia="宋体" w:hAnsi="Calibri" w:hint="eastAsia"/>
          <w:bCs/>
          <w:color w:val="auto"/>
          <w:sz w:val="21"/>
          <w:szCs w:val="21"/>
        </w:rPr>
        <w:t>基金的投资组合比例为：本基金投资于债券资产的比例不低于基金资产的</w:t>
      </w:r>
      <w:r w:rsidRPr="004E30C2">
        <w:rPr>
          <w:rFonts w:ascii="Calibri" w:eastAsia="宋体" w:hAnsi="Calibri"/>
          <w:bCs/>
          <w:color w:val="auto"/>
          <w:sz w:val="21"/>
          <w:szCs w:val="21"/>
        </w:rPr>
        <w:t>80%</w:t>
      </w:r>
      <w:r w:rsidRPr="004E30C2">
        <w:rPr>
          <w:rFonts w:ascii="Calibri" w:eastAsia="宋体" w:hAnsi="Calibri" w:hint="eastAsia"/>
          <w:bCs/>
          <w:color w:val="auto"/>
          <w:sz w:val="21"/>
          <w:szCs w:val="21"/>
        </w:rPr>
        <w:t>。每个交易日日终在扣除国债期货合约需缴纳的交易保证金后，现金或者到期日在一年以内的政府债券不低于基金资产净值的</w:t>
      </w:r>
      <w:r w:rsidRPr="004E30C2">
        <w:rPr>
          <w:rFonts w:ascii="Calibri" w:eastAsia="宋体" w:hAnsi="Calibri"/>
          <w:bCs/>
          <w:color w:val="auto"/>
          <w:sz w:val="21"/>
          <w:szCs w:val="21"/>
        </w:rPr>
        <w:t>5%</w:t>
      </w:r>
      <w:r w:rsidRPr="004E30C2">
        <w:rPr>
          <w:rFonts w:ascii="Calibri" w:eastAsia="宋体" w:hAnsi="Calibri" w:hint="eastAsia"/>
          <w:bCs/>
          <w:color w:val="auto"/>
          <w:sz w:val="21"/>
          <w:szCs w:val="21"/>
        </w:rPr>
        <w:t>，现金不包括结算备付金、存出保证金、应收申购款等。</w:t>
      </w:r>
    </w:p>
    <w:p w14:paraId="4F2E27B5" w14:textId="77777777" w:rsidR="006C190A" w:rsidRPr="004E30C2" w:rsidRDefault="00CC37BA">
      <w:pPr>
        <w:pStyle w:val="a7"/>
        <w:spacing w:before="100" w:beforeAutospacing="1" w:after="100" w:afterAutospacing="1" w:line="360" w:lineRule="auto"/>
        <w:ind w:firstLine="403"/>
        <w:rPr>
          <w:rFonts w:ascii="Calibri" w:hAnsi="Calibri"/>
          <w:szCs w:val="21"/>
        </w:rPr>
      </w:pPr>
      <w:r w:rsidRPr="004E30C2">
        <w:rPr>
          <w:rFonts w:ascii="Calibri" w:eastAsia="宋体" w:hAnsi="Calibri" w:hint="eastAsia"/>
          <w:bCs/>
          <w:color w:val="auto"/>
          <w:sz w:val="21"/>
          <w:szCs w:val="21"/>
        </w:rPr>
        <w:t>如法律法规或监管机构以后变更投资比例限制，基金管理人在履行适当程序后，可以相应调整本基金投资比例的规定。</w:t>
      </w:r>
    </w:p>
    <w:p w14:paraId="4B8559A6" w14:textId="77777777" w:rsidR="006C190A" w:rsidRPr="004E30C2" w:rsidRDefault="00CC37BA">
      <w:pPr>
        <w:snapToGrid w:val="0"/>
        <w:spacing w:before="100" w:beforeAutospacing="1" w:after="100" w:afterAutospacing="1" w:line="340" w:lineRule="exact"/>
        <w:ind w:firstLine="420"/>
        <w:rPr>
          <w:rFonts w:ascii="Calibri" w:hAnsi="Calibri" w:cs="方正仿宋简体"/>
          <w:szCs w:val="21"/>
        </w:rPr>
      </w:pPr>
      <w:r w:rsidRPr="004E30C2">
        <w:rPr>
          <w:rFonts w:ascii="Calibri" w:hAnsi="Calibri" w:cs="方正仿宋简体"/>
          <w:szCs w:val="21"/>
        </w:rPr>
        <w:t>2</w:t>
      </w:r>
      <w:r w:rsidRPr="004E30C2">
        <w:rPr>
          <w:rFonts w:ascii="Calibri" w:hAnsi="Calibri" w:cs="方正仿宋简体"/>
          <w:szCs w:val="21"/>
        </w:rPr>
        <w:t>、</w:t>
      </w:r>
      <w:r w:rsidRPr="004E30C2">
        <w:rPr>
          <w:rFonts w:ascii="Calibri" w:hAnsi="Calibri" w:cs="方正仿宋简体" w:hint="eastAsia"/>
          <w:szCs w:val="21"/>
        </w:rPr>
        <w:t>对基金投融资比例进行监督</w:t>
      </w:r>
    </w:p>
    <w:p w14:paraId="25FED19A" w14:textId="77777777" w:rsidR="006C190A" w:rsidRPr="004E30C2" w:rsidRDefault="00CC37BA">
      <w:pPr>
        <w:snapToGrid w:val="0"/>
        <w:spacing w:before="100" w:beforeAutospacing="1" w:after="100" w:afterAutospacing="1" w:line="340" w:lineRule="exact"/>
        <w:ind w:firstLine="420"/>
        <w:rPr>
          <w:rFonts w:ascii="Calibri" w:hAnsi="Calibri" w:cs="方正仿宋简体"/>
          <w:szCs w:val="21"/>
        </w:rPr>
      </w:pPr>
      <w:r w:rsidRPr="004E30C2">
        <w:rPr>
          <w:rFonts w:ascii="Calibri" w:hAnsi="Calibri" w:cs="方正仿宋简体" w:hint="eastAsia"/>
          <w:szCs w:val="21"/>
        </w:rPr>
        <w:t>基金的投资组合应遵循以下限制：</w:t>
      </w:r>
    </w:p>
    <w:p w14:paraId="6C548EFE"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w:t>
      </w:r>
      <w:r w:rsidRPr="004E30C2">
        <w:rPr>
          <w:rFonts w:ascii="Calibri" w:hAnsi="Calibri" w:cs="方正仿宋简体"/>
          <w:szCs w:val="21"/>
        </w:rPr>
        <w:t>1</w:t>
      </w:r>
      <w:r w:rsidRPr="004E30C2">
        <w:rPr>
          <w:rFonts w:ascii="Calibri" w:hAnsi="Calibri" w:cs="方正仿宋简体"/>
          <w:szCs w:val="21"/>
        </w:rPr>
        <w:t>）</w:t>
      </w:r>
      <w:r w:rsidRPr="004E30C2">
        <w:rPr>
          <w:rFonts w:ascii="Calibri" w:hAnsi="Calibri" w:cs="方正仿宋简体" w:hint="eastAsia"/>
          <w:szCs w:val="21"/>
        </w:rPr>
        <w:t>本基金投资于债券资产的比例不</w:t>
      </w:r>
      <w:r w:rsidRPr="004E30C2">
        <w:rPr>
          <w:rFonts w:ascii="Calibri" w:hAnsi="Calibri" w:cs="方正仿宋简体" w:hint="eastAsia"/>
          <w:szCs w:val="21"/>
        </w:rPr>
        <w:t>低于基金资产的</w:t>
      </w:r>
      <w:r w:rsidRPr="004E30C2">
        <w:rPr>
          <w:rFonts w:ascii="Calibri" w:hAnsi="Calibri" w:cs="方正仿宋简体" w:hint="eastAsia"/>
          <w:szCs w:val="21"/>
        </w:rPr>
        <w:t>80%</w:t>
      </w:r>
      <w:r w:rsidRPr="004E30C2">
        <w:rPr>
          <w:rFonts w:ascii="Calibri" w:hAnsi="Calibri" w:cs="方正仿宋简体" w:hint="eastAsia"/>
          <w:szCs w:val="21"/>
        </w:rPr>
        <w:t>；</w:t>
      </w:r>
    </w:p>
    <w:p w14:paraId="1969D67C"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w:t>
      </w:r>
      <w:r w:rsidRPr="004E30C2">
        <w:rPr>
          <w:rFonts w:ascii="Calibri" w:hAnsi="Calibri" w:cs="方正仿宋简体" w:hint="eastAsia"/>
          <w:szCs w:val="21"/>
        </w:rPr>
        <w:t>2</w:t>
      </w:r>
      <w:r w:rsidRPr="004E30C2">
        <w:rPr>
          <w:rFonts w:ascii="Calibri" w:hAnsi="Calibri" w:cs="方正仿宋简体"/>
          <w:szCs w:val="21"/>
        </w:rPr>
        <w:t>）</w:t>
      </w:r>
      <w:r w:rsidRPr="004E30C2">
        <w:rPr>
          <w:rFonts w:ascii="Calibri" w:hAnsi="Calibri" w:cs="方正仿宋简体" w:hint="eastAsia"/>
          <w:szCs w:val="21"/>
        </w:rPr>
        <w:t>每个交易日日终在扣除国债期货合约需缴纳的交易保证金后，持有现金或者到期日在一年以内的政府债券不低于基金资产净值的</w:t>
      </w:r>
      <w:r w:rsidRPr="004E30C2">
        <w:rPr>
          <w:rFonts w:ascii="Calibri" w:hAnsi="Calibri" w:cs="方正仿宋简体" w:hint="eastAsia"/>
          <w:szCs w:val="21"/>
        </w:rPr>
        <w:t>5%</w:t>
      </w:r>
      <w:r w:rsidRPr="004E30C2">
        <w:rPr>
          <w:rFonts w:ascii="Calibri" w:hAnsi="Calibri" w:cs="方正仿宋简体" w:hint="eastAsia"/>
          <w:szCs w:val="21"/>
        </w:rPr>
        <w:t>，其中，现金不包括结算备付金、存出保证金、应收申购款等；</w:t>
      </w:r>
    </w:p>
    <w:p w14:paraId="48C7418A"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w:t>
      </w:r>
      <w:r w:rsidRPr="004E30C2">
        <w:rPr>
          <w:rFonts w:ascii="Calibri" w:hAnsi="Calibri" w:cs="方正仿宋简体" w:hint="eastAsia"/>
          <w:szCs w:val="21"/>
        </w:rPr>
        <w:t>3</w:t>
      </w:r>
      <w:r w:rsidRPr="004E30C2">
        <w:rPr>
          <w:rFonts w:ascii="Calibri" w:hAnsi="Calibri" w:cs="方正仿宋简体"/>
          <w:szCs w:val="21"/>
        </w:rPr>
        <w:t>）本基金持有一家</w:t>
      </w:r>
      <w:r w:rsidRPr="004E30C2">
        <w:rPr>
          <w:rFonts w:ascii="Calibri" w:hAnsi="Calibri" w:cs="方正仿宋简体" w:hint="eastAsia"/>
          <w:szCs w:val="21"/>
        </w:rPr>
        <w:t>公司发行的证券</w:t>
      </w:r>
      <w:r w:rsidRPr="004E30C2">
        <w:rPr>
          <w:rFonts w:ascii="Calibri" w:hAnsi="Calibri" w:cs="方正仿宋简体"/>
          <w:szCs w:val="21"/>
        </w:rPr>
        <w:t>，其市值不超过基金资产净值的</w:t>
      </w:r>
      <w:r w:rsidRPr="004E30C2">
        <w:rPr>
          <w:rFonts w:ascii="Calibri" w:hAnsi="Calibri" w:cs="方正仿宋简体"/>
          <w:szCs w:val="21"/>
        </w:rPr>
        <w:t>10%</w:t>
      </w:r>
      <w:r w:rsidRPr="004E30C2">
        <w:rPr>
          <w:rFonts w:ascii="Calibri" w:hAnsi="Calibri" w:cs="方正仿宋简体"/>
          <w:szCs w:val="21"/>
        </w:rPr>
        <w:t>；</w:t>
      </w:r>
    </w:p>
    <w:p w14:paraId="7B8619D8"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w:t>
      </w:r>
      <w:r w:rsidRPr="004E30C2">
        <w:rPr>
          <w:rFonts w:ascii="Calibri" w:hAnsi="Calibri" w:cs="方正仿宋简体" w:hint="eastAsia"/>
          <w:szCs w:val="21"/>
        </w:rPr>
        <w:t>4</w:t>
      </w:r>
      <w:r w:rsidRPr="004E30C2">
        <w:rPr>
          <w:rFonts w:ascii="Calibri" w:hAnsi="Calibri" w:cs="方正仿宋简体"/>
          <w:szCs w:val="21"/>
        </w:rPr>
        <w:t>）本基金管理人管理的</w:t>
      </w:r>
      <w:r w:rsidRPr="004E30C2">
        <w:rPr>
          <w:rFonts w:ascii="宋体" w:hAnsi="宋体" w:cs="方正仿宋简体" w:hint="eastAsia"/>
          <w:szCs w:val="21"/>
        </w:rPr>
        <w:t>且</w:t>
      </w:r>
      <w:r w:rsidRPr="004E30C2">
        <w:rPr>
          <w:rFonts w:ascii="宋体" w:hAnsi="宋体" w:cs="方正仿宋简体"/>
          <w:szCs w:val="21"/>
        </w:rPr>
        <w:t>在本托管人处托管</w:t>
      </w:r>
      <w:r w:rsidRPr="004E30C2">
        <w:rPr>
          <w:rFonts w:ascii="宋体" w:hAnsi="宋体" w:cs="方正仿宋简体" w:hint="eastAsia"/>
          <w:szCs w:val="21"/>
        </w:rPr>
        <w:t>的</w:t>
      </w:r>
      <w:r w:rsidRPr="004E30C2">
        <w:rPr>
          <w:rFonts w:ascii="Calibri" w:hAnsi="Calibri" w:cs="方正仿宋简体"/>
          <w:szCs w:val="21"/>
        </w:rPr>
        <w:t>全部基金持有一家公司发行的证券，</w:t>
      </w:r>
      <w:r w:rsidRPr="004E30C2">
        <w:rPr>
          <w:rFonts w:ascii="Calibri" w:hAnsi="Calibri" w:cs="方正仿宋简体"/>
          <w:szCs w:val="21"/>
        </w:rPr>
        <w:lastRenderedPageBreak/>
        <w:t>不超过该证券的</w:t>
      </w:r>
      <w:r w:rsidRPr="004E30C2">
        <w:rPr>
          <w:rFonts w:ascii="Calibri" w:hAnsi="Calibri" w:cs="方正仿宋简体"/>
          <w:szCs w:val="21"/>
        </w:rPr>
        <w:t>10%</w:t>
      </w:r>
      <w:r w:rsidRPr="004E30C2">
        <w:rPr>
          <w:rFonts w:ascii="Calibri" w:hAnsi="Calibri" w:cs="方正仿宋简体" w:hint="eastAsia"/>
          <w:szCs w:val="21"/>
        </w:rPr>
        <w:t>，完全按照有关指数的构成比例进行证券投资的基金品种可以不受此条款规定的比例限制</w:t>
      </w:r>
      <w:r w:rsidRPr="004E30C2">
        <w:rPr>
          <w:rFonts w:ascii="Calibri" w:hAnsi="Calibri" w:cs="方正仿宋简体"/>
          <w:szCs w:val="21"/>
        </w:rPr>
        <w:t>；</w:t>
      </w:r>
    </w:p>
    <w:p w14:paraId="7303E394"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w:t>
      </w:r>
      <w:r w:rsidRPr="004E30C2">
        <w:rPr>
          <w:rFonts w:ascii="Calibri" w:hAnsi="Calibri" w:cs="方正仿宋简体" w:hint="eastAsia"/>
          <w:szCs w:val="21"/>
        </w:rPr>
        <w:t>5</w:t>
      </w:r>
      <w:r w:rsidRPr="004E30C2">
        <w:rPr>
          <w:rFonts w:ascii="Calibri" w:hAnsi="Calibri" w:cs="方正仿宋简体" w:hint="eastAsia"/>
          <w:szCs w:val="21"/>
        </w:rPr>
        <w:t>）本基金投资于同一原始权益人的各类资产支持证券的比例，不得超过基金资产净值的</w:t>
      </w:r>
      <w:r w:rsidRPr="004E30C2">
        <w:rPr>
          <w:rFonts w:ascii="Calibri" w:hAnsi="Calibri" w:cs="方正仿宋简体" w:hint="eastAsia"/>
          <w:szCs w:val="21"/>
        </w:rPr>
        <w:t>10%</w:t>
      </w:r>
      <w:r w:rsidRPr="004E30C2">
        <w:rPr>
          <w:rFonts w:ascii="Calibri" w:hAnsi="Calibri" w:cs="方正仿宋简体" w:hint="eastAsia"/>
          <w:szCs w:val="21"/>
        </w:rPr>
        <w:t>；</w:t>
      </w:r>
    </w:p>
    <w:p w14:paraId="30000A3F"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w:t>
      </w:r>
      <w:r w:rsidRPr="004E30C2">
        <w:rPr>
          <w:rFonts w:ascii="Calibri" w:hAnsi="Calibri" w:cs="方正仿宋简体" w:hint="eastAsia"/>
          <w:szCs w:val="21"/>
        </w:rPr>
        <w:t>6</w:t>
      </w:r>
      <w:r w:rsidRPr="004E30C2">
        <w:rPr>
          <w:rFonts w:ascii="Calibri" w:hAnsi="Calibri" w:cs="方正仿宋简体" w:hint="eastAsia"/>
          <w:szCs w:val="21"/>
        </w:rPr>
        <w:t>）本基金持有的全部资产支持证券，其市值不得超过基金资产净值的</w:t>
      </w:r>
      <w:r w:rsidRPr="004E30C2">
        <w:rPr>
          <w:rFonts w:ascii="Calibri" w:hAnsi="Calibri" w:cs="方正仿宋简体" w:hint="eastAsia"/>
          <w:szCs w:val="21"/>
        </w:rPr>
        <w:t>20%</w:t>
      </w:r>
      <w:r w:rsidRPr="004E30C2">
        <w:rPr>
          <w:rFonts w:ascii="Calibri" w:hAnsi="Calibri" w:cs="方正仿宋简体" w:hint="eastAsia"/>
          <w:szCs w:val="21"/>
        </w:rPr>
        <w:t>；</w:t>
      </w:r>
    </w:p>
    <w:p w14:paraId="1997CB27"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w:t>
      </w:r>
      <w:r w:rsidRPr="004E30C2">
        <w:rPr>
          <w:rFonts w:ascii="Calibri" w:hAnsi="Calibri" w:cs="方正仿宋简体" w:hint="eastAsia"/>
          <w:szCs w:val="21"/>
        </w:rPr>
        <w:t>7</w:t>
      </w:r>
      <w:r w:rsidRPr="004E30C2">
        <w:rPr>
          <w:rFonts w:ascii="Calibri" w:hAnsi="Calibri" w:cs="方正仿宋简体" w:hint="eastAsia"/>
          <w:szCs w:val="21"/>
        </w:rPr>
        <w:t>）本基金持有的同一（指同一信用级别）资产支持证券的比例，不得超过该资产支持证券规模的</w:t>
      </w:r>
      <w:r w:rsidRPr="004E30C2">
        <w:rPr>
          <w:rFonts w:ascii="Calibri" w:hAnsi="Calibri" w:cs="方正仿宋简体" w:hint="eastAsia"/>
          <w:szCs w:val="21"/>
        </w:rPr>
        <w:t>10%</w:t>
      </w:r>
      <w:r w:rsidRPr="004E30C2">
        <w:rPr>
          <w:rFonts w:ascii="Calibri" w:hAnsi="Calibri" w:cs="方正仿宋简体" w:hint="eastAsia"/>
          <w:szCs w:val="21"/>
        </w:rPr>
        <w:t>；</w:t>
      </w:r>
    </w:p>
    <w:p w14:paraId="4875A141"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w:t>
      </w:r>
      <w:r w:rsidRPr="004E30C2">
        <w:rPr>
          <w:rFonts w:ascii="Calibri" w:hAnsi="Calibri" w:cs="方正仿宋简体" w:hint="eastAsia"/>
          <w:szCs w:val="21"/>
        </w:rPr>
        <w:t>8</w:t>
      </w:r>
      <w:r w:rsidRPr="004E30C2">
        <w:rPr>
          <w:rFonts w:ascii="Calibri" w:hAnsi="Calibri" w:cs="方正仿宋简体" w:hint="eastAsia"/>
          <w:szCs w:val="21"/>
        </w:rPr>
        <w:t>）本基金管理人管理的</w:t>
      </w:r>
      <w:r w:rsidRPr="004E30C2">
        <w:rPr>
          <w:rFonts w:ascii="宋体" w:hAnsi="宋体" w:cs="方正仿宋简体" w:hint="eastAsia"/>
          <w:szCs w:val="21"/>
        </w:rPr>
        <w:t>且</w:t>
      </w:r>
      <w:r w:rsidRPr="004E30C2">
        <w:rPr>
          <w:rFonts w:ascii="宋体" w:hAnsi="宋体" w:cs="方正仿宋简体"/>
          <w:szCs w:val="21"/>
        </w:rPr>
        <w:t>在本托管人处托管的</w:t>
      </w:r>
      <w:r w:rsidRPr="004E30C2">
        <w:rPr>
          <w:rFonts w:ascii="Calibri" w:hAnsi="Calibri" w:cs="方正仿宋简体" w:hint="eastAsia"/>
          <w:szCs w:val="21"/>
        </w:rPr>
        <w:t>全部基金投资于同一原始权益人的各类资产支持证券，不得超过其各类资产支持证券合计规模的</w:t>
      </w:r>
      <w:r w:rsidRPr="004E30C2">
        <w:rPr>
          <w:rFonts w:ascii="Calibri" w:hAnsi="Calibri" w:cs="方正仿宋简体" w:hint="eastAsia"/>
          <w:szCs w:val="21"/>
        </w:rPr>
        <w:t>10%</w:t>
      </w:r>
      <w:r w:rsidRPr="004E30C2">
        <w:rPr>
          <w:rFonts w:ascii="Calibri" w:hAnsi="Calibri" w:cs="方正仿宋简体" w:hint="eastAsia"/>
          <w:szCs w:val="21"/>
        </w:rPr>
        <w:t>；</w:t>
      </w:r>
    </w:p>
    <w:p w14:paraId="4F267ECF"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w:t>
      </w:r>
      <w:r w:rsidRPr="004E30C2">
        <w:rPr>
          <w:rFonts w:ascii="Calibri" w:hAnsi="Calibri" w:cs="方正仿宋简体" w:hint="eastAsia"/>
          <w:szCs w:val="21"/>
        </w:rPr>
        <w:t>9</w:t>
      </w:r>
      <w:r w:rsidRPr="004E30C2">
        <w:rPr>
          <w:rFonts w:ascii="Calibri" w:hAnsi="Calibri" w:cs="方正仿宋简体" w:hint="eastAsia"/>
          <w:szCs w:val="21"/>
        </w:rPr>
        <w:t>）</w:t>
      </w:r>
      <w:r w:rsidRPr="004E30C2">
        <w:rPr>
          <w:rFonts w:ascii="Calibri" w:hAnsi="Calibri" w:cs="方正仿宋简体"/>
          <w:szCs w:val="21"/>
        </w:rPr>
        <w:t>本基金资产总值不超过基金资产净值的</w:t>
      </w:r>
      <w:r w:rsidRPr="004E30C2">
        <w:rPr>
          <w:rFonts w:ascii="Calibri" w:hAnsi="Calibri" w:cs="方正仿宋简体"/>
          <w:szCs w:val="21"/>
        </w:rPr>
        <w:t>140%</w:t>
      </w:r>
      <w:r w:rsidRPr="004E30C2">
        <w:rPr>
          <w:rFonts w:ascii="Calibri" w:hAnsi="Calibri" w:cs="方正仿宋简体"/>
          <w:szCs w:val="21"/>
        </w:rPr>
        <w:t>；</w:t>
      </w:r>
      <w:r w:rsidRPr="004E30C2">
        <w:rPr>
          <w:rFonts w:ascii="Calibri" w:hAnsi="Calibri" w:cs="方正仿宋简体" w:hint="eastAsia"/>
          <w:szCs w:val="21"/>
        </w:rPr>
        <w:t xml:space="preserve"> </w:t>
      </w:r>
    </w:p>
    <w:p w14:paraId="40EB1F11"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w:t>
      </w:r>
      <w:r w:rsidRPr="004E30C2">
        <w:rPr>
          <w:rFonts w:ascii="Calibri" w:hAnsi="Calibri" w:cs="方正仿宋简体" w:hint="eastAsia"/>
          <w:szCs w:val="21"/>
        </w:rPr>
        <w:t>10</w:t>
      </w:r>
      <w:r w:rsidRPr="004E30C2">
        <w:rPr>
          <w:rFonts w:ascii="Calibri" w:hAnsi="Calibri" w:cs="方正仿宋简体" w:hint="eastAsia"/>
          <w:szCs w:val="21"/>
        </w:rPr>
        <w:t>）本基金投资于国债期货，还应遵循如下投资组合限制：</w:t>
      </w:r>
    </w:p>
    <w:p w14:paraId="402CE8D2"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①在任何交易日日终，本基金持有的买入国债期货合约价值，不得超过基金资产净值的</w:t>
      </w:r>
      <w:r w:rsidRPr="004E30C2">
        <w:rPr>
          <w:rFonts w:ascii="Calibri" w:hAnsi="Calibri" w:cs="方正仿宋简体" w:hint="eastAsia"/>
          <w:szCs w:val="21"/>
        </w:rPr>
        <w:t>15%</w:t>
      </w:r>
      <w:r w:rsidRPr="004E30C2">
        <w:rPr>
          <w:rFonts w:ascii="Calibri" w:hAnsi="Calibri" w:cs="方正仿宋简体" w:hint="eastAsia"/>
          <w:szCs w:val="21"/>
        </w:rPr>
        <w:t>；</w:t>
      </w:r>
    </w:p>
    <w:p w14:paraId="0F7EA4B7"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②本基金在任何交易日日终，持有的卖出国债期货合约价值不得超过基金持有的债券总市值的</w:t>
      </w:r>
      <w:r w:rsidRPr="004E30C2">
        <w:rPr>
          <w:rFonts w:ascii="Calibri" w:hAnsi="Calibri" w:cs="方正仿宋简体" w:hint="eastAsia"/>
          <w:szCs w:val="21"/>
        </w:rPr>
        <w:t>30%</w:t>
      </w:r>
      <w:r w:rsidRPr="004E30C2">
        <w:rPr>
          <w:rFonts w:ascii="Calibri" w:hAnsi="Calibri" w:cs="方正仿宋简体" w:hint="eastAsia"/>
          <w:szCs w:val="21"/>
        </w:rPr>
        <w:t>；</w:t>
      </w:r>
    </w:p>
    <w:p w14:paraId="7715134D"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③本基金在任何交易日内交易（不包括平仓）的国债期货合约的成交金额不得超过上一交易日基金资产净值的</w:t>
      </w:r>
      <w:r w:rsidRPr="004E30C2">
        <w:rPr>
          <w:rFonts w:ascii="Calibri" w:hAnsi="Calibri" w:cs="方正仿宋简体" w:hint="eastAsia"/>
          <w:szCs w:val="21"/>
        </w:rPr>
        <w:t>30%</w:t>
      </w:r>
      <w:r w:rsidRPr="004E30C2">
        <w:rPr>
          <w:rFonts w:ascii="Calibri" w:hAnsi="Calibri" w:cs="方正仿宋简体" w:hint="eastAsia"/>
          <w:szCs w:val="21"/>
        </w:rPr>
        <w:t>；</w:t>
      </w:r>
    </w:p>
    <w:p w14:paraId="0B70C3E0"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④</w:t>
      </w:r>
      <w:r w:rsidRPr="004E30C2">
        <w:rPr>
          <w:rFonts w:ascii="Calibri" w:hAnsi="Calibri" w:cs="方正仿宋简体"/>
          <w:szCs w:val="21"/>
        </w:rPr>
        <w:t>本基金所持有的债券（不含到期日在一年以内的政府债券）市值和买入、卖出国债期货合约价值，合计（轧差计算）</w:t>
      </w:r>
      <w:r w:rsidRPr="004E30C2">
        <w:rPr>
          <w:rFonts w:ascii="Calibri" w:hAnsi="Calibri" w:cs="方正仿宋简体" w:hint="eastAsia"/>
          <w:szCs w:val="21"/>
        </w:rPr>
        <w:t>不低于基金资产的</w:t>
      </w:r>
      <w:r w:rsidRPr="004E30C2">
        <w:rPr>
          <w:rFonts w:ascii="Calibri" w:hAnsi="Calibri" w:cs="方正仿宋简体" w:hint="eastAsia"/>
          <w:szCs w:val="21"/>
        </w:rPr>
        <w:t>80%</w:t>
      </w:r>
      <w:r w:rsidRPr="004E30C2">
        <w:rPr>
          <w:rFonts w:ascii="Calibri" w:hAnsi="Calibri" w:cs="方正仿宋简体"/>
          <w:szCs w:val="21"/>
        </w:rPr>
        <w:t>；</w:t>
      </w:r>
    </w:p>
    <w:p w14:paraId="181C84D0"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w:t>
      </w:r>
      <w:r w:rsidRPr="004E30C2">
        <w:rPr>
          <w:rFonts w:ascii="Calibri" w:hAnsi="Calibri" w:cs="方正仿宋简体" w:hint="eastAsia"/>
          <w:szCs w:val="21"/>
        </w:rPr>
        <w:t>11</w:t>
      </w:r>
      <w:r w:rsidRPr="004E30C2">
        <w:rPr>
          <w:rFonts w:ascii="Calibri" w:hAnsi="Calibri" w:cs="方正仿宋简体"/>
          <w:szCs w:val="21"/>
        </w:rPr>
        <w:t>）本基金主动投资于流动性受限资产的市值合计不得超过该基金资产净值的</w:t>
      </w:r>
      <w:r w:rsidRPr="004E30C2">
        <w:rPr>
          <w:rFonts w:ascii="Calibri" w:hAnsi="Calibri" w:cs="方正仿宋简体"/>
          <w:szCs w:val="21"/>
        </w:rPr>
        <w:t>15%</w:t>
      </w:r>
      <w:r w:rsidRPr="004E30C2">
        <w:rPr>
          <w:rFonts w:ascii="Calibri" w:hAnsi="Calibri" w:cs="方正仿宋简体" w:hint="eastAsia"/>
          <w:szCs w:val="21"/>
        </w:rPr>
        <w:t>；因证券市场波动、</w:t>
      </w:r>
      <w:r w:rsidRPr="004E30C2">
        <w:rPr>
          <w:rFonts w:ascii="Calibri" w:hAnsi="Calibri" w:cs="方正仿宋简体"/>
          <w:szCs w:val="21"/>
        </w:rPr>
        <w:t>基</w:t>
      </w:r>
      <w:r w:rsidRPr="004E30C2">
        <w:rPr>
          <w:rFonts w:ascii="Calibri" w:hAnsi="Calibri" w:cs="方正仿宋简体"/>
          <w:szCs w:val="21"/>
        </w:rPr>
        <w:t>金规模变动等基金管理人之外的因素致使基金不符合该比例限制的</w:t>
      </w:r>
      <w:r w:rsidRPr="004E30C2">
        <w:rPr>
          <w:rFonts w:ascii="Calibri" w:hAnsi="Calibri" w:cs="方正仿宋简体" w:hint="eastAsia"/>
          <w:szCs w:val="21"/>
        </w:rPr>
        <w:t>，基金管理人不得主动新增流动性受限资产的投资；</w:t>
      </w:r>
    </w:p>
    <w:p w14:paraId="4E021468"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w:t>
      </w:r>
      <w:r w:rsidRPr="004E30C2">
        <w:rPr>
          <w:rFonts w:ascii="Calibri" w:hAnsi="Calibri" w:cs="方正仿宋简体" w:hint="eastAsia"/>
          <w:szCs w:val="21"/>
        </w:rPr>
        <w:t>12</w:t>
      </w:r>
      <w:r w:rsidRPr="004E30C2">
        <w:rPr>
          <w:rFonts w:ascii="Calibri" w:hAnsi="Calibri" w:cs="方正仿宋简体" w:hint="eastAsia"/>
          <w:szCs w:val="21"/>
        </w:rPr>
        <w:t>）本基金与私募类</w:t>
      </w:r>
      <w:proofErr w:type="gramStart"/>
      <w:r w:rsidRPr="004E30C2">
        <w:rPr>
          <w:rFonts w:ascii="Calibri" w:hAnsi="Calibri" w:cs="方正仿宋简体" w:hint="eastAsia"/>
          <w:szCs w:val="21"/>
        </w:rPr>
        <w:t>证券资管产品</w:t>
      </w:r>
      <w:proofErr w:type="gramEnd"/>
      <w:r w:rsidRPr="004E30C2">
        <w:rPr>
          <w:rFonts w:ascii="Calibri" w:hAnsi="Calibri" w:cs="方正仿宋简体" w:hint="eastAsia"/>
          <w:szCs w:val="21"/>
        </w:rPr>
        <w:t>及中国证监会认定的其他主体为交易对手开展逆回购交易的，</w:t>
      </w:r>
      <w:r w:rsidRPr="004E30C2">
        <w:rPr>
          <w:rFonts w:ascii="Calibri" w:hAnsi="Calibri" w:cs="方正仿宋简体"/>
          <w:szCs w:val="21"/>
        </w:rPr>
        <w:t>可接受质押品的资质要求应当与基金合同约定的投资范围保持一致</w:t>
      </w:r>
      <w:r w:rsidRPr="004E30C2">
        <w:rPr>
          <w:rFonts w:ascii="Calibri" w:hAnsi="Calibri" w:cs="方正仿宋简体" w:hint="eastAsia"/>
          <w:szCs w:val="21"/>
        </w:rPr>
        <w:t>；</w:t>
      </w:r>
    </w:p>
    <w:p w14:paraId="138BAFE4"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w:t>
      </w:r>
      <w:r w:rsidRPr="004E30C2">
        <w:rPr>
          <w:rFonts w:ascii="Calibri" w:hAnsi="Calibri" w:cs="方正仿宋简体" w:hint="eastAsia"/>
          <w:szCs w:val="21"/>
        </w:rPr>
        <w:t>13</w:t>
      </w:r>
      <w:r w:rsidRPr="004E30C2">
        <w:rPr>
          <w:rFonts w:ascii="Calibri" w:hAnsi="Calibri" w:cs="方正仿宋简体"/>
          <w:szCs w:val="21"/>
        </w:rPr>
        <w:t>）</w:t>
      </w:r>
      <w:r w:rsidRPr="004E30C2">
        <w:rPr>
          <w:rFonts w:ascii="Calibri" w:hAnsi="Calibri" w:cs="方正仿宋简体" w:hint="eastAsia"/>
          <w:szCs w:val="21"/>
        </w:rPr>
        <w:t>法律法规及中国证监会规定的</w:t>
      </w:r>
      <w:r w:rsidRPr="004E30C2">
        <w:rPr>
          <w:rFonts w:ascii="宋体" w:hAnsi="宋体" w:hint="eastAsia"/>
          <w:bCs/>
          <w:szCs w:val="21"/>
        </w:rPr>
        <w:t>其它</w:t>
      </w:r>
      <w:r w:rsidRPr="004E30C2">
        <w:rPr>
          <w:rFonts w:ascii="Calibri" w:hAnsi="Calibri" w:cs="方正仿宋简体" w:hint="eastAsia"/>
          <w:szCs w:val="21"/>
        </w:rPr>
        <w:t>投资</w:t>
      </w:r>
      <w:r w:rsidRPr="004E30C2">
        <w:rPr>
          <w:rFonts w:ascii="宋体" w:hAnsi="宋体" w:cs="方正仿宋简体" w:hint="eastAsia"/>
          <w:szCs w:val="21"/>
        </w:rPr>
        <w:t>比例</w:t>
      </w:r>
      <w:r w:rsidRPr="004E30C2">
        <w:rPr>
          <w:rFonts w:ascii="Calibri" w:hAnsi="Calibri" w:cs="方正仿宋简体" w:hint="eastAsia"/>
          <w:szCs w:val="21"/>
        </w:rPr>
        <w:t>限制。</w:t>
      </w:r>
    </w:p>
    <w:p w14:paraId="1F8C5BF5"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lastRenderedPageBreak/>
        <w:t>除上述</w:t>
      </w:r>
      <w:r w:rsidRPr="004E30C2">
        <w:rPr>
          <w:rFonts w:ascii="Calibri" w:hAnsi="Calibri" w:cs="方正仿宋简体" w:hint="eastAsia"/>
          <w:szCs w:val="21"/>
        </w:rPr>
        <w:t>（</w:t>
      </w:r>
      <w:r w:rsidRPr="004E30C2">
        <w:rPr>
          <w:rFonts w:ascii="Calibri" w:hAnsi="Calibri" w:cs="方正仿宋简体" w:hint="eastAsia"/>
          <w:szCs w:val="21"/>
        </w:rPr>
        <w:t>2</w:t>
      </w:r>
      <w:r w:rsidRPr="004E30C2">
        <w:rPr>
          <w:rFonts w:ascii="Calibri" w:hAnsi="Calibri" w:cs="方正仿宋简体" w:hint="eastAsia"/>
          <w:szCs w:val="21"/>
        </w:rPr>
        <w:t>）、（</w:t>
      </w:r>
      <w:r w:rsidRPr="004E30C2">
        <w:rPr>
          <w:rFonts w:ascii="Calibri" w:hAnsi="Calibri" w:cs="方正仿宋简体" w:hint="eastAsia"/>
          <w:szCs w:val="21"/>
        </w:rPr>
        <w:t>11</w:t>
      </w:r>
      <w:r w:rsidRPr="004E30C2">
        <w:rPr>
          <w:rFonts w:ascii="Calibri" w:hAnsi="Calibri" w:cs="方正仿宋简体" w:hint="eastAsia"/>
          <w:szCs w:val="21"/>
        </w:rPr>
        <w:t>）、（</w:t>
      </w:r>
      <w:r w:rsidRPr="004E30C2">
        <w:rPr>
          <w:rFonts w:ascii="Calibri" w:hAnsi="Calibri" w:cs="方正仿宋简体" w:hint="eastAsia"/>
          <w:szCs w:val="21"/>
        </w:rPr>
        <w:t>12</w:t>
      </w:r>
      <w:r w:rsidRPr="004E30C2">
        <w:rPr>
          <w:rFonts w:ascii="Calibri" w:hAnsi="Calibri" w:cs="方正仿宋简体" w:hint="eastAsia"/>
          <w:szCs w:val="21"/>
        </w:rPr>
        <w:t>）情形之</w:t>
      </w:r>
      <w:r w:rsidRPr="004E30C2">
        <w:rPr>
          <w:rFonts w:ascii="Calibri" w:hAnsi="Calibri" w:cs="方正仿宋简体"/>
          <w:szCs w:val="21"/>
        </w:rPr>
        <w:t>外，因证券</w:t>
      </w:r>
      <w:r w:rsidRPr="004E30C2">
        <w:rPr>
          <w:rFonts w:ascii="Calibri" w:hAnsi="Calibri" w:cs="方正仿宋简体" w:hint="eastAsia"/>
          <w:szCs w:val="21"/>
        </w:rPr>
        <w:t>、期货</w:t>
      </w:r>
      <w:r w:rsidRPr="004E30C2">
        <w:rPr>
          <w:rFonts w:ascii="Calibri" w:hAnsi="Calibri" w:cs="方正仿宋简体"/>
          <w:szCs w:val="21"/>
        </w:rPr>
        <w:t>市场波动、</w:t>
      </w:r>
      <w:r w:rsidRPr="004E30C2">
        <w:rPr>
          <w:rFonts w:ascii="Calibri" w:hAnsi="Calibri" w:cs="方正仿宋简体" w:hint="eastAsia"/>
          <w:szCs w:val="21"/>
        </w:rPr>
        <w:t>证券发行人</w:t>
      </w:r>
      <w:r w:rsidRPr="004E30C2">
        <w:rPr>
          <w:rFonts w:ascii="Calibri" w:hAnsi="Calibri" w:cs="方正仿宋简体"/>
          <w:szCs w:val="21"/>
        </w:rPr>
        <w:t>合并、基金规模变动等基金管理人之外的因素致使基金投资比例不符合上述规定投资比例的，基金管理人应当在</w:t>
      </w:r>
      <w:r w:rsidRPr="004E30C2">
        <w:rPr>
          <w:rFonts w:ascii="Calibri" w:hAnsi="Calibri" w:cs="方正仿宋简体"/>
          <w:szCs w:val="21"/>
        </w:rPr>
        <w:t>10</w:t>
      </w:r>
      <w:r w:rsidRPr="004E30C2">
        <w:rPr>
          <w:rFonts w:ascii="Calibri" w:hAnsi="Calibri" w:cs="方正仿宋简体"/>
          <w:szCs w:val="21"/>
        </w:rPr>
        <w:t>个交易日内进行调整</w:t>
      </w:r>
      <w:r w:rsidRPr="004E30C2">
        <w:rPr>
          <w:rFonts w:ascii="Calibri" w:hAnsi="Calibri" w:cs="方正仿宋简体" w:hint="eastAsia"/>
          <w:szCs w:val="21"/>
        </w:rPr>
        <w:t>，但中国</w:t>
      </w:r>
      <w:r w:rsidRPr="004E30C2">
        <w:rPr>
          <w:rFonts w:ascii="Calibri" w:hAnsi="Calibri" w:cs="方正仿宋简体" w:hint="eastAsia"/>
          <w:szCs w:val="21"/>
        </w:rPr>
        <w:t>证监会规定的特殊情形除外</w:t>
      </w:r>
      <w:r w:rsidRPr="004E30C2">
        <w:rPr>
          <w:rFonts w:ascii="Calibri" w:hAnsi="Calibri" w:cs="方正仿宋简体"/>
          <w:szCs w:val="21"/>
        </w:rPr>
        <w:t>。</w:t>
      </w:r>
      <w:r w:rsidRPr="004E30C2">
        <w:rPr>
          <w:rFonts w:ascii="Calibri" w:hAnsi="Calibri" w:cs="方正仿宋简体" w:hint="eastAsia"/>
          <w:szCs w:val="21"/>
        </w:rPr>
        <w:t>法律法规另有规定的，从其规定</w:t>
      </w:r>
      <w:r w:rsidRPr="004E30C2">
        <w:rPr>
          <w:rFonts w:ascii="Calibri" w:hAnsi="Calibri" w:cs="方正仿宋简体"/>
          <w:szCs w:val="21"/>
        </w:rPr>
        <w:t>。</w:t>
      </w:r>
    </w:p>
    <w:p w14:paraId="46351D9B"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基金管理人应当自基金合同生效之日起</w:t>
      </w:r>
      <w:r w:rsidRPr="004E30C2">
        <w:rPr>
          <w:rFonts w:ascii="Calibri" w:hAnsi="Calibri" w:cs="方正仿宋简体" w:hint="eastAsia"/>
          <w:szCs w:val="21"/>
        </w:rPr>
        <w:t>6</w:t>
      </w:r>
      <w:r w:rsidRPr="004E30C2">
        <w:rPr>
          <w:rFonts w:ascii="Calibri" w:hAnsi="Calibri" w:cs="方正仿宋简体"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5B9C161D"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如果法律法规或监管部门对基金合同约定投资组合比例限制进行变更的，如适用于本基金，基金管理人在履行适当程序后，以变更后的规定为准。法律法规或监管部门取消上述限制，如适用于本基金，基金管理人在履行适当程序后，则本基金投资不再受相关限制。</w:t>
      </w:r>
    </w:p>
    <w:p w14:paraId="2473F574"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hint="eastAsia"/>
          <w:szCs w:val="21"/>
        </w:rPr>
        <w:t>基金管理</w:t>
      </w:r>
      <w:r w:rsidRPr="004E30C2">
        <w:rPr>
          <w:rFonts w:ascii="Calibri" w:hAnsi="Calibri" w:hint="eastAsia"/>
          <w:szCs w:val="21"/>
        </w:rPr>
        <w:t>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bookmarkEnd w:id="18"/>
    </w:p>
    <w:p w14:paraId="2B2347FC"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（二）基金托管人应根据有关法律法</w:t>
      </w:r>
      <w:r w:rsidRPr="004E30C2">
        <w:rPr>
          <w:rFonts w:ascii="Calibri" w:hAnsi="Calibri" w:cs="方正仿宋简体" w:hint="eastAsia"/>
          <w:szCs w:val="21"/>
        </w:rPr>
        <w:t>规的规定及</w:t>
      </w:r>
      <w:r w:rsidRPr="004E30C2">
        <w:rPr>
          <w:rFonts w:ascii="Calibri" w:hAnsi="Calibri" w:hint="eastAsia"/>
          <w:szCs w:val="21"/>
        </w:rPr>
        <w:t>《基金合同》</w:t>
      </w:r>
      <w:r w:rsidRPr="004E30C2">
        <w:rPr>
          <w:rFonts w:ascii="Calibri" w:hAnsi="Calibri" w:cs="方正仿宋简体" w:hint="eastAsia"/>
          <w:szCs w:val="21"/>
        </w:rPr>
        <w:t>的约定，对基金资产净值计算、各类基金份额净值计算、应收资金到账、基金费用开支及收入确定、基金收益分配、相关信息披露登载基金业绩表现数据等进行复核。</w:t>
      </w:r>
    </w:p>
    <w:p w14:paraId="6705E495"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（三）基金托管人在上述第（一）、（二）款的监督和核查中发现基金管理人违反上述第（一）、（二）款</w:t>
      </w:r>
      <w:r w:rsidRPr="004E30C2">
        <w:rPr>
          <w:rFonts w:ascii="Calibri" w:hAnsi="Calibri" w:hint="eastAsia"/>
          <w:szCs w:val="21"/>
        </w:rPr>
        <w:t>约定</w:t>
      </w:r>
      <w:r w:rsidRPr="004E30C2">
        <w:rPr>
          <w:rFonts w:ascii="Calibri" w:hAnsi="Calibri" w:cs="方正仿宋简体" w:hint="eastAsia"/>
          <w:szCs w:val="21"/>
        </w:rPr>
        <w:t>，</w:t>
      </w:r>
      <w:r w:rsidRPr="004E30C2">
        <w:rPr>
          <w:rFonts w:ascii="Calibri" w:hAnsi="Calibri" w:hint="eastAsia"/>
          <w:szCs w:val="21"/>
        </w:rPr>
        <w:t>应及时提示基金管理人，并依照法律法规的规定向中国证监会报告。基金管理人收到提示后应及时以书面形式回复基金托管人并改正。在限期内，基金托管人有权随时对提示事项进行复查。基金管理人对基金托管人提示的违规事项未能在限期内纠正的，基金托管人应及时向中</w:t>
      </w:r>
      <w:r w:rsidRPr="004E30C2">
        <w:rPr>
          <w:rFonts w:ascii="Calibri" w:hAnsi="Calibri" w:hint="eastAsia"/>
          <w:szCs w:val="21"/>
        </w:rPr>
        <w:t>国证监会报告。</w:t>
      </w:r>
    </w:p>
    <w:p w14:paraId="087E8A2A"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（四）基金托管人发现基金管理人的投资指令违反法律法规、本协议的规定，</w:t>
      </w:r>
      <w:r w:rsidRPr="004E30C2">
        <w:rPr>
          <w:rFonts w:ascii="Calibri" w:hAnsi="Calibri" w:hint="eastAsia"/>
          <w:szCs w:val="21"/>
        </w:rPr>
        <w:t>应当拒绝执行，并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7E33471C" w14:textId="77777777" w:rsidR="006C190A" w:rsidRPr="004E30C2" w:rsidRDefault="00CC37BA">
      <w:pPr>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lastRenderedPageBreak/>
        <w:t>（五）基金管理人应积极配合和协助基金托管人的监督和核查，包括但不限于：在规定时间内答复基金托管人并改正，就基金托管人的合理疑义进行解释或举证，提供相关数据资料和制度等。</w:t>
      </w:r>
    </w:p>
    <w:p w14:paraId="0E2F5076" w14:textId="77777777" w:rsidR="006C190A" w:rsidRPr="004E30C2" w:rsidRDefault="006C190A">
      <w:pPr>
        <w:spacing w:before="100" w:beforeAutospacing="1" w:after="100" w:afterAutospacing="1" w:line="400" w:lineRule="exact"/>
        <w:rPr>
          <w:rFonts w:ascii="Calibri" w:hAnsi="Calibri"/>
          <w:szCs w:val="21"/>
        </w:rPr>
      </w:pPr>
    </w:p>
    <w:p w14:paraId="1AD506A5"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19" w:name="_Toc25898"/>
      <w:bookmarkStart w:id="20" w:name="_Toc119267460"/>
      <w:r w:rsidRPr="004E30C2">
        <w:rPr>
          <w:rFonts w:ascii="Calibri" w:hAnsi="Calibri" w:hint="eastAsia"/>
          <w:sz w:val="21"/>
          <w:szCs w:val="21"/>
        </w:rPr>
        <w:t>四、基金管理人对基金托管人的业务核查</w:t>
      </w:r>
      <w:bookmarkEnd w:id="19"/>
      <w:bookmarkEnd w:id="20"/>
    </w:p>
    <w:p w14:paraId="59558075"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szCs w:val="21"/>
        </w:rPr>
        <w:t>1</w:t>
      </w:r>
      <w:r w:rsidRPr="004E30C2">
        <w:rPr>
          <w:rFonts w:ascii="Calibri" w:hAnsi="Calibri"/>
          <w:szCs w:val="21"/>
        </w:rPr>
        <w:t>、</w:t>
      </w:r>
      <w:r w:rsidRPr="004E30C2">
        <w:rPr>
          <w:rFonts w:ascii="Calibri" w:hAnsi="Calibri" w:hint="eastAsia"/>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w:t>
      </w:r>
      <w:r w:rsidRPr="004E30C2">
        <w:rPr>
          <w:rFonts w:ascii="Calibri" w:hAnsi="Calibri" w:hint="eastAsia"/>
          <w:szCs w:val="21"/>
        </w:rPr>
        <w:t>/</w:t>
      </w:r>
      <w:r w:rsidRPr="004E30C2">
        <w:rPr>
          <w:rFonts w:ascii="Calibri" w:hAnsi="Calibri" w:hint="eastAsia"/>
          <w:szCs w:val="21"/>
        </w:rPr>
        <w:t>期货结算账户等投资所需账户、复核基金管理人计算的基金资产净值和各类基金份额净值、根据基金管理人指令办理清算交收、相关信息披露和监督基金投资运作等行为。</w:t>
      </w:r>
    </w:p>
    <w:p w14:paraId="7011F532"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szCs w:val="21"/>
        </w:rPr>
        <w:t>2</w:t>
      </w:r>
      <w:r w:rsidRPr="004E30C2">
        <w:rPr>
          <w:rFonts w:ascii="Calibri" w:hAnsi="Calibri"/>
          <w:szCs w:val="21"/>
        </w:rPr>
        <w:t>、基金管理人发现基金托管人擅自挪用基金财产、未对基金财产实行分账管理、</w:t>
      </w:r>
      <w:r w:rsidRPr="004E30C2">
        <w:rPr>
          <w:rFonts w:ascii="Calibri" w:hAnsi="Calibri" w:hint="eastAsia"/>
          <w:szCs w:val="21"/>
        </w:rPr>
        <w:t>无</w:t>
      </w:r>
      <w:r w:rsidRPr="004E30C2">
        <w:rPr>
          <w:rFonts w:ascii="Calibri" w:hAnsi="Calibri" w:hint="eastAsia"/>
          <w:szCs w:val="21"/>
        </w:rPr>
        <w:t>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445F0DE3"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szCs w:val="21"/>
        </w:rPr>
        <w:t>3</w:t>
      </w:r>
      <w:r w:rsidRPr="004E30C2">
        <w:rPr>
          <w:rFonts w:ascii="Calibri" w:hAnsi="Calibri"/>
          <w:szCs w:val="21"/>
        </w:rPr>
        <w:t>、</w:t>
      </w:r>
      <w:r w:rsidRPr="004E30C2">
        <w:rPr>
          <w:rFonts w:ascii="Calibri" w:hAnsi="Calibri" w:hint="eastAsia"/>
          <w:szCs w:val="21"/>
        </w:rPr>
        <w:t>基金托管人应积极配合基金管理人的核查行为，包括但不限于：提交相关资料以</w:t>
      </w:r>
      <w:proofErr w:type="gramStart"/>
      <w:r w:rsidRPr="004E30C2">
        <w:rPr>
          <w:rFonts w:ascii="Calibri" w:hAnsi="Calibri" w:hint="eastAsia"/>
          <w:szCs w:val="21"/>
        </w:rPr>
        <w:t>供基金</w:t>
      </w:r>
      <w:proofErr w:type="gramEnd"/>
      <w:r w:rsidRPr="004E30C2">
        <w:rPr>
          <w:rFonts w:ascii="Calibri" w:hAnsi="Calibri" w:hint="eastAsia"/>
          <w:szCs w:val="21"/>
        </w:rPr>
        <w:t>管理人核查托管财产的完整性和真实性，在规定时</w:t>
      </w:r>
      <w:r w:rsidRPr="004E30C2">
        <w:rPr>
          <w:rFonts w:ascii="Calibri" w:hAnsi="Calibri" w:hint="eastAsia"/>
          <w:szCs w:val="21"/>
        </w:rPr>
        <w:t>间内答复基金管理人并改正。</w:t>
      </w:r>
    </w:p>
    <w:p w14:paraId="343A2C9A" w14:textId="77777777" w:rsidR="006C190A" w:rsidRPr="004E30C2" w:rsidRDefault="006C190A">
      <w:pPr>
        <w:snapToGrid w:val="0"/>
        <w:spacing w:before="100" w:beforeAutospacing="1" w:after="100" w:afterAutospacing="1" w:line="400" w:lineRule="exact"/>
        <w:ind w:firstLine="420"/>
        <w:rPr>
          <w:rFonts w:ascii="Calibri" w:hAnsi="Calibri"/>
          <w:szCs w:val="21"/>
        </w:rPr>
      </w:pPr>
    </w:p>
    <w:p w14:paraId="24899795"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21" w:name="_Toc116900099"/>
      <w:bookmarkStart w:id="22" w:name="_Toc119267461"/>
      <w:bookmarkStart w:id="23" w:name="_Toc15327"/>
      <w:r w:rsidRPr="004E30C2">
        <w:rPr>
          <w:rFonts w:ascii="Calibri" w:hAnsi="Calibri" w:hint="eastAsia"/>
          <w:sz w:val="21"/>
          <w:szCs w:val="21"/>
        </w:rPr>
        <w:t>五、基金财产的保管</w:t>
      </w:r>
      <w:bookmarkEnd w:id="21"/>
      <w:bookmarkEnd w:id="22"/>
      <w:bookmarkEnd w:id="23"/>
    </w:p>
    <w:p w14:paraId="4F669C7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（一）基金财产保管的原则</w:t>
      </w:r>
    </w:p>
    <w:p w14:paraId="61BBE805"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szCs w:val="21"/>
        </w:rPr>
        <w:t>1</w:t>
      </w:r>
      <w:r w:rsidRPr="004E30C2">
        <w:rPr>
          <w:rFonts w:ascii="Calibri" w:hAnsi="Calibri"/>
          <w:szCs w:val="21"/>
        </w:rPr>
        <w:t>、</w:t>
      </w:r>
      <w:r w:rsidRPr="004E30C2">
        <w:rPr>
          <w:rFonts w:ascii="Calibri" w:hAnsi="Calibri" w:cs="方正仿宋简体" w:hint="eastAsia"/>
          <w:szCs w:val="21"/>
        </w:rPr>
        <w:t>基金财产应独立于基金管理人、基金托管人的固有财产。</w:t>
      </w:r>
    </w:p>
    <w:p w14:paraId="1DF95406"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szCs w:val="21"/>
        </w:rPr>
        <w:t>2</w:t>
      </w:r>
      <w:r w:rsidRPr="004E30C2">
        <w:rPr>
          <w:rFonts w:ascii="Calibri" w:hAnsi="Calibri" w:cs="方正仿宋简体"/>
          <w:szCs w:val="21"/>
        </w:rPr>
        <w:t>、基金托管人应安全保管基金财产</w:t>
      </w:r>
      <w:r w:rsidRPr="004E30C2">
        <w:rPr>
          <w:rFonts w:ascii="Calibri" w:hAnsi="Calibri" w:cs="方正仿宋简体" w:hint="eastAsia"/>
          <w:szCs w:val="21"/>
        </w:rPr>
        <w:t>，</w:t>
      </w:r>
      <w:r w:rsidRPr="004E30C2">
        <w:rPr>
          <w:rFonts w:ascii="Calibri" w:hAnsi="Calibri" w:hint="eastAsia"/>
          <w:szCs w:val="21"/>
        </w:rPr>
        <w:t>未经基金管理人的合法合</w:t>
      </w:r>
      <w:proofErr w:type="gramStart"/>
      <w:r w:rsidRPr="004E30C2">
        <w:rPr>
          <w:rFonts w:ascii="Calibri" w:hAnsi="Calibri" w:hint="eastAsia"/>
          <w:szCs w:val="21"/>
        </w:rPr>
        <w:t>规</w:t>
      </w:r>
      <w:proofErr w:type="gramEnd"/>
      <w:r w:rsidRPr="004E30C2">
        <w:rPr>
          <w:rFonts w:ascii="Calibri" w:hAnsi="Calibri" w:hint="eastAsia"/>
          <w:szCs w:val="21"/>
        </w:rPr>
        <w:t>指令或法律法规、《基金合同》及本协议另有规定，不得自行运用、处分、分配基金的任何财产。</w:t>
      </w:r>
    </w:p>
    <w:p w14:paraId="48C66209"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szCs w:val="21"/>
        </w:rPr>
        <w:t>3</w:t>
      </w:r>
      <w:r w:rsidRPr="004E30C2">
        <w:rPr>
          <w:rFonts w:ascii="Calibri" w:hAnsi="Calibri" w:cs="方正仿宋简体"/>
          <w:szCs w:val="21"/>
        </w:rPr>
        <w:t>、基金托管人按照规定开设基金财产的资金账户和证券</w:t>
      </w:r>
      <w:r w:rsidRPr="004E30C2">
        <w:rPr>
          <w:rFonts w:ascii="Calibri" w:hAnsi="Calibri" w:cs="方正仿宋简体" w:hint="eastAsia"/>
          <w:szCs w:val="21"/>
        </w:rPr>
        <w:t>账户、期货</w:t>
      </w:r>
      <w:r w:rsidRPr="004E30C2">
        <w:rPr>
          <w:rFonts w:ascii="Calibri" w:hAnsi="Calibri" w:cs="方正仿宋简体"/>
          <w:szCs w:val="21"/>
        </w:rPr>
        <w:t>结算账户</w:t>
      </w:r>
      <w:r w:rsidRPr="004E30C2">
        <w:rPr>
          <w:rFonts w:ascii="Calibri" w:hAnsi="Calibri" w:cs="方正仿宋简体" w:hint="eastAsia"/>
          <w:szCs w:val="21"/>
        </w:rPr>
        <w:t>等投资所需账户。</w:t>
      </w:r>
    </w:p>
    <w:p w14:paraId="35196B5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s="方正仿宋简体"/>
          <w:color w:val="auto"/>
          <w:sz w:val="21"/>
          <w:szCs w:val="21"/>
        </w:rPr>
        <w:lastRenderedPageBreak/>
        <w:t>4</w:t>
      </w:r>
      <w:r w:rsidRPr="004E30C2">
        <w:rPr>
          <w:rFonts w:ascii="Calibri" w:eastAsia="宋体" w:hAnsi="Calibri" w:cs="方正仿宋简体"/>
          <w:color w:val="auto"/>
          <w:sz w:val="21"/>
          <w:szCs w:val="21"/>
        </w:rPr>
        <w:t>、基金托管人对所托管的不同基金财产分别设置账户，确保基金财产的完整与独立。</w:t>
      </w:r>
    </w:p>
    <w:p w14:paraId="64ECDB0B"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5</w:t>
      </w:r>
      <w:r w:rsidRPr="004E30C2">
        <w:rPr>
          <w:rFonts w:ascii="Calibri" w:eastAsia="宋体" w:hAnsi="Calibri" w:hint="eastAsia"/>
          <w:color w:val="auto"/>
          <w:sz w:val="21"/>
          <w:szCs w:val="21"/>
        </w:rPr>
        <w:t>、除依据《基金法》、《运作办法》及其他有关法律法规另有规定、或者《基</w:t>
      </w:r>
      <w:r w:rsidRPr="004E30C2">
        <w:rPr>
          <w:rFonts w:ascii="Calibri" w:eastAsia="宋体" w:hAnsi="Calibri" w:hint="eastAsia"/>
          <w:color w:val="auto"/>
          <w:sz w:val="21"/>
          <w:szCs w:val="21"/>
        </w:rPr>
        <w:t>金合同》及本协议另有约定外，基金托管人不得委托第三人托管基金财产。</w:t>
      </w:r>
    </w:p>
    <w:p w14:paraId="7DA4BCE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（二）基金合同生效前募集资金的验资和入账</w:t>
      </w:r>
    </w:p>
    <w:p w14:paraId="403C73B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hint="eastAsia"/>
          <w:color w:val="auto"/>
          <w:sz w:val="21"/>
          <w:szCs w:val="21"/>
        </w:rPr>
        <w:t>、基金募集期间募集的资金应存于基金管理人开设的基金募集专户，在基金募集行为结束前，任何人不得动用。有效认购款项在基金募集期内产生的利息将折合成基金份额，</w:t>
      </w:r>
      <w:proofErr w:type="gramStart"/>
      <w:r w:rsidRPr="004E30C2">
        <w:rPr>
          <w:rFonts w:ascii="Calibri" w:eastAsia="宋体" w:hAnsi="Calibri" w:hint="eastAsia"/>
          <w:color w:val="auto"/>
          <w:sz w:val="21"/>
          <w:szCs w:val="21"/>
        </w:rPr>
        <w:t>归基金</w:t>
      </w:r>
      <w:proofErr w:type="gramEnd"/>
      <w:r w:rsidRPr="004E30C2">
        <w:rPr>
          <w:rFonts w:ascii="Calibri" w:eastAsia="宋体" w:hAnsi="Calibri" w:hint="eastAsia"/>
          <w:color w:val="auto"/>
          <w:sz w:val="21"/>
          <w:szCs w:val="21"/>
        </w:rPr>
        <w:t>份额持有人所有。基金募集期产生的利息转份额的具体数额以登记机构的记录为准。</w:t>
      </w:r>
    </w:p>
    <w:p w14:paraId="208A7C2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hint="eastAsia"/>
          <w:color w:val="auto"/>
          <w:sz w:val="21"/>
          <w:szCs w:val="21"/>
        </w:rPr>
        <w:t>、基金募集期满或基金管理人宣布停止募集时，</w:t>
      </w:r>
      <w:r w:rsidRPr="004E30C2">
        <w:rPr>
          <w:rFonts w:ascii="Calibri" w:eastAsia="宋体" w:hAnsi="Calibri" w:cs="方正仿宋简体" w:hint="eastAsia"/>
          <w:color w:val="auto"/>
          <w:sz w:val="21"/>
          <w:szCs w:val="21"/>
        </w:rPr>
        <w:t>募集的基金份额总额、基金募集金额、基金份额持有人人数符合《基金法》、《运作办法》等有关规定的，</w:t>
      </w:r>
      <w:r w:rsidRPr="004E30C2">
        <w:rPr>
          <w:rFonts w:ascii="Calibri" w:eastAsia="宋体" w:hAnsi="Calibri" w:hint="eastAsia"/>
          <w:color w:val="auto"/>
          <w:sz w:val="21"/>
          <w:szCs w:val="21"/>
        </w:rPr>
        <w:t>由基金管理人在法定期限内聘请符合《证券法》规定的会计师事务所对基金进行验资，并出具验资报告。出具的验资报告应由参加验资的</w:t>
      </w:r>
      <w:r w:rsidRPr="004E30C2">
        <w:rPr>
          <w:rFonts w:ascii="Calibri" w:eastAsia="宋体" w:hAnsi="Calibri"/>
          <w:color w:val="auto"/>
          <w:sz w:val="21"/>
          <w:szCs w:val="21"/>
        </w:rPr>
        <w:t>2</w:t>
      </w:r>
      <w:r w:rsidRPr="004E30C2">
        <w:rPr>
          <w:rFonts w:ascii="Calibri" w:eastAsia="宋体" w:hAnsi="Calibri" w:hint="eastAsia"/>
          <w:color w:val="auto"/>
          <w:sz w:val="21"/>
          <w:szCs w:val="21"/>
        </w:rPr>
        <w:t>名以上（含</w:t>
      </w:r>
      <w:r w:rsidRPr="004E30C2">
        <w:rPr>
          <w:rFonts w:ascii="Calibri" w:eastAsia="宋体" w:hAnsi="Calibri"/>
          <w:color w:val="auto"/>
          <w:sz w:val="21"/>
          <w:szCs w:val="21"/>
        </w:rPr>
        <w:t>2</w:t>
      </w:r>
      <w:r w:rsidRPr="004E30C2">
        <w:rPr>
          <w:rFonts w:ascii="Calibri" w:eastAsia="宋体" w:hAnsi="Calibri" w:hint="eastAsia"/>
          <w:color w:val="auto"/>
          <w:sz w:val="21"/>
          <w:szCs w:val="21"/>
        </w:rPr>
        <w:t>名）中国注册会计师签字方为有效。</w:t>
      </w:r>
    </w:p>
    <w:p w14:paraId="617BDD7D"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hint="eastAsia"/>
          <w:color w:val="auto"/>
          <w:sz w:val="21"/>
          <w:szCs w:val="21"/>
        </w:rPr>
        <w:t>、基金管理人应将属于本基金财产的全部资金划入在基金托管人处为本基金开立的基金银行账户中，并确保划入的资金与验资确认金额相一致。</w:t>
      </w:r>
    </w:p>
    <w:p w14:paraId="21EF83D9"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（三）基金的银行账户的开设和管理</w:t>
      </w:r>
    </w:p>
    <w:p w14:paraId="65C48E7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、基金托管人应负责本基金的银行账户的开设和管理。</w:t>
      </w:r>
    </w:p>
    <w:p w14:paraId="2150A5E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、基金托管人以本基金的名义开设本基金的银行账户。本基金的银行预留印鉴由基金托管人保管和使用。本基金的一切货币收支活动，包括但不</w:t>
      </w:r>
      <w:r w:rsidRPr="004E30C2">
        <w:rPr>
          <w:rFonts w:ascii="Calibri" w:eastAsia="宋体" w:hAnsi="Calibri"/>
          <w:color w:val="auto"/>
          <w:sz w:val="21"/>
          <w:szCs w:val="21"/>
        </w:rPr>
        <w:t>限于投资、支付赎回金额、支付基金收益、收取申购款，均需通过本基金的银行账户进行。</w:t>
      </w:r>
    </w:p>
    <w:p w14:paraId="2CDBA15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、本基金银行账户的开立和使用，限于满足开展本基金业务的需要。基金托管人和基金管理人不得假借本基金的名义开立其他任何银行账户；亦不得使用</w:t>
      </w:r>
      <w:r w:rsidRPr="004E30C2">
        <w:rPr>
          <w:rFonts w:ascii="Calibri" w:eastAsia="宋体" w:hAnsi="Calibri" w:hint="eastAsia"/>
          <w:color w:val="auto"/>
          <w:sz w:val="21"/>
          <w:szCs w:val="21"/>
        </w:rPr>
        <w:t>本基金的银行账户进行本基金业务以外的活动。</w:t>
      </w:r>
    </w:p>
    <w:p w14:paraId="1FB3BF59"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4</w:t>
      </w:r>
      <w:r w:rsidRPr="004E30C2">
        <w:rPr>
          <w:rFonts w:ascii="Calibri" w:eastAsia="宋体" w:hAnsi="Calibri"/>
          <w:color w:val="auto"/>
          <w:sz w:val="21"/>
          <w:szCs w:val="21"/>
        </w:rPr>
        <w:t>、基金银行账户的管理应符合</w:t>
      </w:r>
      <w:r w:rsidRPr="004E30C2">
        <w:rPr>
          <w:rFonts w:ascii="Calibri" w:eastAsia="宋体" w:hAnsi="Calibri" w:hint="eastAsia"/>
          <w:color w:val="auto"/>
          <w:sz w:val="21"/>
          <w:szCs w:val="21"/>
        </w:rPr>
        <w:t>法律法规的有关规定。</w:t>
      </w:r>
    </w:p>
    <w:p w14:paraId="09FC10F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（四）基金进行定期存款投资的账户开设和管理</w:t>
      </w:r>
    </w:p>
    <w:p w14:paraId="77420A71"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基金管理人以基金名义在基金托管人认可的存款银行的指定营业网点开立存款账户，基金托管人负责该账户银行预留印鉴的保管和使用。在上述账户开立和账户相关信息变更</w:t>
      </w:r>
      <w:r w:rsidRPr="004E30C2">
        <w:rPr>
          <w:rFonts w:ascii="Calibri" w:eastAsia="宋体" w:hAnsi="Calibri" w:hint="eastAsia"/>
          <w:color w:val="auto"/>
          <w:sz w:val="21"/>
          <w:szCs w:val="21"/>
        </w:rPr>
        <w:lastRenderedPageBreak/>
        <w:t>过程</w:t>
      </w:r>
      <w:r w:rsidRPr="004E30C2">
        <w:rPr>
          <w:rFonts w:ascii="Calibri" w:eastAsia="宋体" w:hAnsi="Calibri" w:hint="eastAsia"/>
          <w:color w:val="auto"/>
          <w:sz w:val="21"/>
          <w:szCs w:val="21"/>
        </w:rPr>
        <w:t>中，基金管理人应提前向基金托管人提供开户或账户变更所需的相关资料。</w:t>
      </w:r>
    </w:p>
    <w:p w14:paraId="5B342988"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（五）基金证券账户、结算备付金账户及其他投资账户的开设和管理</w:t>
      </w:r>
    </w:p>
    <w:p w14:paraId="3D0A7C3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、基金托管人应当代表本基金，以</w:t>
      </w:r>
      <w:r w:rsidRPr="004E30C2">
        <w:rPr>
          <w:rFonts w:ascii="Calibri" w:eastAsia="宋体" w:hAnsi="Calibri" w:hint="eastAsia"/>
          <w:color w:val="auto"/>
          <w:sz w:val="21"/>
          <w:szCs w:val="21"/>
        </w:rPr>
        <w:t>基金托管人和本基金联名的方式在中国证券登记结算有限责任公司开设证券账户。</w:t>
      </w:r>
    </w:p>
    <w:p w14:paraId="390F18B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、本基金证券账户的开立和使用，限于满足开展本基金业务的需要。基金托管人和基金管理人不得出借</w:t>
      </w:r>
      <w:r w:rsidRPr="004E30C2">
        <w:rPr>
          <w:rFonts w:ascii="Calibri" w:eastAsia="宋体" w:hAnsi="Calibri" w:hint="eastAsia"/>
          <w:color w:val="auto"/>
          <w:sz w:val="21"/>
          <w:szCs w:val="21"/>
        </w:rPr>
        <w:t>或转让本基金的证券账户，亦不得使用本基金的证券账户进行本基金业务以外的活动。</w:t>
      </w:r>
    </w:p>
    <w:p w14:paraId="69B92BD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、基金托管人以自身法人名义在中国证券登记结算</w:t>
      </w:r>
      <w:r w:rsidRPr="004E30C2">
        <w:rPr>
          <w:rFonts w:ascii="Calibri" w:eastAsia="宋体" w:hAnsi="Calibri" w:hint="eastAsia"/>
          <w:color w:val="auto"/>
          <w:sz w:val="21"/>
          <w:szCs w:val="21"/>
        </w:rPr>
        <w:t>有限责任</w:t>
      </w:r>
      <w:r w:rsidRPr="004E30C2">
        <w:rPr>
          <w:rFonts w:ascii="Calibri" w:eastAsia="宋体" w:hAnsi="Calibri"/>
          <w:color w:val="auto"/>
          <w:sz w:val="21"/>
          <w:szCs w:val="21"/>
        </w:rPr>
        <w:t>公司开立结算备付金账户，用于办理基金托管人所托管的</w:t>
      </w:r>
      <w:r w:rsidRPr="004E30C2">
        <w:rPr>
          <w:rFonts w:ascii="Calibri" w:eastAsia="宋体" w:hAnsi="Calibri" w:hint="eastAsia"/>
          <w:color w:val="auto"/>
          <w:sz w:val="21"/>
          <w:szCs w:val="21"/>
        </w:rPr>
        <w:t>包括本基金在内的</w:t>
      </w:r>
      <w:r w:rsidRPr="004E30C2">
        <w:rPr>
          <w:rFonts w:ascii="Calibri" w:eastAsia="宋体" w:hAnsi="Calibri"/>
          <w:color w:val="auto"/>
          <w:sz w:val="21"/>
          <w:szCs w:val="21"/>
        </w:rPr>
        <w:t>全部基金在证券交易所进行证券投资所涉及的资金结算业务。结算备付金的收取按照中国证券登记结算</w:t>
      </w:r>
      <w:r w:rsidRPr="004E30C2">
        <w:rPr>
          <w:rFonts w:ascii="Calibri" w:eastAsia="宋体" w:hAnsi="Calibri" w:hint="eastAsia"/>
          <w:color w:val="auto"/>
          <w:sz w:val="21"/>
          <w:szCs w:val="21"/>
        </w:rPr>
        <w:t>有限责任</w:t>
      </w:r>
      <w:r w:rsidRPr="004E30C2">
        <w:rPr>
          <w:rFonts w:ascii="Calibri" w:eastAsia="宋体" w:hAnsi="Calibri"/>
          <w:color w:val="auto"/>
          <w:sz w:val="21"/>
          <w:szCs w:val="21"/>
        </w:rPr>
        <w:t>公司的规定执行。</w:t>
      </w:r>
    </w:p>
    <w:p w14:paraId="5063AC69"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4</w:t>
      </w:r>
      <w:r w:rsidRPr="004E30C2">
        <w:rPr>
          <w:rFonts w:ascii="Calibri" w:eastAsia="宋体" w:hAnsi="Calibri"/>
          <w:color w:val="auto"/>
          <w:sz w:val="21"/>
          <w:szCs w:val="21"/>
        </w:rPr>
        <w:t>、</w:t>
      </w:r>
      <w:r w:rsidRPr="004E30C2">
        <w:rPr>
          <w:rFonts w:ascii="Calibri" w:eastAsia="宋体" w:hAnsi="Calibri" w:hint="eastAsia"/>
          <w:color w:val="auto"/>
          <w:sz w:val="21"/>
          <w:szCs w:val="21"/>
        </w:rPr>
        <w:t>在本托管协议生效日之后，本基金被允许从事其他投资品种的投资业务的，涉及相关账户的开设、使用的，若无相关规定，</w:t>
      </w:r>
      <w:proofErr w:type="gramStart"/>
      <w:r w:rsidRPr="004E30C2">
        <w:rPr>
          <w:rFonts w:ascii="Calibri" w:eastAsia="宋体" w:hAnsi="Calibri" w:hint="eastAsia"/>
          <w:color w:val="auto"/>
          <w:sz w:val="21"/>
          <w:szCs w:val="21"/>
        </w:rPr>
        <w:t>则基金</w:t>
      </w:r>
      <w:proofErr w:type="gramEnd"/>
      <w:r w:rsidRPr="004E30C2">
        <w:rPr>
          <w:rFonts w:ascii="Calibri" w:eastAsia="宋体" w:hAnsi="Calibri" w:hint="eastAsia"/>
          <w:color w:val="auto"/>
          <w:sz w:val="21"/>
          <w:szCs w:val="21"/>
        </w:rPr>
        <w:t>托管人应当比照上述关于账户开设、使用的规定。</w:t>
      </w:r>
    </w:p>
    <w:p w14:paraId="29908D8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（六）期货相关账户的开立和管理</w:t>
      </w:r>
    </w:p>
    <w:p w14:paraId="73B8C40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基金管理人、基金托管人应当按照相关规定开立</w:t>
      </w:r>
      <w:r w:rsidRPr="004E30C2">
        <w:rPr>
          <w:rFonts w:ascii="Calibri" w:eastAsia="宋体" w:hAnsi="Calibri"/>
          <w:color w:val="auto"/>
          <w:sz w:val="21"/>
          <w:szCs w:val="21"/>
        </w:rPr>
        <w:t>期货结算账户、</w:t>
      </w:r>
      <w:r w:rsidRPr="004E30C2">
        <w:rPr>
          <w:rFonts w:ascii="Calibri" w:eastAsia="宋体" w:hAnsi="Calibri" w:hint="eastAsia"/>
          <w:color w:val="auto"/>
          <w:sz w:val="21"/>
          <w:szCs w:val="21"/>
        </w:rPr>
        <w:t>期货资金账户，在中国金融期货交易所获取交易编码。期货资金账户名称及交易编码对应名称应按照有关规定设立。</w:t>
      </w:r>
    </w:p>
    <w:p w14:paraId="7BBA4629"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基金托管人已取得期货保证</w:t>
      </w:r>
      <w:r w:rsidRPr="004E30C2">
        <w:rPr>
          <w:rFonts w:ascii="Calibri" w:eastAsia="宋体" w:hAnsi="Calibri" w:hint="eastAsia"/>
          <w:color w:val="auto"/>
          <w:sz w:val="21"/>
          <w:szCs w:val="21"/>
        </w:rPr>
        <w:t>金存管银行资格，基金管理人授权基金托管人办理</w:t>
      </w:r>
      <w:proofErr w:type="gramStart"/>
      <w:r w:rsidRPr="004E30C2">
        <w:rPr>
          <w:rFonts w:ascii="Calibri" w:eastAsia="宋体" w:hAnsi="Calibri" w:hint="eastAsia"/>
          <w:color w:val="auto"/>
          <w:sz w:val="21"/>
          <w:szCs w:val="21"/>
        </w:rPr>
        <w:t>相关银期转账</w:t>
      </w:r>
      <w:proofErr w:type="gramEnd"/>
      <w:r w:rsidRPr="004E30C2">
        <w:rPr>
          <w:rFonts w:ascii="Calibri" w:eastAsia="宋体" w:hAnsi="Calibri" w:hint="eastAsia"/>
          <w:color w:val="auto"/>
          <w:sz w:val="21"/>
          <w:szCs w:val="21"/>
        </w:rPr>
        <w:t>业务。</w:t>
      </w:r>
    </w:p>
    <w:p w14:paraId="643B61C2"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（七）债券托管专户的开设和管理</w:t>
      </w:r>
    </w:p>
    <w:p w14:paraId="0B669A1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23E7524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（八）基金财产投资的有关有价凭证的保管</w:t>
      </w:r>
    </w:p>
    <w:p w14:paraId="5375BEA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lastRenderedPageBreak/>
        <w:t>基金财产投资的实物证券、银行定期存款存单</w:t>
      </w:r>
      <w:r w:rsidRPr="004E30C2">
        <w:rPr>
          <w:rFonts w:ascii="Calibri" w:eastAsia="宋体" w:hAnsi="Calibri" w:hint="eastAsia"/>
          <w:color w:val="auto"/>
          <w:sz w:val="21"/>
          <w:szCs w:val="21"/>
        </w:rPr>
        <w:t>等有价凭证由基金托管人负责妥善保管。基金托管人对其以外机构实际有效控制的有价凭证不承担责任。</w:t>
      </w:r>
    </w:p>
    <w:p w14:paraId="23CD3C3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（九）与基金财产有关的重大合同及有关凭证的保管</w:t>
      </w:r>
    </w:p>
    <w:p w14:paraId="100FA19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基金托管人按照法律法规保管由基金管理人代表基金签署的与基金有关的重大合同及有关凭证。基金管理人代表基金签署有关重大合同后应在收到合同正本后</w:t>
      </w:r>
      <w:r w:rsidRPr="004E30C2">
        <w:rPr>
          <w:rFonts w:ascii="Calibri" w:eastAsia="宋体" w:hAnsi="Calibri"/>
          <w:color w:val="auto"/>
          <w:sz w:val="21"/>
          <w:szCs w:val="21"/>
        </w:rPr>
        <w:t>30</w:t>
      </w:r>
      <w:r w:rsidRPr="004E30C2">
        <w:rPr>
          <w:rFonts w:ascii="Calibri" w:eastAsia="宋体" w:hAnsi="Calibri"/>
          <w:color w:val="auto"/>
          <w:sz w:val="21"/>
          <w:szCs w:val="21"/>
        </w:rPr>
        <w:t>日内将一份正本的原件提交给基金托管人</w:t>
      </w:r>
      <w:r w:rsidRPr="004E30C2">
        <w:rPr>
          <w:rFonts w:ascii="Calibri" w:eastAsia="宋体" w:hAnsi="Calibri" w:hint="eastAsia"/>
          <w:color w:val="auto"/>
          <w:sz w:val="21"/>
          <w:szCs w:val="21"/>
        </w:rPr>
        <w:t>。除本协议另有规定外，基金管理人在代表基金签署与基金有关的重大合同时应保证基金一方持有两份以上的正本，以便基金管理人和基金托管人至少各持有一份正本的原件。重大合同由基金管理人与基金托管人按规定</w:t>
      </w:r>
      <w:r w:rsidRPr="004E30C2">
        <w:rPr>
          <w:rFonts w:ascii="Calibri" w:eastAsia="宋体" w:hAnsi="Calibri" w:hint="eastAsia"/>
          <w:color w:val="auto"/>
          <w:sz w:val="21"/>
          <w:szCs w:val="21"/>
        </w:rPr>
        <w:t>各自保管，保存期限不少于法律法规规定的最低期限。</w:t>
      </w:r>
    </w:p>
    <w:p w14:paraId="07D4FE6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对于无法取得二份以上的正本的，基金管理人应向基金托管人提供与合同原件核对一致并加盖公章的合同复印件或传真件，未经双方协商一致，合同原件不得转移。</w:t>
      </w:r>
    </w:p>
    <w:p w14:paraId="7CE4B3BF"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57FCB920"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24" w:name="_Toc119267462"/>
      <w:bookmarkStart w:id="25" w:name="_Toc116900100"/>
      <w:bookmarkStart w:id="26" w:name="_Toc31840"/>
      <w:r w:rsidRPr="004E30C2">
        <w:rPr>
          <w:rFonts w:ascii="Calibri" w:hAnsi="Calibri" w:hint="eastAsia"/>
          <w:sz w:val="21"/>
          <w:szCs w:val="21"/>
        </w:rPr>
        <w:t>六、指令的发送、确认及执行</w:t>
      </w:r>
      <w:bookmarkEnd w:id="24"/>
      <w:bookmarkEnd w:id="25"/>
      <w:bookmarkEnd w:id="26"/>
    </w:p>
    <w:p w14:paraId="153CCB22"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基金管理人发送的指令包括电子指令和纸质指令。</w:t>
      </w:r>
    </w:p>
    <w:p w14:paraId="0716C55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电子指令包括基金管理人发送的电子指令（采用深</w:t>
      </w:r>
      <w:proofErr w:type="gramStart"/>
      <w:r w:rsidRPr="004E30C2">
        <w:rPr>
          <w:rFonts w:ascii="Calibri" w:eastAsia="宋体" w:hAnsi="Calibri" w:hint="eastAsia"/>
          <w:color w:val="auto"/>
          <w:sz w:val="21"/>
          <w:szCs w:val="21"/>
        </w:rPr>
        <w:t>证通金融</w:t>
      </w:r>
      <w:proofErr w:type="gramEnd"/>
      <w:r w:rsidRPr="004E30C2">
        <w:rPr>
          <w:rFonts w:ascii="Calibri" w:eastAsia="宋体" w:hAnsi="Calibri" w:hint="eastAsia"/>
          <w:color w:val="auto"/>
          <w:sz w:val="21"/>
          <w:szCs w:val="21"/>
        </w:rPr>
        <w:t>数据交换平台发送的电子指令、采用</w:t>
      </w:r>
      <w:r w:rsidRPr="004E30C2">
        <w:rPr>
          <w:rFonts w:ascii="Calibri" w:eastAsia="宋体" w:hAnsi="Calibri"/>
          <w:color w:val="auto"/>
          <w:sz w:val="21"/>
          <w:szCs w:val="21"/>
        </w:rPr>
        <w:t>SWIFT</w:t>
      </w:r>
      <w:r w:rsidRPr="004E30C2">
        <w:rPr>
          <w:rFonts w:ascii="Calibri" w:eastAsia="宋体" w:hAnsi="Calibri" w:hint="eastAsia"/>
          <w:color w:val="auto"/>
          <w:sz w:val="21"/>
          <w:szCs w:val="21"/>
        </w:rPr>
        <w:t>电子报文发送的电子指令、通过中国银行</w:t>
      </w:r>
      <w:proofErr w:type="gramStart"/>
      <w:r w:rsidRPr="004E30C2">
        <w:rPr>
          <w:rFonts w:ascii="Calibri" w:eastAsia="宋体" w:hAnsi="Calibri" w:hint="eastAsia"/>
          <w:color w:val="auto"/>
          <w:sz w:val="21"/>
          <w:szCs w:val="21"/>
        </w:rPr>
        <w:t>托管网</w:t>
      </w:r>
      <w:proofErr w:type="gramEnd"/>
      <w:r w:rsidRPr="004E30C2">
        <w:rPr>
          <w:rFonts w:ascii="Calibri" w:eastAsia="宋体" w:hAnsi="Calibri" w:hint="eastAsia"/>
          <w:color w:val="auto"/>
          <w:sz w:val="21"/>
          <w:szCs w:val="21"/>
        </w:rPr>
        <w:t>银发送的电子指令）、自动产生的电子指令（基金托管人的全球托管系统根据基金管理人的授权通过预先设定的业务规则自动产生的电子指令）。电子指令一经发出即被视为合法有效指令，传真纸质指令作为应急方式备用。基金管理人通过深</w:t>
      </w:r>
      <w:proofErr w:type="gramStart"/>
      <w:r w:rsidRPr="004E30C2">
        <w:rPr>
          <w:rFonts w:ascii="Calibri" w:eastAsia="宋体" w:hAnsi="Calibri" w:hint="eastAsia"/>
          <w:color w:val="auto"/>
          <w:sz w:val="21"/>
          <w:szCs w:val="21"/>
        </w:rPr>
        <w:t>证通金融</w:t>
      </w:r>
      <w:proofErr w:type="gramEnd"/>
      <w:r w:rsidRPr="004E30C2">
        <w:rPr>
          <w:rFonts w:ascii="Calibri" w:eastAsia="宋体" w:hAnsi="Calibri" w:hint="eastAsia"/>
          <w:color w:val="auto"/>
          <w:sz w:val="21"/>
          <w:szCs w:val="21"/>
        </w:rPr>
        <w:t>数据交换平台发送的电子指令，基金托管人根据</w:t>
      </w:r>
      <w:r w:rsidRPr="004E30C2">
        <w:rPr>
          <w:rFonts w:ascii="Calibri" w:eastAsia="宋体" w:hAnsi="Calibri"/>
          <w:color w:val="auto"/>
          <w:sz w:val="21"/>
          <w:szCs w:val="21"/>
        </w:rPr>
        <w:t>USER ID</w:t>
      </w:r>
      <w:r w:rsidRPr="004E30C2">
        <w:rPr>
          <w:rFonts w:ascii="Calibri" w:eastAsia="宋体" w:hAnsi="Calibri" w:hint="eastAsia"/>
          <w:color w:val="auto"/>
          <w:sz w:val="21"/>
          <w:szCs w:val="21"/>
        </w:rPr>
        <w:t>和</w:t>
      </w:r>
      <w:r w:rsidRPr="004E30C2">
        <w:rPr>
          <w:rFonts w:ascii="Calibri" w:eastAsia="宋体" w:hAnsi="Calibri"/>
          <w:color w:val="auto"/>
          <w:sz w:val="21"/>
          <w:szCs w:val="21"/>
        </w:rPr>
        <w:t>APP ID</w:t>
      </w:r>
      <w:r w:rsidRPr="004E30C2">
        <w:rPr>
          <w:rFonts w:ascii="Calibri" w:eastAsia="宋体" w:hAnsi="Calibri" w:hint="eastAsia"/>
          <w:color w:val="auto"/>
          <w:sz w:val="21"/>
          <w:szCs w:val="21"/>
        </w:rPr>
        <w:t>唯一识别基金管理人身份，基金管理人应妥善保管</w:t>
      </w:r>
      <w:r w:rsidRPr="004E30C2">
        <w:rPr>
          <w:rFonts w:ascii="Calibri" w:eastAsia="宋体" w:hAnsi="Calibri"/>
          <w:color w:val="auto"/>
          <w:sz w:val="21"/>
          <w:szCs w:val="21"/>
        </w:rPr>
        <w:t>USER ID</w:t>
      </w:r>
      <w:r w:rsidRPr="004E30C2">
        <w:rPr>
          <w:rFonts w:ascii="Calibri" w:eastAsia="宋体" w:hAnsi="Calibri" w:hint="eastAsia"/>
          <w:color w:val="auto"/>
          <w:sz w:val="21"/>
          <w:szCs w:val="21"/>
        </w:rPr>
        <w:t>和</w:t>
      </w:r>
      <w:r w:rsidRPr="004E30C2">
        <w:rPr>
          <w:rFonts w:ascii="Calibri" w:eastAsia="宋体" w:hAnsi="Calibri"/>
          <w:color w:val="auto"/>
          <w:sz w:val="21"/>
          <w:szCs w:val="21"/>
        </w:rPr>
        <w:t>APP ID</w:t>
      </w:r>
      <w:r w:rsidRPr="004E30C2">
        <w:rPr>
          <w:rFonts w:ascii="Calibri" w:eastAsia="宋体" w:hAnsi="Calibri" w:hint="eastAsia"/>
          <w:color w:val="auto"/>
          <w:sz w:val="21"/>
          <w:szCs w:val="21"/>
        </w:rPr>
        <w:t>，基金托管人身份识别无误后对于执行该电子指令造成的任何损失基金托管人不承担责任。</w:t>
      </w:r>
    </w:p>
    <w:p w14:paraId="3E858CC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（一）基金管理人对纸质指令</w:t>
      </w:r>
      <w:r w:rsidRPr="004E30C2">
        <w:rPr>
          <w:rFonts w:ascii="Calibri" w:eastAsia="宋体" w:hAnsi="Calibri" w:hint="eastAsia"/>
          <w:color w:val="auto"/>
          <w:sz w:val="21"/>
          <w:szCs w:val="21"/>
        </w:rPr>
        <w:t>发送人员的书面授权</w:t>
      </w:r>
    </w:p>
    <w:p w14:paraId="06315BD2"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、基金管理人应当事先向基金托管人发出书面通知（以下称</w:t>
      </w:r>
      <w:r w:rsidRPr="004E30C2">
        <w:rPr>
          <w:rFonts w:ascii="Calibri" w:eastAsia="宋体" w:hAnsi="Calibri"/>
          <w:color w:val="auto"/>
          <w:sz w:val="21"/>
          <w:szCs w:val="21"/>
        </w:rPr>
        <w:t>“</w:t>
      </w:r>
      <w:r w:rsidRPr="004E30C2">
        <w:rPr>
          <w:rFonts w:ascii="Calibri" w:eastAsia="宋体" w:hAnsi="Calibri"/>
          <w:color w:val="auto"/>
          <w:sz w:val="21"/>
          <w:szCs w:val="21"/>
        </w:rPr>
        <w:t>授权通知</w:t>
      </w:r>
      <w:r w:rsidRPr="004E30C2">
        <w:rPr>
          <w:rFonts w:ascii="Calibri" w:eastAsia="宋体" w:hAnsi="Calibri"/>
          <w:color w:val="auto"/>
          <w:sz w:val="21"/>
          <w:szCs w:val="21"/>
        </w:rPr>
        <w:t>”</w:t>
      </w:r>
      <w:r w:rsidRPr="004E30C2">
        <w:rPr>
          <w:rFonts w:ascii="Calibri" w:eastAsia="宋体" w:hAnsi="Calibri"/>
          <w:color w:val="auto"/>
          <w:sz w:val="21"/>
          <w:szCs w:val="21"/>
        </w:rPr>
        <w:t>），载明基金管理人有权发送指令的人员名单（以下称</w:t>
      </w:r>
      <w:r w:rsidRPr="004E30C2">
        <w:rPr>
          <w:rFonts w:ascii="Calibri" w:eastAsia="宋体" w:hAnsi="Calibri"/>
          <w:color w:val="auto"/>
          <w:sz w:val="21"/>
          <w:szCs w:val="21"/>
        </w:rPr>
        <w:t>“</w:t>
      </w:r>
      <w:r w:rsidRPr="004E30C2">
        <w:rPr>
          <w:rFonts w:ascii="Calibri" w:eastAsia="宋体" w:hAnsi="Calibri"/>
          <w:color w:val="auto"/>
          <w:sz w:val="21"/>
          <w:szCs w:val="21"/>
        </w:rPr>
        <w:t>指令发送人员</w:t>
      </w:r>
      <w:r w:rsidRPr="004E30C2">
        <w:rPr>
          <w:rFonts w:ascii="Calibri" w:eastAsia="宋体" w:hAnsi="Calibri"/>
          <w:color w:val="auto"/>
          <w:sz w:val="21"/>
          <w:szCs w:val="21"/>
        </w:rPr>
        <w:t>”</w:t>
      </w:r>
      <w:r w:rsidRPr="004E30C2">
        <w:rPr>
          <w:rFonts w:ascii="Calibri" w:eastAsia="宋体" w:hAnsi="Calibri"/>
          <w:color w:val="auto"/>
          <w:sz w:val="21"/>
          <w:szCs w:val="21"/>
        </w:rPr>
        <w:t>）及各个</w:t>
      </w:r>
      <w:r w:rsidRPr="004E30C2">
        <w:rPr>
          <w:rFonts w:ascii="Calibri" w:eastAsia="宋体" w:hAnsi="Calibri" w:hint="eastAsia"/>
          <w:color w:val="auto"/>
          <w:sz w:val="21"/>
          <w:szCs w:val="21"/>
        </w:rPr>
        <w:t>指令发送</w:t>
      </w:r>
      <w:r w:rsidRPr="004E30C2">
        <w:rPr>
          <w:rFonts w:ascii="Calibri" w:eastAsia="宋体" w:hAnsi="Calibri"/>
          <w:color w:val="auto"/>
          <w:sz w:val="21"/>
          <w:szCs w:val="21"/>
        </w:rPr>
        <w:t>人员的权限范围。基金管理人应向基金托管人提供指令发送人员的人名印鉴的预留印鉴样本和签字样本。</w:t>
      </w:r>
    </w:p>
    <w:p w14:paraId="385D765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lastRenderedPageBreak/>
        <w:t>2</w:t>
      </w:r>
      <w:r w:rsidRPr="004E30C2">
        <w:rPr>
          <w:rFonts w:ascii="Calibri" w:eastAsia="宋体" w:hAnsi="Calibri"/>
          <w:color w:val="auto"/>
          <w:sz w:val="21"/>
          <w:szCs w:val="21"/>
        </w:rPr>
        <w:t>、基金管理人向基金托管人发出的授权通知应加盖公章并由法定代表人或其授权</w:t>
      </w:r>
      <w:bookmarkStart w:id="27" w:name="OLE_LINK6"/>
      <w:bookmarkStart w:id="28" w:name="OLE_LINK7"/>
      <w:r w:rsidRPr="004E30C2">
        <w:rPr>
          <w:rFonts w:ascii="Calibri" w:eastAsia="宋体" w:hAnsi="Calibri" w:hint="eastAsia"/>
          <w:color w:val="auto"/>
          <w:sz w:val="21"/>
          <w:szCs w:val="21"/>
        </w:rPr>
        <w:t>签署</w:t>
      </w:r>
      <w:bookmarkEnd w:id="27"/>
      <w:bookmarkEnd w:id="28"/>
      <w:r w:rsidRPr="004E30C2">
        <w:rPr>
          <w:rFonts w:ascii="Calibri" w:eastAsia="宋体" w:hAnsi="Calibri" w:hint="eastAsia"/>
          <w:color w:val="auto"/>
          <w:sz w:val="21"/>
          <w:szCs w:val="21"/>
        </w:rPr>
        <w:t>人签署，若由授权签署人签署，还应附上法定代表人的授权书。基金管理人向基金托管人以</w:t>
      </w:r>
      <w:r w:rsidRPr="004E30C2">
        <w:rPr>
          <w:rFonts w:ascii="Calibri" w:eastAsia="宋体" w:hAnsi="Calibri"/>
          <w:color w:val="auto"/>
          <w:sz w:val="21"/>
          <w:szCs w:val="21"/>
        </w:rPr>
        <w:t>加密</w:t>
      </w:r>
      <w:r w:rsidRPr="004E30C2">
        <w:rPr>
          <w:rFonts w:ascii="Calibri" w:eastAsia="宋体" w:hAnsi="Calibri" w:hint="eastAsia"/>
          <w:color w:val="auto"/>
          <w:sz w:val="21"/>
          <w:szCs w:val="21"/>
        </w:rPr>
        <w:t>传真的形式或其他双方确认的方式发送授权通知后同时电话通知基金托管人。授权通知自基金托管人接到</w:t>
      </w:r>
      <w:r w:rsidRPr="004E30C2">
        <w:rPr>
          <w:rFonts w:ascii="Calibri" w:eastAsia="宋体" w:hAnsi="Calibri" w:hint="eastAsia"/>
          <w:color w:val="auto"/>
          <w:sz w:val="21"/>
          <w:szCs w:val="21"/>
        </w:rPr>
        <w:t>基金管理人的电话确认后于通知载明的生效时间起生效。通知载明的生效时间不得早于电话确认时间。基金管理人在此后</w:t>
      </w:r>
      <w:r w:rsidRPr="004E30C2">
        <w:rPr>
          <w:rFonts w:ascii="Calibri" w:eastAsia="宋体" w:hAnsi="Calibri"/>
          <w:color w:val="auto"/>
          <w:sz w:val="21"/>
          <w:szCs w:val="21"/>
        </w:rPr>
        <w:t>3</w:t>
      </w:r>
      <w:r w:rsidRPr="004E30C2">
        <w:rPr>
          <w:rFonts w:ascii="Calibri" w:eastAsia="宋体" w:hAnsi="Calibri"/>
          <w:color w:val="auto"/>
          <w:sz w:val="21"/>
          <w:szCs w:val="21"/>
        </w:rPr>
        <w:t>个工作日内将授权通知原件送交基金托管人。</w:t>
      </w:r>
    </w:p>
    <w:p w14:paraId="594505E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、基金管理人和基金托管人对授权通知及其更改负有保密义务，其内容不得向指令发送人员及相关操作人员以外的任何人披露、泄露</w:t>
      </w:r>
      <w:r w:rsidRPr="004E30C2">
        <w:rPr>
          <w:rFonts w:ascii="Calibri" w:eastAsia="宋体" w:hAnsi="Calibri" w:hint="eastAsia"/>
          <w:color w:val="auto"/>
          <w:sz w:val="21"/>
          <w:szCs w:val="21"/>
        </w:rPr>
        <w:t>，但法律法规规定或</w:t>
      </w:r>
      <w:r w:rsidRPr="004E30C2">
        <w:rPr>
          <w:rFonts w:ascii="Calibri" w:eastAsia="宋体" w:hAnsi="Calibri"/>
          <w:color w:val="auto"/>
          <w:sz w:val="21"/>
          <w:szCs w:val="21"/>
        </w:rPr>
        <w:t>监管机构、司法机关等</w:t>
      </w:r>
      <w:r w:rsidRPr="004E30C2">
        <w:rPr>
          <w:rFonts w:ascii="Calibri" w:eastAsia="宋体" w:hAnsi="Calibri" w:hint="eastAsia"/>
          <w:color w:val="auto"/>
          <w:sz w:val="21"/>
          <w:szCs w:val="21"/>
        </w:rPr>
        <w:t>有权机关要求</w:t>
      </w:r>
      <w:r w:rsidRPr="004E30C2">
        <w:rPr>
          <w:rFonts w:ascii="Calibri" w:eastAsia="宋体" w:hAnsi="Calibri"/>
          <w:color w:val="auto"/>
          <w:sz w:val="21"/>
          <w:szCs w:val="21"/>
        </w:rPr>
        <w:t>或因审计、法律等外部专业顾问提供服务需要而向其提供</w:t>
      </w:r>
      <w:r w:rsidRPr="004E30C2">
        <w:rPr>
          <w:rFonts w:ascii="Calibri" w:eastAsia="宋体" w:hAnsi="Calibri" w:hint="eastAsia"/>
          <w:color w:val="auto"/>
          <w:sz w:val="21"/>
          <w:szCs w:val="21"/>
        </w:rPr>
        <w:t>的除外。</w:t>
      </w:r>
    </w:p>
    <w:p w14:paraId="04E7CDB2"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（二）指令的内容</w:t>
      </w:r>
    </w:p>
    <w:p w14:paraId="12C8C6B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指令是基金管理人在运作基金财产时，向基金托管人发出的资金划拨及投资指令。相关登记结算公司向基金托管人发送的结算通知视</w:t>
      </w:r>
      <w:r w:rsidRPr="004E30C2">
        <w:rPr>
          <w:rFonts w:ascii="Calibri" w:eastAsia="宋体" w:hAnsi="Calibri" w:hint="eastAsia"/>
          <w:color w:val="auto"/>
          <w:sz w:val="21"/>
          <w:szCs w:val="21"/>
        </w:rPr>
        <w:t>为基金管理人向基金托管人发出的指令。</w:t>
      </w:r>
    </w:p>
    <w:p w14:paraId="45300FC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（三）指令的发送、确认和执行</w:t>
      </w:r>
    </w:p>
    <w:p w14:paraId="21CF86E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、指令由</w:t>
      </w:r>
      <w:r w:rsidRPr="004E30C2">
        <w:rPr>
          <w:rFonts w:ascii="Calibri" w:eastAsia="宋体" w:hAnsi="Calibri"/>
          <w:color w:val="auto"/>
          <w:sz w:val="21"/>
          <w:szCs w:val="21"/>
        </w:rPr>
        <w:t>“</w:t>
      </w:r>
      <w:r w:rsidRPr="004E30C2">
        <w:rPr>
          <w:rFonts w:ascii="Calibri" w:eastAsia="宋体" w:hAnsi="Calibri"/>
          <w:color w:val="auto"/>
          <w:sz w:val="21"/>
          <w:szCs w:val="21"/>
        </w:rPr>
        <w:t>授权通知</w:t>
      </w:r>
      <w:r w:rsidRPr="004E30C2">
        <w:rPr>
          <w:rFonts w:ascii="Calibri" w:eastAsia="宋体" w:hAnsi="Calibri"/>
          <w:color w:val="auto"/>
          <w:sz w:val="21"/>
          <w:szCs w:val="21"/>
        </w:rPr>
        <w:t>”</w:t>
      </w:r>
      <w:r w:rsidRPr="004E30C2">
        <w:rPr>
          <w:rFonts w:ascii="Calibri" w:eastAsia="宋体" w:hAnsi="Calibri"/>
          <w:color w:val="auto"/>
          <w:sz w:val="21"/>
          <w:szCs w:val="21"/>
        </w:rPr>
        <w:t>确定的指令发送人员代表基金管理人用加密传真的方式或其</w:t>
      </w:r>
      <w:r w:rsidRPr="004E30C2">
        <w:rPr>
          <w:rFonts w:ascii="Calibri" w:eastAsia="宋体" w:hAnsi="Calibri" w:hint="eastAsia"/>
          <w:color w:val="auto"/>
          <w:sz w:val="21"/>
          <w:szCs w:val="21"/>
        </w:rPr>
        <w:t>他双方确认的方式向基金托管人发送。对于指令发送人员在其授权范围内发出的指令，基金管理人不得否认其效力。但如果基金管理人已经撤销或更改对指令发送人员的授权，并且基金托管人已收到该通知，则对于此后该指令发送人员无权发送的指令，或超权限发送的指令，基金管理人不承担责任。</w:t>
      </w:r>
    </w:p>
    <w:p w14:paraId="5DFDB4B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、基金管理人应按照《基金法》、</w:t>
      </w:r>
      <w:r w:rsidRPr="004E30C2">
        <w:rPr>
          <w:rFonts w:ascii="Calibri" w:eastAsia="宋体" w:hAnsi="Calibri" w:hint="eastAsia"/>
          <w:color w:val="auto"/>
          <w:sz w:val="21"/>
          <w:szCs w:val="21"/>
        </w:rPr>
        <w:t>《运作办法》、《基金合同》和有关法律法规的规定，在其合法的经营权限和交易权限内，并依据相关业务规则发送指令。指令发出后，基金管理人应及时电话通知基金托管人。</w:t>
      </w:r>
      <w:r w:rsidRPr="004E30C2">
        <w:rPr>
          <w:rFonts w:ascii="Calibri" w:eastAsia="宋体" w:hAnsi="Calibri"/>
          <w:color w:val="auto"/>
          <w:sz w:val="21"/>
          <w:szCs w:val="21"/>
        </w:rPr>
        <w:t xml:space="preserve">    </w:t>
      </w:r>
    </w:p>
    <w:p w14:paraId="77772CEB"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、基金托管人在接</w:t>
      </w:r>
      <w:r w:rsidRPr="004E30C2">
        <w:rPr>
          <w:rFonts w:ascii="Calibri" w:eastAsia="宋体" w:hAnsi="Calibri" w:hint="eastAsia"/>
          <w:color w:val="auto"/>
          <w:sz w:val="21"/>
          <w:szCs w:val="21"/>
        </w:rPr>
        <w:t>收</w:t>
      </w:r>
      <w:r w:rsidRPr="004E30C2">
        <w:rPr>
          <w:rFonts w:ascii="Calibri" w:eastAsia="宋体" w:hAnsi="Calibri"/>
          <w:color w:val="auto"/>
          <w:sz w:val="21"/>
          <w:szCs w:val="21"/>
        </w:rPr>
        <w:t>指令时，应对指令的要素是否齐全、印鉴是否与</w:t>
      </w:r>
      <w:r w:rsidRPr="004E30C2">
        <w:rPr>
          <w:rFonts w:ascii="Calibri" w:eastAsia="宋体" w:hAnsi="Calibri" w:hint="eastAsia"/>
          <w:color w:val="auto"/>
          <w:sz w:val="21"/>
          <w:szCs w:val="21"/>
        </w:rPr>
        <w:t>授权通知相符等进行表面真实性的检查，对合法合</w:t>
      </w:r>
      <w:proofErr w:type="gramStart"/>
      <w:r w:rsidRPr="004E30C2">
        <w:rPr>
          <w:rFonts w:ascii="Calibri" w:eastAsia="宋体" w:hAnsi="Calibri" w:hint="eastAsia"/>
          <w:color w:val="auto"/>
          <w:sz w:val="21"/>
          <w:szCs w:val="21"/>
        </w:rPr>
        <w:t>规</w:t>
      </w:r>
      <w:proofErr w:type="gramEnd"/>
      <w:r w:rsidRPr="004E30C2">
        <w:rPr>
          <w:rFonts w:ascii="Calibri" w:eastAsia="宋体" w:hAnsi="Calibri" w:hint="eastAsia"/>
          <w:color w:val="auto"/>
          <w:sz w:val="21"/>
          <w:szCs w:val="21"/>
        </w:rPr>
        <w:t>的指令，基金托管人应在规定期限内执行，不得不合理延误或拒绝执行。</w:t>
      </w:r>
    </w:p>
    <w:p w14:paraId="3A733C01" w14:textId="77777777" w:rsidR="006C190A" w:rsidRPr="004E30C2" w:rsidRDefault="00CC37BA">
      <w:pPr>
        <w:pStyle w:val="a7"/>
        <w:spacing w:line="360" w:lineRule="auto"/>
        <w:ind w:firstLine="403"/>
        <w:rPr>
          <w:rFonts w:ascii="Calibri" w:eastAsia="宋体" w:hAnsi="Calibri"/>
          <w:color w:val="auto"/>
          <w:sz w:val="21"/>
          <w:szCs w:val="21"/>
        </w:rPr>
      </w:pPr>
      <w:r w:rsidRPr="004E30C2">
        <w:rPr>
          <w:rFonts w:ascii="Calibri" w:eastAsia="宋体" w:hAnsi="Calibri"/>
          <w:color w:val="auto"/>
          <w:sz w:val="21"/>
          <w:szCs w:val="21"/>
        </w:rPr>
        <w:t>4</w:t>
      </w:r>
      <w:r w:rsidRPr="004E30C2">
        <w:rPr>
          <w:rFonts w:ascii="Calibri" w:eastAsia="宋体" w:hAnsi="Calibri" w:hint="eastAsia"/>
          <w:color w:val="auto"/>
          <w:sz w:val="21"/>
          <w:szCs w:val="21"/>
        </w:rPr>
        <w:t>、</w:t>
      </w:r>
      <w:r w:rsidRPr="004E30C2">
        <w:rPr>
          <w:rFonts w:ascii="宋体" w:eastAsia="宋体" w:cs="宋体" w:hint="eastAsia"/>
          <w:sz w:val="21"/>
          <w:szCs w:val="21"/>
        </w:rPr>
        <w:t>对于银行间业务，如需发送银行间成交单的，</w:t>
      </w:r>
      <w:r w:rsidRPr="004E30C2">
        <w:rPr>
          <w:rFonts w:ascii="Calibri" w:eastAsia="宋体" w:hAnsi="Calibri" w:hint="eastAsia"/>
          <w:color w:val="auto"/>
          <w:sz w:val="21"/>
          <w:szCs w:val="21"/>
        </w:rPr>
        <w:t>基金管理人应在交易结束后将银行间同业市场债券交易成交单</w:t>
      </w:r>
      <w:r w:rsidRPr="004E30C2">
        <w:rPr>
          <w:rFonts w:ascii="Calibri" w:eastAsia="宋体" w:hAnsi="Calibri" w:hint="eastAsia"/>
          <w:sz w:val="21"/>
          <w:szCs w:val="21"/>
        </w:rPr>
        <w:t>经有权人员签字并</w:t>
      </w:r>
      <w:r w:rsidRPr="004E30C2">
        <w:rPr>
          <w:rFonts w:ascii="Calibri" w:eastAsia="宋体" w:hAnsi="Calibri" w:hint="eastAsia"/>
          <w:color w:val="auto"/>
          <w:sz w:val="21"/>
          <w:szCs w:val="21"/>
        </w:rPr>
        <w:t>加盖预留印鉴后及时传真给基金托管人。</w:t>
      </w:r>
      <w:r w:rsidRPr="004E30C2">
        <w:rPr>
          <w:rFonts w:ascii="Calibri" w:eastAsia="宋体" w:hAnsi="Calibri" w:cs="Calibri"/>
          <w:sz w:val="21"/>
          <w:szCs w:val="21"/>
        </w:rPr>
        <w:t>如果不需采用传真交易成</w:t>
      </w:r>
      <w:r w:rsidRPr="004E30C2">
        <w:rPr>
          <w:rFonts w:ascii="Calibri" w:eastAsia="宋体" w:hAnsi="Calibri" w:cs="Calibri"/>
          <w:sz w:val="21"/>
          <w:szCs w:val="21"/>
        </w:rPr>
        <w:t>交单的形式，基金管理人应根据基金托管人提供的</w:t>
      </w:r>
      <w:proofErr w:type="gramStart"/>
      <w:r w:rsidRPr="004E30C2">
        <w:rPr>
          <w:rFonts w:ascii="Calibri" w:eastAsia="宋体" w:hAnsi="Calibri" w:cs="Calibri"/>
          <w:sz w:val="21"/>
          <w:szCs w:val="21"/>
        </w:rPr>
        <w:t>不</w:t>
      </w:r>
      <w:proofErr w:type="gramEnd"/>
      <w:r w:rsidRPr="004E30C2">
        <w:rPr>
          <w:rFonts w:ascii="Calibri" w:eastAsia="宋体" w:hAnsi="Calibri" w:cs="Calibri"/>
          <w:sz w:val="21"/>
          <w:szCs w:val="21"/>
        </w:rPr>
        <w:t>出具交易确认函的说明并进行确认，基金管理人按说明约定方式通知基金托管人后生效。如果银行间簿记</w:t>
      </w:r>
      <w:r w:rsidRPr="004E30C2">
        <w:rPr>
          <w:rFonts w:ascii="Calibri" w:eastAsia="宋体" w:hAnsi="Calibri" w:cs="Calibri"/>
          <w:sz w:val="21"/>
          <w:szCs w:val="21"/>
        </w:rPr>
        <w:lastRenderedPageBreak/>
        <w:t>系统已经生成的交易需要取消或终止，基金管理人需书面</w:t>
      </w:r>
      <w:r w:rsidRPr="004E30C2">
        <w:rPr>
          <w:rFonts w:ascii="Calibri" w:eastAsia="宋体" w:hAnsi="Calibri" w:cs="Calibri" w:hint="eastAsia"/>
          <w:sz w:val="21"/>
          <w:szCs w:val="21"/>
        </w:rPr>
        <w:t>或者以双方约定的方式</w:t>
      </w:r>
      <w:r w:rsidRPr="004E30C2">
        <w:rPr>
          <w:rFonts w:ascii="Calibri" w:eastAsia="宋体" w:hAnsi="Calibri" w:cs="Calibri"/>
          <w:sz w:val="21"/>
          <w:szCs w:val="21"/>
        </w:rPr>
        <w:t>通知基金托管人。</w:t>
      </w:r>
    </w:p>
    <w:p w14:paraId="2E27B03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5</w:t>
      </w:r>
      <w:r w:rsidRPr="004E30C2">
        <w:rPr>
          <w:rFonts w:ascii="Calibri" w:eastAsia="宋体" w:hAnsi="Calibri" w:hint="eastAsia"/>
          <w:color w:val="auto"/>
          <w:sz w:val="21"/>
          <w:szCs w:val="21"/>
        </w:rPr>
        <w:t>、基金管理人在发送指令时，应为基金托管人执行指令留出执行指令时所必需的时间。</w:t>
      </w:r>
      <w:bookmarkStart w:id="29" w:name="OLE_LINK2"/>
      <w:bookmarkStart w:id="30" w:name="OLE_LINK1"/>
      <w:r w:rsidRPr="004E30C2">
        <w:rPr>
          <w:rFonts w:ascii="Calibri" w:eastAsia="宋体" w:hAnsi="Calibri" w:hint="eastAsia"/>
          <w:color w:val="auto"/>
          <w:sz w:val="21"/>
          <w:szCs w:val="21"/>
        </w:rPr>
        <w:t>因指令传输不及时未能留出足够的执行时间，致使指令未能及时执行所造成的损失基金托管人不承担相应责任。</w:t>
      </w:r>
      <w:bookmarkEnd w:id="29"/>
      <w:bookmarkEnd w:id="30"/>
    </w:p>
    <w:p w14:paraId="520CFDF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（四）基金管理人发送错误指令的情形和处理程序</w:t>
      </w:r>
    </w:p>
    <w:p w14:paraId="55543A6B"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基金管理人发送错误指令的情形主要包括：指令要素错误、无投资行为的指令、预留印鉴错误等情形。</w:t>
      </w:r>
    </w:p>
    <w:p w14:paraId="2A47677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基金托管人发现基金管理人的指令错误时，有权拒绝执行，并及时通知基金管理人改正。对基金管理人更正并重新发送后的指令经基金托管人核对确认后方能执行。</w:t>
      </w:r>
    </w:p>
    <w:p w14:paraId="4F89047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（五）基金托管人依照法律法规暂缓、拒绝执行指令的情形和处理程序</w:t>
      </w:r>
    </w:p>
    <w:p w14:paraId="54F4949D"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基金托管人发现基金管理人的指令违反法律法规规定或者《基金合同》约定，应当视情况暂缓或者不予执行，并及时通知基金管理人要求其变更或撤销相关指令，</w:t>
      </w:r>
      <w:proofErr w:type="gramStart"/>
      <w:r w:rsidRPr="004E30C2">
        <w:rPr>
          <w:rFonts w:ascii="Calibri" w:eastAsia="宋体" w:hAnsi="Calibri" w:hint="eastAsia"/>
          <w:color w:val="auto"/>
          <w:sz w:val="21"/>
          <w:szCs w:val="21"/>
        </w:rPr>
        <w:t>若基金</w:t>
      </w:r>
      <w:proofErr w:type="gramEnd"/>
      <w:r w:rsidRPr="004E30C2">
        <w:rPr>
          <w:rFonts w:ascii="Calibri" w:eastAsia="宋体" w:hAnsi="Calibri" w:hint="eastAsia"/>
          <w:color w:val="auto"/>
          <w:sz w:val="21"/>
          <w:szCs w:val="21"/>
        </w:rPr>
        <w:t>管理人在基金托管人发出上述通知后仍未变更或撤销相关指令，基金托</w:t>
      </w:r>
      <w:r w:rsidRPr="004E30C2">
        <w:rPr>
          <w:rFonts w:ascii="Calibri" w:eastAsia="宋体" w:hAnsi="Calibri" w:hint="eastAsia"/>
          <w:color w:val="auto"/>
          <w:sz w:val="21"/>
          <w:szCs w:val="21"/>
        </w:rPr>
        <w:t>管人应当拒绝执行，并向中国证监会报告，但应及时通知基金管理人。</w:t>
      </w:r>
    </w:p>
    <w:p w14:paraId="5BA4F47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向基金托管人下达指令时，应确保基金的银行存款账户有足够的资金余额，确保基金的证券账户有足够的证券余额。对超头寸的指令，以及超过证券账户证券余额的指令，基金托管人可不予执行，但应及时通知基金管理人，由此造成的损失，由基金管理人承担（不可抗力或基金管理人无法控制的因素造成的除外）。</w:t>
      </w:r>
    </w:p>
    <w:p w14:paraId="3788AF3B"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（六）基金托管人未按照基金管理人指令执行的处理方法</w:t>
      </w:r>
    </w:p>
    <w:p w14:paraId="076D7B2B" w14:textId="77777777" w:rsidR="006C190A" w:rsidRPr="004E30C2" w:rsidRDefault="00CC37BA">
      <w:pPr>
        <w:pStyle w:val="a7"/>
        <w:spacing w:before="100" w:beforeAutospacing="1" w:after="100" w:afterAutospacing="1"/>
        <w:ind w:firstLine="403"/>
        <w:jc w:val="left"/>
        <w:rPr>
          <w:rFonts w:ascii="Calibri" w:hAnsi="Calibri" w:cs="宋体"/>
          <w:szCs w:val="21"/>
        </w:rPr>
      </w:pPr>
      <w:r w:rsidRPr="004E30C2">
        <w:rPr>
          <w:rFonts w:ascii="Calibri" w:eastAsia="宋体" w:hAnsi="Calibri" w:hint="eastAsia"/>
          <w:color w:val="auto"/>
          <w:sz w:val="21"/>
          <w:szCs w:val="21"/>
        </w:rPr>
        <w:t>基金托管人因未正确或未及时执行基金管理人合法合</w:t>
      </w:r>
      <w:proofErr w:type="gramStart"/>
      <w:r w:rsidRPr="004E30C2">
        <w:rPr>
          <w:rFonts w:ascii="Calibri" w:eastAsia="宋体" w:hAnsi="Calibri" w:hint="eastAsia"/>
          <w:color w:val="auto"/>
          <w:sz w:val="21"/>
          <w:szCs w:val="21"/>
        </w:rPr>
        <w:t>规</w:t>
      </w:r>
      <w:proofErr w:type="gramEnd"/>
      <w:r w:rsidRPr="004E30C2">
        <w:rPr>
          <w:rFonts w:ascii="Calibri" w:eastAsia="宋体" w:hAnsi="Calibri" w:hint="eastAsia"/>
          <w:color w:val="auto"/>
          <w:sz w:val="21"/>
          <w:szCs w:val="21"/>
        </w:rPr>
        <w:t>的指令，致使本基金的利益受到损害，</w:t>
      </w:r>
      <w:r w:rsidRPr="004E30C2">
        <w:rPr>
          <w:rFonts w:ascii="Calibri" w:eastAsia="宋体" w:hAnsi="Calibri" w:cs="宋体" w:hint="eastAsia"/>
          <w:color w:val="auto"/>
          <w:sz w:val="21"/>
          <w:szCs w:val="21"/>
        </w:rPr>
        <w:t>基金托管人应在发现后及时</w:t>
      </w:r>
      <w:r w:rsidRPr="004E30C2">
        <w:rPr>
          <w:rFonts w:ascii="Calibri" w:eastAsia="宋体" w:hAnsi="Calibri" w:cs="宋体" w:hint="eastAsia"/>
          <w:color w:val="auto"/>
          <w:sz w:val="21"/>
          <w:szCs w:val="21"/>
        </w:rPr>
        <w:t>采取措施予以补救，并承担相应的责任。</w:t>
      </w:r>
      <w:r w:rsidRPr="004E30C2">
        <w:rPr>
          <w:rFonts w:ascii="Calibri" w:eastAsia="宋体" w:hAnsi="Calibri" w:hint="eastAsia"/>
          <w:color w:val="auto"/>
          <w:sz w:val="21"/>
          <w:szCs w:val="21"/>
        </w:rPr>
        <w:t>除此之外，基金托管人对执行基金管理人的合法合</w:t>
      </w:r>
      <w:proofErr w:type="gramStart"/>
      <w:r w:rsidRPr="004E30C2">
        <w:rPr>
          <w:rFonts w:ascii="Calibri" w:eastAsia="宋体" w:hAnsi="Calibri" w:hint="eastAsia"/>
          <w:color w:val="auto"/>
          <w:sz w:val="21"/>
          <w:szCs w:val="21"/>
        </w:rPr>
        <w:t>规</w:t>
      </w:r>
      <w:proofErr w:type="gramEnd"/>
      <w:r w:rsidRPr="004E30C2">
        <w:rPr>
          <w:rFonts w:ascii="Calibri" w:eastAsia="宋体" w:hAnsi="Calibri" w:hint="eastAsia"/>
          <w:color w:val="auto"/>
          <w:sz w:val="21"/>
          <w:szCs w:val="21"/>
        </w:rPr>
        <w:t>指令对基金造成的损失不承担任何责任。</w:t>
      </w:r>
    </w:p>
    <w:p w14:paraId="6F0EAEB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（七）被授权人员及授权权限的变更</w:t>
      </w:r>
      <w:r w:rsidRPr="004E30C2">
        <w:rPr>
          <w:rFonts w:ascii="Calibri" w:eastAsia="宋体" w:hAnsi="Calibri"/>
          <w:color w:val="auto"/>
          <w:sz w:val="21"/>
          <w:szCs w:val="21"/>
        </w:rPr>
        <w:tab/>
      </w:r>
    </w:p>
    <w:p w14:paraId="6F9958C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基金管理人若对授权通知的内容进行修改（包括但不限于指令发送人员的名单的修改，及</w:t>
      </w:r>
      <w:r w:rsidRPr="004E30C2">
        <w:rPr>
          <w:rFonts w:ascii="Calibri" w:eastAsia="宋体" w:hAnsi="Calibri"/>
          <w:color w:val="auto"/>
          <w:sz w:val="21"/>
          <w:szCs w:val="21"/>
        </w:rPr>
        <w:t>/</w:t>
      </w:r>
      <w:r w:rsidRPr="004E30C2">
        <w:rPr>
          <w:rFonts w:ascii="Calibri" w:eastAsia="宋体" w:hAnsi="Calibri"/>
          <w:color w:val="auto"/>
          <w:sz w:val="21"/>
          <w:szCs w:val="21"/>
        </w:rPr>
        <w:t>或权限的修改），应当至少提前</w:t>
      </w:r>
      <w:r w:rsidRPr="004E30C2">
        <w:rPr>
          <w:rFonts w:ascii="Calibri" w:eastAsia="宋体" w:hAnsi="Calibri"/>
          <w:color w:val="auto"/>
          <w:sz w:val="21"/>
          <w:szCs w:val="21"/>
        </w:rPr>
        <w:t>1</w:t>
      </w:r>
      <w:r w:rsidRPr="004E30C2">
        <w:rPr>
          <w:rFonts w:ascii="Calibri" w:eastAsia="宋体" w:hAnsi="Calibri"/>
          <w:color w:val="auto"/>
          <w:sz w:val="21"/>
          <w:szCs w:val="21"/>
        </w:rPr>
        <w:t>个工作日通知基金托管人；修改授权通知的文件</w:t>
      </w:r>
      <w:r w:rsidRPr="004E30C2">
        <w:rPr>
          <w:rFonts w:ascii="Calibri" w:eastAsia="宋体" w:hAnsi="Calibri"/>
          <w:color w:val="auto"/>
          <w:sz w:val="21"/>
          <w:szCs w:val="21"/>
        </w:rPr>
        <w:lastRenderedPageBreak/>
        <w:t>应由基金管理人加盖公章并由法定代表人或其授权</w:t>
      </w:r>
      <w:r w:rsidRPr="004E30C2">
        <w:rPr>
          <w:rFonts w:ascii="Calibri" w:eastAsia="宋体" w:hAnsi="Calibri" w:hint="eastAsia"/>
          <w:color w:val="auto"/>
          <w:sz w:val="21"/>
          <w:szCs w:val="21"/>
        </w:rPr>
        <w:t>签署人签署，若由授权签署人签署，还应附上法定代表人的授权书。基金管理人对授权通知的修改应当以加密传真的形式或其他双方确认的方式发送给基金托管人，同时电话通知基金</w:t>
      </w:r>
      <w:r w:rsidRPr="004E30C2">
        <w:rPr>
          <w:rFonts w:ascii="Calibri" w:eastAsia="宋体" w:hAnsi="Calibri" w:hint="eastAsia"/>
          <w:color w:val="auto"/>
          <w:sz w:val="21"/>
          <w:szCs w:val="21"/>
        </w:rPr>
        <w:t>托管人。基金管理人对授权通知的内容的</w:t>
      </w:r>
      <w:proofErr w:type="gramStart"/>
      <w:r w:rsidRPr="004E30C2">
        <w:rPr>
          <w:rFonts w:ascii="Calibri" w:eastAsia="宋体" w:hAnsi="Calibri" w:hint="eastAsia"/>
          <w:color w:val="auto"/>
          <w:sz w:val="21"/>
          <w:szCs w:val="21"/>
        </w:rPr>
        <w:t>修改自</w:t>
      </w:r>
      <w:proofErr w:type="gramEnd"/>
      <w:r w:rsidRPr="004E30C2">
        <w:rPr>
          <w:rFonts w:ascii="Calibri" w:eastAsia="宋体" w:hAnsi="Calibri" w:hint="eastAsia"/>
          <w:color w:val="auto"/>
          <w:sz w:val="21"/>
          <w:szCs w:val="21"/>
        </w:rPr>
        <w:t>基金托管人电话确认后于通知载明的生效时间起生效。通知载明的生效时间不得早于电话确认时间。基金管理人在此后</w:t>
      </w:r>
      <w:r w:rsidRPr="004E30C2">
        <w:rPr>
          <w:rFonts w:ascii="Calibri" w:eastAsia="宋体" w:hAnsi="Calibri"/>
          <w:color w:val="auto"/>
          <w:sz w:val="21"/>
          <w:szCs w:val="21"/>
        </w:rPr>
        <w:t>3</w:t>
      </w:r>
      <w:r w:rsidRPr="004E30C2">
        <w:rPr>
          <w:rFonts w:ascii="Calibri" w:eastAsia="宋体" w:hAnsi="Calibri" w:hint="eastAsia"/>
          <w:color w:val="auto"/>
          <w:sz w:val="21"/>
          <w:szCs w:val="21"/>
        </w:rPr>
        <w:t>个工作日内将对授权通知修改的文件原件送交基金托管人。基金管理人已经撤销或更改对指令发送人员的授权，并且已通知基金托管人并经基金托管人电话确认，则对于在变更通知的启用日期后原指令发送人员无权发送的指令，或超权限发送的指令，基金管理人在无过错的情况下不承担责任。基金托管人完全履行监督职责后对执行基金管理人的合法指令对基金财产造成的损失不承担赔偿责任。</w:t>
      </w:r>
    </w:p>
    <w:p w14:paraId="4CFE952F"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63816BC6"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31" w:name="_Toc119267463"/>
      <w:bookmarkStart w:id="32" w:name="_Toc19186"/>
      <w:bookmarkStart w:id="33" w:name="_Toc116900101"/>
      <w:r w:rsidRPr="004E30C2">
        <w:rPr>
          <w:rFonts w:ascii="Calibri" w:hAnsi="Calibri" w:hint="eastAsia"/>
          <w:sz w:val="21"/>
          <w:szCs w:val="21"/>
        </w:rPr>
        <w:t>七、交易及清</w:t>
      </w:r>
      <w:r w:rsidRPr="004E30C2">
        <w:rPr>
          <w:rFonts w:ascii="Calibri" w:hAnsi="Calibri" w:hint="eastAsia"/>
          <w:sz w:val="21"/>
          <w:szCs w:val="21"/>
        </w:rPr>
        <w:t>算交收安排</w:t>
      </w:r>
      <w:bookmarkEnd w:id="31"/>
      <w:bookmarkEnd w:id="32"/>
      <w:bookmarkEnd w:id="33"/>
    </w:p>
    <w:p w14:paraId="65534940" w14:textId="77777777" w:rsidR="006C190A" w:rsidRPr="004E30C2" w:rsidRDefault="00CC37BA">
      <w:pPr>
        <w:pStyle w:val="32"/>
        <w:spacing w:before="100" w:beforeAutospacing="1" w:after="100" w:afterAutospacing="1" w:line="400" w:lineRule="exact"/>
        <w:ind w:left="0" w:firstLine="403"/>
        <w:rPr>
          <w:rFonts w:ascii="Calibri" w:eastAsia="宋体" w:hAnsi="Calibri"/>
          <w:b/>
          <w:sz w:val="21"/>
          <w:szCs w:val="21"/>
        </w:rPr>
      </w:pPr>
      <w:r w:rsidRPr="004E30C2">
        <w:rPr>
          <w:rFonts w:ascii="Calibri" w:eastAsia="宋体" w:hAnsi="Calibri" w:hint="eastAsia"/>
          <w:sz w:val="21"/>
          <w:szCs w:val="21"/>
        </w:rPr>
        <w:t>（一）基金管理人负责选择代理本基金证券、</w:t>
      </w:r>
      <w:r w:rsidRPr="004E30C2">
        <w:rPr>
          <w:rFonts w:ascii="Calibri" w:eastAsia="宋体" w:hAnsi="Calibri"/>
          <w:sz w:val="21"/>
          <w:szCs w:val="21"/>
        </w:rPr>
        <w:t>期货</w:t>
      </w:r>
      <w:r w:rsidRPr="004E30C2">
        <w:rPr>
          <w:rFonts w:ascii="Calibri" w:eastAsia="宋体" w:hAnsi="Calibri" w:hint="eastAsia"/>
          <w:sz w:val="21"/>
          <w:szCs w:val="21"/>
        </w:rPr>
        <w:t>买卖的证券、</w:t>
      </w:r>
      <w:r w:rsidRPr="004E30C2">
        <w:rPr>
          <w:rFonts w:ascii="Calibri" w:eastAsia="宋体" w:hAnsi="Calibri"/>
          <w:sz w:val="21"/>
          <w:szCs w:val="21"/>
        </w:rPr>
        <w:t>期货</w:t>
      </w:r>
      <w:r w:rsidRPr="004E30C2">
        <w:rPr>
          <w:rFonts w:ascii="Calibri" w:eastAsia="宋体" w:hAnsi="Calibri" w:hint="eastAsia"/>
          <w:sz w:val="21"/>
          <w:szCs w:val="21"/>
        </w:rPr>
        <w:t>经营机构。</w:t>
      </w:r>
    </w:p>
    <w:p w14:paraId="7C70CE01"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、选择代理证券买卖的证券经营机构的程序</w:t>
      </w:r>
    </w:p>
    <w:p w14:paraId="2A26502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根据相关标准进行考察后确定证券经营机构的选择。基金管理人与被选择的证券经营机构签订委托协议（或交易单元租用协议），并按照法律法规的规定向中国证监会报告。基金管理人应将委托协议（或交易单元租用协议）的原件及时送交基金托管人。</w:t>
      </w:r>
    </w:p>
    <w:p w14:paraId="43021FCD"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hint="eastAsia"/>
          <w:color w:val="auto"/>
          <w:sz w:val="21"/>
          <w:szCs w:val="21"/>
        </w:rPr>
        <w:t>、相关信息的通知</w:t>
      </w:r>
    </w:p>
    <w:p w14:paraId="44BCC25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基金管理人应及时以书面形式通知基金托管人基金专用交易单元的号码、券商名称、佣金费率等基金基本信息以及变更情况，其中交易单元租用应至少在首次进行交易的</w:t>
      </w:r>
      <w:r w:rsidRPr="004E30C2">
        <w:rPr>
          <w:rFonts w:ascii="Calibri" w:eastAsia="宋体" w:hAnsi="Calibri"/>
          <w:color w:val="auto"/>
          <w:sz w:val="21"/>
          <w:szCs w:val="21"/>
        </w:rPr>
        <w:t>10</w:t>
      </w:r>
      <w:r w:rsidRPr="004E30C2">
        <w:rPr>
          <w:rFonts w:ascii="Calibri" w:eastAsia="宋体" w:hAnsi="Calibri" w:hint="eastAsia"/>
          <w:color w:val="auto"/>
          <w:sz w:val="21"/>
          <w:szCs w:val="21"/>
        </w:rPr>
        <w:t>个工作日前通知基金托管人，交易单元</w:t>
      </w:r>
      <w:proofErr w:type="gramStart"/>
      <w:r w:rsidRPr="004E30C2">
        <w:rPr>
          <w:rFonts w:ascii="Calibri" w:eastAsia="宋体" w:hAnsi="Calibri" w:hint="eastAsia"/>
          <w:color w:val="auto"/>
          <w:sz w:val="21"/>
          <w:szCs w:val="21"/>
        </w:rPr>
        <w:t>退租应在</w:t>
      </w:r>
      <w:proofErr w:type="gramEnd"/>
      <w:r w:rsidRPr="004E30C2">
        <w:rPr>
          <w:rFonts w:ascii="Calibri" w:eastAsia="宋体" w:hAnsi="Calibri" w:hint="eastAsia"/>
          <w:color w:val="auto"/>
          <w:sz w:val="21"/>
          <w:szCs w:val="21"/>
        </w:rPr>
        <w:t>次日内通知到基金托管人。</w:t>
      </w:r>
    </w:p>
    <w:p w14:paraId="0F9AD07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hint="eastAsia"/>
          <w:color w:val="auto"/>
          <w:sz w:val="21"/>
          <w:szCs w:val="21"/>
        </w:rPr>
        <w:t>、</w:t>
      </w:r>
      <w:r w:rsidRPr="004E30C2">
        <w:rPr>
          <w:rFonts w:ascii="Calibri" w:eastAsia="宋体" w:hAnsi="Calibri"/>
          <w:color w:val="auto"/>
          <w:sz w:val="21"/>
          <w:szCs w:val="21"/>
        </w:rPr>
        <w:t>基金管理人负责选择为本基金提供期货交易服务的期货</w:t>
      </w:r>
      <w:r w:rsidRPr="004E30C2">
        <w:rPr>
          <w:rFonts w:ascii="Calibri" w:eastAsia="宋体" w:hAnsi="Calibri" w:hint="eastAsia"/>
          <w:color w:val="auto"/>
          <w:sz w:val="21"/>
          <w:szCs w:val="21"/>
        </w:rPr>
        <w:t>经纪机构</w:t>
      </w:r>
      <w:r w:rsidRPr="004E30C2">
        <w:rPr>
          <w:rFonts w:ascii="Calibri" w:eastAsia="宋体" w:hAnsi="Calibri"/>
          <w:color w:val="auto"/>
          <w:sz w:val="21"/>
          <w:szCs w:val="21"/>
        </w:rPr>
        <w:t>，并与其签订期货经纪合同</w:t>
      </w:r>
      <w:r w:rsidRPr="004E30C2">
        <w:rPr>
          <w:rFonts w:ascii="Calibri" w:eastAsia="宋体" w:hAnsi="Calibri" w:hint="eastAsia"/>
          <w:color w:val="auto"/>
          <w:sz w:val="21"/>
          <w:szCs w:val="21"/>
        </w:rPr>
        <w:t>，并按照法律法规的规定向中国证监会报告</w:t>
      </w:r>
      <w:r w:rsidRPr="004E30C2">
        <w:rPr>
          <w:rFonts w:ascii="Calibri" w:eastAsia="宋体" w:hAnsi="Calibri"/>
          <w:color w:val="auto"/>
          <w:sz w:val="21"/>
          <w:szCs w:val="21"/>
        </w:rPr>
        <w:t>。基金管理人、基金托管人和期货公司等可就基金参与期货交易的具体事项另行签订协议约定。</w:t>
      </w:r>
    </w:p>
    <w:p w14:paraId="359F4F9D"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（二）基金清算交收</w:t>
      </w:r>
    </w:p>
    <w:p w14:paraId="712A735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w:t>
      </w:r>
      <w:r w:rsidRPr="004E30C2">
        <w:rPr>
          <w:rFonts w:ascii="Calibri" w:eastAsia="宋体" w:hAnsi="Calibri" w:hint="eastAsia"/>
          <w:color w:val="auto"/>
          <w:sz w:val="21"/>
          <w:szCs w:val="21"/>
        </w:rPr>
        <w:t>因本基金投资于证券发生的所有场内、场外交易的清算交收，由基金托管人负责根据相关登记结算公司的结算规则办理。</w:t>
      </w:r>
    </w:p>
    <w:p w14:paraId="269F209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lastRenderedPageBreak/>
        <w:t>2</w:t>
      </w:r>
      <w:r w:rsidRPr="004E30C2">
        <w:rPr>
          <w:rFonts w:ascii="Calibri" w:eastAsia="宋体" w:hAnsi="Calibri" w:hint="eastAsia"/>
          <w:color w:val="auto"/>
          <w:sz w:val="21"/>
          <w:szCs w:val="21"/>
        </w:rPr>
        <w:t>、由于基金管理人或基金托管</w:t>
      </w:r>
      <w:proofErr w:type="gramStart"/>
      <w:r w:rsidRPr="004E30C2">
        <w:rPr>
          <w:rFonts w:ascii="Calibri" w:eastAsia="宋体" w:hAnsi="Calibri" w:hint="eastAsia"/>
          <w:color w:val="auto"/>
          <w:sz w:val="21"/>
          <w:szCs w:val="21"/>
        </w:rPr>
        <w:t>人原因</w:t>
      </w:r>
      <w:proofErr w:type="gramEnd"/>
      <w:r w:rsidRPr="004E30C2">
        <w:rPr>
          <w:rFonts w:ascii="Calibri" w:eastAsia="宋体" w:hAnsi="Calibri" w:hint="eastAsia"/>
          <w:color w:val="auto"/>
          <w:sz w:val="21"/>
          <w:szCs w:val="21"/>
        </w:rPr>
        <w:t>导致基金资金透支、超买或超卖等情形的，由责任方承担相应的责任。基金管理人同意在发生以上情形时，基金托管人应按照中国证券登记结算有限责任公司的有关规定办理，并及时通知基金管理人。</w:t>
      </w:r>
    </w:p>
    <w:p w14:paraId="7E903C4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hint="eastAsia"/>
          <w:color w:val="auto"/>
          <w:sz w:val="21"/>
          <w:szCs w:val="21"/>
        </w:rPr>
        <w:t>、由于基金管理人或基金托管</w:t>
      </w:r>
      <w:proofErr w:type="gramStart"/>
      <w:r w:rsidRPr="004E30C2">
        <w:rPr>
          <w:rFonts w:ascii="Calibri" w:eastAsia="宋体" w:hAnsi="Calibri" w:hint="eastAsia"/>
          <w:color w:val="auto"/>
          <w:sz w:val="21"/>
          <w:szCs w:val="21"/>
        </w:rPr>
        <w:t>人原因</w:t>
      </w:r>
      <w:proofErr w:type="gramEnd"/>
      <w:r w:rsidRPr="004E30C2">
        <w:rPr>
          <w:rFonts w:ascii="Calibri" w:eastAsia="宋体" w:hAnsi="Calibri" w:hint="eastAsia"/>
          <w:color w:val="auto"/>
          <w:sz w:val="21"/>
          <w:szCs w:val="21"/>
        </w:rPr>
        <w:t>导致基金无法按时支付</w:t>
      </w:r>
      <w:proofErr w:type="gramStart"/>
      <w:r w:rsidRPr="004E30C2">
        <w:rPr>
          <w:rFonts w:ascii="Calibri" w:eastAsia="宋体" w:hAnsi="Calibri" w:hint="eastAsia"/>
          <w:color w:val="auto"/>
          <w:sz w:val="21"/>
          <w:szCs w:val="21"/>
        </w:rPr>
        <w:t>清算款</w:t>
      </w:r>
      <w:proofErr w:type="gramEnd"/>
      <w:r w:rsidRPr="004E30C2">
        <w:rPr>
          <w:rFonts w:ascii="Calibri" w:eastAsia="宋体" w:hAnsi="Calibri" w:hint="eastAsia"/>
          <w:color w:val="auto"/>
          <w:sz w:val="21"/>
          <w:szCs w:val="21"/>
        </w:rPr>
        <w:t>时，责任方应对由此给基金财产造成的损失承担相应的赔偿责任。</w:t>
      </w:r>
    </w:p>
    <w:p w14:paraId="24F7BA0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4</w:t>
      </w:r>
      <w:r w:rsidRPr="004E30C2">
        <w:rPr>
          <w:rFonts w:ascii="Calibri" w:eastAsia="宋体" w:hAnsi="Calibri" w:hint="eastAsia"/>
          <w:color w:val="auto"/>
          <w:sz w:val="21"/>
          <w:szCs w:val="21"/>
        </w:rPr>
        <w:t>、基金管理人应保证在交收日（</w:t>
      </w:r>
      <w:r w:rsidRPr="004E30C2">
        <w:rPr>
          <w:rFonts w:ascii="Calibri" w:eastAsia="宋体" w:hAnsi="Calibri"/>
          <w:color w:val="auto"/>
          <w:sz w:val="21"/>
          <w:szCs w:val="21"/>
        </w:rPr>
        <w:t>T+1</w:t>
      </w:r>
      <w:r w:rsidRPr="004E30C2">
        <w:rPr>
          <w:rFonts w:ascii="Calibri" w:eastAsia="宋体" w:hAnsi="Calibri" w:hint="eastAsia"/>
          <w:color w:val="auto"/>
          <w:sz w:val="21"/>
          <w:szCs w:val="21"/>
        </w:rPr>
        <w:t>日）</w:t>
      </w:r>
      <w:r w:rsidRPr="004E30C2">
        <w:rPr>
          <w:rFonts w:ascii="Calibri" w:eastAsia="宋体" w:hAnsi="Calibri"/>
          <w:color w:val="auto"/>
          <w:sz w:val="21"/>
          <w:szCs w:val="21"/>
        </w:rPr>
        <w:t>10</w:t>
      </w:r>
      <w:r w:rsidRPr="004E30C2">
        <w:rPr>
          <w:rFonts w:ascii="Calibri" w:eastAsia="宋体" w:hAnsi="Calibri" w:hint="eastAsia"/>
          <w:color w:val="auto"/>
          <w:sz w:val="21"/>
          <w:szCs w:val="21"/>
        </w:rPr>
        <w:t>:</w:t>
      </w:r>
      <w:r w:rsidRPr="004E30C2">
        <w:rPr>
          <w:rFonts w:ascii="Calibri" w:eastAsia="宋体" w:hAnsi="Calibri"/>
          <w:color w:val="auto"/>
          <w:sz w:val="21"/>
          <w:szCs w:val="21"/>
        </w:rPr>
        <w:t>00</w:t>
      </w:r>
      <w:proofErr w:type="gramStart"/>
      <w:r w:rsidRPr="004E30C2">
        <w:rPr>
          <w:rFonts w:ascii="Calibri" w:eastAsia="宋体" w:hAnsi="Calibri" w:hint="eastAsia"/>
          <w:color w:val="auto"/>
          <w:sz w:val="21"/>
          <w:szCs w:val="21"/>
        </w:rPr>
        <w:t>前基金</w:t>
      </w:r>
      <w:proofErr w:type="gramEnd"/>
      <w:r w:rsidRPr="004E30C2">
        <w:rPr>
          <w:rFonts w:ascii="Calibri" w:eastAsia="宋体" w:hAnsi="Calibri" w:hint="eastAsia"/>
          <w:color w:val="auto"/>
          <w:sz w:val="21"/>
          <w:szCs w:val="21"/>
        </w:rPr>
        <w:t>银行账户有足够的</w:t>
      </w:r>
      <w:r w:rsidRPr="004E30C2">
        <w:rPr>
          <w:rFonts w:ascii="Calibri" w:eastAsia="宋体" w:hAnsi="Calibri" w:hint="eastAsia"/>
          <w:color w:val="auto"/>
          <w:sz w:val="21"/>
          <w:szCs w:val="21"/>
        </w:rPr>
        <w:t>资金用于交易所的证券交易资金清算，如基金的资金头寸不足</w:t>
      </w:r>
      <w:proofErr w:type="gramStart"/>
      <w:r w:rsidRPr="004E30C2">
        <w:rPr>
          <w:rFonts w:ascii="Calibri" w:eastAsia="宋体" w:hAnsi="Calibri" w:hint="eastAsia"/>
          <w:color w:val="auto"/>
          <w:sz w:val="21"/>
          <w:szCs w:val="21"/>
        </w:rPr>
        <w:t>则基金</w:t>
      </w:r>
      <w:proofErr w:type="gramEnd"/>
      <w:r w:rsidRPr="004E30C2">
        <w:rPr>
          <w:rFonts w:ascii="Calibri" w:eastAsia="宋体" w:hAnsi="Calibri" w:hint="eastAsia"/>
          <w:color w:val="auto"/>
          <w:sz w:val="21"/>
          <w:szCs w:val="21"/>
        </w:rPr>
        <w:t>托管人应按照中国证券登记结算有限责任公司的有关规定办理，并及时通知基金管理人。</w:t>
      </w:r>
    </w:p>
    <w:p w14:paraId="5B69EC8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5</w:t>
      </w:r>
      <w:r w:rsidRPr="004E30C2">
        <w:rPr>
          <w:rFonts w:ascii="Calibri" w:eastAsia="宋体" w:hAnsi="Calibri" w:hint="eastAsia"/>
          <w:color w:val="auto"/>
          <w:sz w:val="21"/>
          <w:szCs w:val="21"/>
        </w:rPr>
        <w:t>、基金管理人应保证基金托管人在执行基金管理人发送的划款指令时，基金银行账户或资金交收账户上有充足的资金。基金的资金头寸不足时，基金托管人有权拒绝基金管理人发送的划款指令，并及时通知基金管理人，由此造成的损失，由基金管理人负责赔偿。基金管理人在发送划款指令时应充分考虑基金托管人的划款处理时间。对于要求当天到账的指令，应在当天</w:t>
      </w:r>
      <w:r w:rsidRPr="004E30C2">
        <w:rPr>
          <w:rFonts w:ascii="Calibri" w:eastAsia="宋体" w:hAnsi="Calibri"/>
          <w:color w:val="auto"/>
          <w:sz w:val="21"/>
          <w:szCs w:val="21"/>
        </w:rPr>
        <w:t>15:00</w:t>
      </w:r>
      <w:r w:rsidRPr="004E30C2">
        <w:rPr>
          <w:rFonts w:ascii="Calibri" w:eastAsia="宋体" w:hAnsi="Calibri"/>
          <w:color w:val="auto"/>
          <w:sz w:val="21"/>
          <w:szCs w:val="21"/>
        </w:rPr>
        <w:t>前发送；对于要求当天某一时点到账，则</w:t>
      </w:r>
      <w:r w:rsidRPr="004E30C2">
        <w:rPr>
          <w:rFonts w:ascii="Calibri" w:eastAsia="宋体" w:hAnsi="Calibri"/>
          <w:color w:val="auto"/>
          <w:sz w:val="21"/>
          <w:szCs w:val="21"/>
        </w:rPr>
        <w:t>指令需提前</w:t>
      </w:r>
      <w:r w:rsidRPr="004E30C2">
        <w:rPr>
          <w:rFonts w:ascii="Calibri" w:eastAsia="宋体" w:hAnsi="Calibri"/>
          <w:color w:val="auto"/>
          <w:sz w:val="21"/>
          <w:szCs w:val="21"/>
        </w:rPr>
        <w:t>2</w:t>
      </w:r>
      <w:r w:rsidRPr="004E30C2">
        <w:rPr>
          <w:rFonts w:ascii="Calibri" w:eastAsia="宋体" w:hAnsi="Calibri"/>
          <w:color w:val="auto"/>
          <w:sz w:val="21"/>
          <w:szCs w:val="21"/>
        </w:rPr>
        <w:t>个工作小时发送，</w:t>
      </w:r>
      <w:proofErr w:type="gramStart"/>
      <w:r w:rsidRPr="004E30C2">
        <w:rPr>
          <w:rFonts w:ascii="Calibri" w:eastAsia="宋体" w:hAnsi="Calibri"/>
          <w:color w:val="auto"/>
          <w:sz w:val="21"/>
          <w:szCs w:val="21"/>
        </w:rPr>
        <w:t>并相关</w:t>
      </w:r>
      <w:proofErr w:type="gramEnd"/>
      <w:r w:rsidRPr="004E30C2">
        <w:rPr>
          <w:rFonts w:ascii="Calibri" w:eastAsia="宋体" w:hAnsi="Calibri"/>
          <w:color w:val="auto"/>
          <w:sz w:val="21"/>
          <w:szCs w:val="21"/>
        </w:rPr>
        <w:t>付款条件已经具备。</w:t>
      </w:r>
    </w:p>
    <w:p w14:paraId="0474925E" w14:textId="77777777" w:rsidR="006C190A" w:rsidRPr="004E30C2" w:rsidRDefault="00CC37BA">
      <w:pPr>
        <w:spacing w:line="360" w:lineRule="auto"/>
        <w:ind w:firstLine="420"/>
        <w:rPr>
          <w:rFonts w:ascii="Calibri" w:hAnsi="Calibri"/>
          <w:szCs w:val="21"/>
        </w:rPr>
      </w:pPr>
      <w:r w:rsidRPr="004E30C2">
        <w:rPr>
          <w:rFonts w:ascii="Calibri" w:hAnsi="Calibri" w:cs="宋体" w:hint="eastAsia"/>
          <w:szCs w:val="21"/>
        </w:rPr>
        <w:t>对于中国证券登记结算有限责任公司实行</w:t>
      </w:r>
      <w:r w:rsidRPr="004E30C2">
        <w:rPr>
          <w:rFonts w:ascii="Calibri" w:hAnsi="Calibri"/>
          <w:szCs w:val="21"/>
        </w:rPr>
        <w:t>T+0</w:t>
      </w:r>
      <w:r w:rsidRPr="004E30C2">
        <w:rPr>
          <w:rFonts w:ascii="Calibri" w:hAnsi="Calibri" w:cs="宋体" w:hint="eastAsia"/>
          <w:szCs w:val="21"/>
        </w:rPr>
        <w:t>非担保交收的业务</w:t>
      </w:r>
      <w:r w:rsidRPr="004E30C2">
        <w:rPr>
          <w:rFonts w:ascii="Calibri" w:hAnsi="Calibri" w:hint="eastAsia"/>
          <w:szCs w:val="21"/>
        </w:rPr>
        <w:t>，基金管理人应在交易日</w:t>
      </w:r>
      <w:r w:rsidRPr="004E30C2">
        <w:rPr>
          <w:rFonts w:ascii="Calibri" w:hAnsi="Calibri"/>
          <w:szCs w:val="21"/>
        </w:rPr>
        <w:t>14</w:t>
      </w:r>
      <w:r w:rsidRPr="004E30C2">
        <w:rPr>
          <w:rFonts w:ascii="Calibri" w:hAnsi="Calibri" w:hint="eastAsia"/>
          <w:szCs w:val="21"/>
        </w:rPr>
        <w:t>:</w:t>
      </w:r>
      <w:r w:rsidRPr="004E30C2">
        <w:rPr>
          <w:rFonts w:ascii="Calibri" w:hAnsi="Calibri"/>
          <w:szCs w:val="21"/>
        </w:rPr>
        <w:t>00</w:t>
      </w:r>
      <w:r w:rsidRPr="004E30C2">
        <w:rPr>
          <w:rFonts w:ascii="Calibri" w:hAnsi="Calibri" w:hint="eastAsia"/>
          <w:szCs w:val="21"/>
        </w:rPr>
        <w:t>前将划款指令发送至托管人</w:t>
      </w:r>
      <w:r w:rsidRPr="004E30C2">
        <w:t>或在前期授权托管</w:t>
      </w:r>
      <w:r w:rsidRPr="004E30C2">
        <w:rPr>
          <w:rFonts w:hint="eastAsia"/>
        </w:rPr>
        <w:t>人</w:t>
      </w:r>
      <w:r w:rsidRPr="004E30C2">
        <w:t>依据中</w:t>
      </w:r>
      <w:proofErr w:type="gramStart"/>
      <w:r w:rsidRPr="004E30C2">
        <w:t>登数据</w:t>
      </w:r>
      <w:proofErr w:type="gramEnd"/>
      <w:r w:rsidRPr="004E30C2">
        <w:t>自行处理相关业务，并且配合托管人备足托管资产头寸以完成限时</w:t>
      </w:r>
      <w:r w:rsidRPr="004E30C2">
        <w:t>T+0</w:t>
      </w:r>
      <w:r w:rsidRPr="004E30C2">
        <w:t>业务的交收。若今后结算规则调整，此条款相应调整。</w:t>
      </w:r>
    </w:p>
    <w:p w14:paraId="623A1E71"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因基金管理人指令传输不及时，致使资金未能及时划入中国证券登记结算有限责任公司所造成的损失由基金管理人承担，包括赔偿</w:t>
      </w:r>
      <w:r w:rsidRPr="004E30C2">
        <w:rPr>
          <w:rFonts w:ascii="宋体" w:eastAsia="宋体" w:hint="eastAsia"/>
          <w:sz w:val="21"/>
          <w:szCs w:val="21"/>
        </w:rPr>
        <w:t>引起其他托管客户交易失败、赔偿因占用中国证券登记结算有限责任公司最低备付金带来的利息损失</w:t>
      </w:r>
      <w:r w:rsidRPr="004E30C2">
        <w:rPr>
          <w:rFonts w:ascii="Calibri" w:eastAsia="宋体" w:hAnsi="Calibri" w:hint="eastAsia"/>
          <w:color w:val="auto"/>
          <w:sz w:val="21"/>
          <w:szCs w:val="21"/>
        </w:rPr>
        <w:t>。若今后结算规则调整，此条款相应调整。在基金资金头寸充足的情况下，基金托管人对基金管理人符合法律法规、《基金合同》、</w:t>
      </w:r>
      <w:r w:rsidRPr="004E30C2">
        <w:rPr>
          <w:rFonts w:ascii="Calibri" w:eastAsia="宋体" w:hAnsi="Calibri" w:cs="方正仿宋简体" w:hint="eastAsia"/>
          <w:color w:val="auto"/>
          <w:sz w:val="21"/>
          <w:szCs w:val="21"/>
        </w:rPr>
        <w:t>本协议的指令不得</w:t>
      </w:r>
      <w:r w:rsidRPr="004E30C2">
        <w:rPr>
          <w:rFonts w:ascii="Calibri" w:eastAsia="宋体" w:hAnsi="Calibri" w:hint="eastAsia"/>
          <w:color w:val="auto"/>
          <w:sz w:val="21"/>
          <w:szCs w:val="21"/>
        </w:rPr>
        <w:t>不合理</w:t>
      </w:r>
      <w:r w:rsidRPr="004E30C2">
        <w:rPr>
          <w:rFonts w:ascii="Calibri" w:eastAsia="宋体" w:hAnsi="Calibri" w:cs="方正仿宋简体" w:hint="eastAsia"/>
          <w:color w:val="auto"/>
          <w:sz w:val="21"/>
          <w:szCs w:val="21"/>
        </w:rPr>
        <w:t>拖延或拒绝执行。</w:t>
      </w:r>
    </w:p>
    <w:p w14:paraId="646C0348"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（三）资金、证券账目和交易记录核对</w:t>
      </w:r>
    </w:p>
    <w:p w14:paraId="0F40C74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基金管理人和基金托管人应对本基金的资金、证券账目及交易记录进行核对。</w:t>
      </w:r>
    </w:p>
    <w:p w14:paraId="53831700"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（四）申购、赎回和基金转换的资金清算</w:t>
      </w:r>
    </w:p>
    <w:p w14:paraId="0293AD95"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1</w:t>
      </w:r>
      <w:r w:rsidRPr="004E30C2">
        <w:rPr>
          <w:rFonts w:ascii="Calibri" w:eastAsia="宋体" w:hAnsi="Calibri"/>
          <w:sz w:val="21"/>
          <w:szCs w:val="21"/>
        </w:rPr>
        <w:t>、</w:t>
      </w:r>
      <w:r w:rsidRPr="004E30C2">
        <w:rPr>
          <w:rFonts w:ascii="Calibri" w:eastAsia="宋体" w:hAnsi="Calibri"/>
          <w:sz w:val="21"/>
          <w:szCs w:val="21"/>
        </w:rPr>
        <w:t>T</w:t>
      </w:r>
      <w:r w:rsidRPr="004E30C2">
        <w:rPr>
          <w:rFonts w:ascii="Calibri" w:eastAsia="宋体" w:hAnsi="Calibri"/>
          <w:sz w:val="21"/>
          <w:szCs w:val="21"/>
        </w:rPr>
        <w:t>日，投资者进行基金申购、赎回和转换申请，基金管理人和基金托管人分别计算</w:t>
      </w:r>
      <w:r w:rsidRPr="004E30C2">
        <w:rPr>
          <w:rFonts w:ascii="Calibri" w:eastAsia="宋体" w:hAnsi="Calibri"/>
          <w:sz w:val="21"/>
          <w:szCs w:val="21"/>
        </w:rPr>
        <w:lastRenderedPageBreak/>
        <w:t>基金资产净值，并进行核对；基金管理人将双方确认的</w:t>
      </w:r>
      <w:r w:rsidRPr="004E30C2">
        <w:rPr>
          <w:rFonts w:ascii="Calibri" w:eastAsia="宋体" w:hAnsi="Calibri"/>
          <w:sz w:val="21"/>
          <w:szCs w:val="21"/>
        </w:rPr>
        <w:t>或基金管理人决定采用的</w:t>
      </w:r>
      <w:r w:rsidRPr="004E30C2">
        <w:rPr>
          <w:rFonts w:ascii="Calibri" w:eastAsia="宋体" w:hAnsi="Calibri" w:hint="eastAsia"/>
          <w:sz w:val="21"/>
          <w:szCs w:val="21"/>
        </w:rPr>
        <w:t>各类</w:t>
      </w:r>
      <w:r w:rsidRPr="004E30C2">
        <w:rPr>
          <w:rFonts w:ascii="Calibri" w:eastAsia="宋体" w:hAnsi="Calibri"/>
          <w:sz w:val="21"/>
          <w:szCs w:val="21"/>
        </w:rPr>
        <w:t>基金份额净值以基金份额净值公告的形式传真至相关</w:t>
      </w:r>
      <w:r w:rsidRPr="004E30C2">
        <w:rPr>
          <w:rFonts w:ascii="Calibri" w:eastAsia="宋体" w:hAnsi="Calibri" w:hint="eastAsia"/>
          <w:sz w:val="21"/>
          <w:szCs w:val="21"/>
        </w:rPr>
        <w:t>信息披露媒介。</w:t>
      </w:r>
    </w:p>
    <w:p w14:paraId="02E8DF01"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2</w:t>
      </w:r>
      <w:r w:rsidRPr="004E30C2">
        <w:rPr>
          <w:rFonts w:ascii="Calibri" w:eastAsia="宋体" w:hAnsi="Calibri"/>
          <w:sz w:val="21"/>
          <w:szCs w:val="21"/>
        </w:rPr>
        <w:t>、</w:t>
      </w:r>
      <w:r w:rsidRPr="004E30C2">
        <w:rPr>
          <w:rFonts w:ascii="Calibri" w:eastAsia="宋体" w:hAnsi="Calibri"/>
          <w:sz w:val="21"/>
          <w:szCs w:val="21"/>
        </w:rPr>
        <w:t>T+1</w:t>
      </w:r>
      <w:r w:rsidRPr="004E30C2">
        <w:rPr>
          <w:rFonts w:ascii="Calibri" w:eastAsia="宋体" w:hAnsi="Calibri"/>
          <w:sz w:val="21"/>
          <w:szCs w:val="21"/>
        </w:rPr>
        <w:t>日</w:t>
      </w:r>
      <w:r w:rsidRPr="004E30C2">
        <w:rPr>
          <w:rFonts w:ascii="Calibri" w:eastAsia="宋体" w:hAnsi="Calibri" w:hint="eastAsia"/>
          <w:sz w:val="21"/>
          <w:szCs w:val="21"/>
        </w:rPr>
        <w:t>，登记机构根据</w:t>
      </w:r>
      <w:r w:rsidRPr="004E30C2">
        <w:rPr>
          <w:rFonts w:ascii="Calibri" w:eastAsia="宋体" w:hAnsi="Calibri"/>
          <w:sz w:val="21"/>
          <w:szCs w:val="21"/>
        </w:rPr>
        <w:t>T</w:t>
      </w:r>
      <w:r w:rsidRPr="004E30C2">
        <w:rPr>
          <w:rFonts w:ascii="Calibri" w:eastAsia="宋体" w:hAnsi="Calibri"/>
          <w:sz w:val="21"/>
          <w:szCs w:val="21"/>
        </w:rPr>
        <w:t>日</w:t>
      </w:r>
      <w:r w:rsidRPr="004E30C2">
        <w:rPr>
          <w:rFonts w:ascii="Calibri" w:eastAsia="宋体" w:hAnsi="Calibri" w:hint="eastAsia"/>
          <w:sz w:val="21"/>
          <w:szCs w:val="21"/>
        </w:rPr>
        <w:t>各类</w:t>
      </w:r>
      <w:r w:rsidRPr="004E30C2">
        <w:rPr>
          <w:rFonts w:ascii="Calibri" w:eastAsia="宋体" w:hAnsi="Calibri"/>
          <w:sz w:val="21"/>
          <w:szCs w:val="21"/>
        </w:rPr>
        <w:t>基金份额净值计算申购份额、赎回金额及转换份额，更新基金份额持有人数据库；并将确认的申购、赎回及转换数据向基金托管人、基金管理人传送。基金管理人、基金托管人根据确认数据进行账务处理。</w:t>
      </w:r>
    </w:p>
    <w:p w14:paraId="771EE083"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3</w:t>
      </w:r>
      <w:r w:rsidRPr="004E30C2">
        <w:rPr>
          <w:rFonts w:ascii="Calibri" w:eastAsia="宋体" w:hAnsi="Calibri"/>
          <w:sz w:val="21"/>
          <w:szCs w:val="21"/>
        </w:rPr>
        <w:t>、</w:t>
      </w:r>
      <w:r w:rsidRPr="004E30C2">
        <w:rPr>
          <w:rFonts w:ascii="Calibri" w:eastAsia="宋体" w:hAnsi="Calibri" w:hint="eastAsia"/>
          <w:sz w:val="21"/>
          <w:szCs w:val="21"/>
        </w:rPr>
        <w:t>基金托管账户与基金清算账户之间的资金结算遵循“全额清算、净额交收”的原则，每日按照托管账户应收资金与应付资金的差额来确定托管账户净应收额或净应付额，以此确定资金交收额。当存在托管账户净应收额时，基金管理人</w:t>
      </w:r>
      <w:r w:rsidRPr="004E30C2">
        <w:rPr>
          <w:rFonts w:ascii="Calibri" w:eastAsia="宋体" w:hAnsi="Calibri" w:hint="eastAsia"/>
          <w:sz w:val="21"/>
          <w:szCs w:val="21"/>
        </w:rPr>
        <w:t>应在</w:t>
      </w:r>
      <w:proofErr w:type="gramStart"/>
      <w:r w:rsidRPr="004E30C2">
        <w:rPr>
          <w:rFonts w:ascii="Calibri" w:eastAsia="宋体" w:hAnsi="Calibri" w:hint="eastAsia"/>
          <w:sz w:val="21"/>
          <w:szCs w:val="21"/>
        </w:rPr>
        <w:t>交收日</w:t>
      </w:r>
      <w:proofErr w:type="gramEnd"/>
      <w:r w:rsidRPr="004E30C2">
        <w:rPr>
          <w:rFonts w:ascii="Calibri" w:eastAsia="宋体" w:hAnsi="Calibri"/>
          <w:sz w:val="21"/>
          <w:szCs w:val="21"/>
        </w:rPr>
        <w:t>15:00</w:t>
      </w:r>
      <w:r w:rsidRPr="004E30C2">
        <w:rPr>
          <w:rFonts w:ascii="Calibri" w:eastAsia="宋体" w:hAnsi="Calibri"/>
          <w:sz w:val="21"/>
          <w:szCs w:val="21"/>
        </w:rPr>
        <w:t>之前从基金清算账户划到基金托管账户；当存在托管账户净应付额时，基金托管人按基金管理人的划款指令将托管账户净应付额在交</w:t>
      </w:r>
      <w:proofErr w:type="gramStart"/>
      <w:r w:rsidRPr="004E30C2">
        <w:rPr>
          <w:rFonts w:ascii="Calibri" w:eastAsia="宋体" w:hAnsi="Calibri" w:hint="eastAsia"/>
          <w:sz w:val="21"/>
          <w:szCs w:val="21"/>
        </w:rPr>
        <w:t>收日及时划往基金</w:t>
      </w:r>
      <w:proofErr w:type="gramEnd"/>
      <w:r w:rsidRPr="004E30C2">
        <w:rPr>
          <w:rFonts w:ascii="Calibri" w:eastAsia="宋体" w:hAnsi="Calibri" w:hint="eastAsia"/>
          <w:sz w:val="21"/>
          <w:szCs w:val="21"/>
        </w:rPr>
        <w:t>清算账户。因基金托管账户没有足够的资金，导致基金托管人不能按时拨付的，基金托管人应及时通知基金管理人，基金托管人不承担垫款义务。</w:t>
      </w:r>
    </w:p>
    <w:p w14:paraId="4A995C71"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4</w:t>
      </w:r>
      <w:r w:rsidRPr="004E30C2">
        <w:rPr>
          <w:rFonts w:ascii="Calibri" w:eastAsia="宋体" w:hAnsi="Calibri" w:hint="eastAsia"/>
          <w:sz w:val="21"/>
          <w:szCs w:val="21"/>
        </w:rPr>
        <w:t>、基金管理人未能按上款约定将托管账户净应收额全额、及时汇至基金托管账户，由此产生的责任应由基金管理人（不可抗力或基金管理人无过错的情况除外）承担；基金托管人未能按上款约定将托管账户净应付额全额、及时汇至“基金清算账户”，由此产生</w:t>
      </w:r>
      <w:r w:rsidRPr="004E30C2">
        <w:rPr>
          <w:rFonts w:ascii="Calibri" w:eastAsia="宋体" w:hAnsi="Calibri" w:hint="eastAsia"/>
          <w:sz w:val="21"/>
          <w:szCs w:val="21"/>
        </w:rPr>
        <w:t>的责任应由基金托管人承担（不可抗力或基金托管人无过错的情况除外）。</w:t>
      </w:r>
    </w:p>
    <w:p w14:paraId="5244E833" w14:textId="77777777" w:rsidR="006C190A" w:rsidRPr="004E30C2" w:rsidRDefault="00CC37BA">
      <w:pPr>
        <w:pStyle w:val="a7"/>
        <w:spacing w:before="100" w:beforeAutospacing="1" w:after="100" w:afterAutospacing="1"/>
        <w:ind w:firstLine="403"/>
        <w:rPr>
          <w:szCs w:val="21"/>
        </w:rPr>
      </w:pPr>
      <w:r w:rsidRPr="004E30C2">
        <w:rPr>
          <w:rFonts w:ascii="Calibri" w:eastAsia="宋体" w:hAnsi="Calibri"/>
          <w:color w:val="auto"/>
          <w:sz w:val="21"/>
          <w:szCs w:val="21"/>
        </w:rPr>
        <w:t>5</w:t>
      </w:r>
      <w:r w:rsidRPr="004E30C2">
        <w:rPr>
          <w:rFonts w:ascii="Calibri" w:eastAsia="宋体" w:hAnsi="Calibri" w:hint="eastAsia"/>
          <w:color w:val="auto"/>
          <w:sz w:val="21"/>
          <w:szCs w:val="21"/>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344F3B7C" w14:textId="77777777" w:rsidR="006C190A" w:rsidRPr="004E30C2" w:rsidRDefault="006C190A">
      <w:pPr>
        <w:pStyle w:val="16"/>
        <w:spacing w:line="400" w:lineRule="exact"/>
        <w:ind w:firstLine="424"/>
        <w:rPr>
          <w:szCs w:val="21"/>
        </w:rPr>
      </w:pPr>
    </w:p>
    <w:p w14:paraId="7F9095A1"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34" w:name="_Toc119267464"/>
      <w:bookmarkStart w:id="35" w:name="_Toc21807"/>
      <w:bookmarkStart w:id="36" w:name="_Toc116900103"/>
      <w:r w:rsidRPr="004E30C2">
        <w:rPr>
          <w:rFonts w:ascii="Calibri" w:hAnsi="Calibri" w:hint="eastAsia"/>
          <w:sz w:val="21"/>
          <w:szCs w:val="21"/>
        </w:rPr>
        <w:t>八、基金资产净值计算和会计核算</w:t>
      </w:r>
      <w:bookmarkEnd w:id="34"/>
      <w:bookmarkEnd w:id="35"/>
      <w:bookmarkEnd w:id="36"/>
    </w:p>
    <w:p w14:paraId="16AD0E77"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（一）基金资产净值的计算和复核</w:t>
      </w:r>
    </w:p>
    <w:p w14:paraId="04C70D70"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1</w:t>
      </w:r>
      <w:r w:rsidRPr="004E30C2">
        <w:rPr>
          <w:rFonts w:ascii="Calibri" w:eastAsia="宋体" w:hAnsi="Calibri"/>
          <w:sz w:val="21"/>
          <w:szCs w:val="21"/>
        </w:rPr>
        <w:t>、基金资产净值是指基金</w:t>
      </w:r>
      <w:r w:rsidRPr="004E30C2">
        <w:rPr>
          <w:rFonts w:ascii="Calibri" w:eastAsia="宋体" w:hAnsi="Calibri" w:hint="eastAsia"/>
          <w:sz w:val="21"/>
          <w:szCs w:val="21"/>
        </w:rPr>
        <w:t>资产总值减去基金负债后的价值。各类基金份额净值是指每个估值日闭市后，该类基金资产净值除以当日该类基金份额总数后的价值，均精确到</w:t>
      </w:r>
      <w:r w:rsidRPr="004E30C2">
        <w:rPr>
          <w:rFonts w:ascii="Calibri" w:eastAsia="宋体" w:hAnsi="Calibri"/>
          <w:sz w:val="21"/>
          <w:szCs w:val="21"/>
        </w:rPr>
        <w:t>0.0001</w:t>
      </w:r>
      <w:r w:rsidRPr="004E30C2">
        <w:rPr>
          <w:rFonts w:ascii="Calibri" w:eastAsia="宋体" w:hAnsi="Calibri"/>
          <w:sz w:val="21"/>
          <w:szCs w:val="21"/>
        </w:rPr>
        <w:t>元，小数点后第五位四舍五入。</w:t>
      </w:r>
      <w:r w:rsidRPr="004E30C2">
        <w:rPr>
          <w:rFonts w:ascii="Calibri" w:eastAsia="宋体" w:hAnsi="Calibri" w:hint="eastAsia"/>
          <w:sz w:val="21"/>
          <w:szCs w:val="21"/>
        </w:rPr>
        <w:t>由此产生的误差计入基金财产。基金管理人可以设立大额赎回情形下的净值精度应急调整机制。国家另有规定的，从其规定。</w:t>
      </w:r>
    </w:p>
    <w:p w14:paraId="5B318496"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szCs w:val="21"/>
        </w:rPr>
        <w:t>2</w:t>
      </w:r>
      <w:r w:rsidRPr="004E30C2">
        <w:rPr>
          <w:rFonts w:ascii="Calibri" w:hAnsi="Calibri"/>
          <w:szCs w:val="21"/>
        </w:rPr>
        <w:t>、</w:t>
      </w:r>
      <w:r w:rsidRPr="004E30C2">
        <w:rPr>
          <w:rFonts w:ascii="Calibri" w:hAnsi="Calibri" w:hint="eastAsia"/>
          <w:szCs w:val="21"/>
        </w:rPr>
        <w:t>基金管理人</w:t>
      </w:r>
      <w:proofErr w:type="gramStart"/>
      <w:r w:rsidRPr="004E30C2">
        <w:rPr>
          <w:rFonts w:ascii="Calibri" w:hAnsi="Calibri" w:hint="eastAsia"/>
          <w:szCs w:val="21"/>
        </w:rPr>
        <w:t>应每个</w:t>
      </w:r>
      <w:proofErr w:type="gramEnd"/>
      <w:r w:rsidRPr="004E30C2">
        <w:rPr>
          <w:rFonts w:ascii="Calibri" w:hAnsi="Calibri" w:hint="eastAsia"/>
          <w:szCs w:val="21"/>
        </w:rPr>
        <w:t>估值日对基金财产估值。</w:t>
      </w:r>
      <w:r w:rsidRPr="004E30C2">
        <w:rPr>
          <w:rFonts w:ascii="Calibri" w:hAnsi="Calibri"/>
          <w:szCs w:val="21"/>
        </w:rPr>
        <w:t>但基金管理人根据法律法规或</w:t>
      </w:r>
      <w:r w:rsidRPr="004E30C2">
        <w:rPr>
          <w:rFonts w:ascii="Calibri" w:hAnsi="Calibri" w:hint="eastAsia"/>
          <w:szCs w:val="21"/>
        </w:rPr>
        <w:t>《</w:t>
      </w:r>
      <w:r w:rsidRPr="004E30C2">
        <w:rPr>
          <w:rFonts w:ascii="Calibri" w:hAnsi="Calibri"/>
          <w:szCs w:val="21"/>
        </w:rPr>
        <w:t>基金合同</w:t>
      </w:r>
      <w:r w:rsidRPr="004E30C2">
        <w:rPr>
          <w:rFonts w:ascii="Calibri" w:hAnsi="Calibri" w:hint="eastAsia"/>
          <w:szCs w:val="21"/>
        </w:rPr>
        <w:t>》</w:t>
      </w:r>
      <w:r w:rsidRPr="004E30C2">
        <w:rPr>
          <w:rFonts w:ascii="Calibri" w:hAnsi="Calibri"/>
          <w:szCs w:val="21"/>
        </w:rPr>
        <w:t>的规定暂停估值时除外。</w:t>
      </w:r>
      <w:r w:rsidRPr="004E30C2">
        <w:rPr>
          <w:rFonts w:ascii="Calibri" w:hAnsi="Calibri" w:hint="eastAsia"/>
          <w:szCs w:val="21"/>
        </w:rPr>
        <w:t>估值原则应符合《基金合同》、《证券投资基金会计核算业</w:t>
      </w:r>
      <w:r w:rsidRPr="004E30C2">
        <w:rPr>
          <w:rFonts w:ascii="Calibri" w:hAnsi="Calibri" w:hint="eastAsia"/>
          <w:szCs w:val="21"/>
        </w:rPr>
        <w:lastRenderedPageBreak/>
        <w:t>务指引》及其他法律法规的规定。基金资产净值和各类基金份额净值由基金管理人负责计算，基金托管人复核。基金管理人应于每个估值日结束后计算得出当日的基金资产净值及各类基金份额净值，并以双方约定的方式发送给基金托管人。基金托管人应对净值计算结果进行复核，并以双方约定的方式将复核结果传送给基金管理人，由基金管理人按照基金合同规定对外公布。月末、年中和年末估值复核与基金会计账目的核对同时进行。</w:t>
      </w:r>
    </w:p>
    <w:p w14:paraId="6E39A1F1"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3</w:t>
      </w:r>
      <w:r w:rsidRPr="004E30C2">
        <w:rPr>
          <w:rFonts w:ascii="Calibri" w:eastAsia="宋体" w:hAnsi="Calibri"/>
          <w:sz w:val="21"/>
          <w:szCs w:val="21"/>
        </w:rPr>
        <w:t>、</w:t>
      </w:r>
      <w:proofErr w:type="gramStart"/>
      <w:r w:rsidRPr="004E30C2">
        <w:rPr>
          <w:rFonts w:ascii="Calibri" w:eastAsia="宋体" w:hAnsi="Calibri"/>
          <w:sz w:val="21"/>
          <w:szCs w:val="21"/>
        </w:rPr>
        <w:t>当</w:t>
      </w:r>
      <w:r w:rsidRPr="004E30C2">
        <w:rPr>
          <w:rFonts w:ascii="Calibri" w:eastAsia="宋体" w:hAnsi="Calibri" w:cs="方正仿宋简体" w:hint="eastAsia"/>
          <w:sz w:val="21"/>
          <w:szCs w:val="21"/>
        </w:rPr>
        <w:t>相关</w:t>
      </w:r>
      <w:proofErr w:type="gramEnd"/>
      <w:r w:rsidRPr="004E30C2">
        <w:rPr>
          <w:rFonts w:ascii="Calibri" w:eastAsia="宋体" w:hAnsi="Calibri" w:cs="方正仿宋简体" w:hint="eastAsia"/>
          <w:sz w:val="21"/>
          <w:szCs w:val="21"/>
        </w:rPr>
        <w:t>法律法规或《基金合同》规定的估值方法不能客观反映基金财产公允价值</w:t>
      </w:r>
      <w:r w:rsidRPr="004E30C2">
        <w:rPr>
          <w:rFonts w:ascii="Calibri" w:eastAsia="宋体" w:hAnsi="Calibri" w:cs="方正仿宋简体" w:hint="eastAsia"/>
          <w:sz w:val="21"/>
          <w:szCs w:val="21"/>
        </w:rPr>
        <w:t>时，</w:t>
      </w:r>
      <w:r w:rsidRPr="004E30C2">
        <w:rPr>
          <w:rFonts w:ascii="Calibri" w:eastAsia="宋体" w:hAnsi="Calibri" w:hint="eastAsia"/>
          <w:sz w:val="21"/>
          <w:szCs w:val="21"/>
        </w:rPr>
        <w:t>基金管理人可根据具体情况</w:t>
      </w:r>
      <w:r w:rsidRPr="004E30C2">
        <w:rPr>
          <w:rFonts w:ascii="Calibri" w:eastAsia="宋体" w:hAnsi="Calibri"/>
          <w:sz w:val="21"/>
          <w:szCs w:val="21"/>
        </w:rPr>
        <w:t>，</w:t>
      </w:r>
      <w:r w:rsidRPr="004E30C2">
        <w:rPr>
          <w:rFonts w:ascii="Calibri" w:eastAsia="宋体" w:hAnsi="Calibri" w:hint="eastAsia"/>
          <w:sz w:val="21"/>
          <w:szCs w:val="21"/>
        </w:rPr>
        <w:t>并与基金托管人商定后</w:t>
      </w:r>
      <w:r w:rsidRPr="004E30C2">
        <w:rPr>
          <w:rFonts w:ascii="Calibri" w:eastAsia="宋体" w:hAnsi="Calibri"/>
          <w:sz w:val="21"/>
          <w:szCs w:val="21"/>
        </w:rPr>
        <w:t>，</w:t>
      </w:r>
      <w:r w:rsidRPr="004E30C2">
        <w:rPr>
          <w:rFonts w:ascii="Calibri" w:eastAsia="宋体" w:hAnsi="Calibri" w:hint="eastAsia"/>
          <w:sz w:val="21"/>
          <w:szCs w:val="21"/>
        </w:rPr>
        <w:t>按最能反映公允价值的价格估值。本基金实施</w:t>
      </w:r>
      <w:proofErr w:type="gramStart"/>
      <w:r w:rsidRPr="004E30C2">
        <w:rPr>
          <w:rFonts w:ascii="Calibri" w:eastAsia="宋体" w:hAnsi="Calibri" w:hint="eastAsia"/>
          <w:sz w:val="21"/>
          <w:szCs w:val="21"/>
        </w:rPr>
        <w:t>侧袋机制</w:t>
      </w:r>
      <w:proofErr w:type="gramEnd"/>
      <w:r w:rsidRPr="004E30C2">
        <w:rPr>
          <w:rFonts w:ascii="Calibri" w:eastAsia="宋体" w:hAnsi="Calibri" w:hint="eastAsia"/>
          <w:sz w:val="21"/>
          <w:szCs w:val="21"/>
        </w:rPr>
        <w:t>的，应根据本部分的约定</w:t>
      </w:r>
      <w:proofErr w:type="gramStart"/>
      <w:r w:rsidRPr="004E30C2">
        <w:rPr>
          <w:rFonts w:ascii="Calibri" w:eastAsia="宋体" w:hAnsi="Calibri" w:hint="eastAsia"/>
          <w:sz w:val="21"/>
          <w:szCs w:val="21"/>
        </w:rPr>
        <w:t>对主袋账户</w:t>
      </w:r>
      <w:proofErr w:type="gramEnd"/>
      <w:r w:rsidRPr="004E30C2">
        <w:rPr>
          <w:rFonts w:ascii="Calibri" w:eastAsia="宋体" w:hAnsi="Calibri" w:hint="eastAsia"/>
          <w:sz w:val="21"/>
          <w:szCs w:val="21"/>
        </w:rPr>
        <w:t>资产进行估值并</w:t>
      </w:r>
      <w:proofErr w:type="gramStart"/>
      <w:r w:rsidRPr="004E30C2">
        <w:rPr>
          <w:rFonts w:ascii="Calibri" w:eastAsia="宋体" w:hAnsi="Calibri" w:hint="eastAsia"/>
          <w:sz w:val="21"/>
          <w:szCs w:val="21"/>
        </w:rPr>
        <w:t>披露主袋账户</w:t>
      </w:r>
      <w:proofErr w:type="gramEnd"/>
      <w:r w:rsidRPr="004E30C2">
        <w:rPr>
          <w:rFonts w:ascii="Calibri" w:eastAsia="宋体" w:hAnsi="Calibri" w:hint="eastAsia"/>
          <w:sz w:val="21"/>
          <w:szCs w:val="21"/>
        </w:rPr>
        <w:t>的基金净值信息，暂停</w:t>
      </w:r>
      <w:proofErr w:type="gramStart"/>
      <w:r w:rsidRPr="004E30C2">
        <w:rPr>
          <w:rFonts w:ascii="Calibri" w:eastAsia="宋体" w:hAnsi="Calibri" w:hint="eastAsia"/>
          <w:sz w:val="21"/>
          <w:szCs w:val="21"/>
        </w:rPr>
        <w:t>披露侧袋账户</w:t>
      </w:r>
      <w:proofErr w:type="gramEnd"/>
      <w:r w:rsidRPr="004E30C2">
        <w:rPr>
          <w:rFonts w:ascii="Calibri" w:eastAsia="宋体" w:hAnsi="Calibri" w:hint="eastAsia"/>
          <w:sz w:val="21"/>
          <w:szCs w:val="21"/>
        </w:rPr>
        <w:t>的基金净值信息。</w:t>
      </w:r>
    </w:p>
    <w:p w14:paraId="71906190" w14:textId="77777777" w:rsidR="006C190A" w:rsidRPr="004E30C2" w:rsidRDefault="00CC37BA">
      <w:pPr>
        <w:pStyle w:val="32"/>
        <w:spacing w:before="100" w:beforeAutospacing="1" w:after="100" w:afterAutospacing="1" w:line="400" w:lineRule="exact"/>
        <w:ind w:left="0" w:right="26" w:firstLine="403"/>
        <w:rPr>
          <w:rFonts w:ascii="Calibri" w:eastAsia="宋体" w:hAnsi="Calibri" w:cs="方正仿宋简体"/>
          <w:sz w:val="21"/>
          <w:szCs w:val="21"/>
        </w:rPr>
      </w:pPr>
      <w:r w:rsidRPr="004E30C2">
        <w:rPr>
          <w:rFonts w:ascii="Calibri" w:eastAsia="宋体" w:hAnsi="Calibri"/>
          <w:sz w:val="21"/>
          <w:szCs w:val="21"/>
        </w:rPr>
        <w:t>4</w:t>
      </w:r>
      <w:r w:rsidRPr="004E30C2">
        <w:rPr>
          <w:rFonts w:ascii="Calibri" w:eastAsia="宋体" w:hAnsi="Calibri"/>
          <w:sz w:val="21"/>
          <w:szCs w:val="21"/>
        </w:rPr>
        <w:t>、</w:t>
      </w:r>
      <w:r w:rsidRPr="004E30C2">
        <w:rPr>
          <w:rFonts w:ascii="Calibri" w:eastAsia="宋体" w:hAnsi="Calibri" w:cs="方正仿宋简体" w:hint="eastAsia"/>
          <w:sz w:val="21"/>
          <w:szCs w:val="21"/>
        </w:rPr>
        <w:t>基金管理人、基金托管人发现基金估值违反《基金合同》订明的估值方法、程序以及相关法律法规的规定或者未能充分维护基金份额持有人利益时，双方应及时进行协商和纠正。</w:t>
      </w:r>
    </w:p>
    <w:p w14:paraId="605A00B7"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cs="方正仿宋简体"/>
          <w:szCs w:val="21"/>
        </w:rPr>
        <w:t>5</w:t>
      </w:r>
      <w:r w:rsidRPr="004E30C2">
        <w:rPr>
          <w:rFonts w:ascii="Calibri" w:hAnsi="Calibri" w:cs="方正仿宋简体"/>
          <w:szCs w:val="21"/>
        </w:rPr>
        <w:t>、</w:t>
      </w:r>
      <w:r w:rsidRPr="004E30C2">
        <w:rPr>
          <w:rFonts w:ascii="Calibri" w:hAnsi="Calibri" w:hint="eastAsia"/>
          <w:szCs w:val="21"/>
        </w:rPr>
        <w:t>当基金资产的估值导致任一类基金份额净值小数点后四位以内（含</w:t>
      </w:r>
      <w:r w:rsidRPr="004E30C2">
        <w:rPr>
          <w:rFonts w:ascii="Calibri" w:hAnsi="Calibri"/>
          <w:szCs w:val="21"/>
        </w:rPr>
        <w:t>第四位</w:t>
      </w:r>
      <w:r w:rsidRPr="004E30C2">
        <w:rPr>
          <w:rFonts w:ascii="Calibri" w:hAnsi="Calibri" w:hint="eastAsia"/>
          <w:szCs w:val="21"/>
        </w:rPr>
        <w:t>）发生差错时，视为该类基金份额净值估值错误。当基金份额净值出现错误时，基金</w:t>
      </w:r>
      <w:r w:rsidRPr="004E30C2">
        <w:rPr>
          <w:rFonts w:ascii="Calibri" w:hAnsi="Calibri" w:hint="eastAsia"/>
          <w:szCs w:val="21"/>
        </w:rPr>
        <w:t>管理人应当立即予以纠正，通知</w:t>
      </w:r>
      <w:r w:rsidRPr="004E30C2">
        <w:rPr>
          <w:rFonts w:ascii="Calibri" w:hAnsi="Calibri"/>
          <w:szCs w:val="21"/>
        </w:rPr>
        <w:t>基金托管人</w:t>
      </w:r>
      <w:r w:rsidRPr="004E30C2">
        <w:rPr>
          <w:rFonts w:ascii="Calibri" w:hAnsi="Calibri" w:hint="eastAsia"/>
          <w:szCs w:val="21"/>
        </w:rPr>
        <w:t>，并采取合理的措施防止损失进一步扩大；当估值错误达到该类基金份额净值的</w:t>
      </w:r>
      <w:r w:rsidRPr="004E30C2">
        <w:rPr>
          <w:rFonts w:ascii="Calibri" w:hAnsi="Calibri"/>
          <w:szCs w:val="21"/>
        </w:rPr>
        <w:t>0.25%</w:t>
      </w:r>
      <w:r w:rsidRPr="004E30C2">
        <w:rPr>
          <w:rFonts w:ascii="Calibri" w:hAnsi="Calibri" w:hint="eastAsia"/>
          <w:szCs w:val="21"/>
        </w:rPr>
        <w:t>时，基金管理人应当通知</w:t>
      </w:r>
      <w:r w:rsidRPr="004E30C2">
        <w:rPr>
          <w:rFonts w:ascii="Calibri" w:hAnsi="Calibri"/>
          <w:szCs w:val="21"/>
        </w:rPr>
        <w:t>基金</w:t>
      </w:r>
      <w:r w:rsidRPr="004E30C2">
        <w:rPr>
          <w:rFonts w:ascii="Calibri" w:hAnsi="Calibri" w:hint="eastAsia"/>
          <w:szCs w:val="21"/>
        </w:rPr>
        <w:t>托管人</w:t>
      </w:r>
      <w:r w:rsidRPr="004E30C2">
        <w:rPr>
          <w:rFonts w:ascii="Calibri" w:hAnsi="Calibri"/>
          <w:szCs w:val="21"/>
        </w:rPr>
        <w:t>并</w:t>
      </w:r>
      <w:r w:rsidRPr="004E30C2">
        <w:rPr>
          <w:rFonts w:ascii="Calibri" w:hAnsi="Calibri" w:hint="eastAsia"/>
          <w:szCs w:val="21"/>
        </w:rPr>
        <w:t>报中国证监会备案；当估值错误达到该类基金份额净值的</w:t>
      </w:r>
      <w:r w:rsidRPr="004E30C2">
        <w:rPr>
          <w:rFonts w:ascii="Calibri" w:hAnsi="Calibri"/>
          <w:szCs w:val="21"/>
        </w:rPr>
        <w:t>0.5%</w:t>
      </w:r>
      <w:r w:rsidRPr="004E30C2">
        <w:rPr>
          <w:rFonts w:ascii="Calibri" w:hAnsi="Calibri" w:hint="eastAsia"/>
          <w:szCs w:val="21"/>
        </w:rPr>
        <w:t>时，基金管理人应当通知基金托管人，在报中国证监会备案的同时并及时进行公告。</w:t>
      </w:r>
      <w:r w:rsidRPr="004E30C2">
        <w:rPr>
          <w:rFonts w:ascii="Calibri" w:hAnsi="Calibri"/>
          <w:szCs w:val="21"/>
        </w:rPr>
        <w:t>如法律法规或监管机关</w:t>
      </w:r>
      <w:r w:rsidRPr="004E30C2">
        <w:rPr>
          <w:rFonts w:ascii="Calibri" w:hAnsi="Calibri" w:hint="eastAsia"/>
          <w:szCs w:val="21"/>
        </w:rPr>
        <w:t>对</w:t>
      </w:r>
      <w:r w:rsidRPr="004E30C2">
        <w:rPr>
          <w:rFonts w:ascii="Calibri" w:hAnsi="Calibri"/>
          <w:szCs w:val="21"/>
        </w:rPr>
        <w:t>前述内容另有规定的，按其规定处理。</w:t>
      </w:r>
      <w:r w:rsidRPr="004E30C2">
        <w:rPr>
          <w:rFonts w:ascii="Calibri" w:hAnsi="Calibri" w:hint="eastAsia"/>
          <w:szCs w:val="21"/>
        </w:rPr>
        <w:t>如果行业另有通行做法，基金管理人与基金托管人应本着平等和保护基金份额持有人利益的原则进行协商。</w:t>
      </w:r>
    </w:p>
    <w:p w14:paraId="32C4C68D" w14:textId="77777777" w:rsidR="006C190A" w:rsidRPr="004E30C2" w:rsidRDefault="00CC37BA">
      <w:pPr>
        <w:pStyle w:val="32"/>
        <w:spacing w:before="100" w:beforeAutospacing="1" w:after="100" w:afterAutospacing="1" w:line="400" w:lineRule="exact"/>
        <w:ind w:left="0" w:right="26" w:firstLine="403"/>
        <w:rPr>
          <w:rFonts w:ascii="Calibri" w:eastAsia="宋体" w:hAnsi="Calibri" w:cs="方正仿宋简体"/>
          <w:sz w:val="21"/>
          <w:szCs w:val="21"/>
        </w:rPr>
      </w:pPr>
      <w:r w:rsidRPr="004E30C2">
        <w:rPr>
          <w:rFonts w:ascii="Calibri" w:eastAsia="宋体" w:hAnsi="Calibri" w:cs="方正仿宋简体"/>
          <w:sz w:val="21"/>
          <w:szCs w:val="21"/>
        </w:rPr>
        <w:t>6</w:t>
      </w:r>
      <w:r w:rsidRPr="004E30C2">
        <w:rPr>
          <w:rFonts w:ascii="Calibri" w:eastAsia="宋体" w:hAnsi="Calibri" w:cs="方正仿宋简体"/>
          <w:sz w:val="21"/>
          <w:szCs w:val="21"/>
        </w:rPr>
        <w:t>、</w:t>
      </w:r>
      <w:r w:rsidRPr="004E30C2">
        <w:rPr>
          <w:rFonts w:ascii="Calibri" w:eastAsia="宋体" w:hAnsi="Calibri" w:hint="eastAsia"/>
          <w:sz w:val="21"/>
          <w:szCs w:val="21"/>
        </w:rPr>
        <w:t>由于基金管理人对外公布的任何基金净值信息数据错误，导致该基金财产或基金份</w:t>
      </w:r>
      <w:r w:rsidRPr="004E30C2">
        <w:rPr>
          <w:rFonts w:ascii="Calibri" w:eastAsia="宋体" w:hAnsi="Calibri" w:hint="eastAsia"/>
          <w:sz w:val="21"/>
          <w:szCs w:val="21"/>
        </w:rPr>
        <w:t>额持有人的实际损失，基金管理人应对此承担责任。</w:t>
      </w:r>
      <w:proofErr w:type="gramStart"/>
      <w:r w:rsidRPr="004E30C2">
        <w:rPr>
          <w:rFonts w:ascii="Calibri" w:eastAsia="宋体" w:hAnsi="Calibri" w:hint="eastAsia"/>
          <w:sz w:val="21"/>
          <w:szCs w:val="21"/>
        </w:rPr>
        <w:t>若基金</w:t>
      </w:r>
      <w:proofErr w:type="gramEnd"/>
      <w:r w:rsidRPr="004E30C2">
        <w:rPr>
          <w:rFonts w:ascii="Calibri" w:eastAsia="宋体" w:hAnsi="Calibri" w:hint="eastAsia"/>
          <w:sz w:val="21"/>
          <w:szCs w:val="21"/>
        </w:rPr>
        <w:t>托管人计算的净值数据正确，</w:t>
      </w:r>
      <w:proofErr w:type="gramStart"/>
      <w:r w:rsidRPr="004E30C2">
        <w:rPr>
          <w:rFonts w:ascii="Calibri" w:eastAsia="宋体" w:hAnsi="Calibri" w:hint="eastAsia"/>
          <w:sz w:val="21"/>
          <w:szCs w:val="21"/>
        </w:rPr>
        <w:t>则基金</w:t>
      </w:r>
      <w:proofErr w:type="gramEnd"/>
      <w:r w:rsidRPr="004E30C2">
        <w:rPr>
          <w:rFonts w:ascii="Calibri" w:eastAsia="宋体" w:hAnsi="Calibri" w:hint="eastAsia"/>
          <w:sz w:val="21"/>
          <w:szCs w:val="21"/>
        </w:rPr>
        <w:t>托管人对该损失不承担责任；</w:t>
      </w:r>
      <w:proofErr w:type="gramStart"/>
      <w:r w:rsidRPr="004E30C2">
        <w:rPr>
          <w:rFonts w:ascii="Calibri" w:eastAsia="宋体" w:hAnsi="Calibri" w:hint="eastAsia"/>
          <w:sz w:val="21"/>
          <w:szCs w:val="21"/>
        </w:rPr>
        <w:t>若基金</w:t>
      </w:r>
      <w:proofErr w:type="gramEnd"/>
      <w:r w:rsidRPr="004E30C2">
        <w:rPr>
          <w:rFonts w:ascii="Calibri" w:eastAsia="宋体" w:hAnsi="Calibri" w:hint="eastAsia"/>
          <w:sz w:val="21"/>
          <w:szCs w:val="21"/>
        </w:rPr>
        <w:t>托管人计算的净值数据也不正确，</w:t>
      </w:r>
      <w:proofErr w:type="gramStart"/>
      <w:r w:rsidRPr="004E30C2">
        <w:rPr>
          <w:rFonts w:ascii="Calibri" w:eastAsia="宋体" w:hAnsi="Calibri" w:hint="eastAsia"/>
          <w:sz w:val="21"/>
          <w:szCs w:val="21"/>
        </w:rPr>
        <w:t>则基金</w:t>
      </w:r>
      <w:proofErr w:type="gramEnd"/>
      <w:r w:rsidRPr="004E30C2">
        <w:rPr>
          <w:rFonts w:ascii="Calibri" w:eastAsia="宋体" w:hAnsi="Calibri" w:hint="eastAsia"/>
          <w:sz w:val="21"/>
          <w:szCs w:val="21"/>
        </w:rPr>
        <w:t>托管人也应承担部分未正确履行复核义务的责任。如果上述错误造成了基金财产或基金份额持有人的不当得利，</w:t>
      </w:r>
      <w:proofErr w:type="gramStart"/>
      <w:r w:rsidRPr="004E30C2">
        <w:rPr>
          <w:rFonts w:ascii="Calibri" w:eastAsia="宋体" w:hAnsi="Calibri" w:hint="eastAsia"/>
          <w:sz w:val="21"/>
          <w:szCs w:val="21"/>
        </w:rPr>
        <w:t>且基金</w:t>
      </w:r>
      <w:proofErr w:type="gramEnd"/>
      <w:r w:rsidRPr="004E30C2">
        <w:rPr>
          <w:rFonts w:ascii="Calibri" w:eastAsia="宋体" w:hAnsi="Calibri" w:hint="eastAsia"/>
          <w:sz w:val="21"/>
          <w:szCs w:val="21"/>
        </w:rPr>
        <w:t>管理人及基金托管人已各自承担了赔偿责任，</w:t>
      </w:r>
      <w:proofErr w:type="gramStart"/>
      <w:r w:rsidRPr="004E30C2">
        <w:rPr>
          <w:rFonts w:ascii="Calibri" w:eastAsia="宋体" w:hAnsi="Calibri" w:hint="eastAsia"/>
          <w:sz w:val="21"/>
          <w:szCs w:val="21"/>
        </w:rPr>
        <w:t>则基金</w:t>
      </w:r>
      <w:proofErr w:type="gramEnd"/>
      <w:r w:rsidRPr="004E30C2">
        <w:rPr>
          <w:rFonts w:ascii="Calibri" w:eastAsia="宋体" w:hAnsi="Calibri" w:hint="eastAsia"/>
          <w:sz w:val="21"/>
          <w:szCs w:val="21"/>
        </w:rPr>
        <w:t>管理人应负责向不当得利之主体主张返还不当得利，基金托管人应提供必要的协助。如果返还金额不足以弥补基金管理人和基金托管人已承担的赔偿金额，则双方按照各自赔偿金额的比例对返还金额进行分配。</w:t>
      </w:r>
    </w:p>
    <w:p w14:paraId="5D17BB29" w14:textId="77777777" w:rsidR="006C190A" w:rsidRPr="004E30C2" w:rsidRDefault="00CC37BA">
      <w:pPr>
        <w:pStyle w:val="32"/>
        <w:spacing w:before="100" w:beforeAutospacing="1" w:after="100" w:afterAutospacing="1" w:line="400" w:lineRule="exact"/>
        <w:ind w:left="0" w:right="26" w:firstLine="403"/>
        <w:rPr>
          <w:rFonts w:ascii="Calibri" w:eastAsia="宋体" w:hAnsi="Calibri" w:cs="方正仿宋简体"/>
          <w:sz w:val="21"/>
          <w:szCs w:val="21"/>
        </w:rPr>
      </w:pPr>
      <w:r w:rsidRPr="004E30C2">
        <w:rPr>
          <w:rFonts w:ascii="Calibri" w:eastAsia="宋体" w:hAnsi="Calibri" w:cs="方正仿宋简体"/>
          <w:sz w:val="21"/>
          <w:szCs w:val="21"/>
        </w:rPr>
        <w:t>7</w:t>
      </w:r>
      <w:r w:rsidRPr="004E30C2">
        <w:rPr>
          <w:rFonts w:ascii="Calibri" w:eastAsia="宋体" w:hAnsi="Calibri" w:hint="eastAsia"/>
          <w:sz w:val="21"/>
          <w:szCs w:val="21"/>
        </w:rPr>
        <w:t>、</w:t>
      </w:r>
      <w:r w:rsidRPr="004E30C2">
        <w:rPr>
          <w:rFonts w:ascii="Calibri" w:eastAsia="宋体" w:hAnsi="Calibri"/>
          <w:sz w:val="21"/>
          <w:szCs w:val="21"/>
        </w:rPr>
        <w:t>由于证券</w:t>
      </w:r>
      <w:r w:rsidRPr="004E30C2">
        <w:rPr>
          <w:rFonts w:ascii="Calibri" w:eastAsia="宋体" w:hAnsi="Calibri" w:hint="eastAsia"/>
          <w:sz w:val="21"/>
          <w:szCs w:val="21"/>
        </w:rPr>
        <w:t>、期货</w:t>
      </w:r>
      <w:r w:rsidRPr="004E30C2">
        <w:rPr>
          <w:rFonts w:ascii="Calibri" w:eastAsia="宋体" w:hAnsi="Calibri"/>
          <w:sz w:val="21"/>
          <w:szCs w:val="21"/>
        </w:rPr>
        <w:t>交易所</w:t>
      </w:r>
      <w:r w:rsidRPr="004E30C2">
        <w:rPr>
          <w:rFonts w:ascii="Calibri" w:eastAsia="宋体" w:hAnsi="Calibri" w:hint="eastAsia"/>
          <w:sz w:val="21"/>
          <w:szCs w:val="21"/>
        </w:rPr>
        <w:t>、证券</w:t>
      </w:r>
      <w:r w:rsidRPr="004E30C2">
        <w:rPr>
          <w:rFonts w:ascii="Calibri" w:eastAsia="宋体" w:hAnsi="Calibri" w:hint="eastAsia"/>
          <w:sz w:val="21"/>
          <w:szCs w:val="21"/>
        </w:rPr>
        <w:t>/</w:t>
      </w:r>
      <w:r w:rsidRPr="004E30C2">
        <w:rPr>
          <w:rFonts w:ascii="Calibri" w:eastAsia="宋体" w:hAnsi="Calibri" w:hint="eastAsia"/>
          <w:sz w:val="21"/>
          <w:szCs w:val="21"/>
        </w:rPr>
        <w:t>期货经纪机构、</w:t>
      </w:r>
      <w:r w:rsidRPr="004E30C2">
        <w:rPr>
          <w:rFonts w:ascii="Calibri" w:eastAsia="宋体" w:hAnsi="Calibri"/>
          <w:sz w:val="21"/>
          <w:szCs w:val="21"/>
        </w:rPr>
        <w:t>登记结算公司</w:t>
      </w:r>
      <w:r w:rsidRPr="004E30C2">
        <w:rPr>
          <w:rFonts w:ascii="Calibri" w:eastAsia="宋体" w:hAnsi="Calibri" w:hint="eastAsia"/>
          <w:sz w:val="21"/>
          <w:szCs w:val="21"/>
        </w:rPr>
        <w:t>、第三方估值基准服务机构及存款银行等第三方机构</w:t>
      </w:r>
      <w:r w:rsidRPr="004E30C2">
        <w:rPr>
          <w:rFonts w:ascii="Calibri" w:eastAsia="宋体" w:hAnsi="Calibri"/>
          <w:sz w:val="21"/>
          <w:szCs w:val="21"/>
        </w:rPr>
        <w:t>发送的数据错误</w:t>
      </w:r>
      <w:r w:rsidRPr="004E30C2">
        <w:rPr>
          <w:rFonts w:ascii="Calibri" w:eastAsia="宋体" w:hAnsi="Calibri" w:hint="eastAsia"/>
          <w:sz w:val="21"/>
          <w:szCs w:val="21"/>
        </w:rPr>
        <w:t>、遗漏</w:t>
      </w:r>
      <w:r w:rsidRPr="004E30C2">
        <w:rPr>
          <w:rFonts w:ascii="Calibri" w:eastAsia="宋体" w:hAnsi="Calibri"/>
          <w:sz w:val="21"/>
          <w:szCs w:val="21"/>
        </w:rPr>
        <w:t>，或由于不可抗力原因</w:t>
      </w:r>
      <w:r w:rsidRPr="004E30C2">
        <w:rPr>
          <w:rFonts w:ascii="Calibri" w:eastAsia="宋体" w:hAnsi="Calibri" w:hint="eastAsia"/>
          <w:sz w:val="21"/>
          <w:szCs w:val="21"/>
        </w:rPr>
        <w:t>、国家会计政策变更、市场规则变更等</w:t>
      </w:r>
      <w:proofErr w:type="gramStart"/>
      <w:r w:rsidRPr="004E30C2">
        <w:rPr>
          <w:rFonts w:ascii="Calibri" w:eastAsia="宋体" w:hAnsi="Calibri" w:hint="eastAsia"/>
          <w:sz w:val="21"/>
          <w:szCs w:val="21"/>
        </w:rPr>
        <w:t>非基金</w:t>
      </w:r>
      <w:proofErr w:type="gramEnd"/>
      <w:r w:rsidRPr="004E30C2">
        <w:rPr>
          <w:rFonts w:ascii="Calibri" w:eastAsia="宋体" w:hAnsi="Calibri" w:hint="eastAsia"/>
          <w:sz w:val="21"/>
          <w:szCs w:val="21"/>
        </w:rPr>
        <w:t>管理人与基金托管</w:t>
      </w:r>
      <w:proofErr w:type="gramStart"/>
      <w:r w:rsidRPr="004E30C2">
        <w:rPr>
          <w:rFonts w:ascii="Calibri" w:eastAsia="宋体" w:hAnsi="Calibri" w:hint="eastAsia"/>
          <w:sz w:val="21"/>
          <w:szCs w:val="21"/>
        </w:rPr>
        <w:t>人原因</w:t>
      </w:r>
      <w:proofErr w:type="gramEnd"/>
      <w:r w:rsidRPr="004E30C2">
        <w:rPr>
          <w:rFonts w:ascii="Calibri" w:eastAsia="宋体" w:hAnsi="Calibri" w:hint="eastAsia"/>
          <w:sz w:val="21"/>
          <w:szCs w:val="21"/>
        </w:rPr>
        <w:t>等，</w:t>
      </w:r>
      <w:r w:rsidRPr="004E30C2">
        <w:rPr>
          <w:rFonts w:ascii="Calibri" w:eastAsia="宋体" w:hAnsi="Calibri"/>
          <w:sz w:val="21"/>
          <w:szCs w:val="21"/>
        </w:rPr>
        <w:t>基金管理人和基金托管人</w:t>
      </w:r>
      <w:r w:rsidRPr="004E30C2">
        <w:rPr>
          <w:rFonts w:ascii="Calibri" w:eastAsia="宋体" w:hAnsi="Calibri"/>
          <w:sz w:val="21"/>
          <w:szCs w:val="21"/>
        </w:rPr>
        <w:lastRenderedPageBreak/>
        <w:t>虽然已经采取必要、适当、合理的措施进行检查，但是未能发现该错误</w:t>
      </w:r>
      <w:r w:rsidRPr="004E30C2">
        <w:rPr>
          <w:rFonts w:ascii="Calibri" w:eastAsia="宋体" w:hAnsi="Calibri" w:hint="eastAsia"/>
          <w:sz w:val="21"/>
          <w:szCs w:val="21"/>
        </w:rPr>
        <w:t>、遗漏</w:t>
      </w:r>
      <w:r w:rsidRPr="004E30C2">
        <w:rPr>
          <w:rFonts w:ascii="Calibri" w:eastAsia="宋体" w:hAnsi="Calibri"/>
          <w:sz w:val="21"/>
          <w:szCs w:val="21"/>
        </w:rPr>
        <w:t>的，由此造成的基金资产估值错误，基金管理人和基金托管人免除赔偿责任。但基金管理人和基金托管人应当积极采取必要的措施</w:t>
      </w:r>
      <w:r w:rsidRPr="004E30C2">
        <w:rPr>
          <w:rFonts w:ascii="Calibri" w:eastAsia="宋体" w:hAnsi="Calibri" w:hint="eastAsia"/>
          <w:sz w:val="21"/>
          <w:szCs w:val="21"/>
        </w:rPr>
        <w:t>减轻或</w:t>
      </w:r>
      <w:r w:rsidRPr="004E30C2">
        <w:rPr>
          <w:rFonts w:ascii="Calibri" w:eastAsia="宋体" w:hAnsi="Calibri"/>
          <w:sz w:val="21"/>
          <w:szCs w:val="21"/>
        </w:rPr>
        <w:t>消除由此造成的影响。</w:t>
      </w:r>
    </w:p>
    <w:p w14:paraId="5F97038B"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8</w:t>
      </w:r>
      <w:r w:rsidRPr="004E30C2">
        <w:rPr>
          <w:rFonts w:ascii="Calibri" w:eastAsia="宋体" w:hAnsi="Calibri" w:hint="eastAsia"/>
          <w:sz w:val="21"/>
          <w:szCs w:val="21"/>
        </w:rPr>
        <w:t>、如果基金托管人的复核结果与基金管理人的计算结果存在差异，且双方经协商未能达成一致，基金管理人可以按照其对各类基金份额净值的计算结果对外予以公布，基金托管人可以将相关情况报中国证监会备案。</w:t>
      </w:r>
    </w:p>
    <w:p w14:paraId="5F9DE3ED"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（二）基金会计核算</w:t>
      </w:r>
    </w:p>
    <w:p w14:paraId="590CB11A"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1</w:t>
      </w:r>
      <w:r w:rsidRPr="004E30C2">
        <w:rPr>
          <w:rFonts w:ascii="Calibri" w:eastAsia="宋体" w:hAnsi="Calibri"/>
          <w:sz w:val="21"/>
          <w:szCs w:val="21"/>
        </w:rPr>
        <w:t>、</w:t>
      </w:r>
      <w:r w:rsidRPr="004E30C2">
        <w:rPr>
          <w:rFonts w:ascii="Calibri" w:eastAsia="宋体" w:hAnsi="Calibri" w:hint="eastAsia"/>
          <w:sz w:val="21"/>
          <w:szCs w:val="21"/>
        </w:rPr>
        <w:t>基金账册的建立</w:t>
      </w:r>
    </w:p>
    <w:p w14:paraId="269E8A73"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74BA811C"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2</w:t>
      </w:r>
      <w:r w:rsidRPr="004E30C2">
        <w:rPr>
          <w:rFonts w:ascii="Calibri" w:eastAsia="宋体" w:hAnsi="Calibri"/>
          <w:sz w:val="21"/>
          <w:szCs w:val="21"/>
        </w:rPr>
        <w:t>、</w:t>
      </w:r>
      <w:r w:rsidRPr="004E30C2">
        <w:rPr>
          <w:rFonts w:ascii="Calibri" w:eastAsia="宋体" w:hAnsi="Calibri" w:hint="eastAsia"/>
          <w:sz w:val="21"/>
          <w:szCs w:val="21"/>
        </w:rPr>
        <w:t>会计数据和财务指标的核对</w:t>
      </w:r>
    </w:p>
    <w:p w14:paraId="29A5DECF"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基金管理人和基金托管人应定期就会计数据和财务指标进行核对。如发现存在不符，双方应及时查明原因并纠正。</w:t>
      </w:r>
    </w:p>
    <w:p w14:paraId="3F7161F7"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3</w:t>
      </w:r>
      <w:r w:rsidRPr="004E30C2">
        <w:rPr>
          <w:rFonts w:ascii="Calibri" w:eastAsia="宋体" w:hAnsi="Calibri"/>
          <w:sz w:val="21"/>
          <w:szCs w:val="21"/>
        </w:rPr>
        <w:t>、</w:t>
      </w:r>
      <w:r w:rsidRPr="004E30C2">
        <w:rPr>
          <w:rFonts w:ascii="Calibri" w:eastAsia="宋体" w:hAnsi="Calibri" w:hint="eastAsia"/>
          <w:sz w:val="21"/>
          <w:szCs w:val="21"/>
        </w:rPr>
        <w:t>基金财务报表和定期报告的编制和复核</w:t>
      </w:r>
    </w:p>
    <w:p w14:paraId="06E56EC3"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基金财务报表由基金管理人和基金托管人每</w:t>
      </w:r>
      <w:proofErr w:type="gramStart"/>
      <w:r w:rsidRPr="004E30C2">
        <w:rPr>
          <w:rFonts w:ascii="Calibri" w:eastAsia="宋体" w:hAnsi="Calibri" w:hint="eastAsia"/>
          <w:sz w:val="21"/>
          <w:szCs w:val="21"/>
        </w:rPr>
        <w:t>月分别独立</w:t>
      </w:r>
      <w:proofErr w:type="gramEnd"/>
      <w:r w:rsidRPr="004E30C2">
        <w:rPr>
          <w:rFonts w:ascii="Calibri" w:eastAsia="宋体" w:hAnsi="Calibri" w:hint="eastAsia"/>
          <w:sz w:val="21"/>
          <w:szCs w:val="21"/>
        </w:rPr>
        <w:t>编制。月度报表的编制，应于每月终了后</w:t>
      </w:r>
      <w:r w:rsidRPr="004E30C2">
        <w:rPr>
          <w:rFonts w:ascii="Calibri" w:eastAsia="宋体" w:hAnsi="Calibri"/>
          <w:sz w:val="21"/>
          <w:szCs w:val="21"/>
        </w:rPr>
        <w:t>5</w:t>
      </w:r>
      <w:r w:rsidRPr="004E30C2">
        <w:rPr>
          <w:rFonts w:ascii="Calibri" w:eastAsia="宋体" w:hAnsi="Calibri" w:hint="eastAsia"/>
          <w:sz w:val="21"/>
          <w:szCs w:val="21"/>
        </w:rPr>
        <w:t>个工作日内完成；《基金合同》生效后，基金招募说明书、基金产品资料概要的信息发生重大变更的，基金管理人应当在三个工作日内，更新基金招募说明书</w:t>
      </w:r>
      <w:r w:rsidRPr="004E30C2">
        <w:rPr>
          <w:rFonts w:ascii="Calibri" w:eastAsia="宋体" w:hAnsi="Calibri"/>
          <w:sz w:val="21"/>
          <w:szCs w:val="21"/>
        </w:rPr>
        <w:t>、基金产品资料概要</w:t>
      </w:r>
      <w:r w:rsidRPr="004E30C2">
        <w:rPr>
          <w:rFonts w:ascii="Calibri" w:eastAsia="宋体" w:hAnsi="Calibri" w:hint="eastAsia"/>
          <w:sz w:val="21"/>
          <w:szCs w:val="21"/>
        </w:rPr>
        <w:t>并登载在规定网站上；基金招募说明书</w:t>
      </w:r>
      <w:r w:rsidRPr="004E30C2">
        <w:rPr>
          <w:rFonts w:ascii="Calibri" w:eastAsia="宋体" w:hAnsi="Calibri"/>
          <w:sz w:val="21"/>
          <w:szCs w:val="21"/>
        </w:rPr>
        <w:t>、基金产品资料概要</w:t>
      </w:r>
      <w:r w:rsidRPr="004E30C2">
        <w:rPr>
          <w:rFonts w:ascii="Calibri" w:eastAsia="宋体" w:hAnsi="Calibri" w:hint="eastAsia"/>
          <w:sz w:val="21"/>
          <w:szCs w:val="21"/>
        </w:rPr>
        <w:t>其他信息发生变更的，基金管理人至少每年更新一次。基金终止运作的，基金管理人</w:t>
      </w:r>
      <w:r w:rsidRPr="004E30C2">
        <w:rPr>
          <w:rFonts w:ascii="Calibri" w:eastAsia="宋体" w:hAnsi="Calibri" w:hint="eastAsia"/>
          <w:sz w:val="21"/>
          <w:szCs w:val="21"/>
        </w:rPr>
        <w:t>不再更新基金招募说明书、基金产品资料概要。季度报告应在季度结束之日起</w:t>
      </w:r>
      <w:r w:rsidRPr="004E30C2">
        <w:rPr>
          <w:rFonts w:ascii="Calibri" w:eastAsia="宋体" w:hAnsi="Calibri"/>
          <w:sz w:val="21"/>
          <w:szCs w:val="21"/>
        </w:rPr>
        <w:t>10</w:t>
      </w:r>
      <w:r w:rsidRPr="004E30C2">
        <w:rPr>
          <w:rFonts w:ascii="Calibri" w:eastAsia="宋体" w:hAnsi="Calibri"/>
          <w:sz w:val="21"/>
          <w:szCs w:val="21"/>
        </w:rPr>
        <w:t>个工作日内编制完毕并于每个季度结束之日起</w:t>
      </w:r>
      <w:r w:rsidRPr="004E30C2">
        <w:rPr>
          <w:rFonts w:ascii="Calibri" w:eastAsia="宋体" w:hAnsi="Calibri"/>
          <w:sz w:val="21"/>
          <w:szCs w:val="21"/>
        </w:rPr>
        <w:t>15</w:t>
      </w:r>
      <w:r w:rsidRPr="004E30C2">
        <w:rPr>
          <w:rFonts w:ascii="Calibri" w:eastAsia="宋体" w:hAnsi="Calibri" w:hint="eastAsia"/>
          <w:sz w:val="21"/>
          <w:szCs w:val="21"/>
        </w:rPr>
        <w:t>个工作日内予以公告；中期报告在上半年结束之日起</w:t>
      </w:r>
      <w:r w:rsidRPr="004E30C2">
        <w:rPr>
          <w:rFonts w:ascii="Calibri" w:eastAsia="宋体" w:hAnsi="Calibri"/>
          <w:sz w:val="21"/>
          <w:szCs w:val="21"/>
        </w:rPr>
        <w:t>40</w:t>
      </w:r>
      <w:r w:rsidRPr="004E30C2">
        <w:rPr>
          <w:rFonts w:ascii="Calibri" w:eastAsia="宋体" w:hAnsi="Calibri"/>
          <w:sz w:val="21"/>
          <w:szCs w:val="21"/>
        </w:rPr>
        <w:t>日内编制完毕并于</w:t>
      </w:r>
      <w:r w:rsidRPr="004E30C2">
        <w:rPr>
          <w:rFonts w:ascii="Calibri" w:eastAsia="宋体" w:hAnsi="Calibri" w:hint="eastAsia"/>
          <w:sz w:val="21"/>
          <w:szCs w:val="21"/>
        </w:rPr>
        <w:t>上半年结束之日起</w:t>
      </w:r>
      <w:r w:rsidRPr="004E30C2">
        <w:rPr>
          <w:rFonts w:ascii="Calibri" w:eastAsia="宋体" w:hAnsi="Calibri"/>
          <w:sz w:val="21"/>
          <w:szCs w:val="21"/>
        </w:rPr>
        <w:t>2</w:t>
      </w:r>
      <w:r w:rsidRPr="004E30C2">
        <w:rPr>
          <w:rFonts w:ascii="Calibri" w:eastAsia="宋体" w:hAnsi="Calibri" w:hint="eastAsia"/>
          <w:sz w:val="21"/>
          <w:szCs w:val="21"/>
        </w:rPr>
        <w:t>个月内予以公告；年度报告在会计年度结束之日起</w:t>
      </w:r>
      <w:r w:rsidRPr="004E30C2">
        <w:rPr>
          <w:rFonts w:ascii="Calibri" w:eastAsia="宋体" w:hAnsi="Calibri"/>
          <w:sz w:val="21"/>
          <w:szCs w:val="21"/>
        </w:rPr>
        <w:t>60</w:t>
      </w:r>
      <w:r w:rsidRPr="004E30C2">
        <w:rPr>
          <w:rFonts w:ascii="Calibri" w:eastAsia="宋体" w:hAnsi="Calibri"/>
          <w:sz w:val="21"/>
          <w:szCs w:val="21"/>
        </w:rPr>
        <w:t>日内编制完毕并于会计年度</w:t>
      </w:r>
      <w:r w:rsidRPr="004E30C2">
        <w:rPr>
          <w:rFonts w:ascii="Calibri" w:eastAsia="宋体" w:hAnsi="Calibri" w:hint="eastAsia"/>
          <w:sz w:val="21"/>
          <w:szCs w:val="21"/>
        </w:rPr>
        <w:t>结束之日起</w:t>
      </w:r>
      <w:r w:rsidRPr="004E30C2">
        <w:rPr>
          <w:rFonts w:ascii="Calibri" w:eastAsia="宋体" w:hAnsi="Calibri"/>
          <w:sz w:val="21"/>
          <w:szCs w:val="21"/>
        </w:rPr>
        <w:t>3</w:t>
      </w:r>
      <w:r w:rsidRPr="004E30C2">
        <w:rPr>
          <w:rFonts w:ascii="Calibri" w:eastAsia="宋体" w:hAnsi="Calibri" w:hint="eastAsia"/>
          <w:sz w:val="21"/>
          <w:szCs w:val="21"/>
        </w:rPr>
        <w:t>个月内予以公告。基金合同生效不足两个月的，基金管理人可以不编制当期季度报告、中期报告或者年度报告。</w:t>
      </w:r>
    </w:p>
    <w:p w14:paraId="68FA09A3"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基金管理人应及时完成报表编制，将有关报表提供</w:t>
      </w:r>
      <w:r w:rsidRPr="004E30C2">
        <w:rPr>
          <w:rFonts w:ascii="Calibri" w:eastAsia="宋体" w:hAnsi="Calibri" w:hint="eastAsia"/>
          <w:sz w:val="21"/>
          <w:szCs w:val="21"/>
        </w:rPr>
        <w:t>给</w:t>
      </w:r>
      <w:r w:rsidRPr="004E30C2">
        <w:rPr>
          <w:rFonts w:ascii="Calibri" w:eastAsia="宋体" w:hAnsi="Calibri"/>
          <w:sz w:val="21"/>
          <w:szCs w:val="21"/>
        </w:rPr>
        <w:t>基金托管人复核</w:t>
      </w:r>
      <w:r w:rsidRPr="004E30C2">
        <w:rPr>
          <w:rFonts w:ascii="Calibri" w:eastAsia="宋体" w:hAnsi="Calibri" w:hint="eastAsia"/>
          <w:sz w:val="21"/>
          <w:szCs w:val="21"/>
        </w:rPr>
        <w:t>，基金托管人在收到后应及时进行复核，并将复核结果书面通知基金管理人</w:t>
      </w:r>
      <w:r w:rsidRPr="004E30C2">
        <w:rPr>
          <w:rFonts w:ascii="Calibri" w:eastAsia="宋体" w:hAnsi="Calibri"/>
          <w:sz w:val="21"/>
          <w:szCs w:val="21"/>
        </w:rPr>
        <w:t>；</w:t>
      </w:r>
      <w:r w:rsidRPr="004E30C2">
        <w:rPr>
          <w:rFonts w:ascii="Calibri" w:eastAsia="宋体" w:hAnsi="Calibri"/>
          <w:sz w:val="21"/>
          <w:szCs w:val="21"/>
        </w:rPr>
        <w:t>基金管理人应留足充分的时</w:t>
      </w:r>
      <w:r w:rsidRPr="004E30C2">
        <w:rPr>
          <w:rFonts w:ascii="Calibri" w:eastAsia="宋体" w:hAnsi="Calibri"/>
          <w:sz w:val="21"/>
          <w:szCs w:val="21"/>
        </w:rPr>
        <w:lastRenderedPageBreak/>
        <w:t>间，便于基金托管人复核相关报表及报告。</w:t>
      </w:r>
    </w:p>
    <w:p w14:paraId="176E0E9D"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w:t>
      </w:r>
      <w:proofErr w:type="gramStart"/>
      <w:r w:rsidRPr="004E30C2">
        <w:rPr>
          <w:rFonts w:ascii="Calibri" w:eastAsia="宋体" w:hAnsi="Calibri" w:hint="eastAsia"/>
          <w:sz w:val="21"/>
          <w:szCs w:val="21"/>
        </w:rPr>
        <w:t>于应当</w:t>
      </w:r>
      <w:proofErr w:type="gramEnd"/>
      <w:r w:rsidRPr="004E30C2">
        <w:rPr>
          <w:rFonts w:ascii="Calibri" w:eastAsia="宋体" w:hAnsi="Calibri" w:hint="eastAsia"/>
          <w:sz w:val="21"/>
          <w:szCs w:val="21"/>
        </w:rPr>
        <w:t>发布公告之日之前就相关报表达成一致，基金管理人有权按照其编制的报表对外发布公告，基金托管人有权</w:t>
      </w:r>
      <w:r w:rsidRPr="004E30C2">
        <w:rPr>
          <w:rFonts w:ascii="Calibri" w:eastAsia="宋体" w:hAnsi="Calibri" w:hint="eastAsia"/>
          <w:sz w:val="21"/>
          <w:szCs w:val="21"/>
        </w:rPr>
        <w:t>就相关情况报中国证监会备案。</w:t>
      </w:r>
    </w:p>
    <w:p w14:paraId="25038C67" w14:textId="77777777" w:rsidR="006C190A" w:rsidRPr="004E30C2" w:rsidRDefault="006C190A">
      <w:pPr>
        <w:pStyle w:val="32"/>
        <w:spacing w:before="100" w:beforeAutospacing="1" w:after="100" w:afterAutospacing="1" w:line="400" w:lineRule="exact"/>
        <w:ind w:left="0" w:right="26" w:firstLine="403"/>
        <w:rPr>
          <w:rFonts w:ascii="Calibri" w:eastAsia="宋体" w:hAnsi="Calibri"/>
          <w:sz w:val="21"/>
          <w:szCs w:val="21"/>
        </w:rPr>
      </w:pPr>
    </w:p>
    <w:p w14:paraId="3D0B6396"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37" w:name="_Toc8713"/>
      <w:bookmarkStart w:id="38" w:name="_Toc119267465"/>
      <w:bookmarkStart w:id="39" w:name="_Toc116900104"/>
      <w:r w:rsidRPr="004E30C2">
        <w:rPr>
          <w:rFonts w:ascii="Calibri" w:hAnsi="Calibri" w:hint="eastAsia"/>
          <w:sz w:val="21"/>
          <w:szCs w:val="21"/>
        </w:rPr>
        <w:t>九、基金收益分配</w:t>
      </w:r>
      <w:bookmarkEnd w:id="37"/>
      <w:bookmarkEnd w:id="38"/>
      <w:bookmarkEnd w:id="39"/>
    </w:p>
    <w:p w14:paraId="0AD4141F"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bookmarkStart w:id="40" w:name="_Hlk18417475"/>
      <w:r w:rsidRPr="004E30C2">
        <w:rPr>
          <w:rFonts w:ascii="Calibri" w:eastAsia="宋体" w:hAnsi="Calibri" w:hint="eastAsia"/>
          <w:sz w:val="21"/>
          <w:szCs w:val="21"/>
        </w:rPr>
        <w:t>（一）基金收益分配的依据</w:t>
      </w:r>
    </w:p>
    <w:p w14:paraId="4AB7B72D"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1</w:t>
      </w:r>
      <w:r w:rsidRPr="004E30C2">
        <w:rPr>
          <w:rFonts w:ascii="Calibri" w:eastAsia="宋体" w:hAnsi="Calibri"/>
          <w:sz w:val="21"/>
          <w:szCs w:val="21"/>
        </w:rPr>
        <w:t>、</w:t>
      </w:r>
      <w:r w:rsidRPr="004E30C2">
        <w:rPr>
          <w:rFonts w:ascii="Calibri" w:eastAsia="宋体" w:hAnsi="Calibri" w:hint="eastAsia"/>
          <w:sz w:val="21"/>
          <w:szCs w:val="21"/>
        </w:rPr>
        <w:t>基金收益分配是指将该基金可供分配利润根据持有该基金份额的数量按比例向该基金份额持有人进行分配。可供分配利润指截至收益分配基准日基金未分配利润与未分配利润中已实现收益的孰低数。</w:t>
      </w:r>
    </w:p>
    <w:p w14:paraId="3EF0A63F"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2</w:t>
      </w:r>
      <w:r w:rsidRPr="004E30C2">
        <w:rPr>
          <w:rFonts w:ascii="Calibri" w:eastAsia="宋体" w:hAnsi="Calibri"/>
          <w:sz w:val="21"/>
          <w:szCs w:val="21"/>
        </w:rPr>
        <w:t>、收益分配应该符合《基金合同》关于收益分配原则的规定。</w:t>
      </w:r>
    </w:p>
    <w:p w14:paraId="045DD765"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hint="eastAsia"/>
          <w:sz w:val="21"/>
          <w:szCs w:val="21"/>
        </w:rPr>
        <w:t>（二）基金收益分配的时间和程序</w:t>
      </w:r>
    </w:p>
    <w:p w14:paraId="0E0EA2D6"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1</w:t>
      </w:r>
      <w:r w:rsidRPr="004E30C2">
        <w:rPr>
          <w:rFonts w:ascii="Calibri" w:eastAsia="宋体" w:hAnsi="Calibri"/>
          <w:sz w:val="21"/>
          <w:szCs w:val="21"/>
        </w:rPr>
        <w:t>、</w:t>
      </w:r>
      <w:r w:rsidRPr="004E30C2">
        <w:rPr>
          <w:rFonts w:ascii="Calibri" w:eastAsia="宋体" w:hAnsi="Calibri" w:hint="eastAsia"/>
          <w:sz w:val="21"/>
          <w:szCs w:val="21"/>
        </w:rPr>
        <w:t>基金收益分配方案由基金管理人根据《基金合同》的相关规定制定。</w:t>
      </w:r>
    </w:p>
    <w:p w14:paraId="31F3CE21"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2</w:t>
      </w:r>
      <w:r w:rsidRPr="004E30C2">
        <w:rPr>
          <w:rFonts w:ascii="Calibri" w:eastAsia="宋体" w:hAnsi="Calibri"/>
          <w:sz w:val="21"/>
          <w:szCs w:val="21"/>
        </w:rPr>
        <w:t>、基金管理人应于收益</w:t>
      </w:r>
      <w:proofErr w:type="gramStart"/>
      <w:r w:rsidRPr="004E30C2">
        <w:rPr>
          <w:rFonts w:ascii="Calibri" w:eastAsia="宋体" w:hAnsi="Calibri"/>
          <w:sz w:val="21"/>
          <w:szCs w:val="21"/>
        </w:rPr>
        <w:t>分配日</w:t>
      </w:r>
      <w:proofErr w:type="gramEnd"/>
      <w:r w:rsidRPr="004E30C2">
        <w:rPr>
          <w:rFonts w:ascii="Calibri" w:eastAsia="宋体" w:hAnsi="Calibri"/>
          <w:sz w:val="21"/>
          <w:szCs w:val="21"/>
        </w:rPr>
        <w:t>之前将其</w:t>
      </w:r>
      <w:r w:rsidRPr="004E30C2">
        <w:rPr>
          <w:rFonts w:ascii="Calibri" w:eastAsia="宋体" w:hAnsi="Calibri" w:hint="eastAsia"/>
          <w:sz w:val="21"/>
          <w:szCs w:val="21"/>
        </w:rPr>
        <w:t>制定的收益分配方案提交基金托管人复核，基金托管人应于收到收益分配方案后完成对收益分配方案的复核，复核通过后基金管理人应按规定在规定媒介公告；如果基金管理人与基金托管人不能于收益</w:t>
      </w:r>
      <w:proofErr w:type="gramStart"/>
      <w:r w:rsidRPr="004E30C2">
        <w:rPr>
          <w:rFonts w:ascii="Calibri" w:eastAsia="宋体" w:hAnsi="Calibri" w:hint="eastAsia"/>
          <w:sz w:val="21"/>
          <w:szCs w:val="21"/>
        </w:rPr>
        <w:t>分配日</w:t>
      </w:r>
      <w:proofErr w:type="gramEnd"/>
      <w:r w:rsidRPr="004E30C2">
        <w:rPr>
          <w:rFonts w:ascii="Calibri" w:eastAsia="宋体" w:hAnsi="Calibri" w:hint="eastAsia"/>
          <w:sz w:val="21"/>
          <w:szCs w:val="21"/>
        </w:rPr>
        <w:t>之前就收益分配方案达成一致，基金托管人有义务将收益分配方案及相关情况的说明提交中国证监会备案并书面通知基金管理人，在上述文件提交完毕之日</w:t>
      </w:r>
      <w:proofErr w:type="gramStart"/>
      <w:r w:rsidRPr="004E30C2">
        <w:rPr>
          <w:rFonts w:ascii="Calibri" w:eastAsia="宋体" w:hAnsi="Calibri" w:hint="eastAsia"/>
          <w:sz w:val="21"/>
          <w:szCs w:val="21"/>
        </w:rPr>
        <w:t>起基金</w:t>
      </w:r>
      <w:proofErr w:type="gramEnd"/>
      <w:r w:rsidRPr="004E30C2">
        <w:rPr>
          <w:rFonts w:ascii="Calibri" w:eastAsia="宋体" w:hAnsi="Calibri" w:hint="eastAsia"/>
          <w:sz w:val="21"/>
          <w:szCs w:val="21"/>
        </w:rPr>
        <w:t>管理人有权利对外公告其拟订的收益分配方案，</w:t>
      </w:r>
      <w:proofErr w:type="gramStart"/>
      <w:r w:rsidRPr="004E30C2">
        <w:rPr>
          <w:rFonts w:ascii="Calibri" w:eastAsia="宋体" w:hAnsi="Calibri" w:hint="eastAsia"/>
          <w:sz w:val="21"/>
          <w:szCs w:val="21"/>
        </w:rPr>
        <w:t>且基金</w:t>
      </w:r>
      <w:proofErr w:type="gramEnd"/>
      <w:r w:rsidRPr="004E30C2">
        <w:rPr>
          <w:rFonts w:ascii="Calibri" w:eastAsia="宋体" w:hAnsi="Calibri" w:hint="eastAsia"/>
          <w:sz w:val="21"/>
          <w:szCs w:val="21"/>
        </w:rPr>
        <w:t>托管人有义务协助基金管理人实施该收益分配方案，但有证据证明该方案违反法律法规及《基金合同》的除外。</w:t>
      </w:r>
    </w:p>
    <w:p w14:paraId="54E0E138"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3</w:t>
      </w:r>
      <w:r w:rsidRPr="004E30C2">
        <w:rPr>
          <w:rFonts w:ascii="Calibri" w:eastAsia="宋体" w:hAnsi="Calibri"/>
          <w:sz w:val="21"/>
          <w:szCs w:val="21"/>
        </w:rPr>
        <w:t>、</w:t>
      </w:r>
      <w:r w:rsidRPr="004E30C2">
        <w:rPr>
          <w:rFonts w:ascii="Calibri" w:eastAsia="宋体" w:hAnsi="Calibri" w:hint="eastAsia"/>
          <w:sz w:val="21"/>
          <w:szCs w:val="21"/>
        </w:rPr>
        <w:t>本基金收益分配方式分两种：现金分红与</w:t>
      </w:r>
      <w:r w:rsidRPr="004E30C2">
        <w:rPr>
          <w:rFonts w:ascii="Calibri" w:eastAsia="宋体" w:hAnsi="Calibri" w:hint="eastAsia"/>
          <w:sz w:val="21"/>
          <w:szCs w:val="21"/>
        </w:rPr>
        <w:t>红利再投资，投资者可选择现金红利或将现金红利自动转为相应类别的基金份额进行再投资；若投资者不选择，本基金默认的收益分配方式是现金分红。基金份额持有人可对本基金</w:t>
      </w:r>
      <w:r w:rsidRPr="004E30C2">
        <w:rPr>
          <w:rFonts w:ascii="Calibri" w:eastAsia="宋体" w:hAnsi="Calibri" w:hint="eastAsia"/>
          <w:sz w:val="21"/>
          <w:szCs w:val="21"/>
        </w:rPr>
        <w:t>A</w:t>
      </w:r>
      <w:r w:rsidRPr="004E30C2">
        <w:rPr>
          <w:rFonts w:ascii="Calibri" w:eastAsia="宋体" w:hAnsi="Calibri" w:hint="eastAsia"/>
          <w:sz w:val="21"/>
          <w:szCs w:val="21"/>
        </w:rPr>
        <w:t>类基金份额和</w:t>
      </w:r>
      <w:r w:rsidRPr="004E30C2">
        <w:rPr>
          <w:rFonts w:ascii="Calibri" w:eastAsia="宋体" w:hAnsi="Calibri" w:hint="eastAsia"/>
          <w:sz w:val="21"/>
          <w:szCs w:val="21"/>
        </w:rPr>
        <w:t>C</w:t>
      </w:r>
      <w:r w:rsidRPr="004E30C2">
        <w:rPr>
          <w:rFonts w:ascii="Calibri" w:eastAsia="宋体" w:hAnsi="Calibri" w:hint="eastAsia"/>
          <w:sz w:val="21"/>
          <w:szCs w:val="21"/>
        </w:rPr>
        <w:t>类基金份额分别选择</w:t>
      </w:r>
      <w:r w:rsidRPr="004E30C2">
        <w:rPr>
          <w:rFonts w:ascii="Calibri" w:eastAsia="宋体" w:hAnsi="Calibri" w:hint="eastAsia"/>
          <w:sz w:val="21"/>
          <w:szCs w:val="21"/>
        </w:rPr>
        <w:lastRenderedPageBreak/>
        <w:t>不同的分红方式。</w:t>
      </w:r>
    </w:p>
    <w:p w14:paraId="77C3E25A" w14:textId="77777777" w:rsidR="006C190A" w:rsidRPr="004E30C2" w:rsidRDefault="00CC37BA">
      <w:pPr>
        <w:pStyle w:val="32"/>
        <w:spacing w:before="100" w:beforeAutospacing="1" w:after="100" w:afterAutospacing="1" w:line="400" w:lineRule="exact"/>
        <w:ind w:left="0" w:right="26" w:firstLine="403"/>
        <w:rPr>
          <w:rFonts w:ascii="Calibri" w:eastAsia="宋体" w:hAnsi="Calibri"/>
          <w:sz w:val="21"/>
          <w:szCs w:val="21"/>
        </w:rPr>
      </w:pPr>
      <w:r w:rsidRPr="004E30C2">
        <w:rPr>
          <w:rFonts w:ascii="Calibri" w:eastAsia="宋体" w:hAnsi="Calibri"/>
          <w:sz w:val="21"/>
          <w:szCs w:val="21"/>
        </w:rPr>
        <w:t>4</w:t>
      </w:r>
      <w:r w:rsidRPr="004E30C2">
        <w:rPr>
          <w:rFonts w:ascii="Calibri" w:eastAsia="宋体" w:hAnsi="Calibri"/>
          <w:sz w:val="21"/>
          <w:szCs w:val="21"/>
        </w:rPr>
        <w:t>、基金托管人根据基金管理人的收益分配方案和提供的现金红利金额的数据，在红利发放日将分红资金划</w:t>
      </w:r>
      <w:r w:rsidRPr="004E30C2">
        <w:rPr>
          <w:rFonts w:ascii="Calibri" w:eastAsia="宋体" w:hAnsi="Calibri" w:hint="eastAsia"/>
          <w:sz w:val="21"/>
          <w:szCs w:val="21"/>
        </w:rPr>
        <w:t>入基金管理人指定账户。如果投资者选择转购基金份额，基金管理人和基金托管人则应当进行红利再投资的账务处理。</w:t>
      </w:r>
    </w:p>
    <w:p w14:paraId="3545BA32" w14:textId="77777777" w:rsidR="006C190A" w:rsidRPr="004E30C2" w:rsidRDefault="00CC37BA">
      <w:pPr>
        <w:pStyle w:val="32"/>
        <w:spacing w:before="100" w:beforeAutospacing="1" w:after="100" w:afterAutospacing="1" w:line="400" w:lineRule="exact"/>
        <w:ind w:left="0" w:right="26" w:firstLine="420"/>
        <w:rPr>
          <w:rFonts w:ascii="Calibri" w:eastAsia="宋体" w:hAnsi="Calibri"/>
          <w:sz w:val="21"/>
          <w:szCs w:val="21"/>
        </w:rPr>
      </w:pPr>
      <w:r w:rsidRPr="004E30C2">
        <w:rPr>
          <w:rFonts w:ascii="Calibri" w:eastAsia="宋体" w:hAnsi="Calibri" w:hint="eastAsia"/>
          <w:sz w:val="21"/>
          <w:szCs w:val="21"/>
        </w:rPr>
        <w:t>（三）实施</w:t>
      </w:r>
      <w:proofErr w:type="gramStart"/>
      <w:r w:rsidRPr="004E30C2">
        <w:rPr>
          <w:rFonts w:ascii="Calibri" w:eastAsia="宋体" w:hAnsi="Calibri" w:hint="eastAsia"/>
          <w:sz w:val="21"/>
          <w:szCs w:val="21"/>
        </w:rPr>
        <w:t>侧袋机制</w:t>
      </w:r>
      <w:proofErr w:type="gramEnd"/>
      <w:r w:rsidRPr="004E30C2">
        <w:rPr>
          <w:rFonts w:ascii="Calibri" w:eastAsia="宋体" w:hAnsi="Calibri" w:hint="eastAsia"/>
          <w:sz w:val="21"/>
          <w:szCs w:val="21"/>
        </w:rPr>
        <w:t>期间的收益分配</w:t>
      </w:r>
    </w:p>
    <w:p w14:paraId="437B5763" w14:textId="77777777" w:rsidR="006C190A" w:rsidRPr="004E30C2" w:rsidRDefault="00CC37BA">
      <w:pPr>
        <w:pStyle w:val="32"/>
        <w:spacing w:before="100" w:beforeAutospacing="1" w:after="100" w:afterAutospacing="1" w:line="400" w:lineRule="exact"/>
        <w:ind w:left="0" w:right="26" w:firstLine="420"/>
        <w:rPr>
          <w:rFonts w:ascii="Calibri" w:eastAsia="宋体" w:hAnsi="Calibri"/>
          <w:sz w:val="21"/>
          <w:szCs w:val="21"/>
        </w:rPr>
      </w:pPr>
      <w:r w:rsidRPr="004E30C2">
        <w:rPr>
          <w:rFonts w:ascii="Calibri" w:eastAsia="宋体" w:hAnsi="Calibri" w:hint="eastAsia"/>
          <w:sz w:val="21"/>
          <w:szCs w:val="21"/>
        </w:rPr>
        <w:t>本基金实施</w:t>
      </w:r>
      <w:proofErr w:type="gramStart"/>
      <w:r w:rsidRPr="004E30C2">
        <w:rPr>
          <w:rFonts w:ascii="Calibri" w:eastAsia="宋体" w:hAnsi="Calibri" w:hint="eastAsia"/>
          <w:sz w:val="21"/>
          <w:szCs w:val="21"/>
        </w:rPr>
        <w:t>侧袋机制</w:t>
      </w:r>
      <w:proofErr w:type="gramEnd"/>
      <w:r w:rsidRPr="004E30C2">
        <w:rPr>
          <w:rFonts w:ascii="Calibri" w:eastAsia="宋体" w:hAnsi="Calibri" w:hint="eastAsia"/>
          <w:sz w:val="21"/>
          <w:szCs w:val="21"/>
        </w:rPr>
        <w:t>的，</w:t>
      </w:r>
      <w:proofErr w:type="gramStart"/>
      <w:r w:rsidRPr="004E30C2">
        <w:rPr>
          <w:rFonts w:ascii="Calibri" w:eastAsia="宋体" w:hAnsi="Calibri" w:hint="eastAsia"/>
          <w:sz w:val="21"/>
          <w:szCs w:val="21"/>
        </w:rPr>
        <w:t>侧袋账户</w:t>
      </w:r>
      <w:proofErr w:type="gramEnd"/>
      <w:r w:rsidRPr="004E30C2">
        <w:rPr>
          <w:rFonts w:ascii="Calibri" w:eastAsia="宋体" w:hAnsi="Calibri" w:hint="eastAsia"/>
          <w:sz w:val="21"/>
          <w:szCs w:val="21"/>
        </w:rPr>
        <w:t>不进行收益分配，详见招募说明书的规定。</w:t>
      </w:r>
    </w:p>
    <w:p w14:paraId="43B2F39D" w14:textId="77777777" w:rsidR="006C190A" w:rsidRPr="004E30C2" w:rsidRDefault="006C190A">
      <w:pPr>
        <w:pStyle w:val="32"/>
        <w:spacing w:before="100" w:beforeAutospacing="1" w:after="100" w:afterAutospacing="1" w:line="400" w:lineRule="exact"/>
        <w:ind w:left="0" w:right="26" w:firstLine="403"/>
        <w:rPr>
          <w:rFonts w:ascii="Calibri" w:eastAsia="宋体" w:hAnsi="Calibri"/>
          <w:sz w:val="21"/>
          <w:szCs w:val="21"/>
        </w:rPr>
      </w:pPr>
    </w:p>
    <w:p w14:paraId="1235E570"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41" w:name="_Toc20598"/>
      <w:bookmarkStart w:id="42" w:name="_Toc119267466"/>
      <w:bookmarkStart w:id="43" w:name="_Toc116900105"/>
      <w:bookmarkEnd w:id="40"/>
      <w:r w:rsidRPr="004E30C2">
        <w:rPr>
          <w:rFonts w:ascii="Calibri" w:hAnsi="Calibri" w:hint="eastAsia"/>
          <w:sz w:val="21"/>
          <w:szCs w:val="21"/>
        </w:rPr>
        <w:t>十、基金信息披露</w:t>
      </w:r>
      <w:bookmarkEnd w:id="41"/>
      <w:bookmarkEnd w:id="42"/>
      <w:bookmarkEnd w:id="43"/>
    </w:p>
    <w:p w14:paraId="1FF28D3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（一）保密义务</w:t>
      </w:r>
    </w:p>
    <w:p w14:paraId="23A54728"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除按照法律法规中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1E9DFD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w:t>
      </w:r>
      <w:r w:rsidRPr="004E30C2">
        <w:rPr>
          <w:rFonts w:ascii="Calibri" w:eastAsia="宋体" w:hAnsi="Calibri" w:hint="eastAsia"/>
          <w:color w:val="auto"/>
          <w:sz w:val="21"/>
          <w:szCs w:val="21"/>
        </w:rPr>
        <w:t>非因基金管理人和基金托管人的原因导致保密信息被披露、泄露或公开。</w:t>
      </w:r>
    </w:p>
    <w:p w14:paraId="7792C91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w:t>
      </w:r>
      <w:r w:rsidRPr="004E30C2">
        <w:rPr>
          <w:rFonts w:ascii="Calibri" w:eastAsia="宋体" w:hAnsi="Calibri" w:hint="eastAsia"/>
          <w:color w:val="auto"/>
          <w:sz w:val="21"/>
          <w:szCs w:val="21"/>
        </w:rPr>
        <w:t>基金管理人和基金托管人为遵守和服从法院判决、仲裁裁决或中国证监会等监管机构的命令、决定所做出的</w:t>
      </w:r>
      <w:r w:rsidRPr="004E30C2">
        <w:rPr>
          <w:rFonts w:ascii="Calibri" w:eastAsia="宋体" w:hAnsi="Calibri" w:hint="eastAsia"/>
          <w:color w:val="auto"/>
          <w:sz w:val="21"/>
          <w:szCs w:val="21"/>
        </w:rPr>
        <w:t>信息披露或公开。</w:t>
      </w:r>
    </w:p>
    <w:p w14:paraId="7A97822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、因审计、法律等专业服务向外部专业顾问提供信息，并要求专业顾问遵守保密义务。</w:t>
      </w:r>
    </w:p>
    <w:p w14:paraId="2F40037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（二）基金管理人和基金托管人在信息披露中的职责和信息披露程序</w:t>
      </w:r>
    </w:p>
    <w:p w14:paraId="5E72344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、基金管理人和基金托管人应根据相关法律法规、《基金合同》的规定各自承担相应的信息披露职责。</w:t>
      </w:r>
    </w:p>
    <w:p w14:paraId="23C2664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、本基金信息披露的所有文件，包括《基金合同》和本协议规定的定期报告、临时报告、基金净值</w:t>
      </w:r>
      <w:r w:rsidRPr="004E30C2">
        <w:rPr>
          <w:rFonts w:ascii="Calibri" w:eastAsia="宋体" w:hAnsi="Calibri" w:hint="eastAsia"/>
          <w:color w:val="auto"/>
          <w:sz w:val="21"/>
          <w:szCs w:val="21"/>
        </w:rPr>
        <w:t>信息公告及其他必要的公告文件，由基金管理人和基金托管人按照有关法律法规的规定予以公布。</w:t>
      </w:r>
    </w:p>
    <w:p w14:paraId="614CC93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w:t>
      </w:r>
      <w:r w:rsidRPr="004E30C2">
        <w:rPr>
          <w:rFonts w:ascii="Calibri" w:eastAsia="宋体" w:hAnsi="Calibri" w:hint="eastAsia"/>
          <w:color w:val="auto"/>
          <w:sz w:val="21"/>
          <w:szCs w:val="21"/>
        </w:rPr>
        <w:t>基金年度报告中的财务会计报告必须</w:t>
      </w:r>
      <w:proofErr w:type="gramStart"/>
      <w:r w:rsidRPr="004E30C2">
        <w:rPr>
          <w:rFonts w:ascii="Calibri" w:eastAsia="宋体" w:hAnsi="Calibri" w:hint="eastAsia"/>
          <w:color w:val="auto"/>
          <w:sz w:val="21"/>
          <w:szCs w:val="21"/>
        </w:rPr>
        <w:t>经符合</w:t>
      </w:r>
      <w:proofErr w:type="gramEnd"/>
      <w:r w:rsidRPr="004E30C2">
        <w:rPr>
          <w:rFonts w:ascii="Calibri" w:eastAsia="宋体" w:hAnsi="Calibri" w:hint="eastAsia"/>
          <w:color w:val="auto"/>
          <w:sz w:val="21"/>
          <w:szCs w:val="21"/>
        </w:rPr>
        <w:t>《证券法》规定的会计师事务所审计。</w:t>
      </w:r>
    </w:p>
    <w:p w14:paraId="4229807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lastRenderedPageBreak/>
        <w:t>4</w:t>
      </w:r>
      <w:r w:rsidRPr="004E30C2">
        <w:rPr>
          <w:rFonts w:ascii="Calibri" w:eastAsia="宋体" w:hAnsi="Calibri"/>
          <w:color w:val="auto"/>
          <w:sz w:val="21"/>
          <w:szCs w:val="21"/>
        </w:rPr>
        <w:t>、</w:t>
      </w:r>
      <w:r w:rsidRPr="004E30C2">
        <w:rPr>
          <w:rFonts w:ascii="Calibri" w:eastAsia="宋体" w:hAnsi="Calibri" w:hint="eastAsia"/>
          <w:color w:val="auto"/>
          <w:sz w:val="21"/>
          <w:szCs w:val="21"/>
        </w:rPr>
        <w:t>本基金的信息披露，应通过中国证监会规定媒介进行；基金管理人、基金托管人可以根据需要在其他公共媒介披露信息，但是其他公共媒介不得早于规定媒介披露信息，并且在不同媒介上披露同一信息的内容应当一致。</w:t>
      </w:r>
    </w:p>
    <w:p w14:paraId="22F78641"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5</w:t>
      </w:r>
      <w:r w:rsidRPr="004E30C2">
        <w:rPr>
          <w:rFonts w:ascii="Calibri" w:eastAsia="宋体" w:hAnsi="Calibri"/>
          <w:color w:val="auto"/>
          <w:sz w:val="21"/>
          <w:szCs w:val="21"/>
        </w:rPr>
        <w:t>、信息文本的存放与备查</w:t>
      </w:r>
    </w:p>
    <w:p w14:paraId="3EB75F1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依法必须披露的信息发布后，基金管理人、基金托管人应当按照相关法律法规规定将信息置备于各自住所，供社会公众查阅、复制。</w:t>
      </w:r>
    </w:p>
    <w:p w14:paraId="77205D9B"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基金管理人和基金托管人应保证文本的内容与所公告的内容完全一致。</w:t>
      </w:r>
    </w:p>
    <w:p w14:paraId="7A6708AB"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szCs w:val="21"/>
        </w:rPr>
        <w:t>6</w:t>
      </w:r>
      <w:r w:rsidRPr="004E30C2">
        <w:rPr>
          <w:rFonts w:ascii="Calibri" w:hAnsi="Calibri"/>
          <w:szCs w:val="21"/>
        </w:rPr>
        <w:t>、</w:t>
      </w:r>
      <w:r w:rsidRPr="004E30C2">
        <w:rPr>
          <w:rFonts w:ascii="Calibri" w:hAnsi="Calibri" w:cs="方正仿宋简体" w:hint="eastAsia"/>
          <w:szCs w:val="21"/>
        </w:rPr>
        <w:t>对于因不可抗力等原因导致基金信息的暂停或延迟披露的（如暂停披露基金净值信息），基金管理人应及时向中国证监会报告，并与基金托管人协商采取补救措施。不可抗力等情形消失后，基金管理人和基金托管人应及时恢复办理信息披露。</w:t>
      </w:r>
    </w:p>
    <w:p w14:paraId="55934A50"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szCs w:val="21"/>
        </w:rPr>
        <w:t>7</w:t>
      </w:r>
      <w:r w:rsidRPr="004E30C2">
        <w:rPr>
          <w:rFonts w:ascii="Calibri" w:hAnsi="Calibri"/>
          <w:szCs w:val="21"/>
        </w:rPr>
        <w:t>、本基金实施</w:t>
      </w:r>
      <w:proofErr w:type="gramStart"/>
      <w:r w:rsidRPr="004E30C2">
        <w:rPr>
          <w:rFonts w:ascii="Calibri" w:hAnsi="Calibri"/>
          <w:szCs w:val="21"/>
        </w:rPr>
        <w:t>侧袋机制</w:t>
      </w:r>
      <w:proofErr w:type="gramEnd"/>
      <w:r w:rsidRPr="004E30C2">
        <w:rPr>
          <w:rFonts w:ascii="Calibri" w:hAnsi="Calibri"/>
          <w:szCs w:val="21"/>
        </w:rPr>
        <w:t>的，相关信息披露义务人应当根据法律法规、基金合同的规定进行信息披露。</w:t>
      </w:r>
    </w:p>
    <w:p w14:paraId="5FD4FFB9" w14:textId="77777777" w:rsidR="006C190A" w:rsidRPr="004E30C2" w:rsidRDefault="00CC37BA">
      <w:pPr>
        <w:pStyle w:val="a7"/>
        <w:spacing w:before="100" w:beforeAutospacing="1" w:after="100" w:afterAutospacing="1"/>
        <w:ind w:firstLine="420"/>
        <w:rPr>
          <w:rFonts w:ascii="Calibri" w:eastAsia="宋体" w:hAnsi="Calibri" w:cs="方正仿宋简体"/>
          <w:color w:val="auto"/>
          <w:sz w:val="21"/>
          <w:szCs w:val="21"/>
        </w:rPr>
      </w:pPr>
      <w:r w:rsidRPr="004E30C2">
        <w:rPr>
          <w:rFonts w:ascii="Calibri" w:eastAsia="宋体" w:hAnsi="Calibri" w:cs="方正仿宋简体" w:hint="eastAsia"/>
          <w:color w:val="auto"/>
          <w:sz w:val="21"/>
          <w:szCs w:val="21"/>
        </w:rPr>
        <w:t>（三）基金托管人报告</w:t>
      </w:r>
    </w:p>
    <w:p w14:paraId="74B307AD" w14:textId="77777777" w:rsidR="006C190A" w:rsidRPr="004E30C2" w:rsidRDefault="00CC37BA">
      <w:pPr>
        <w:pStyle w:val="a7"/>
        <w:spacing w:before="100" w:beforeAutospacing="1" w:after="100" w:afterAutospacing="1"/>
        <w:ind w:firstLine="420"/>
        <w:rPr>
          <w:rFonts w:ascii="Calibri" w:eastAsia="宋体" w:hAnsi="Calibri" w:cs="方正仿宋简体"/>
          <w:color w:val="auto"/>
          <w:sz w:val="21"/>
          <w:szCs w:val="21"/>
        </w:rPr>
      </w:pPr>
      <w:r w:rsidRPr="004E30C2">
        <w:rPr>
          <w:rFonts w:ascii="Calibri" w:eastAsia="宋体" w:hAnsi="Calibri" w:cs="方正仿宋简体" w:hint="eastAsia"/>
          <w:color w:val="auto"/>
          <w:sz w:val="21"/>
          <w:szCs w:val="21"/>
        </w:rPr>
        <w:t>基金托管人应按《基金法》、《运作办法》、《信息披露办法》和其他有关法律法规的规定于每个上半年度结束之日起</w:t>
      </w:r>
      <w:r w:rsidRPr="004E30C2">
        <w:rPr>
          <w:rFonts w:ascii="Calibri" w:eastAsia="宋体" w:hAnsi="Calibri" w:cs="方正仿宋简体"/>
          <w:color w:val="auto"/>
          <w:sz w:val="21"/>
          <w:szCs w:val="21"/>
        </w:rPr>
        <w:t>2</w:t>
      </w:r>
      <w:r w:rsidRPr="004E30C2">
        <w:rPr>
          <w:rFonts w:ascii="Calibri" w:eastAsia="宋体" w:hAnsi="Calibri" w:cs="方正仿宋简体"/>
          <w:color w:val="auto"/>
          <w:sz w:val="21"/>
          <w:szCs w:val="21"/>
        </w:rPr>
        <w:t>个月</w:t>
      </w:r>
      <w:r w:rsidRPr="004E30C2">
        <w:rPr>
          <w:rFonts w:ascii="Calibri" w:eastAsia="宋体" w:hAnsi="Calibri" w:cs="方正仿宋简体" w:hint="eastAsia"/>
          <w:color w:val="auto"/>
          <w:sz w:val="21"/>
          <w:szCs w:val="21"/>
        </w:rPr>
        <w:t>内、每个会计年度结束之日起</w:t>
      </w:r>
      <w:r w:rsidRPr="004E30C2">
        <w:rPr>
          <w:rFonts w:ascii="Calibri" w:eastAsia="宋体" w:hAnsi="Calibri" w:cs="方正仿宋简体"/>
          <w:color w:val="auto"/>
          <w:sz w:val="21"/>
          <w:szCs w:val="21"/>
        </w:rPr>
        <w:t>3</w:t>
      </w:r>
      <w:r w:rsidRPr="004E30C2">
        <w:rPr>
          <w:rFonts w:ascii="Calibri" w:eastAsia="宋体" w:hAnsi="Calibri" w:cs="方正仿宋简体"/>
          <w:color w:val="auto"/>
          <w:sz w:val="21"/>
          <w:szCs w:val="21"/>
        </w:rPr>
        <w:t>个月</w:t>
      </w:r>
      <w:proofErr w:type="gramStart"/>
      <w:r w:rsidRPr="004E30C2">
        <w:rPr>
          <w:rFonts w:ascii="Calibri" w:eastAsia="宋体" w:hAnsi="Calibri" w:cs="方正仿宋简体" w:hint="eastAsia"/>
          <w:color w:val="auto"/>
          <w:sz w:val="21"/>
          <w:szCs w:val="21"/>
        </w:rPr>
        <w:t>内在基金</w:t>
      </w:r>
      <w:proofErr w:type="gramEnd"/>
      <w:r w:rsidRPr="004E30C2">
        <w:rPr>
          <w:rFonts w:ascii="Calibri" w:eastAsia="宋体" w:hAnsi="Calibri" w:cs="方正仿宋简体" w:hint="eastAsia"/>
          <w:color w:val="auto"/>
          <w:sz w:val="21"/>
          <w:szCs w:val="21"/>
        </w:rPr>
        <w:t>中期报告及年度报告中分别出具托管人报告。</w:t>
      </w:r>
    </w:p>
    <w:p w14:paraId="0A93F351"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122300BA"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44" w:name="_Toc119267467"/>
      <w:bookmarkStart w:id="45" w:name="_Toc16179"/>
      <w:bookmarkStart w:id="46" w:name="_Toc116900106"/>
      <w:r w:rsidRPr="004E30C2">
        <w:rPr>
          <w:rFonts w:ascii="Calibri" w:hAnsi="Calibri" w:hint="eastAsia"/>
          <w:sz w:val="21"/>
          <w:szCs w:val="21"/>
        </w:rPr>
        <w:t>十一、基金费用</w:t>
      </w:r>
      <w:bookmarkEnd w:id="44"/>
      <w:bookmarkEnd w:id="45"/>
    </w:p>
    <w:p w14:paraId="68BFA2A1" w14:textId="77777777" w:rsidR="006C190A" w:rsidRPr="004E30C2" w:rsidRDefault="00CC37BA">
      <w:pPr>
        <w:spacing w:before="100" w:beforeAutospacing="1" w:after="100" w:afterAutospacing="1" w:line="400" w:lineRule="exact"/>
        <w:ind w:right="26" w:firstLine="403"/>
        <w:rPr>
          <w:rFonts w:ascii="Calibri" w:hAnsi="Calibri"/>
          <w:szCs w:val="21"/>
        </w:rPr>
      </w:pPr>
      <w:bookmarkStart w:id="47" w:name="_Hlk51753876"/>
      <w:r w:rsidRPr="004E30C2">
        <w:rPr>
          <w:rFonts w:ascii="Calibri" w:hAnsi="Calibri" w:hint="eastAsia"/>
          <w:szCs w:val="21"/>
        </w:rPr>
        <w:t>（一）基金管理人的管理费</w:t>
      </w:r>
    </w:p>
    <w:p w14:paraId="5AF9CA35"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hint="eastAsia"/>
          <w:szCs w:val="21"/>
        </w:rPr>
        <w:t>基金管理费按前一日基金资产净值的【</w:t>
      </w:r>
      <w:r w:rsidRPr="004E30C2">
        <w:rPr>
          <w:rFonts w:ascii="Calibri" w:hAnsi="Calibri" w:hint="eastAsia"/>
          <w:szCs w:val="21"/>
        </w:rPr>
        <w:t>0.25</w:t>
      </w:r>
      <w:r w:rsidRPr="004E30C2">
        <w:rPr>
          <w:rFonts w:ascii="Calibri" w:hAnsi="Calibri" w:hint="eastAsia"/>
          <w:szCs w:val="21"/>
        </w:rPr>
        <w:t>】</w:t>
      </w:r>
      <w:r w:rsidRPr="004E30C2">
        <w:rPr>
          <w:rFonts w:ascii="Calibri" w:hAnsi="Calibri"/>
          <w:szCs w:val="21"/>
        </w:rPr>
        <w:t>%</w:t>
      </w:r>
      <w:r w:rsidRPr="004E30C2">
        <w:rPr>
          <w:rFonts w:ascii="Calibri" w:hAnsi="Calibri"/>
          <w:szCs w:val="21"/>
        </w:rPr>
        <w:t>年费率计提。计算方法如下：</w:t>
      </w:r>
    </w:p>
    <w:p w14:paraId="13698F6C"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szCs w:val="21"/>
        </w:rPr>
        <w:t>H</w:t>
      </w:r>
      <w:r w:rsidRPr="004E30C2">
        <w:rPr>
          <w:rFonts w:ascii="Calibri" w:hAnsi="Calibri" w:hint="eastAsia"/>
          <w:szCs w:val="21"/>
        </w:rPr>
        <w:t>＝</w:t>
      </w:r>
      <w:r w:rsidRPr="004E30C2">
        <w:rPr>
          <w:rFonts w:ascii="Calibri" w:hAnsi="Calibri"/>
          <w:szCs w:val="21"/>
        </w:rPr>
        <w:t>E</w:t>
      </w:r>
      <w:r w:rsidRPr="004E30C2">
        <w:rPr>
          <w:rFonts w:ascii="Calibri" w:hAnsi="Calibri" w:hint="eastAsia"/>
          <w:szCs w:val="21"/>
        </w:rPr>
        <w:t>×</w:t>
      </w:r>
      <w:r w:rsidRPr="004E30C2">
        <w:rPr>
          <w:rFonts w:ascii="Calibri" w:hAnsi="Calibri"/>
          <w:szCs w:val="21"/>
        </w:rPr>
        <w:t>【</w:t>
      </w:r>
      <w:r w:rsidRPr="004E30C2">
        <w:rPr>
          <w:rFonts w:ascii="Calibri" w:hAnsi="Calibri" w:hint="eastAsia"/>
          <w:szCs w:val="21"/>
        </w:rPr>
        <w:t>0.25</w:t>
      </w:r>
      <w:r w:rsidRPr="004E30C2">
        <w:rPr>
          <w:rFonts w:ascii="Calibri" w:hAnsi="Calibri"/>
          <w:szCs w:val="21"/>
        </w:rPr>
        <w:t>】</w:t>
      </w:r>
      <w:r w:rsidRPr="004E30C2">
        <w:rPr>
          <w:rFonts w:ascii="Calibri" w:hAnsi="Calibri"/>
          <w:szCs w:val="21"/>
        </w:rPr>
        <w:t>%÷</w:t>
      </w:r>
      <w:r w:rsidRPr="004E30C2">
        <w:rPr>
          <w:rFonts w:ascii="Calibri" w:hAnsi="Calibri"/>
          <w:szCs w:val="21"/>
        </w:rPr>
        <w:t>当年天数</w:t>
      </w:r>
    </w:p>
    <w:p w14:paraId="279C196D"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szCs w:val="21"/>
        </w:rPr>
        <w:t>H</w:t>
      </w:r>
      <w:r w:rsidRPr="004E30C2">
        <w:rPr>
          <w:rFonts w:ascii="Calibri" w:hAnsi="Calibri" w:hint="eastAsia"/>
          <w:szCs w:val="21"/>
        </w:rPr>
        <w:t>为每日应计提的基金管理费</w:t>
      </w:r>
    </w:p>
    <w:p w14:paraId="6FFA6B1B"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szCs w:val="21"/>
        </w:rPr>
        <w:t>E</w:t>
      </w:r>
      <w:r w:rsidRPr="004E30C2">
        <w:rPr>
          <w:rFonts w:ascii="Calibri" w:hAnsi="Calibri" w:hint="eastAsia"/>
          <w:szCs w:val="21"/>
        </w:rPr>
        <w:t>为前一日的基金资产净值</w:t>
      </w:r>
    </w:p>
    <w:p w14:paraId="3D50FBB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基金管理费每日计提，逐日累计至每月月末，按月支付，由基金托管人根据与基金管</w:t>
      </w:r>
      <w:r w:rsidRPr="004E30C2">
        <w:rPr>
          <w:rFonts w:ascii="Calibri" w:eastAsia="宋体" w:hAnsi="Calibri" w:hint="eastAsia"/>
          <w:color w:val="auto"/>
          <w:sz w:val="21"/>
          <w:szCs w:val="21"/>
        </w:rPr>
        <w:lastRenderedPageBreak/>
        <w:t>理人核对一致的财务数据，自动在次月初五</w:t>
      </w:r>
      <w:proofErr w:type="gramStart"/>
      <w:r w:rsidRPr="004E30C2">
        <w:rPr>
          <w:rFonts w:ascii="Calibri" w:eastAsia="宋体" w:hAnsi="Calibri" w:hint="eastAsia"/>
          <w:color w:val="auto"/>
          <w:sz w:val="21"/>
          <w:szCs w:val="21"/>
        </w:rPr>
        <w:t>个</w:t>
      </w:r>
      <w:proofErr w:type="gramEnd"/>
      <w:r w:rsidRPr="004E30C2">
        <w:rPr>
          <w:rFonts w:ascii="Calibri" w:eastAsia="宋体" w:hAnsi="Calibri" w:hint="eastAsia"/>
          <w:color w:val="auto"/>
          <w:sz w:val="21"/>
          <w:szCs w:val="21"/>
        </w:rPr>
        <w:t>工作日内、按照指定的账户路径进行资金支付，基金管理人无需再出具资金划拨指令。若遇法定节假日、公休日或不可抗力等，支付日期顺延。</w:t>
      </w:r>
    </w:p>
    <w:p w14:paraId="63C971E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（二）基金托管</w:t>
      </w:r>
      <w:r w:rsidRPr="004E30C2">
        <w:rPr>
          <w:rFonts w:ascii="Calibri" w:eastAsia="宋体" w:hAnsi="Calibri" w:hint="eastAsia"/>
          <w:color w:val="auto"/>
          <w:sz w:val="21"/>
          <w:szCs w:val="21"/>
        </w:rPr>
        <w:t>人的托管费</w:t>
      </w:r>
    </w:p>
    <w:p w14:paraId="733AD6A4"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hint="eastAsia"/>
          <w:szCs w:val="21"/>
        </w:rPr>
        <w:t>基金托管费按前一日基金资产净值的【</w:t>
      </w:r>
      <w:r w:rsidRPr="004E30C2">
        <w:rPr>
          <w:rFonts w:ascii="Calibri" w:hAnsi="Calibri"/>
          <w:szCs w:val="21"/>
        </w:rPr>
        <w:t>0.</w:t>
      </w:r>
      <w:r w:rsidRPr="004E30C2">
        <w:rPr>
          <w:rFonts w:ascii="Calibri" w:hAnsi="Calibri" w:hint="eastAsia"/>
          <w:szCs w:val="21"/>
        </w:rPr>
        <w:t>08</w:t>
      </w:r>
      <w:r w:rsidRPr="004E30C2">
        <w:rPr>
          <w:rFonts w:ascii="Calibri" w:hAnsi="Calibri" w:hint="eastAsia"/>
          <w:szCs w:val="21"/>
        </w:rPr>
        <w:t>】</w:t>
      </w:r>
      <w:r w:rsidRPr="004E30C2">
        <w:rPr>
          <w:rFonts w:ascii="Calibri" w:hAnsi="Calibri"/>
          <w:szCs w:val="21"/>
        </w:rPr>
        <w:t>%</w:t>
      </w:r>
      <w:r w:rsidRPr="004E30C2">
        <w:rPr>
          <w:rFonts w:ascii="Calibri" w:hAnsi="Calibri"/>
          <w:szCs w:val="21"/>
        </w:rPr>
        <w:t>年费率计提。计算方法如下：</w:t>
      </w:r>
    </w:p>
    <w:p w14:paraId="75C8FB77"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szCs w:val="21"/>
        </w:rPr>
        <w:t>H=E</w:t>
      </w:r>
      <w:r w:rsidRPr="004E30C2">
        <w:rPr>
          <w:rFonts w:ascii="Calibri" w:hAnsi="Calibri" w:hint="eastAsia"/>
          <w:szCs w:val="21"/>
        </w:rPr>
        <w:t>×【</w:t>
      </w:r>
      <w:r w:rsidRPr="004E30C2">
        <w:rPr>
          <w:rFonts w:ascii="Calibri" w:hAnsi="Calibri"/>
          <w:szCs w:val="21"/>
        </w:rPr>
        <w:t>0.</w:t>
      </w:r>
      <w:r w:rsidRPr="004E30C2">
        <w:rPr>
          <w:rFonts w:ascii="Calibri" w:hAnsi="Calibri" w:hint="eastAsia"/>
          <w:szCs w:val="21"/>
        </w:rPr>
        <w:t>08</w:t>
      </w:r>
      <w:r w:rsidRPr="004E30C2">
        <w:rPr>
          <w:rFonts w:ascii="Calibri" w:hAnsi="Calibri" w:hint="eastAsia"/>
          <w:szCs w:val="21"/>
        </w:rPr>
        <w:t>】</w:t>
      </w:r>
      <w:r w:rsidRPr="004E30C2">
        <w:rPr>
          <w:rFonts w:ascii="Calibri" w:hAnsi="Calibri"/>
          <w:szCs w:val="21"/>
        </w:rPr>
        <w:t>%÷</w:t>
      </w:r>
      <w:r w:rsidRPr="004E30C2">
        <w:rPr>
          <w:rFonts w:ascii="Calibri" w:hAnsi="Calibri"/>
          <w:szCs w:val="21"/>
        </w:rPr>
        <w:t>当年天数</w:t>
      </w:r>
    </w:p>
    <w:p w14:paraId="78C4B810"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szCs w:val="21"/>
        </w:rPr>
        <w:t>H</w:t>
      </w:r>
      <w:r w:rsidRPr="004E30C2">
        <w:rPr>
          <w:rFonts w:ascii="Calibri" w:hAnsi="Calibri" w:hint="eastAsia"/>
          <w:szCs w:val="21"/>
        </w:rPr>
        <w:t>为每日应计提的基金托管费</w:t>
      </w:r>
    </w:p>
    <w:p w14:paraId="10962E57"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szCs w:val="21"/>
        </w:rPr>
        <w:t>E</w:t>
      </w:r>
      <w:r w:rsidRPr="004E30C2">
        <w:rPr>
          <w:rFonts w:ascii="Calibri" w:hAnsi="Calibri" w:hint="eastAsia"/>
          <w:szCs w:val="21"/>
        </w:rPr>
        <w:t>为前一日的基金资产净值</w:t>
      </w:r>
    </w:p>
    <w:p w14:paraId="6877AF4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基金托管费每日计提，逐日累计至每月月末，按月支付，由基金托管人根据与基金管理人核对一致的财务数据，自动在次月初五</w:t>
      </w:r>
      <w:proofErr w:type="gramStart"/>
      <w:r w:rsidRPr="004E30C2">
        <w:rPr>
          <w:rFonts w:ascii="Calibri" w:eastAsia="宋体" w:hAnsi="Calibri" w:hint="eastAsia"/>
          <w:color w:val="auto"/>
          <w:sz w:val="21"/>
          <w:szCs w:val="21"/>
        </w:rPr>
        <w:t>个</w:t>
      </w:r>
      <w:proofErr w:type="gramEnd"/>
      <w:r w:rsidRPr="004E30C2">
        <w:rPr>
          <w:rFonts w:ascii="Calibri" w:eastAsia="宋体" w:hAnsi="Calibri" w:hint="eastAsia"/>
          <w:color w:val="auto"/>
          <w:sz w:val="21"/>
          <w:szCs w:val="21"/>
        </w:rPr>
        <w:t>工作日内、按照指定的账户路径进行资金支付，基金管理人无需再出具资金划拨指令。若遇法定节假日、公休日或不可抗力等，支付日期顺延。</w:t>
      </w:r>
    </w:p>
    <w:p w14:paraId="0F40D86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（三）</w:t>
      </w:r>
      <w:r w:rsidRPr="004E30C2">
        <w:rPr>
          <w:rFonts w:ascii="Calibri" w:eastAsia="宋体" w:hAnsi="Calibri"/>
          <w:color w:val="auto"/>
          <w:sz w:val="21"/>
          <w:szCs w:val="21"/>
        </w:rPr>
        <w:t>C</w:t>
      </w:r>
      <w:r w:rsidRPr="004E30C2">
        <w:rPr>
          <w:rFonts w:ascii="Calibri" w:eastAsia="宋体" w:hAnsi="Calibri" w:hint="eastAsia"/>
          <w:color w:val="auto"/>
          <w:sz w:val="21"/>
          <w:szCs w:val="21"/>
        </w:rPr>
        <w:t>类基金份额的销售服务费</w:t>
      </w:r>
    </w:p>
    <w:p w14:paraId="7380642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本基金</w:t>
      </w:r>
      <w:r w:rsidRPr="004E30C2">
        <w:rPr>
          <w:rFonts w:ascii="Calibri" w:eastAsia="宋体" w:hAnsi="Calibri"/>
          <w:color w:val="auto"/>
          <w:sz w:val="21"/>
          <w:szCs w:val="21"/>
        </w:rPr>
        <w:t>A</w:t>
      </w:r>
      <w:r w:rsidRPr="004E30C2">
        <w:rPr>
          <w:rFonts w:ascii="Calibri" w:eastAsia="宋体" w:hAnsi="Calibri" w:hint="eastAsia"/>
          <w:color w:val="auto"/>
          <w:sz w:val="21"/>
          <w:szCs w:val="21"/>
        </w:rPr>
        <w:t>类基金份额不收取销售服务费，</w:t>
      </w:r>
      <w:r w:rsidRPr="004E30C2">
        <w:rPr>
          <w:rFonts w:ascii="Calibri" w:eastAsia="宋体" w:hAnsi="Calibri"/>
          <w:color w:val="auto"/>
          <w:sz w:val="21"/>
          <w:szCs w:val="21"/>
        </w:rPr>
        <w:t>C</w:t>
      </w:r>
      <w:r w:rsidRPr="004E30C2">
        <w:rPr>
          <w:rFonts w:ascii="Calibri" w:eastAsia="宋体" w:hAnsi="Calibri" w:hint="eastAsia"/>
          <w:color w:val="auto"/>
          <w:sz w:val="21"/>
          <w:szCs w:val="21"/>
        </w:rPr>
        <w:t>类基金份额的销售服务费年费率为【</w:t>
      </w:r>
      <w:r w:rsidRPr="004E30C2">
        <w:rPr>
          <w:rFonts w:ascii="Calibri" w:eastAsia="宋体" w:hAnsi="Calibri"/>
          <w:color w:val="auto"/>
          <w:sz w:val="21"/>
          <w:szCs w:val="21"/>
        </w:rPr>
        <w:t>0.</w:t>
      </w:r>
      <w:r w:rsidRPr="004E30C2">
        <w:rPr>
          <w:rFonts w:ascii="Calibri" w:eastAsia="宋体" w:hAnsi="Calibri" w:hint="eastAsia"/>
          <w:color w:val="auto"/>
          <w:sz w:val="21"/>
          <w:szCs w:val="21"/>
        </w:rPr>
        <w:t>20</w:t>
      </w:r>
      <w:r w:rsidRPr="004E30C2">
        <w:rPr>
          <w:rFonts w:ascii="Calibri" w:eastAsia="宋体" w:hAnsi="Calibri" w:hint="eastAsia"/>
          <w:color w:val="auto"/>
          <w:sz w:val="21"/>
          <w:szCs w:val="21"/>
        </w:rPr>
        <w:t>】</w:t>
      </w:r>
      <w:r w:rsidRPr="004E30C2">
        <w:rPr>
          <w:rFonts w:ascii="Calibri" w:eastAsia="宋体" w:hAnsi="Calibri"/>
          <w:color w:val="auto"/>
          <w:sz w:val="21"/>
          <w:szCs w:val="21"/>
        </w:rPr>
        <w:t>%</w:t>
      </w:r>
      <w:r w:rsidRPr="004E30C2">
        <w:rPr>
          <w:rFonts w:ascii="Calibri" w:eastAsia="宋体" w:hAnsi="Calibri" w:hint="eastAsia"/>
          <w:color w:val="auto"/>
          <w:sz w:val="21"/>
          <w:szCs w:val="21"/>
        </w:rPr>
        <w:t>。销售服务费计提的计算公式如下：</w:t>
      </w:r>
    </w:p>
    <w:p w14:paraId="30E57D6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H</w:t>
      </w:r>
      <w:r w:rsidRPr="004E30C2">
        <w:rPr>
          <w:rFonts w:ascii="Calibri" w:eastAsia="宋体" w:hAnsi="Calibri" w:hint="eastAsia"/>
          <w:color w:val="auto"/>
          <w:sz w:val="21"/>
          <w:szCs w:val="21"/>
        </w:rPr>
        <w:t>＝</w:t>
      </w:r>
      <w:r w:rsidRPr="004E30C2">
        <w:rPr>
          <w:rFonts w:ascii="Calibri" w:eastAsia="宋体" w:hAnsi="Calibri"/>
          <w:color w:val="auto"/>
          <w:sz w:val="21"/>
          <w:szCs w:val="21"/>
        </w:rPr>
        <w:t>E×</w:t>
      </w:r>
      <w:r w:rsidRPr="004E30C2">
        <w:rPr>
          <w:rFonts w:ascii="Calibri" w:eastAsia="宋体" w:hAnsi="Calibri" w:hint="eastAsia"/>
          <w:color w:val="auto"/>
          <w:sz w:val="21"/>
          <w:szCs w:val="21"/>
        </w:rPr>
        <w:t>【</w:t>
      </w:r>
      <w:r w:rsidRPr="004E30C2">
        <w:rPr>
          <w:rFonts w:ascii="Calibri" w:eastAsia="宋体" w:hAnsi="Calibri"/>
          <w:color w:val="auto"/>
          <w:sz w:val="21"/>
          <w:szCs w:val="21"/>
        </w:rPr>
        <w:t>0.</w:t>
      </w:r>
      <w:r w:rsidRPr="004E30C2">
        <w:rPr>
          <w:rFonts w:ascii="Calibri" w:eastAsia="宋体" w:hAnsi="Calibri" w:hint="eastAsia"/>
          <w:color w:val="auto"/>
          <w:sz w:val="21"/>
          <w:szCs w:val="21"/>
        </w:rPr>
        <w:t>20</w:t>
      </w:r>
      <w:r w:rsidRPr="004E30C2">
        <w:rPr>
          <w:rFonts w:ascii="Calibri" w:eastAsia="宋体" w:hAnsi="Calibri" w:hint="eastAsia"/>
          <w:color w:val="auto"/>
          <w:sz w:val="21"/>
          <w:szCs w:val="21"/>
        </w:rPr>
        <w:t>】</w:t>
      </w:r>
      <w:r w:rsidRPr="004E30C2">
        <w:rPr>
          <w:rFonts w:ascii="Calibri" w:eastAsia="宋体" w:hAnsi="Calibri"/>
          <w:color w:val="auto"/>
          <w:sz w:val="21"/>
          <w:szCs w:val="21"/>
        </w:rPr>
        <w:t>%÷</w:t>
      </w:r>
      <w:r w:rsidRPr="004E30C2">
        <w:rPr>
          <w:rFonts w:ascii="Calibri" w:eastAsia="宋体" w:hAnsi="Calibri" w:hint="eastAsia"/>
          <w:color w:val="auto"/>
          <w:sz w:val="21"/>
          <w:szCs w:val="21"/>
        </w:rPr>
        <w:t>当年天数</w:t>
      </w:r>
    </w:p>
    <w:p w14:paraId="3D70C37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H</w:t>
      </w:r>
      <w:r w:rsidRPr="004E30C2">
        <w:rPr>
          <w:rFonts w:ascii="Calibri" w:eastAsia="宋体" w:hAnsi="Calibri" w:hint="eastAsia"/>
          <w:color w:val="auto"/>
          <w:sz w:val="21"/>
          <w:szCs w:val="21"/>
        </w:rPr>
        <w:t>为</w:t>
      </w:r>
      <w:r w:rsidRPr="004E30C2">
        <w:rPr>
          <w:rFonts w:ascii="Calibri" w:eastAsia="宋体" w:hAnsi="Calibri"/>
          <w:color w:val="auto"/>
          <w:sz w:val="21"/>
          <w:szCs w:val="21"/>
        </w:rPr>
        <w:t>C</w:t>
      </w:r>
      <w:r w:rsidRPr="004E30C2">
        <w:rPr>
          <w:rFonts w:ascii="Calibri" w:eastAsia="宋体" w:hAnsi="Calibri" w:hint="eastAsia"/>
          <w:color w:val="auto"/>
          <w:sz w:val="21"/>
          <w:szCs w:val="21"/>
        </w:rPr>
        <w:t>类基金份额每日应计提的销售服务费</w:t>
      </w:r>
    </w:p>
    <w:p w14:paraId="79B8D8B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E</w:t>
      </w:r>
      <w:r w:rsidRPr="004E30C2">
        <w:rPr>
          <w:rFonts w:ascii="Calibri" w:eastAsia="宋体" w:hAnsi="Calibri" w:hint="eastAsia"/>
          <w:color w:val="auto"/>
          <w:sz w:val="21"/>
          <w:szCs w:val="21"/>
        </w:rPr>
        <w:t>为</w:t>
      </w:r>
      <w:r w:rsidRPr="004E30C2">
        <w:rPr>
          <w:rFonts w:ascii="Calibri" w:eastAsia="宋体" w:hAnsi="Calibri"/>
          <w:color w:val="auto"/>
          <w:sz w:val="21"/>
          <w:szCs w:val="21"/>
        </w:rPr>
        <w:t>C</w:t>
      </w:r>
      <w:r w:rsidRPr="004E30C2">
        <w:rPr>
          <w:rFonts w:ascii="Calibri" w:eastAsia="宋体" w:hAnsi="Calibri" w:hint="eastAsia"/>
          <w:color w:val="auto"/>
          <w:sz w:val="21"/>
          <w:szCs w:val="21"/>
        </w:rPr>
        <w:t>类基金份额前一日的基金资产净值</w:t>
      </w:r>
    </w:p>
    <w:p w14:paraId="6D0D4D8F"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基金</w:t>
      </w:r>
      <w:r w:rsidRPr="004E30C2">
        <w:rPr>
          <w:rFonts w:ascii="Calibri" w:eastAsia="宋体" w:hAnsi="Calibri" w:hint="eastAsia"/>
          <w:color w:val="auto"/>
          <w:sz w:val="21"/>
          <w:szCs w:val="21"/>
        </w:rPr>
        <w:t>销售服务费</w:t>
      </w:r>
      <w:r w:rsidRPr="004E30C2">
        <w:rPr>
          <w:rFonts w:ascii="Calibri" w:eastAsia="宋体" w:hAnsi="Calibri"/>
          <w:color w:val="auto"/>
          <w:sz w:val="21"/>
          <w:szCs w:val="21"/>
        </w:rPr>
        <w:t>每日</w:t>
      </w:r>
      <w:r w:rsidRPr="004E30C2">
        <w:rPr>
          <w:rFonts w:ascii="Calibri" w:eastAsia="宋体" w:hAnsi="Calibri" w:hint="eastAsia"/>
          <w:color w:val="auto"/>
          <w:sz w:val="21"/>
          <w:szCs w:val="21"/>
        </w:rPr>
        <w:t>计提</w:t>
      </w:r>
      <w:r w:rsidRPr="004E30C2">
        <w:rPr>
          <w:rFonts w:ascii="Calibri" w:eastAsia="宋体" w:hAnsi="Calibri"/>
          <w:color w:val="auto"/>
          <w:sz w:val="21"/>
          <w:szCs w:val="21"/>
        </w:rPr>
        <w:t>，逐日累计至每月月末，按月支付，</w:t>
      </w:r>
      <w:r w:rsidRPr="004E30C2">
        <w:rPr>
          <w:rFonts w:ascii="Calibri" w:eastAsia="宋体" w:hAnsi="Calibri" w:hint="eastAsia"/>
          <w:color w:val="auto"/>
          <w:sz w:val="21"/>
          <w:szCs w:val="21"/>
        </w:rPr>
        <w:t>由基金托管人根据与基金管理人核对一致的财务数据，自动在次月初五</w:t>
      </w:r>
      <w:proofErr w:type="gramStart"/>
      <w:r w:rsidRPr="004E30C2">
        <w:rPr>
          <w:rFonts w:ascii="Calibri" w:eastAsia="宋体" w:hAnsi="Calibri" w:hint="eastAsia"/>
          <w:color w:val="auto"/>
          <w:sz w:val="21"/>
          <w:szCs w:val="21"/>
        </w:rPr>
        <w:t>个</w:t>
      </w:r>
      <w:proofErr w:type="gramEnd"/>
      <w:r w:rsidRPr="004E30C2">
        <w:rPr>
          <w:rFonts w:ascii="Calibri" w:eastAsia="宋体" w:hAnsi="Calibri" w:hint="eastAsia"/>
          <w:color w:val="auto"/>
          <w:sz w:val="21"/>
          <w:szCs w:val="21"/>
        </w:rPr>
        <w:t>工作日内、按照指定的账户路径进行资金支付，基金管理人无需再出具资金划拨指令。若遇法定节假日、公休日或不可抗力等，支付日期顺延。</w:t>
      </w:r>
      <w:bookmarkEnd w:id="47"/>
    </w:p>
    <w:p w14:paraId="3678CF88"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（四）从基金财产中列支基金管理人的管理费、基金托管人的托管费和</w:t>
      </w:r>
      <w:r w:rsidRPr="004E30C2">
        <w:rPr>
          <w:rFonts w:ascii="Calibri" w:eastAsia="宋体" w:hAnsi="Calibri"/>
          <w:color w:val="auto"/>
          <w:sz w:val="21"/>
          <w:szCs w:val="21"/>
        </w:rPr>
        <w:t>C</w:t>
      </w:r>
      <w:r w:rsidRPr="004E30C2">
        <w:rPr>
          <w:rFonts w:ascii="Calibri" w:eastAsia="宋体" w:hAnsi="Calibri"/>
          <w:color w:val="auto"/>
          <w:sz w:val="21"/>
          <w:szCs w:val="21"/>
        </w:rPr>
        <w:t>类基金份额的</w:t>
      </w:r>
      <w:r w:rsidRPr="004E30C2">
        <w:rPr>
          <w:rFonts w:ascii="Calibri" w:eastAsia="宋体" w:hAnsi="Calibri"/>
          <w:color w:val="auto"/>
          <w:sz w:val="21"/>
          <w:szCs w:val="21"/>
        </w:rPr>
        <w:t>基金销售服务费</w:t>
      </w:r>
      <w:r w:rsidRPr="004E30C2">
        <w:rPr>
          <w:rFonts w:ascii="Calibri" w:eastAsia="宋体" w:hAnsi="Calibri" w:hint="eastAsia"/>
          <w:color w:val="auto"/>
          <w:sz w:val="21"/>
          <w:szCs w:val="21"/>
        </w:rPr>
        <w:t>之外的其他基金费用，应当依据有关法律法规、《基金合同》的规定执行。本基金实施</w:t>
      </w:r>
      <w:proofErr w:type="gramStart"/>
      <w:r w:rsidRPr="004E30C2">
        <w:rPr>
          <w:rFonts w:ascii="Calibri" w:eastAsia="宋体" w:hAnsi="Calibri" w:hint="eastAsia"/>
          <w:color w:val="auto"/>
          <w:sz w:val="21"/>
          <w:szCs w:val="21"/>
        </w:rPr>
        <w:t>侧袋机制</w:t>
      </w:r>
      <w:proofErr w:type="gramEnd"/>
      <w:r w:rsidRPr="004E30C2">
        <w:rPr>
          <w:rFonts w:ascii="Calibri" w:eastAsia="宋体" w:hAnsi="Calibri" w:hint="eastAsia"/>
          <w:color w:val="auto"/>
          <w:sz w:val="21"/>
          <w:szCs w:val="21"/>
        </w:rPr>
        <w:t>的，</w:t>
      </w:r>
      <w:proofErr w:type="gramStart"/>
      <w:r w:rsidRPr="004E30C2">
        <w:rPr>
          <w:rFonts w:ascii="Calibri" w:eastAsia="宋体" w:hAnsi="Calibri" w:hint="eastAsia"/>
          <w:color w:val="auto"/>
          <w:sz w:val="21"/>
          <w:szCs w:val="21"/>
        </w:rPr>
        <w:t>与侧袋账户</w:t>
      </w:r>
      <w:proofErr w:type="gramEnd"/>
      <w:r w:rsidRPr="004E30C2">
        <w:rPr>
          <w:rFonts w:ascii="Calibri" w:eastAsia="宋体" w:hAnsi="Calibri" w:hint="eastAsia"/>
          <w:color w:val="auto"/>
          <w:sz w:val="21"/>
          <w:szCs w:val="21"/>
        </w:rPr>
        <w:t>有关的费用可以</w:t>
      </w:r>
      <w:proofErr w:type="gramStart"/>
      <w:r w:rsidRPr="004E30C2">
        <w:rPr>
          <w:rFonts w:ascii="Calibri" w:eastAsia="宋体" w:hAnsi="Calibri" w:hint="eastAsia"/>
          <w:color w:val="auto"/>
          <w:sz w:val="21"/>
          <w:szCs w:val="21"/>
        </w:rPr>
        <w:t>从侧袋账户</w:t>
      </w:r>
      <w:proofErr w:type="gramEnd"/>
      <w:r w:rsidRPr="004E30C2">
        <w:rPr>
          <w:rFonts w:ascii="Calibri" w:eastAsia="宋体" w:hAnsi="Calibri" w:hint="eastAsia"/>
          <w:color w:val="auto"/>
          <w:sz w:val="21"/>
          <w:szCs w:val="21"/>
        </w:rPr>
        <w:t>中列支，但应</w:t>
      </w:r>
      <w:proofErr w:type="gramStart"/>
      <w:r w:rsidRPr="004E30C2">
        <w:rPr>
          <w:rFonts w:ascii="Calibri" w:eastAsia="宋体" w:hAnsi="Calibri" w:hint="eastAsia"/>
          <w:color w:val="auto"/>
          <w:sz w:val="21"/>
          <w:szCs w:val="21"/>
        </w:rPr>
        <w:t>待侧袋</w:t>
      </w:r>
      <w:proofErr w:type="gramEnd"/>
      <w:r w:rsidRPr="004E30C2">
        <w:rPr>
          <w:rFonts w:ascii="Calibri" w:eastAsia="宋体" w:hAnsi="Calibri" w:hint="eastAsia"/>
          <w:color w:val="auto"/>
          <w:sz w:val="21"/>
          <w:szCs w:val="21"/>
        </w:rPr>
        <w:lastRenderedPageBreak/>
        <w:t>账户资产变现后方可列支，有关费用可酌情收取或减免，但不得收取管理费。</w:t>
      </w:r>
    </w:p>
    <w:p w14:paraId="121865A1"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（五）对于</w:t>
      </w:r>
      <w:r w:rsidRPr="004E30C2">
        <w:rPr>
          <w:rFonts w:ascii="Calibri" w:eastAsia="宋体" w:hAnsi="Calibri" w:cs="方正仿宋简体" w:hint="eastAsia"/>
          <w:color w:val="auto"/>
          <w:sz w:val="21"/>
          <w:szCs w:val="21"/>
        </w:rPr>
        <w:t>违反法律法规、</w:t>
      </w:r>
      <w:r w:rsidRPr="004E30C2">
        <w:rPr>
          <w:rFonts w:ascii="Calibri" w:eastAsia="宋体" w:hAnsi="Calibri" w:hint="eastAsia"/>
          <w:color w:val="auto"/>
          <w:sz w:val="21"/>
          <w:szCs w:val="21"/>
        </w:rPr>
        <w:t>《基金合同》</w:t>
      </w:r>
      <w:r w:rsidRPr="004E30C2">
        <w:rPr>
          <w:rFonts w:ascii="Calibri" w:eastAsia="宋体" w:hAnsi="Calibri" w:cs="方正仿宋简体" w:hint="eastAsia"/>
          <w:color w:val="auto"/>
          <w:sz w:val="21"/>
          <w:szCs w:val="21"/>
        </w:rPr>
        <w:t>、本协议及</w:t>
      </w:r>
      <w:r w:rsidRPr="004E30C2">
        <w:rPr>
          <w:rFonts w:ascii="Calibri" w:eastAsia="宋体" w:hAnsi="Calibri" w:cs="方正仿宋简体"/>
          <w:color w:val="auto"/>
          <w:sz w:val="21"/>
          <w:szCs w:val="21"/>
        </w:rPr>
        <w:t>中国证监会</w:t>
      </w:r>
      <w:r w:rsidRPr="004E30C2">
        <w:rPr>
          <w:rFonts w:ascii="Calibri" w:eastAsia="宋体" w:hAnsi="Calibri" w:cs="方正仿宋简体" w:hint="eastAsia"/>
          <w:color w:val="auto"/>
          <w:sz w:val="21"/>
          <w:szCs w:val="21"/>
        </w:rPr>
        <w:t>有关规定（包括基金费用的计提方法、计提标准、支付方式等）的费用，不得从任何基金财产中列</w:t>
      </w:r>
      <w:r w:rsidRPr="004E30C2">
        <w:rPr>
          <w:rFonts w:ascii="Calibri" w:eastAsia="宋体" w:hAnsi="Calibri" w:hint="eastAsia"/>
          <w:color w:val="auto"/>
          <w:sz w:val="21"/>
          <w:szCs w:val="21"/>
        </w:rPr>
        <w:t>支。</w:t>
      </w:r>
    </w:p>
    <w:p w14:paraId="00F49912"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（六）本基金支付给基金管理人、基金托管人的各项费用均为含税价格，具体税率适用</w:t>
      </w:r>
      <w:r w:rsidRPr="004E30C2">
        <w:rPr>
          <w:rFonts w:ascii="Calibri" w:eastAsia="宋体" w:hAnsi="Calibri"/>
          <w:color w:val="auto"/>
          <w:sz w:val="21"/>
          <w:szCs w:val="21"/>
        </w:rPr>
        <w:t>国家税收法律、法规</w:t>
      </w:r>
      <w:r w:rsidRPr="004E30C2">
        <w:rPr>
          <w:rFonts w:ascii="Calibri" w:eastAsia="宋体" w:hAnsi="Calibri" w:hint="eastAsia"/>
          <w:color w:val="auto"/>
          <w:sz w:val="21"/>
          <w:szCs w:val="21"/>
        </w:rPr>
        <w:t>的相关规定。</w:t>
      </w:r>
    </w:p>
    <w:p w14:paraId="7FA2BEA8"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2DC38123"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48" w:name="_Toc119267468"/>
      <w:bookmarkStart w:id="49" w:name="_Toc6688"/>
      <w:bookmarkStart w:id="50" w:name="_Toc116900107"/>
      <w:bookmarkEnd w:id="46"/>
      <w:r w:rsidRPr="004E30C2">
        <w:rPr>
          <w:rFonts w:ascii="Calibri" w:hAnsi="Calibri" w:hint="eastAsia"/>
          <w:sz w:val="21"/>
          <w:szCs w:val="21"/>
        </w:rPr>
        <w:t>十二、基金份额持有人名册的保管</w:t>
      </w:r>
      <w:bookmarkEnd w:id="48"/>
      <w:bookmarkEnd w:id="49"/>
    </w:p>
    <w:p w14:paraId="0B3E7DA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（一）基金份额持有人名册的内容</w:t>
      </w:r>
    </w:p>
    <w:p w14:paraId="631FDFB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基金份额持有人名册的内容包括但不限于基金份额持有人的名称和持有的基金份额。</w:t>
      </w:r>
    </w:p>
    <w:p w14:paraId="119D73C2"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基金份额持有人名册包括以下几类：</w:t>
      </w:r>
    </w:p>
    <w:p w14:paraId="1B3B232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、基金募集期结束时的基金份额持有人名册</w:t>
      </w:r>
      <w:r w:rsidRPr="004E30C2">
        <w:rPr>
          <w:rFonts w:ascii="Calibri" w:eastAsia="宋体" w:hAnsi="Calibri" w:hint="eastAsia"/>
          <w:color w:val="auto"/>
          <w:sz w:val="21"/>
          <w:szCs w:val="21"/>
        </w:rPr>
        <w:t>；</w:t>
      </w:r>
    </w:p>
    <w:p w14:paraId="7A12A75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、基金权益登记日的基金份额持有人名册</w:t>
      </w:r>
      <w:r w:rsidRPr="004E30C2">
        <w:rPr>
          <w:rFonts w:ascii="Calibri" w:eastAsia="宋体" w:hAnsi="Calibri" w:hint="eastAsia"/>
          <w:color w:val="auto"/>
          <w:sz w:val="21"/>
          <w:szCs w:val="21"/>
        </w:rPr>
        <w:t>；</w:t>
      </w:r>
    </w:p>
    <w:p w14:paraId="48944D9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、基金份额持有人大会登记日的基金份额持有人名册</w:t>
      </w:r>
      <w:r w:rsidRPr="004E30C2">
        <w:rPr>
          <w:rFonts w:ascii="Calibri" w:eastAsia="宋体" w:hAnsi="Calibri" w:hint="eastAsia"/>
          <w:color w:val="auto"/>
          <w:sz w:val="21"/>
          <w:szCs w:val="21"/>
        </w:rPr>
        <w:t>；</w:t>
      </w:r>
    </w:p>
    <w:p w14:paraId="3C283FB9"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4</w:t>
      </w:r>
      <w:r w:rsidRPr="004E30C2">
        <w:rPr>
          <w:rFonts w:ascii="Calibri" w:eastAsia="宋体" w:hAnsi="Calibri"/>
          <w:color w:val="auto"/>
          <w:sz w:val="21"/>
          <w:szCs w:val="21"/>
        </w:rPr>
        <w:t>、</w:t>
      </w:r>
      <w:r w:rsidRPr="004E30C2">
        <w:rPr>
          <w:rFonts w:ascii="Calibri" w:eastAsia="宋体" w:hAnsi="Calibri" w:hint="eastAsia"/>
          <w:color w:val="auto"/>
          <w:sz w:val="21"/>
          <w:szCs w:val="21"/>
        </w:rPr>
        <w:t>每半年度最后一个交易日的基金份额持有人名册。</w:t>
      </w:r>
    </w:p>
    <w:p w14:paraId="78735DF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（二）基金份额持有人名册的提供</w:t>
      </w:r>
    </w:p>
    <w:p w14:paraId="20DE1CFD" w14:textId="77777777" w:rsidR="006C190A" w:rsidRPr="004E30C2" w:rsidRDefault="00CC37BA">
      <w:pPr>
        <w:pStyle w:val="a7"/>
        <w:spacing w:before="100" w:beforeAutospacing="1" w:after="100" w:afterAutospacing="1"/>
        <w:ind w:firstLine="403"/>
        <w:rPr>
          <w:rFonts w:ascii="Calibri" w:eastAsia="宋体" w:hAnsi="Calibri" w:cs="方正仿宋简体"/>
          <w:color w:val="auto"/>
          <w:sz w:val="21"/>
          <w:szCs w:val="21"/>
        </w:rPr>
      </w:pPr>
      <w:r w:rsidRPr="004E30C2">
        <w:rPr>
          <w:rFonts w:ascii="Calibri" w:eastAsia="宋体" w:hAnsi="Calibri" w:cs="方正仿宋简体" w:hint="eastAsia"/>
          <w:color w:val="auto"/>
          <w:sz w:val="21"/>
          <w:szCs w:val="21"/>
        </w:rPr>
        <w:t>对于</w:t>
      </w:r>
      <w:r w:rsidRPr="004E30C2">
        <w:rPr>
          <w:rFonts w:ascii="Calibri" w:eastAsia="宋体" w:hAnsi="Calibri" w:hint="eastAsia"/>
          <w:color w:val="auto"/>
          <w:sz w:val="21"/>
          <w:szCs w:val="21"/>
        </w:rPr>
        <w:t>每半年度最后一个交易日的基金份额持有人名册，基金管理人应在每半年度结束后</w:t>
      </w:r>
      <w:r w:rsidRPr="004E30C2">
        <w:rPr>
          <w:rFonts w:ascii="Calibri" w:eastAsia="宋体" w:hAnsi="Calibri"/>
          <w:color w:val="auto"/>
          <w:sz w:val="21"/>
          <w:szCs w:val="21"/>
        </w:rPr>
        <w:t>5</w:t>
      </w:r>
      <w:r w:rsidRPr="004E30C2">
        <w:rPr>
          <w:rFonts w:ascii="Calibri" w:eastAsia="宋体" w:hAnsi="Calibri"/>
          <w:color w:val="auto"/>
          <w:sz w:val="21"/>
          <w:szCs w:val="21"/>
        </w:rPr>
        <w:t>个工作日内定期</w:t>
      </w:r>
      <w:r w:rsidRPr="004E30C2">
        <w:rPr>
          <w:rFonts w:ascii="Calibri" w:eastAsia="宋体" w:hAnsi="Calibri" w:cs="方正仿宋简体" w:hint="eastAsia"/>
          <w:color w:val="auto"/>
          <w:sz w:val="21"/>
          <w:szCs w:val="21"/>
        </w:rPr>
        <w:t>向基金托管人提供。</w:t>
      </w:r>
      <w:r w:rsidRPr="004E30C2">
        <w:rPr>
          <w:rFonts w:ascii="Calibri" w:eastAsia="宋体" w:hAnsi="Calibri" w:hint="eastAsia"/>
          <w:color w:val="auto"/>
          <w:sz w:val="21"/>
          <w:szCs w:val="21"/>
        </w:rPr>
        <w:t>对于基金募集期结束时的基金份额持有人名</w:t>
      </w:r>
      <w:r w:rsidRPr="004E30C2">
        <w:rPr>
          <w:rFonts w:ascii="Calibri" w:eastAsia="宋体" w:hAnsi="Calibri" w:hint="eastAsia"/>
          <w:color w:val="auto"/>
          <w:sz w:val="21"/>
          <w:szCs w:val="21"/>
        </w:rPr>
        <w:t>册、基金权益登记日的基金份额持有人名册以及基金份额持有人大会登记日的基金份额持有人名册，</w:t>
      </w:r>
      <w:r w:rsidRPr="004E30C2">
        <w:rPr>
          <w:rFonts w:ascii="Calibri" w:eastAsia="宋体" w:hAnsi="Calibri" w:cs="方正仿宋简体" w:hint="eastAsia"/>
          <w:color w:val="auto"/>
          <w:sz w:val="21"/>
          <w:szCs w:val="21"/>
        </w:rPr>
        <w:t>基金管理人应在相关的名册生成后</w:t>
      </w:r>
      <w:r w:rsidRPr="004E30C2">
        <w:rPr>
          <w:rFonts w:ascii="Calibri" w:eastAsia="宋体" w:hAnsi="Calibri" w:cs="方正仿宋简体"/>
          <w:color w:val="auto"/>
          <w:sz w:val="21"/>
          <w:szCs w:val="21"/>
        </w:rPr>
        <w:t>5</w:t>
      </w:r>
      <w:r w:rsidRPr="004E30C2">
        <w:rPr>
          <w:rFonts w:ascii="Calibri" w:eastAsia="宋体" w:hAnsi="Calibri" w:cs="方正仿宋简体"/>
          <w:color w:val="auto"/>
          <w:sz w:val="21"/>
          <w:szCs w:val="21"/>
        </w:rPr>
        <w:t>个工作日内向基金托管人提供。</w:t>
      </w:r>
    </w:p>
    <w:p w14:paraId="54860EA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s="方正仿宋简体" w:hint="eastAsia"/>
          <w:color w:val="auto"/>
          <w:sz w:val="21"/>
          <w:szCs w:val="21"/>
        </w:rPr>
        <w:t>（三）</w:t>
      </w:r>
      <w:r w:rsidRPr="004E30C2">
        <w:rPr>
          <w:rFonts w:ascii="Calibri" w:eastAsia="宋体" w:hAnsi="Calibri" w:hint="eastAsia"/>
          <w:color w:val="auto"/>
          <w:sz w:val="21"/>
          <w:szCs w:val="21"/>
        </w:rPr>
        <w:t>基金份额持有人名册的保管</w:t>
      </w:r>
    </w:p>
    <w:p w14:paraId="4107DE2F" w14:textId="77777777" w:rsidR="006C190A" w:rsidRPr="004E30C2" w:rsidRDefault="00CC37BA">
      <w:pPr>
        <w:spacing w:before="100" w:beforeAutospacing="1" w:after="100" w:afterAutospacing="1" w:line="400" w:lineRule="exact"/>
        <w:ind w:firstLine="420"/>
        <w:rPr>
          <w:rFonts w:ascii="Calibri" w:hAnsi="Calibri" w:cs="方正大标宋简体"/>
          <w:szCs w:val="21"/>
        </w:rPr>
      </w:pPr>
      <w:r w:rsidRPr="004E30C2">
        <w:rPr>
          <w:rFonts w:ascii="Calibri" w:hAnsi="Calibri" w:hint="eastAsia"/>
          <w:szCs w:val="21"/>
        </w:rPr>
        <w:t>基金管理人和基金托管人应分别保管基金份额持有人名册，基金登记机构保存期自基金账户销户之日起不少于</w:t>
      </w:r>
      <w:r w:rsidRPr="004E30C2">
        <w:rPr>
          <w:rFonts w:ascii="Calibri" w:hAnsi="Calibri"/>
          <w:szCs w:val="21"/>
        </w:rPr>
        <w:t>20</w:t>
      </w:r>
      <w:r w:rsidRPr="004E30C2">
        <w:rPr>
          <w:rFonts w:ascii="Calibri" w:hAnsi="Calibri"/>
          <w:szCs w:val="21"/>
        </w:rPr>
        <w:t>年，法律法规另有规定或有权机关另有要求的除外。如不能妥善保管，则按相关法规承担责任。</w:t>
      </w:r>
    </w:p>
    <w:p w14:paraId="11695595"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hint="eastAsia"/>
          <w:szCs w:val="21"/>
        </w:rPr>
        <w:lastRenderedPageBreak/>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653569D3" w14:textId="77777777" w:rsidR="006C190A" w:rsidRPr="004E30C2" w:rsidRDefault="006C190A">
      <w:pPr>
        <w:spacing w:before="100" w:beforeAutospacing="1" w:after="100" w:afterAutospacing="1" w:line="400" w:lineRule="exact"/>
        <w:ind w:firstLine="420"/>
        <w:rPr>
          <w:rFonts w:ascii="Calibri" w:hAnsi="Calibri"/>
          <w:szCs w:val="21"/>
        </w:rPr>
      </w:pPr>
    </w:p>
    <w:p w14:paraId="73E66AFE"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51" w:name="_Toc5209"/>
      <w:bookmarkStart w:id="52" w:name="_Toc119267469"/>
      <w:r w:rsidRPr="004E30C2">
        <w:rPr>
          <w:rFonts w:ascii="Calibri" w:hAnsi="Calibri" w:hint="eastAsia"/>
          <w:sz w:val="21"/>
          <w:szCs w:val="21"/>
        </w:rPr>
        <w:t>十三、基金有关文件档案的保存</w:t>
      </w:r>
      <w:bookmarkEnd w:id="51"/>
      <w:bookmarkEnd w:id="52"/>
    </w:p>
    <w:p w14:paraId="29B17381"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（一）</w:t>
      </w:r>
      <w:r w:rsidRPr="004E30C2">
        <w:rPr>
          <w:rFonts w:ascii="Calibri" w:eastAsia="宋体" w:hAnsi="Calibri" w:cs="方正仿宋简体" w:hint="eastAsia"/>
          <w:color w:val="auto"/>
          <w:sz w:val="21"/>
          <w:szCs w:val="21"/>
        </w:rPr>
        <w:t>基金管理人应保存基金财产管理业务活动的记录、账册、报表和其他相关资料，基金托管人应保存基金托管业务活动的记录、账册、报表和其他相关资料，保存期限不少于法律法规规定的最低期限。</w:t>
      </w:r>
    </w:p>
    <w:p w14:paraId="087DC8C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（二）基金管理人和基金托管人应按本协议第十条的约定对各自保存的文件和档案履行保密义务。</w:t>
      </w:r>
    </w:p>
    <w:p w14:paraId="647400FE" w14:textId="77777777" w:rsidR="006C190A" w:rsidRPr="004E30C2" w:rsidRDefault="00CC37BA">
      <w:pPr>
        <w:tabs>
          <w:tab w:val="left" w:pos="2745"/>
        </w:tabs>
        <w:spacing w:before="100" w:beforeAutospacing="1" w:after="100" w:afterAutospacing="1" w:line="400" w:lineRule="exact"/>
        <w:rPr>
          <w:rFonts w:ascii="Calibri" w:hAnsi="Calibri"/>
          <w:szCs w:val="21"/>
        </w:rPr>
      </w:pPr>
      <w:r w:rsidRPr="004E30C2">
        <w:rPr>
          <w:rFonts w:ascii="Calibri" w:hAnsi="Calibri"/>
          <w:szCs w:val="21"/>
        </w:rPr>
        <w:tab/>
      </w:r>
    </w:p>
    <w:p w14:paraId="2FE579B4"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53" w:name="_Toc119267470"/>
      <w:bookmarkStart w:id="54" w:name="_Toc17247"/>
      <w:r w:rsidRPr="004E30C2">
        <w:rPr>
          <w:rFonts w:ascii="Calibri" w:hAnsi="Calibri" w:hint="eastAsia"/>
          <w:sz w:val="21"/>
          <w:szCs w:val="21"/>
        </w:rPr>
        <w:t>十四、</w:t>
      </w:r>
      <w:bookmarkStart w:id="55" w:name="_Toc116900108"/>
      <w:bookmarkEnd w:id="50"/>
      <w:r w:rsidRPr="004E30C2">
        <w:rPr>
          <w:rFonts w:ascii="Calibri" w:hAnsi="Calibri" w:hint="eastAsia"/>
          <w:sz w:val="21"/>
          <w:szCs w:val="21"/>
        </w:rPr>
        <w:t>基金托管人和基金管理人的更换</w:t>
      </w:r>
      <w:bookmarkEnd w:id="53"/>
      <w:bookmarkEnd w:id="54"/>
      <w:bookmarkEnd w:id="55"/>
    </w:p>
    <w:p w14:paraId="1EDA76DA"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hint="eastAsia"/>
          <w:szCs w:val="21"/>
        </w:rPr>
        <w:t>（一）</w:t>
      </w:r>
      <w:r w:rsidRPr="004E30C2">
        <w:rPr>
          <w:rFonts w:ascii="Calibri" w:hAnsi="Calibri"/>
          <w:szCs w:val="21"/>
        </w:rPr>
        <w:t>基金管理人职责终止</w:t>
      </w:r>
      <w:r w:rsidRPr="004E30C2">
        <w:rPr>
          <w:rFonts w:ascii="Calibri" w:hAnsi="Calibri" w:hint="eastAsia"/>
          <w:szCs w:val="21"/>
        </w:rPr>
        <w:t>后</w:t>
      </w:r>
      <w:r w:rsidRPr="004E30C2">
        <w:rPr>
          <w:rFonts w:ascii="Calibri" w:hAnsi="Calibri"/>
          <w:szCs w:val="21"/>
        </w:rPr>
        <w:t>，</w:t>
      </w:r>
      <w:r w:rsidRPr="004E30C2">
        <w:rPr>
          <w:rFonts w:ascii="Calibri" w:hAnsi="Calibri" w:hint="eastAsia"/>
          <w:szCs w:val="21"/>
        </w:rPr>
        <w:t>仍</w:t>
      </w:r>
      <w:r w:rsidRPr="004E30C2">
        <w:rPr>
          <w:rFonts w:ascii="Calibri" w:hAnsi="Calibri"/>
          <w:szCs w:val="21"/>
        </w:rPr>
        <w:t>应妥善保管基金管理业务资料，</w:t>
      </w:r>
      <w:r w:rsidRPr="004E30C2">
        <w:rPr>
          <w:rFonts w:ascii="Calibri" w:hAnsi="Calibri" w:hint="eastAsia"/>
          <w:szCs w:val="21"/>
        </w:rPr>
        <w:t>并与</w:t>
      </w:r>
      <w:proofErr w:type="gramStart"/>
      <w:r w:rsidRPr="004E30C2">
        <w:rPr>
          <w:rFonts w:ascii="Calibri" w:hAnsi="Calibri" w:hint="eastAsia"/>
          <w:szCs w:val="21"/>
        </w:rPr>
        <w:t>新任基金</w:t>
      </w:r>
      <w:proofErr w:type="gramEnd"/>
      <w:r w:rsidRPr="004E30C2">
        <w:rPr>
          <w:rFonts w:ascii="Calibri" w:hAnsi="Calibri" w:hint="eastAsia"/>
          <w:szCs w:val="21"/>
        </w:rPr>
        <w:t>管理人或临时基金管理人</w:t>
      </w:r>
      <w:r w:rsidRPr="004E30C2">
        <w:rPr>
          <w:rFonts w:ascii="Calibri" w:hAnsi="Calibri"/>
          <w:szCs w:val="21"/>
        </w:rPr>
        <w:t>及时办理基金管理业务的移交手续。</w:t>
      </w:r>
      <w:r w:rsidRPr="004E30C2">
        <w:rPr>
          <w:rFonts w:ascii="Calibri" w:hAnsi="Calibri" w:hint="eastAsia"/>
          <w:szCs w:val="21"/>
        </w:rPr>
        <w:t>基金托管人应给予积极配合，并与</w:t>
      </w:r>
      <w:proofErr w:type="gramStart"/>
      <w:r w:rsidRPr="004E30C2">
        <w:rPr>
          <w:rFonts w:ascii="Calibri" w:hAnsi="Calibri" w:hint="eastAsia"/>
          <w:szCs w:val="21"/>
        </w:rPr>
        <w:t>新任基金</w:t>
      </w:r>
      <w:proofErr w:type="gramEnd"/>
      <w:r w:rsidRPr="004E30C2">
        <w:rPr>
          <w:rFonts w:ascii="Calibri" w:hAnsi="Calibri" w:hint="eastAsia"/>
          <w:szCs w:val="21"/>
        </w:rPr>
        <w:t>管理人或临时基金管理人核对基金资产总值和净值。</w:t>
      </w:r>
    </w:p>
    <w:p w14:paraId="4B66CEE0"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hint="eastAsia"/>
          <w:szCs w:val="21"/>
        </w:rPr>
        <w:t>（二）</w:t>
      </w:r>
      <w:r w:rsidRPr="004E30C2">
        <w:rPr>
          <w:rFonts w:ascii="Calibri" w:hAnsi="Calibri"/>
          <w:szCs w:val="21"/>
        </w:rPr>
        <w:t>基金托管人职责终止</w:t>
      </w:r>
      <w:r w:rsidRPr="004E30C2">
        <w:rPr>
          <w:rFonts w:ascii="Calibri" w:hAnsi="Calibri" w:hint="eastAsia"/>
          <w:szCs w:val="21"/>
        </w:rPr>
        <w:t>后</w:t>
      </w:r>
      <w:r w:rsidRPr="004E30C2">
        <w:rPr>
          <w:rFonts w:ascii="Calibri" w:hAnsi="Calibri"/>
          <w:szCs w:val="21"/>
        </w:rPr>
        <w:t>，</w:t>
      </w:r>
      <w:r w:rsidRPr="004E30C2">
        <w:rPr>
          <w:rFonts w:ascii="Calibri" w:hAnsi="Calibri" w:hint="eastAsia"/>
          <w:szCs w:val="21"/>
        </w:rPr>
        <w:t>仍</w:t>
      </w:r>
      <w:r w:rsidRPr="004E30C2">
        <w:rPr>
          <w:rFonts w:ascii="Calibri" w:hAnsi="Calibri"/>
          <w:szCs w:val="21"/>
        </w:rPr>
        <w:t>应妥善保管基金财产和基金托管业务资料，</w:t>
      </w:r>
      <w:r w:rsidRPr="004E30C2">
        <w:rPr>
          <w:rFonts w:ascii="Calibri" w:hAnsi="Calibri" w:hint="eastAsia"/>
          <w:szCs w:val="21"/>
        </w:rPr>
        <w:t>并与</w:t>
      </w:r>
      <w:proofErr w:type="gramStart"/>
      <w:r w:rsidRPr="004E30C2">
        <w:rPr>
          <w:rFonts w:ascii="Calibri" w:hAnsi="Calibri" w:hint="eastAsia"/>
          <w:szCs w:val="21"/>
        </w:rPr>
        <w:t>新任基金</w:t>
      </w:r>
      <w:proofErr w:type="gramEnd"/>
      <w:r w:rsidRPr="004E30C2">
        <w:rPr>
          <w:rFonts w:ascii="Calibri" w:hAnsi="Calibri" w:hint="eastAsia"/>
          <w:szCs w:val="21"/>
        </w:rPr>
        <w:t>托管人或临时基金托管人</w:t>
      </w:r>
      <w:r w:rsidRPr="004E30C2">
        <w:rPr>
          <w:rFonts w:ascii="Calibri" w:hAnsi="Calibri"/>
          <w:szCs w:val="21"/>
        </w:rPr>
        <w:t>及时办理基金财产和基金托管业务的移交手续。</w:t>
      </w:r>
      <w:r w:rsidRPr="004E30C2">
        <w:rPr>
          <w:rFonts w:ascii="Calibri" w:hAnsi="Calibri" w:hint="eastAsia"/>
          <w:szCs w:val="21"/>
        </w:rPr>
        <w:t>基金管理人应给予积极配合，并与</w:t>
      </w:r>
      <w:proofErr w:type="gramStart"/>
      <w:r w:rsidRPr="004E30C2">
        <w:rPr>
          <w:rFonts w:ascii="Calibri" w:hAnsi="Calibri" w:hint="eastAsia"/>
          <w:szCs w:val="21"/>
        </w:rPr>
        <w:t>新任基金</w:t>
      </w:r>
      <w:proofErr w:type="gramEnd"/>
      <w:r w:rsidRPr="004E30C2">
        <w:rPr>
          <w:rFonts w:ascii="Calibri" w:hAnsi="Calibri" w:hint="eastAsia"/>
          <w:szCs w:val="21"/>
        </w:rPr>
        <w:t>托管人或临时基金托管人核对基金资产总值和净值。</w:t>
      </w:r>
    </w:p>
    <w:p w14:paraId="2B27B151"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hint="eastAsia"/>
          <w:szCs w:val="21"/>
        </w:rPr>
        <w:t>（三）其他事宜见《基金合同》的相关约定。</w:t>
      </w:r>
    </w:p>
    <w:p w14:paraId="457F99C6" w14:textId="77777777" w:rsidR="006C190A" w:rsidRPr="004E30C2" w:rsidRDefault="006C190A">
      <w:pPr>
        <w:spacing w:before="100" w:beforeAutospacing="1" w:after="100" w:afterAutospacing="1" w:line="400" w:lineRule="exact"/>
        <w:ind w:firstLine="540"/>
        <w:rPr>
          <w:rFonts w:ascii="Calibri" w:hAnsi="Calibri"/>
          <w:szCs w:val="21"/>
        </w:rPr>
      </w:pPr>
    </w:p>
    <w:p w14:paraId="4574A03B"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56" w:name="_Toc119267471"/>
      <w:bookmarkStart w:id="57" w:name="_Toc24877"/>
      <w:bookmarkStart w:id="58" w:name="_Toc116900110"/>
      <w:r w:rsidRPr="004E30C2">
        <w:rPr>
          <w:rFonts w:ascii="Calibri" w:hAnsi="Calibri" w:hint="eastAsia"/>
          <w:sz w:val="21"/>
          <w:szCs w:val="21"/>
        </w:rPr>
        <w:t>十五、禁止行为</w:t>
      </w:r>
      <w:bookmarkEnd w:id="56"/>
      <w:bookmarkEnd w:id="57"/>
      <w:bookmarkEnd w:id="58"/>
    </w:p>
    <w:p w14:paraId="5B79E2EF"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hint="eastAsia"/>
          <w:szCs w:val="21"/>
        </w:rPr>
        <w:t>（一）</w:t>
      </w:r>
      <w:r w:rsidRPr="004E30C2">
        <w:rPr>
          <w:rFonts w:ascii="Calibri" w:hAnsi="Calibri" w:cs="方正仿宋简体" w:hint="eastAsia"/>
          <w:szCs w:val="21"/>
        </w:rPr>
        <w:t>《基金法》禁止的行为。</w:t>
      </w:r>
    </w:p>
    <w:p w14:paraId="5DD5E84E"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（二）《基金法》禁止的投资或活动。</w:t>
      </w:r>
    </w:p>
    <w:p w14:paraId="0364A4C2"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（三）除根据基金管理人的指令或《基金合同》、本协议另有规定外，基金托管人不</w:t>
      </w:r>
      <w:r w:rsidRPr="004E30C2">
        <w:rPr>
          <w:rFonts w:ascii="Calibri" w:hAnsi="Calibri" w:cs="方正仿宋简体" w:hint="eastAsia"/>
          <w:szCs w:val="21"/>
        </w:rPr>
        <w:lastRenderedPageBreak/>
        <w:t>得动用或处分基金财产。</w:t>
      </w:r>
    </w:p>
    <w:p w14:paraId="2123CD3A"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（四）基金管理人、基金托管人的高级管理人员和其他从业人员不得相互兼职。</w:t>
      </w:r>
    </w:p>
    <w:p w14:paraId="64ED6C0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（五）法律法规、《基金合同》和本协议禁止的其他行为。</w:t>
      </w:r>
    </w:p>
    <w:p w14:paraId="3BCE652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法律、行政法规或监管部门取消或变更上述限制性规定，如适用于本基金，基金管理人在与基金托管人协商一致并履行适</w:t>
      </w:r>
      <w:r w:rsidRPr="004E30C2">
        <w:rPr>
          <w:rFonts w:ascii="Calibri" w:eastAsia="宋体" w:hAnsi="Calibri" w:hint="eastAsia"/>
          <w:color w:val="auto"/>
          <w:sz w:val="21"/>
          <w:szCs w:val="21"/>
        </w:rPr>
        <w:t>当程序后，则本基金投资不再受相关限制或以变更后的规定为准。</w:t>
      </w:r>
    </w:p>
    <w:p w14:paraId="7A60B33B"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52801642"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59" w:name="_Toc119267472"/>
      <w:bookmarkStart w:id="60" w:name="_Toc15189"/>
      <w:bookmarkStart w:id="61" w:name="_Toc116900111"/>
      <w:r w:rsidRPr="004E30C2">
        <w:rPr>
          <w:rFonts w:ascii="Calibri" w:hAnsi="Calibri" w:hint="eastAsia"/>
          <w:sz w:val="21"/>
          <w:szCs w:val="21"/>
        </w:rPr>
        <w:t>十六、托管协议的变更、终止与基金财产的清算</w:t>
      </w:r>
      <w:bookmarkEnd w:id="59"/>
      <w:bookmarkEnd w:id="60"/>
    </w:p>
    <w:p w14:paraId="6165E9C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（一）托管协议的变更</w:t>
      </w:r>
    </w:p>
    <w:p w14:paraId="540EE17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本协议双方当事人经协商一致，可以对协议进行变更。变更后的新协议，其内容不得与《基金合同》的规定有任何冲突。</w:t>
      </w:r>
    </w:p>
    <w:p w14:paraId="2E5A8377"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（二）托管协议的终止</w:t>
      </w:r>
    </w:p>
    <w:p w14:paraId="097859D9"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发生以下情况，经履行适当程序后，本托管协议应当终止：</w:t>
      </w:r>
    </w:p>
    <w:p w14:paraId="27A2CA9B"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1</w:t>
      </w:r>
      <w:r w:rsidRPr="004E30C2">
        <w:rPr>
          <w:rFonts w:ascii="Calibri" w:eastAsia="宋体" w:hAnsi="Calibri"/>
          <w:color w:val="auto"/>
          <w:sz w:val="21"/>
          <w:szCs w:val="21"/>
        </w:rPr>
        <w:t>、《基金合同》终止；</w:t>
      </w:r>
    </w:p>
    <w:p w14:paraId="46BA184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、本基金更换基金托管人；</w:t>
      </w:r>
    </w:p>
    <w:p w14:paraId="7B977E16"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、本基金更换基金管理人；</w:t>
      </w:r>
    </w:p>
    <w:p w14:paraId="1F6C5C5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4</w:t>
      </w:r>
      <w:r w:rsidRPr="004E30C2">
        <w:rPr>
          <w:rFonts w:ascii="Calibri" w:eastAsia="宋体" w:hAnsi="Calibri"/>
          <w:color w:val="auto"/>
          <w:sz w:val="21"/>
          <w:szCs w:val="21"/>
        </w:rPr>
        <w:t>、发生《基金法》、《运作办法》或其他法律法规</w:t>
      </w:r>
      <w:r w:rsidRPr="004E30C2">
        <w:rPr>
          <w:rFonts w:ascii="Calibri" w:eastAsia="宋体" w:hAnsi="Calibri" w:hint="eastAsia"/>
          <w:color w:val="auto"/>
          <w:sz w:val="21"/>
          <w:szCs w:val="21"/>
        </w:rPr>
        <w:t>、中国证监会</w:t>
      </w:r>
      <w:r w:rsidRPr="004E30C2">
        <w:rPr>
          <w:rFonts w:ascii="Calibri" w:eastAsia="宋体" w:hAnsi="Calibri"/>
          <w:color w:val="auto"/>
          <w:sz w:val="21"/>
          <w:szCs w:val="21"/>
        </w:rPr>
        <w:t>规定或</w:t>
      </w:r>
      <w:r w:rsidRPr="004E30C2">
        <w:rPr>
          <w:rFonts w:ascii="Calibri" w:eastAsia="宋体" w:hAnsi="Calibri" w:hint="eastAsia"/>
          <w:color w:val="auto"/>
          <w:sz w:val="21"/>
          <w:szCs w:val="21"/>
        </w:rPr>
        <w:t>《基金合同》约定</w:t>
      </w:r>
      <w:r w:rsidRPr="004E30C2">
        <w:rPr>
          <w:rFonts w:ascii="Calibri" w:eastAsia="宋体" w:hAnsi="Calibri"/>
          <w:color w:val="auto"/>
          <w:sz w:val="21"/>
          <w:szCs w:val="21"/>
        </w:rPr>
        <w:t>的终止事项。</w:t>
      </w:r>
    </w:p>
    <w:p w14:paraId="33D0FEB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（三）基金财产的清算</w:t>
      </w:r>
    </w:p>
    <w:p w14:paraId="62D9DC74" w14:textId="77777777" w:rsidR="006C190A" w:rsidRPr="004E30C2" w:rsidRDefault="00CC37BA">
      <w:pPr>
        <w:spacing w:before="100" w:beforeAutospacing="1" w:after="100" w:afterAutospacing="1" w:line="400" w:lineRule="exact"/>
        <w:ind w:firstLine="420"/>
        <w:rPr>
          <w:rFonts w:ascii="Calibri" w:hAnsi="Calibri"/>
          <w:szCs w:val="21"/>
        </w:rPr>
      </w:pPr>
      <w:r w:rsidRPr="004E30C2">
        <w:rPr>
          <w:rFonts w:ascii="Calibri" w:hAnsi="Calibri" w:hint="eastAsia"/>
          <w:szCs w:val="21"/>
        </w:rPr>
        <w:t>基金管理人和基金托管人应按照《基金合同》及有关法律法规的规定对本基金的财产进行清算。</w:t>
      </w:r>
    </w:p>
    <w:p w14:paraId="661BA701" w14:textId="77777777" w:rsidR="006C190A" w:rsidRPr="004E30C2" w:rsidRDefault="006C190A">
      <w:pPr>
        <w:spacing w:before="100" w:beforeAutospacing="1" w:after="100" w:afterAutospacing="1" w:line="400" w:lineRule="exact"/>
        <w:ind w:firstLine="449"/>
        <w:rPr>
          <w:rFonts w:ascii="Calibri" w:hAnsi="Calibri"/>
          <w:szCs w:val="21"/>
        </w:rPr>
      </w:pPr>
    </w:p>
    <w:p w14:paraId="046C6DCF"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62" w:name="_Toc13719"/>
      <w:bookmarkStart w:id="63" w:name="_Toc119267473"/>
      <w:r w:rsidRPr="004E30C2">
        <w:rPr>
          <w:rFonts w:ascii="Calibri" w:hAnsi="Calibri" w:hint="eastAsia"/>
          <w:sz w:val="21"/>
          <w:szCs w:val="21"/>
        </w:rPr>
        <w:lastRenderedPageBreak/>
        <w:t>十七、违约责任和责任划分</w:t>
      </w:r>
      <w:bookmarkEnd w:id="61"/>
      <w:bookmarkEnd w:id="62"/>
      <w:bookmarkEnd w:id="63"/>
    </w:p>
    <w:p w14:paraId="1E9450EB"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hint="eastAsia"/>
          <w:szCs w:val="21"/>
        </w:rPr>
        <w:t>（一）</w:t>
      </w:r>
      <w:r w:rsidRPr="004E30C2">
        <w:rPr>
          <w:rFonts w:ascii="Calibri" w:hAnsi="Calibri" w:cs="方正仿宋简体" w:hint="eastAsia"/>
          <w:szCs w:val="21"/>
        </w:rPr>
        <w:t>本协议当事人不履行本协议或履行本协议不符合约定的，应当承担违约责任。</w:t>
      </w:r>
    </w:p>
    <w:p w14:paraId="6145BD1A"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hint="eastAsia"/>
          <w:szCs w:val="21"/>
        </w:rPr>
        <w:t>（二）因本协议当事人违约给基金财产或者基金份额持有人造成损害的，应当分别对各自的行为依法承担赔偿责任，因共同行为给基金财产或者基金份额持有人造成损害的，应当承担连带赔偿责任。</w:t>
      </w:r>
      <w:r w:rsidRPr="004E30C2">
        <w:rPr>
          <w:rFonts w:ascii="Calibri" w:hAnsi="Calibri" w:cs="方正仿宋简体"/>
          <w:szCs w:val="21"/>
        </w:rPr>
        <w:t>对损失的赔偿，仅限于直接损失。</w:t>
      </w:r>
      <w:r w:rsidRPr="004E30C2">
        <w:rPr>
          <w:rFonts w:ascii="Calibri" w:hAnsi="Calibri" w:cs="方正仿宋简体" w:hint="eastAsia"/>
          <w:szCs w:val="21"/>
        </w:rPr>
        <w:t>但是发生下列情况，当事人免责：</w:t>
      </w:r>
    </w:p>
    <w:p w14:paraId="596572BF"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1</w:t>
      </w:r>
      <w:r w:rsidRPr="004E30C2">
        <w:rPr>
          <w:rFonts w:ascii="Calibri" w:hAnsi="Calibri" w:cs="方正仿宋简体"/>
          <w:szCs w:val="21"/>
        </w:rPr>
        <w:t>、基金管理人</w:t>
      </w:r>
      <w:r w:rsidRPr="004E30C2">
        <w:rPr>
          <w:rFonts w:ascii="Calibri" w:hAnsi="Calibri" w:cs="方正仿宋简体" w:hint="eastAsia"/>
          <w:szCs w:val="21"/>
        </w:rPr>
        <w:t>和</w:t>
      </w:r>
      <w:r w:rsidRPr="004E30C2">
        <w:rPr>
          <w:rFonts w:ascii="Calibri" w:hAnsi="Calibri" w:cs="方正仿宋简体"/>
          <w:szCs w:val="21"/>
        </w:rPr>
        <w:t>/</w:t>
      </w:r>
      <w:r w:rsidRPr="004E30C2">
        <w:rPr>
          <w:rFonts w:ascii="Calibri" w:hAnsi="Calibri" w:cs="方正仿宋简体"/>
          <w:szCs w:val="21"/>
        </w:rPr>
        <w:t>或</w:t>
      </w:r>
      <w:r w:rsidRPr="004E30C2">
        <w:rPr>
          <w:rFonts w:ascii="Calibri" w:hAnsi="Calibri" w:cs="方正仿宋简体" w:hint="eastAsia"/>
          <w:szCs w:val="21"/>
        </w:rPr>
        <w:t>基金托管人按照当时有效的法律法规、中国证监会或市场交易规则的规定作</w:t>
      </w:r>
      <w:r w:rsidRPr="004E30C2">
        <w:rPr>
          <w:rFonts w:ascii="Calibri" w:hAnsi="Calibri" w:cs="方正仿宋简体" w:hint="eastAsia"/>
          <w:szCs w:val="21"/>
        </w:rPr>
        <w:t>为或不作为而造成的损失等；</w:t>
      </w:r>
    </w:p>
    <w:p w14:paraId="36343205"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2</w:t>
      </w:r>
      <w:r w:rsidRPr="004E30C2">
        <w:rPr>
          <w:rFonts w:ascii="Calibri" w:hAnsi="Calibri" w:cs="方正仿宋简体"/>
          <w:szCs w:val="21"/>
        </w:rPr>
        <w:t>、基金管理人由于按照《基金合同》规定的投资原则行使或不行使其投资权而造成的损失等；</w:t>
      </w:r>
    </w:p>
    <w:p w14:paraId="4C3C06AA" w14:textId="77777777" w:rsidR="006C190A" w:rsidRPr="004E30C2" w:rsidRDefault="00CC37BA">
      <w:pPr>
        <w:snapToGrid w:val="0"/>
        <w:spacing w:before="100" w:beforeAutospacing="1" w:after="100" w:afterAutospacing="1" w:line="400" w:lineRule="exact"/>
        <w:ind w:firstLine="420"/>
        <w:rPr>
          <w:rFonts w:ascii="Calibri" w:hAnsi="Calibri" w:cs="方正仿宋简体"/>
          <w:szCs w:val="21"/>
        </w:rPr>
      </w:pPr>
      <w:r w:rsidRPr="004E30C2">
        <w:rPr>
          <w:rFonts w:ascii="Calibri" w:hAnsi="Calibri" w:cs="方正仿宋简体"/>
          <w:szCs w:val="21"/>
        </w:rPr>
        <w:t>3</w:t>
      </w:r>
      <w:r w:rsidRPr="004E30C2">
        <w:rPr>
          <w:rFonts w:ascii="Calibri" w:hAnsi="Calibri" w:cs="方正仿宋简体"/>
          <w:szCs w:val="21"/>
        </w:rPr>
        <w:t>、不可抗力；</w:t>
      </w:r>
    </w:p>
    <w:p w14:paraId="38B3303F" w14:textId="77777777" w:rsidR="006C190A" w:rsidRPr="004E30C2" w:rsidRDefault="00CC37BA">
      <w:pPr>
        <w:snapToGrid w:val="0"/>
        <w:spacing w:before="100" w:beforeAutospacing="1" w:after="100" w:afterAutospacing="1" w:line="400" w:lineRule="exact"/>
        <w:ind w:firstLine="420"/>
        <w:rPr>
          <w:rFonts w:ascii="Calibri" w:hAnsi="Calibri"/>
          <w:bCs/>
          <w:szCs w:val="21"/>
        </w:rPr>
      </w:pPr>
      <w:r w:rsidRPr="004E30C2">
        <w:rPr>
          <w:rFonts w:ascii="Calibri" w:hAnsi="Calibri" w:cs="方正仿宋简体"/>
          <w:szCs w:val="21"/>
        </w:rPr>
        <w:t>4</w:t>
      </w:r>
      <w:r w:rsidRPr="004E30C2">
        <w:rPr>
          <w:rFonts w:ascii="Calibri" w:hAnsi="Calibri" w:cs="方正仿宋简体"/>
          <w:szCs w:val="21"/>
        </w:rPr>
        <w:t>、</w:t>
      </w:r>
      <w:r w:rsidRPr="004E30C2">
        <w:rPr>
          <w:rFonts w:ascii="Calibri" w:hAnsi="Calibri" w:cs="方正仿宋简体" w:hint="eastAsia"/>
          <w:szCs w:val="21"/>
        </w:rPr>
        <w:t>基金托管人对存放或存管在基金托管人以外机构的基金资产，或交由证券公司等其他机构负责清算交收的基金资产及其收益不承担任何责任</w:t>
      </w:r>
      <w:r w:rsidRPr="004E30C2">
        <w:rPr>
          <w:rFonts w:ascii="Calibri" w:hAnsi="Calibri" w:hint="eastAsia"/>
          <w:bCs/>
          <w:szCs w:val="21"/>
        </w:rPr>
        <w:t>。</w:t>
      </w:r>
    </w:p>
    <w:p w14:paraId="6C19799B" w14:textId="77777777" w:rsidR="006C190A" w:rsidRPr="004E30C2" w:rsidRDefault="00CC37BA">
      <w:pPr>
        <w:spacing w:before="100" w:beforeAutospacing="1" w:after="100" w:afterAutospacing="1" w:line="400" w:lineRule="exact"/>
        <w:ind w:firstLine="420"/>
        <w:rPr>
          <w:rFonts w:ascii="Calibri" w:hAnsi="Calibri"/>
        </w:rPr>
      </w:pPr>
      <w:r w:rsidRPr="004E30C2">
        <w:rPr>
          <w:rFonts w:ascii="宋体" w:hAnsi="宋体" w:cs="方正仿宋简体"/>
          <w:szCs w:val="21"/>
        </w:rPr>
        <w:t>5</w:t>
      </w:r>
      <w:r w:rsidRPr="004E30C2">
        <w:rPr>
          <w:rFonts w:ascii="宋体" w:hAnsi="宋体" w:cs="方正仿宋简体"/>
          <w:szCs w:val="21"/>
        </w:rPr>
        <w:t>、计算机系统故障、网络故障、通讯故障、电力故障、计算机病毒攻击及其它</w:t>
      </w:r>
      <w:proofErr w:type="gramStart"/>
      <w:r w:rsidRPr="004E30C2">
        <w:rPr>
          <w:rFonts w:ascii="宋体" w:hAnsi="宋体" w:cs="方正仿宋简体"/>
          <w:szCs w:val="21"/>
        </w:rPr>
        <w:t>非基金</w:t>
      </w:r>
      <w:proofErr w:type="gramEnd"/>
      <w:r w:rsidRPr="004E30C2">
        <w:rPr>
          <w:rFonts w:ascii="宋体" w:hAnsi="宋体" w:cs="方正仿宋简体"/>
          <w:szCs w:val="21"/>
        </w:rPr>
        <w:t>管理人、基金托管人过错造成的意外事故</w:t>
      </w:r>
      <w:r w:rsidRPr="004E30C2">
        <w:rPr>
          <w:rFonts w:ascii="Calibri" w:hAnsi="Calibri"/>
          <w:bCs/>
          <w:szCs w:val="21"/>
        </w:rPr>
        <w:t>。</w:t>
      </w:r>
    </w:p>
    <w:p w14:paraId="4683FAAA"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（三）一方当事人违反本协议，给另一方当事人造成损失的，应承担赔偿责任。</w:t>
      </w:r>
    </w:p>
    <w:p w14:paraId="6F8363BE"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hint="eastAsia"/>
          <w:szCs w:val="21"/>
        </w:rPr>
        <w:t>（四）因不可抗力不能履行本协议的，根据不可抗力的影响，违约方部分或全部免除责任，但法律另有规定的除外。当事人迟延履行后发生不可抗力的，不能免除责任。</w:t>
      </w:r>
    </w:p>
    <w:p w14:paraId="7444953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五）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6BC082E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（六）违约行为虽已发生，但本协议能够继续履行的，在最大限度地保护基金份额持有人利益的前提下，基金管理人和基金托管人应当继续履行本协议。</w:t>
      </w:r>
    </w:p>
    <w:p w14:paraId="355432D0"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（七）为明确责任，在不</w:t>
      </w:r>
      <w:r w:rsidRPr="004E30C2">
        <w:rPr>
          <w:rFonts w:ascii="Calibri" w:eastAsia="宋体" w:hAnsi="Calibri" w:hint="eastAsia"/>
          <w:color w:val="auto"/>
          <w:sz w:val="21"/>
          <w:szCs w:val="21"/>
        </w:rPr>
        <w:t>影响本协议本条其他规定的普遍适用性的前提下，基金管理人和基金托管人对由于如下行为造成的损失的责任承担问题，明确如下：</w:t>
      </w:r>
    </w:p>
    <w:p w14:paraId="44F25AD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lastRenderedPageBreak/>
        <w:t>1</w:t>
      </w:r>
      <w:r w:rsidRPr="004E30C2">
        <w:rPr>
          <w:rFonts w:ascii="Calibri" w:eastAsia="宋体" w:hAnsi="Calibri"/>
          <w:color w:val="auto"/>
          <w:sz w:val="21"/>
          <w:szCs w:val="21"/>
        </w:rPr>
        <w:t>、由于</w:t>
      </w:r>
      <w:r w:rsidRPr="004E30C2">
        <w:rPr>
          <w:rFonts w:ascii="Calibri" w:eastAsia="宋体" w:hAnsi="Calibri" w:hint="eastAsia"/>
          <w:color w:val="auto"/>
          <w:sz w:val="21"/>
          <w:szCs w:val="21"/>
        </w:rPr>
        <w:t>基金管理人</w:t>
      </w:r>
      <w:r w:rsidRPr="004E30C2">
        <w:rPr>
          <w:rFonts w:ascii="Calibri" w:eastAsia="宋体" w:hAnsi="Calibri"/>
          <w:color w:val="auto"/>
          <w:sz w:val="21"/>
          <w:szCs w:val="21"/>
        </w:rPr>
        <w:t>下达违法、违规的指令所导致的责任，由基金管理人承担；</w:t>
      </w:r>
    </w:p>
    <w:p w14:paraId="0300E975"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2</w:t>
      </w:r>
      <w:r w:rsidRPr="004E30C2">
        <w:rPr>
          <w:rFonts w:ascii="Calibri" w:eastAsia="宋体" w:hAnsi="Calibri"/>
          <w:color w:val="auto"/>
          <w:sz w:val="21"/>
          <w:szCs w:val="21"/>
        </w:rPr>
        <w:t>、指令下达人员在授权通知载明的权限范围内下达的指令所导致的责任，由基金管理人承担，即使该人员下达指令并没有获得基金管理人的实际授权（例如基金管理人在撤销或变更授权权限后未能及时通知基金托管人）；</w:t>
      </w:r>
    </w:p>
    <w:p w14:paraId="3866D89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3</w:t>
      </w:r>
      <w:r w:rsidRPr="004E30C2">
        <w:rPr>
          <w:rFonts w:ascii="Calibri" w:eastAsia="宋体" w:hAnsi="Calibri"/>
          <w:color w:val="auto"/>
          <w:sz w:val="21"/>
          <w:szCs w:val="21"/>
        </w:rPr>
        <w:t>、基金托管人未对指令上签名和印鉴与预留签字样本和预留印鉴进行</w:t>
      </w:r>
      <w:r w:rsidRPr="004E30C2">
        <w:rPr>
          <w:rFonts w:ascii="Calibri" w:eastAsia="宋体" w:hAnsi="Calibri" w:hint="eastAsia"/>
          <w:color w:val="auto"/>
          <w:sz w:val="21"/>
          <w:szCs w:val="21"/>
        </w:rPr>
        <w:t>表面真实性审核，导致基金托管人执行了应当无效的指令，基金管理人</w:t>
      </w:r>
      <w:r w:rsidRPr="004E30C2">
        <w:rPr>
          <w:rFonts w:ascii="Calibri" w:eastAsia="宋体" w:hAnsi="Calibri" w:hint="eastAsia"/>
          <w:color w:val="auto"/>
          <w:sz w:val="21"/>
          <w:szCs w:val="21"/>
        </w:rPr>
        <w:t>与基金托管人应根据各自过错程度承担责任；</w:t>
      </w:r>
    </w:p>
    <w:p w14:paraId="68CD34B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4</w:t>
      </w:r>
      <w:r w:rsidRPr="004E30C2">
        <w:rPr>
          <w:rFonts w:ascii="Calibri" w:eastAsia="宋体" w:hAnsi="Calibri"/>
          <w:color w:val="auto"/>
          <w:sz w:val="21"/>
          <w:szCs w:val="21"/>
        </w:rPr>
        <w:t>、</w:t>
      </w:r>
      <w:r w:rsidRPr="004E30C2">
        <w:rPr>
          <w:rFonts w:ascii="Calibri" w:eastAsia="宋体" w:hAnsi="Calibri" w:hint="eastAsia"/>
          <w:color w:val="auto"/>
          <w:sz w:val="21"/>
          <w:szCs w:val="21"/>
        </w:rPr>
        <w:t>属于基金托管人实际有效控制下的基金财产（包括实物证券）在基金托管人保管期间的损坏、灭失，由此产生的责任应由该基金托管人承担；</w:t>
      </w:r>
    </w:p>
    <w:p w14:paraId="74D8C1EE"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5</w:t>
      </w:r>
      <w:r w:rsidRPr="004E30C2">
        <w:rPr>
          <w:rFonts w:ascii="Calibri" w:eastAsia="宋体" w:hAnsi="Calibri" w:hint="eastAsia"/>
          <w:color w:val="auto"/>
          <w:sz w:val="21"/>
          <w:szCs w:val="21"/>
        </w:rPr>
        <w:t>、基金管理人应承担对其应收取的管理费数额计算错误的责任。如果基金托管人复核后同意基金管理人的计算结果，</w:t>
      </w:r>
      <w:proofErr w:type="gramStart"/>
      <w:r w:rsidRPr="004E30C2">
        <w:rPr>
          <w:rFonts w:ascii="Calibri" w:eastAsia="宋体" w:hAnsi="Calibri" w:hint="eastAsia"/>
          <w:color w:val="auto"/>
          <w:sz w:val="21"/>
          <w:szCs w:val="21"/>
        </w:rPr>
        <w:t>则基金</w:t>
      </w:r>
      <w:proofErr w:type="gramEnd"/>
      <w:r w:rsidRPr="004E30C2">
        <w:rPr>
          <w:rFonts w:ascii="Calibri" w:eastAsia="宋体" w:hAnsi="Calibri" w:hint="eastAsia"/>
          <w:color w:val="auto"/>
          <w:sz w:val="21"/>
          <w:szCs w:val="21"/>
        </w:rPr>
        <w:t>托管人也应承担未正确履行复核义务的相应责任；</w:t>
      </w:r>
    </w:p>
    <w:p w14:paraId="77411AD8"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6</w:t>
      </w:r>
      <w:r w:rsidRPr="004E30C2">
        <w:rPr>
          <w:rFonts w:ascii="Calibri" w:eastAsia="宋体" w:hAnsi="Calibri" w:hint="eastAsia"/>
          <w:color w:val="auto"/>
          <w:sz w:val="21"/>
          <w:szCs w:val="21"/>
        </w:rPr>
        <w:t>、基金管理人应承担对基金托管人应收取的托管费数额计算错误的责任。如果基金托管人复核后同意基金管理人的计算结果，</w:t>
      </w:r>
      <w:proofErr w:type="gramStart"/>
      <w:r w:rsidRPr="004E30C2">
        <w:rPr>
          <w:rFonts w:ascii="Calibri" w:eastAsia="宋体" w:hAnsi="Calibri" w:hint="eastAsia"/>
          <w:color w:val="auto"/>
          <w:sz w:val="21"/>
          <w:szCs w:val="21"/>
        </w:rPr>
        <w:t>则基金</w:t>
      </w:r>
      <w:proofErr w:type="gramEnd"/>
      <w:r w:rsidRPr="004E30C2">
        <w:rPr>
          <w:rFonts w:ascii="Calibri" w:eastAsia="宋体" w:hAnsi="Calibri" w:hint="eastAsia"/>
          <w:color w:val="auto"/>
          <w:sz w:val="21"/>
          <w:szCs w:val="21"/>
        </w:rPr>
        <w:t>托管人也应承担未正确履行复核义务的相应责任；</w:t>
      </w:r>
    </w:p>
    <w:p w14:paraId="5B196223"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olor w:val="auto"/>
          <w:sz w:val="21"/>
          <w:szCs w:val="21"/>
        </w:rPr>
        <w:t>7</w:t>
      </w:r>
      <w:r w:rsidRPr="004E30C2">
        <w:rPr>
          <w:rFonts w:ascii="Calibri" w:eastAsia="宋体" w:hAnsi="Calibri" w:hint="eastAsia"/>
          <w:color w:val="auto"/>
          <w:sz w:val="21"/>
          <w:szCs w:val="21"/>
        </w:rPr>
        <w:t>、由于基金管理人或</w:t>
      </w:r>
      <w:r w:rsidRPr="004E30C2">
        <w:rPr>
          <w:rFonts w:ascii="Calibri" w:eastAsia="宋体" w:hAnsi="Calibri" w:hint="eastAsia"/>
          <w:color w:val="auto"/>
          <w:sz w:val="21"/>
          <w:szCs w:val="21"/>
        </w:rPr>
        <w:t>托管</w:t>
      </w:r>
      <w:proofErr w:type="gramStart"/>
      <w:r w:rsidRPr="004E30C2">
        <w:rPr>
          <w:rFonts w:ascii="Calibri" w:eastAsia="宋体" w:hAnsi="Calibri" w:hint="eastAsia"/>
          <w:color w:val="auto"/>
          <w:sz w:val="21"/>
          <w:szCs w:val="21"/>
        </w:rPr>
        <w:t>人原因</w:t>
      </w:r>
      <w:proofErr w:type="gramEnd"/>
      <w:r w:rsidRPr="004E30C2">
        <w:rPr>
          <w:rFonts w:ascii="Calibri" w:eastAsia="宋体" w:hAnsi="Calibri" w:hint="eastAsia"/>
          <w:color w:val="auto"/>
          <w:sz w:val="21"/>
          <w:szCs w:val="21"/>
        </w:rPr>
        <w:t>导致本基金不能依据中国证券登记结算有限责任公司的业务规则及时清算的，由责任方承担由此给基金财产、基金份额持有人及受损害方造成的直接损失，若由于双方原因导致本基金不能依据中国证券登记结算有限责任公司的业务规则及时清算的，双方应按照各自的过错程度对造成的直接损失合理分担责任</w:t>
      </w:r>
      <w:r w:rsidRPr="004E30C2">
        <w:rPr>
          <w:rFonts w:ascii="Calibri" w:eastAsia="宋体" w:hAnsi="Calibri"/>
          <w:color w:val="auto"/>
          <w:sz w:val="21"/>
          <w:szCs w:val="21"/>
        </w:rPr>
        <w:t>。</w:t>
      </w:r>
    </w:p>
    <w:p w14:paraId="2215CAC6"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515F5068"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64" w:name="_Toc116900112"/>
      <w:bookmarkStart w:id="65" w:name="_Toc119267474"/>
      <w:bookmarkStart w:id="66" w:name="_Toc594"/>
      <w:r w:rsidRPr="004E30C2">
        <w:rPr>
          <w:rFonts w:ascii="Calibri" w:hAnsi="Calibri" w:hint="eastAsia"/>
          <w:sz w:val="21"/>
          <w:szCs w:val="21"/>
        </w:rPr>
        <w:t>十八、适用法律与争议解决</w:t>
      </w:r>
      <w:bookmarkEnd w:id="64"/>
      <w:r w:rsidRPr="004E30C2">
        <w:rPr>
          <w:rFonts w:ascii="Calibri" w:hAnsi="Calibri" w:hint="eastAsia"/>
          <w:sz w:val="21"/>
          <w:szCs w:val="21"/>
        </w:rPr>
        <w:t>方式</w:t>
      </w:r>
      <w:bookmarkEnd w:id="65"/>
      <w:bookmarkEnd w:id="66"/>
    </w:p>
    <w:p w14:paraId="5E581FCB"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（一）本协议适用中华人民共和国法律（为本协议之目的，不包括香港特别行政区、澳门特别行政区和台湾地区法律）并从其解释。</w:t>
      </w:r>
    </w:p>
    <w:p w14:paraId="0AD2D06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t>（二）基金管理人与基金托管人之间因本协议产生的或与本协议有关的争议可通过友好协</w:t>
      </w:r>
      <w:r w:rsidRPr="004E30C2">
        <w:rPr>
          <w:rFonts w:ascii="Calibri" w:eastAsia="宋体" w:hAnsi="Calibri" w:hint="eastAsia"/>
          <w:color w:val="auto"/>
          <w:sz w:val="21"/>
          <w:szCs w:val="21"/>
        </w:rPr>
        <w:t>商解决。但若争议未能以协商方式解决的，则任何一方应将争议提交</w:t>
      </w:r>
      <w:bookmarkStart w:id="67" w:name="_Hlk51754930"/>
      <w:r w:rsidRPr="004E30C2">
        <w:rPr>
          <w:rFonts w:ascii="Calibri" w:eastAsia="宋体" w:hAnsi="Calibri" w:hint="eastAsia"/>
          <w:color w:val="auto"/>
          <w:sz w:val="21"/>
          <w:szCs w:val="21"/>
        </w:rPr>
        <w:t>中国国际经济贸易仲裁委员会</w:t>
      </w:r>
      <w:bookmarkEnd w:id="67"/>
      <w:r w:rsidRPr="004E30C2">
        <w:rPr>
          <w:rFonts w:ascii="Calibri" w:eastAsia="宋体" w:hAnsi="Calibri" w:hint="eastAsia"/>
          <w:color w:val="auto"/>
          <w:sz w:val="21"/>
          <w:szCs w:val="21"/>
        </w:rPr>
        <w:t>，并按其届时有效的仲裁规则进行仲裁。仲裁地点为北京市，仲裁裁决是终局的，对仲裁双方当事人均具有约束力。除非仲裁裁决另有规定，仲裁费用和律师费用由败诉方承担。</w:t>
      </w:r>
    </w:p>
    <w:p w14:paraId="3B2CC44C"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hint="eastAsia"/>
          <w:color w:val="auto"/>
          <w:sz w:val="21"/>
          <w:szCs w:val="21"/>
        </w:rPr>
        <w:lastRenderedPageBreak/>
        <w:t>（三）除争议所涉的内容之外，本协议的当事人仍应履行本协议的其他规定。</w:t>
      </w:r>
    </w:p>
    <w:p w14:paraId="282E3167"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0DC989FE"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68" w:name="_Toc116900113"/>
      <w:bookmarkStart w:id="69" w:name="_Toc119267475"/>
      <w:bookmarkStart w:id="70" w:name="_Toc10376"/>
      <w:r w:rsidRPr="004E30C2">
        <w:rPr>
          <w:rFonts w:ascii="Calibri" w:hAnsi="Calibri" w:hint="eastAsia"/>
          <w:sz w:val="21"/>
          <w:szCs w:val="21"/>
        </w:rPr>
        <w:t>十九、托管协议的效力</w:t>
      </w:r>
      <w:bookmarkEnd w:id="68"/>
      <w:bookmarkEnd w:id="69"/>
      <w:bookmarkEnd w:id="70"/>
    </w:p>
    <w:p w14:paraId="1317F235"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（一）基金管理人在向中国证监会申请注册本基金时提交的基金托管协议草案，应经托管协议双方当事人的法定代表人或授权签署人签字或盖章</w:t>
      </w:r>
      <w:bookmarkStart w:id="71" w:name="_Hlk175756587"/>
      <w:r w:rsidRPr="004E30C2">
        <w:rPr>
          <w:rFonts w:ascii="Calibri" w:hAnsi="Calibri" w:cs="方正仿宋简体" w:hint="eastAsia"/>
          <w:szCs w:val="21"/>
        </w:rPr>
        <w:t>并加盖公章</w:t>
      </w:r>
      <w:bookmarkEnd w:id="71"/>
      <w:r w:rsidRPr="004E30C2">
        <w:rPr>
          <w:rFonts w:ascii="Calibri" w:hAnsi="Calibri" w:cs="方正仿宋简体" w:hint="eastAsia"/>
          <w:szCs w:val="21"/>
        </w:rPr>
        <w:t>，协议当事人双方根据中国证监会的意见修</w:t>
      </w:r>
      <w:r w:rsidRPr="004E30C2">
        <w:rPr>
          <w:rFonts w:ascii="Calibri" w:hAnsi="Calibri" w:cs="方正仿宋简体" w:hint="eastAsia"/>
          <w:szCs w:val="21"/>
        </w:rPr>
        <w:t>改托管协议草案。托管协议以中国证监会注册的文本为正式文本。</w:t>
      </w:r>
    </w:p>
    <w:p w14:paraId="6FCEAFAA"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（二）本协议自</w:t>
      </w:r>
      <w:r w:rsidRPr="004E30C2">
        <w:rPr>
          <w:rFonts w:ascii="Calibri" w:hAnsi="Calibri" w:hint="eastAsia"/>
          <w:szCs w:val="21"/>
        </w:rPr>
        <w:t>双方签署</w:t>
      </w:r>
      <w:r w:rsidRPr="004E30C2">
        <w:rPr>
          <w:rFonts w:ascii="Calibri" w:hAnsi="Calibri" w:cs="方正仿宋简体" w:hint="eastAsia"/>
          <w:szCs w:val="21"/>
        </w:rPr>
        <w:t>之日起成立，自基金合同生效之日起生效。本协议的有效期自其生效之日起至基金财产清算结果报中国证监会备案并公告之日止。</w:t>
      </w:r>
    </w:p>
    <w:p w14:paraId="3B189098" w14:textId="77777777" w:rsidR="006C190A" w:rsidRPr="004E30C2" w:rsidRDefault="00CC37BA">
      <w:pPr>
        <w:snapToGrid w:val="0"/>
        <w:spacing w:before="100" w:beforeAutospacing="1" w:after="100" w:afterAutospacing="1" w:line="400" w:lineRule="exact"/>
        <w:ind w:firstLine="420"/>
        <w:rPr>
          <w:rFonts w:ascii="Calibri" w:hAnsi="Calibri"/>
          <w:szCs w:val="21"/>
        </w:rPr>
      </w:pPr>
      <w:r w:rsidRPr="004E30C2">
        <w:rPr>
          <w:rFonts w:ascii="Calibri" w:hAnsi="Calibri" w:cs="方正仿宋简体" w:hint="eastAsia"/>
          <w:szCs w:val="21"/>
        </w:rPr>
        <w:t>（三）本协议自生效之日起对双方当事人具有同等的法律约束力。</w:t>
      </w:r>
    </w:p>
    <w:p w14:paraId="586F7EC4" w14:textId="77777777" w:rsidR="006C190A" w:rsidRPr="004E30C2" w:rsidRDefault="00CC37BA">
      <w:pPr>
        <w:pStyle w:val="a7"/>
        <w:spacing w:before="100" w:beforeAutospacing="1" w:after="100" w:afterAutospacing="1"/>
        <w:ind w:firstLine="403"/>
        <w:rPr>
          <w:rFonts w:ascii="Calibri" w:eastAsia="宋体" w:hAnsi="Calibri"/>
          <w:color w:val="auto"/>
          <w:sz w:val="21"/>
          <w:szCs w:val="21"/>
        </w:rPr>
      </w:pPr>
      <w:r w:rsidRPr="004E30C2">
        <w:rPr>
          <w:rFonts w:ascii="Calibri" w:eastAsia="宋体" w:hAnsi="Calibri" w:cs="方正仿宋简体" w:hint="eastAsia"/>
          <w:color w:val="auto"/>
          <w:sz w:val="21"/>
          <w:szCs w:val="21"/>
        </w:rPr>
        <w:t>（四）</w:t>
      </w:r>
      <w:r w:rsidRPr="004E30C2">
        <w:rPr>
          <w:rFonts w:ascii="Calibri" w:eastAsia="宋体" w:hAnsi="Calibri" w:hint="eastAsia"/>
          <w:color w:val="auto"/>
          <w:sz w:val="21"/>
          <w:szCs w:val="21"/>
        </w:rPr>
        <w:t>本协议正本一式三份，上报有关监管机构一份，协议双方各执一份，每份具有同等法律效力。</w:t>
      </w:r>
    </w:p>
    <w:p w14:paraId="03ACE240" w14:textId="77777777" w:rsidR="006C190A" w:rsidRPr="004E30C2" w:rsidRDefault="006C190A">
      <w:pPr>
        <w:pStyle w:val="a7"/>
        <w:spacing w:before="100" w:beforeAutospacing="1" w:after="100" w:afterAutospacing="1"/>
        <w:ind w:firstLine="403"/>
        <w:rPr>
          <w:rFonts w:ascii="Calibri" w:eastAsia="宋体" w:hAnsi="Calibri"/>
          <w:color w:val="auto"/>
          <w:sz w:val="21"/>
          <w:szCs w:val="21"/>
        </w:rPr>
      </w:pPr>
    </w:p>
    <w:p w14:paraId="1BD7C12A" w14:textId="77777777" w:rsidR="006C190A" w:rsidRPr="004E30C2" w:rsidRDefault="00CC37BA">
      <w:pPr>
        <w:pStyle w:val="1"/>
        <w:spacing w:before="100" w:beforeAutospacing="1" w:after="100" w:afterAutospacing="1" w:line="400" w:lineRule="exact"/>
        <w:ind w:firstLine="422"/>
        <w:rPr>
          <w:rFonts w:ascii="Calibri" w:hAnsi="Calibri"/>
          <w:sz w:val="21"/>
          <w:szCs w:val="21"/>
        </w:rPr>
      </w:pPr>
      <w:bookmarkStart w:id="72" w:name="_Toc116900116"/>
      <w:bookmarkStart w:id="73" w:name="_Toc119267476"/>
      <w:bookmarkStart w:id="74" w:name="_Toc5089"/>
      <w:r w:rsidRPr="004E30C2">
        <w:rPr>
          <w:rFonts w:ascii="Calibri" w:hAnsi="Calibri"/>
          <w:sz w:val="21"/>
          <w:szCs w:val="21"/>
        </w:rPr>
        <w:t>二十、托管协议</w:t>
      </w:r>
      <w:bookmarkEnd w:id="72"/>
      <w:r w:rsidRPr="004E30C2">
        <w:rPr>
          <w:rFonts w:ascii="Calibri" w:hAnsi="Calibri" w:hint="eastAsia"/>
          <w:sz w:val="21"/>
          <w:szCs w:val="21"/>
        </w:rPr>
        <w:t>的签订</w:t>
      </w:r>
      <w:bookmarkEnd w:id="73"/>
      <w:bookmarkEnd w:id="74"/>
    </w:p>
    <w:p w14:paraId="4D735106" w14:textId="77777777" w:rsidR="006C190A" w:rsidRDefault="00CC37BA">
      <w:pPr>
        <w:pStyle w:val="a7"/>
        <w:spacing w:before="100" w:beforeAutospacing="1" w:after="100" w:afterAutospacing="1"/>
        <w:ind w:firstLine="403"/>
        <w:rPr>
          <w:rFonts w:ascii="Calibri" w:eastAsia="宋体" w:hAnsi="Calibri"/>
          <w:color w:val="auto"/>
          <w:sz w:val="21"/>
          <w:szCs w:val="21"/>
        </w:rPr>
      </w:pPr>
      <w:proofErr w:type="gramStart"/>
      <w:r w:rsidRPr="004E30C2">
        <w:rPr>
          <w:rFonts w:ascii="Calibri" w:eastAsia="宋体" w:hAnsi="Calibri" w:hint="eastAsia"/>
          <w:color w:val="auto"/>
          <w:sz w:val="21"/>
          <w:szCs w:val="21"/>
        </w:rPr>
        <w:t>见签署页</w:t>
      </w:r>
      <w:proofErr w:type="gramEnd"/>
      <w:r w:rsidRPr="004E30C2">
        <w:rPr>
          <w:rFonts w:ascii="Calibri" w:eastAsia="宋体" w:hAnsi="Calibri" w:hint="eastAsia"/>
          <w:color w:val="auto"/>
          <w:sz w:val="21"/>
          <w:szCs w:val="21"/>
        </w:rPr>
        <w:t>。</w:t>
      </w:r>
      <w:bookmarkStart w:id="75" w:name="_GoBack"/>
      <w:bookmarkEnd w:id="75"/>
    </w:p>
    <w:p w14:paraId="16A4EC10" w14:textId="77777777" w:rsidR="006C190A" w:rsidRDefault="006C190A">
      <w:pPr>
        <w:widowControl/>
        <w:jc w:val="left"/>
      </w:pPr>
    </w:p>
    <w:p w14:paraId="5E10DD14" w14:textId="77777777" w:rsidR="006C190A" w:rsidRDefault="00CC37BA">
      <w:pPr>
        <w:widowControl/>
        <w:pBdr>
          <w:top w:val="none" w:sz="0" w:space="0" w:color="auto"/>
          <w:left w:val="none" w:sz="0" w:space="0" w:color="auto"/>
          <w:bottom w:val="none" w:sz="0" w:space="0" w:color="auto"/>
          <w:right w:val="none" w:sz="0" w:space="0" w:color="auto"/>
          <w:between w:val="none" w:sz="0" w:space="0" w:color="auto"/>
        </w:pBdr>
        <w:shd w:val="clear" w:color="auto" w:fill="auto"/>
        <w:jc w:val="left"/>
      </w:pPr>
      <w:r>
        <w:br w:type="page"/>
      </w:r>
    </w:p>
    <w:p w14:paraId="6A9C6893" w14:textId="77777777" w:rsidR="006C190A" w:rsidRDefault="006C190A">
      <w:pPr>
        <w:pStyle w:val="a7"/>
        <w:spacing w:before="100" w:beforeAutospacing="1" w:after="100" w:afterAutospacing="1"/>
        <w:ind w:firstLine="403"/>
        <w:rPr>
          <w:rFonts w:ascii="Calibri" w:eastAsia="宋体" w:hAnsi="Calibri"/>
          <w:color w:val="auto"/>
          <w:sz w:val="21"/>
          <w:szCs w:val="21"/>
        </w:rPr>
        <w:sectPr w:rsidR="006C190A">
          <w:headerReference w:type="default" r:id="rId13"/>
          <w:footerReference w:type="default" r:id="rId14"/>
          <w:footerReference w:type="first" r:id="rId15"/>
          <w:pgSz w:w="11906" w:h="16838"/>
          <w:pgMar w:top="1440" w:right="1800" w:bottom="1440" w:left="1800" w:header="851" w:footer="992" w:gutter="0"/>
          <w:pgNumType w:start="1"/>
          <w:cols w:space="425"/>
          <w:docGrid w:type="lines" w:linePitch="312"/>
        </w:sectPr>
      </w:pPr>
    </w:p>
    <w:p w14:paraId="7141A1B3" w14:textId="77777777" w:rsidR="006C190A" w:rsidRDefault="006C190A">
      <w:pPr>
        <w:widowControl/>
        <w:pBdr>
          <w:top w:val="none" w:sz="0" w:space="31" w:color="000000"/>
        </w:pBdr>
        <w:jc w:val="left"/>
        <w:rPr>
          <w:sz w:val="24"/>
        </w:rPr>
      </w:pPr>
    </w:p>
    <w:sectPr w:rsidR="006C190A">
      <w:footerReference w:type="default" r:id="rId16"/>
      <w:type w:val="continuous"/>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70E77" w14:textId="77777777" w:rsidR="00CC37BA" w:rsidRDefault="00CC37BA">
      <w:r>
        <w:separator/>
      </w:r>
    </w:p>
  </w:endnote>
  <w:endnote w:type="continuationSeparator" w:id="0">
    <w:p w14:paraId="752F25C3" w14:textId="77777777" w:rsidR="00CC37BA" w:rsidRDefault="00CC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长城仿宋">
    <w:altName w:val="仿宋"/>
    <w:charset w:val="00"/>
    <w:family w:val="auto"/>
    <w:pitch w:val="default"/>
  </w:font>
  <w:font w:name="Calibri">
    <w:panose1 w:val="020F0502020204030204"/>
    <w:charset w:val="00"/>
    <w:family w:val="swiss"/>
    <w:pitch w:val="variable"/>
    <w:sig w:usb0="E0002EFF" w:usb1="C000247B" w:usb2="00000009" w:usb3="00000000" w:csb0="000001FF" w:csb1="00000000"/>
  </w:font>
  <w:font w:name="方正仿宋简体">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0DE4" w14:textId="77777777" w:rsidR="006C190A" w:rsidRDefault="00CC37BA">
    <w:pPr>
      <w:pStyle w:val="aa"/>
      <w:snapToGrid/>
      <w:rPr>
        <w:rStyle w:val="af6"/>
      </w:rPr>
    </w:pPr>
    <w:r>
      <w:rPr>
        <w:rStyle w:val="af6"/>
      </w:rPr>
      <w:fldChar w:fldCharType="begin"/>
    </w:r>
    <w:r>
      <w:rPr>
        <w:rStyle w:val="af6"/>
      </w:rPr>
      <w:instrText xml:space="preserve">PAGE  </w:instrText>
    </w:r>
    <w:r>
      <w:rPr>
        <w:rStyle w:val="af6"/>
      </w:rPr>
      <w:fldChar w:fldCharType="end"/>
    </w:r>
  </w:p>
  <w:p w14:paraId="2E0C030D" w14:textId="77777777" w:rsidR="006C190A" w:rsidRDefault="006C190A">
    <w:pPr>
      <w:pStyle w:val="aa"/>
      <w:snapToGri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7652" w14:textId="77777777" w:rsidR="006C190A" w:rsidRDefault="006C190A">
    <w:pPr>
      <w:pStyle w:val="aa"/>
      <w:snapToGrid/>
      <w:jc w:val="center"/>
    </w:pPr>
  </w:p>
  <w:p w14:paraId="2A21D86B" w14:textId="77777777" w:rsidR="006C190A" w:rsidRDefault="006C190A">
    <w:pPr>
      <w:pStyle w:val="aa"/>
      <w:snapToGrid/>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82075"/>
    </w:sdtPr>
    <w:sdtEndPr/>
    <w:sdtContent>
      <w:p w14:paraId="6B0160A6" w14:textId="77777777" w:rsidR="006C190A" w:rsidRDefault="00CC37BA">
        <w:pPr>
          <w:pStyle w:val="aa"/>
          <w:snapToGrid/>
          <w:jc w:val="center"/>
        </w:pPr>
      </w:p>
    </w:sdtContent>
  </w:sdt>
  <w:p w14:paraId="64387B5E" w14:textId="77777777" w:rsidR="006C190A" w:rsidRDefault="006C190A">
    <w:pPr>
      <w:pStyle w:val="aa"/>
      <w:snapToGri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72197"/>
    </w:sdtPr>
    <w:sdtEndPr/>
    <w:sdtContent>
      <w:p w14:paraId="2E75F308" w14:textId="44657C55" w:rsidR="006C190A" w:rsidRDefault="00CC37BA">
        <w:pPr>
          <w:pStyle w:val="aa"/>
          <w:snapToGrid/>
          <w:jc w:val="center"/>
        </w:pPr>
        <w:r>
          <w:fldChar w:fldCharType="begin"/>
        </w:r>
        <w:r>
          <w:instrText>PAGE   \* MERGEFORMAT</w:instrText>
        </w:r>
        <w:r>
          <w:fldChar w:fldCharType="separate"/>
        </w:r>
        <w:r w:rsidR="004E30C2" w:rsidRPr="004E30C2">
          <w:rPr>
            <w:noProof/>
            <w:lang w:val="zh-CN"/>
          </w:rPr>
          <w:t>19</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B8EA" w14:textId="77777777" w:rsidR="006C190A" w:rsidRDefault="006C190A">
    <w:pPr>
      <w:pStyle w:val="aa"/>
      <w:snapToGrid/>
      <w:jc w:val="center"/>
    </w:pPr>
  </w:p>
  <w:p w14:paraId="33D1365A" w14:textId="77777777" w:rsidR="006C190A" w:rsidRDefault="006C190A">
    <w:pPr>
      <w:pStyle w:val="aa"/>
      <w:snapToGri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335876"/>
    </w:sdtPr>
    <w:sdtEndPr/>
    <w:sdtContent>
      <w:p w14:paraId="3794D41C" w14:textId="77777777" w:rsidR="006C190A" w:rsidRDefault="00CC37BA">
        <w:pPr>
          <w:pStyle w:val="aa"/>
          <w:snapToGrid/>
          <w:jc w:val="center"/>
        </w:pP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C970E" w14:textId="77777777" w:rsidR="00CC37BA" w:rsidRDefault="00CC37BA">
      <w:r>
        <w:separator/>
      </w:r>
    </w:p>
  </w:footnote>
  <w:footnote w:type="continuationSeparator" w:id="0">
    <w:p w14:paraId="2FBC5FD8" w14:textId="77777777" w:rsidR="00CC37BA" w:rsidRDefault="00CC37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1422" w14:textId="77777777" w:rsidR="006C190A" w:rsidRDefault="006C190A">
    <w:pPr>
      <w:pStyle w:val="ac"/>
      <w:snapToGri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E9CE" w14:textId="77777777" w:rsidR="006C190A" w:rsidRDefault="006C190A">
    <w:pPr>
      <w:pStyle w:val="ac"/>
      <w:snapToGri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41CF" w14:textId="77777777" w:rsidR="006C190A" w:rsidRDefault="006C190A">
    <w:pPr>
      <w:pStyle w:val="ac"/>
      <w:snapToGri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A9E2" w14:textId="77777777" w:rsidR="006C190A" w:rsidRDefault="00CC37BA">
    <w:pPr>
      <w:pStyle w:val="ac"/>
      <w:snapToGrid/>
      <w:jc w:val="left"/>
    </w:pPr>
    <w:r>
      <w:rPr>
        <w:rFonts w:hint="eastAsia"/>
      </w:rPr>
      <w:t>华安</w:t>
    </w:r>
    <w:proofErr w:type="gramStart"/>
    <w:r>
      <w:rPr>
        <w:rFonts w:hint="eastAsia"/>
      </w:rPr>
      <w:t>众泰纯债</w:t>
    </w:r>
    <w:proofErr w:type="gramEnd"/>
    <w:r>
      <w:rPr>
        <w:rFonts w:hint="eastAsia"/>
      </w:rPr>
      <w:t>债券型证券投资基金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托管协议（草案）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jYjA3ZTQ2MTM1MDE2Njk1YjQxMTc0YTg5ODhiMTAifQ=="/>
  </w:docVars>
  <w:rsids>
    <w:rsidRoot w:val="008F25AD"/>
    <w:rsid w:val="00061B97"/>
    <w:rsid w:val="000B305A"/>
    <w:rsid w:val="000B3CE1"/>
    <w:rsid w:val="000C2CE1"/>
    <w:rsid w:val="000C307D"/>
    <w:rsid w:val="000D734C"/>
    <w:rsid w:val="00114DBE"/>
    <w:rsid w:val="00117AD3"/>
    <w:rsid w:val="00166010"/>
    <w:rsid w:val="00167C0F"/>
    <w:rsid w:val="001E2BA8"/>
    <w:rsid w:val="001F1BCF"/>
    <w:rsid w:val="001F7A93"/>
    <w:rsid w:val="002138F2"/>
    <w:rsid w:val="00213C96"/>
    <w:rsid w:val="00253E87"/>
    <w:rsid w:val="00286484"/>
    <w:rsid w:val="002926F0"/>
    <w:rsid w:val="002B4AFB"/>
    <w:rsid w:val="002D7F14"/>
    <w:rsid w:val="002E0837"/>
    <w:rsid w:val="002E2142"/>
    <w:rsid w:val="002F5783"/>
    <w:rsid w:val="00321122"/>
    <w:rsid w:val="00357053"/>
    <w:rsid w:val="003E7633"/>
    <w:rsid w:val="003F6FD7"/>
    <w:rsid w:val="00413C3B"/>
    <w:rsid w:val="004147D9"/>
    <w:rsid w:val="0043094A"/>
    <w:rsid w:val="00430A2C"/>
    <w:rsid w:val="0043763C"/>
    <w:rsid w:val="00451915"/>
    <w:rsid w:val="00470F57"/>
    <w:rsid w:val="0047673E"/>
    <w:rsid w:val="004B2BF3"/>
    <w:rsid w:val="004E30C2"/>
    <w:rsid w:val="00513B4A"/>
    <w:rsid w:val="0052745F"/>
    <w:rsid w:val="00563203"/>
    <w:rsid w:val="00564FC6"/>
    <w:rsid w:val="00572930"/>
    <w:rsid w:val="00587F92"/>
    <w:rsid w:val="005C7357"/>
    <w:rsid w:val="005E6610"/>
    <w:rsid w:val="005F1AB3"/>
    <w:rsid w:val="005F7CED"/>
    <w:rsid w:val="00637632"/>
    <w:rsid w:val="00657873"/>
    <w:rsid w:val="006668A4"/>
    <w:rsid w:val="006C190A"/>
    <w:rsid w:val="006D64E4"/>
    <w:rsid w:val="00712EA0"/>
    <w:rsid w:val="007212E4"/>
    <w:rsid w:val="00723713"/>
    <w:rsid w:val="007478AF"/>
    <w:rsid w:val="00776113"/>
    <w:rsid w:val="00790EFE"/>
    <w:rsid w:val="007B2E67"/>
    <w:rsid w:val="007D2F5C"/>
    <w:rsid w:val="007E2F31"/>
    <w:rsid w:val="00817D2B"/>
    <w:rsid w:val="00840F0D"/>
    <w:rsid w:val="0085690F"/>
    <w:rsid w:val="00862ED4"/>
    <w:rsid w:val="0086706A"/>
    <w:rsid w:val="008B025F"/>
    <w:rsid w:val="008D5486"/>
    <w:rsid w:val="008F25AD"/>
    <w:rsid w:val="00912C65"/>
    <w:rsid w:val="00916654"/>
    <w:rsid w:val="009258C4"/>
    <w:rsid w:val="0093021B"/>
    <w:rsid w:val="00962EF3"/>
    <w:rsid w:val="0097069D"/>
    <w:rsid w:val="00987501"/>
    <w:rsid w:val="00990FA4"/>
    <w:rsid w:val="009961C6"/>
    <w:rsid w:val="009D042D"/>
    <w:rsid w:val="009D2D7C"/>
    <w:rsid w:val="009D6C8D"/>
    <w:rsid w:val="009D7346"/>
    <w:rsid w:val="009E52ED"/>
    <w:rsid w:val="00A2201C"/>
    <w:rsid w:val="00AA4771"/>
    <w:rsid w:val="00AD4215"/>
    <w:rsid w:val="00AE089B"/>
    <w:rsid w:val="00AF6AC8"/>
    <w:rsid w:val="00B009AA"/>
    <w:rsid w:val="00B07E14"/>
    <w:rsid w:val="00B26EFE"/>
    <w:rsid w:val="00B42907"/>
    <w:rsid w:val="00B53F72"/>
    <w:rsid w:val="00BB7090"/>
    <w:rsid w:val="00BC1004"/>
    <w:rsid w:val="00BE51E2"/>
    <w:rsid w:val="00C01FC8"/>
    <w:rsid w:val="00C27546"/>
    <w:rsid w:val="00C3298E"/>
    <w:rsid w:val="00C55915"/>
    <w:rsid w:val="00C55D9F"/>
    <w:rsid w:val="00C63B72"/>
    <w:rsid w:val="00C756A2"/>
    <w:rsid w:val="00C809E6"/>
    <w:rsid w:val="00CC37BA"/>
    <w:rsid w:val="00CE4069"/>
    <w:rsid w:val="00CE69D0"/>
    <w:rsid w:val="00D01A22"/>
    <w:rsid w:val="00D12850"/>
    <w:rsid w:val="00D46450"/>
    <w:rsid w:val="00D53405"/>
    <w:rsid w:val="00D73B75"/>
    <w:rsid w:val="00DC724A"/>
    <w:rsid w:val="00DE5982"/>
    <w:rsid w:val="00DF5D1C"/>
    <w:rsid w:val="00E21D4C"/>
    <w:rsid w:val="00E30169"/>
    <w:rsid w:val="00E56368"/>
    <w:rsid w:val="00E630C6"/>
    <w:rsid w:val="00E65D5A"/>
    <w:rsid w:val="00E662C9"/>
    <w:rsid w:val="00ED445C"/>
    <w:rsid w:val="00EF6464"/>
    <w:rsid w:val="00F2266A"/>
    <w:rsid w:val="00F22723"/>
    <w:rsid w:val="00F4724C"/>
    <w:rsid w:val="00F558F0"/>
    <w:rsid w:val="00F6427B"/>
    <w:rsid w:val="00F94072"/>
    <w:rsid w:val="00FA2F4D"/>
    <w:rsid w:val="00FA7BD4"/>
    <w:rsid w:val="00FB4728"/>
    <w:rsid w:val="00FD5A70"/>
    <w:rsid w:val="00FD60D2"/>
    <w:rsid w:val="00FD7740"/>
    <w:rsid w:val="00FE0660"/>
    <w:rsid w:val="00FF1835"/>
    <w:rsid w:val="00FF5681"/>
    <w:rsid w:val="05C92673"/>
    <w:rsid w:val="0C895B13"/>
    <w:rsid w:val="12145A3A"/>
    <w:rsid w:val="1C8F0C6C"/>
    <w:rsid w:val="235D272F"/>
    <w:rsid w:val="28677DEE"/>
    <w:rsid w:val="33AD1DE6"/>
    <w:rsid w:val="3FDC222E"/>
    <w:rsid w:val="41B42BD7"/>
    <w:rsid w:val="48B4786A"/>
    <w:rsid w:val="58515EAD"/>
    <w:rsid w:val="615942CE"/>
    <w:rsid w:val="68146469"/>
    <w:rsid w:val="6E2225FD"/>
    <w:rsid w:val="75FD7CF4"/>
    <w:rsid w:val="7AE27875"/>
    <w:rsid w:val="7E554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266ED2-B6D3-4729-AA92-6D177B17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uiPriority="39" w:qFormat="1"/>
    <w:lsdException w:name="toc 4"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sz w:val="21"/>
      <w:szCs w:val="24"/>
    </w:rPr>
  </w:style>
  <w:style w:type="paragraph" w:styleId="1">
    <w:name w:val="heading 1"/>
    <w:basedOn w:val="a"/>
    <w:next w:val="a"/>
    <w:link w:val="10"/>
    <w:qFormat/>
    <w:pPr>
      <w:keepNext/>
      <w:keepLines/>
      <w:spacing w:before="340" w:after="330" w:line="578" w:lineRule="auto"/>
      <w:outlineLvl w:val="0"/>
    </w:pPr>
    <w:rPr>
      <w:b/>
      <w:sz w:val="44"/>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ind w:left="2520"/>
    </w:pPr>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Indent"/>
    <w:basedOn w:val="a"/>
    <w:qFormat/>
    <w:pPr>
      <w:spacing w:line="400" w:lineRule="exact"/>
      <w:ind w:firstLine="538"/>
    </w:pPr>
    <w:rPr>
      <w:rFonts w:ascii="仿宋_GB2312" w:eastAsia="仿宋_GB2312" w:hAnsi="宋体"/>
      <w:color w:val="000000"/>
      <w:sz w:val="28"/>
    </w:rPr>
  </w:style>
  <w:style w:type="paragraph" w:styleId="51">
    <w:name w:val="toc 5"/>
    <w:basedOn w:val="a"/>
    <w:next w:val="a"/>
    <w:semiHidden/>
    <w:qFormat/>
    <w:pPr>
      <w:ind w:left="1680"/>
    </w:pPr>
  </w:style>
  <w:style w:type="paragraph" w:styleId="31">
    <w:name w:val="toc 3"/>
    <w:basedOn w:val="a"/>
    <w:next w:val="a"/>
    <w:uiPriority w:val="39"/>
    <w:qFormat/>
    <w:pPr>
      <w:ind w:left="840"/>
    </w:pPr>
  </w:style>
  <w:style w:type="paragraph" w:styleId="a8">
    <w:name w:val="Plain Text"/>
    <w:basedOn w:val="a"/>
    <w:qFormat/>
    <w:rPr>
      <w:rFonts w:ascii="宋体" w:hAnsi="Courier New"/>
      <w:szCs w:val="21"/>
    </w:rPr>
  </w:style>
  <w:style w:type="paragraph" w:styleId="81">
    <w:name w:val="toc 8"/>
    <w:basedOn w:val="a"/>
    <w:next w:val="a"/>
    <w:semiHidden/>
    <w:qFormat/>
    <w:pPr>
      <w:ind w:left="2940"/>
    </w:pPr>
  </w:style>
  <w:style w:type="paragraph" w:styleId="21">
    <w:name w:val="Body Text Indent 2"/>
    <w:basedOn w:val="a"/>
    <w:qFormat/>
    <w:pPr>
      <w:tabs>
        <w:tab w:val="left" w:pos="540"/>
      </w:tabs>
      <w:ind w:left="540" w:firstLine="540"/>
    </w:pPr>
    <w:rPr>
      <w:rFonts w:eastAsia="长城仿宋"/>
      <w:sz w:val="24"/>
      <w:szCs w:val="20"/>
    </w:rPr>
  </w:style>
  <w:style w:type="paragraph" w:styleId="a9">
    <w:name w:val="Balloon Text"/>
    <w:basedOn w:val="a"/>
    <w:semiHidden/>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1">
    <w:name w:val="toc 4"/>
    <w:basedOn w:val="a"/>
    <w:next w:val="a"/>
    <w:qFormat/>
    <w:pPr>
      <w:ind w:left="1260"/>
    </w:pPr>
  </w:style>
  <w:style w:type="paragraph" w:styleId="ad">
    <w:name w:val="Subtitle"/>
    <w:basedOn w:val="a"/>
    <w:next w:val="a"/>
    <w:link w:val="ae"/>
    <w:uiPriority w:val="11"/>
    <w:qFormat/>
    <w:pPr>
      <w:spacing w:before="200" w:after="200"/>
    </w:pPr>
    <w:rPr>
      <w:sz w:val="24"/>
    </w:rPr>
  </w:style>
  <w:style w:type="paragraph" w:styleId="af">
    <w:name w:val="footnote text"/>
    <w:basedOn w:val="a"/>
    <w:link w:val="af0"/>
    <w:uiPriority w:val="99"/>
    <w:unhideWhenUsed/>
    <w:qFormat/>
    <w:pPr>
      <w:spacing w:after="40"/>
    </w:pPr>
    <w:rPr>
      <w:sz w:val="18"/>
    </w:rPr>
  </w:style>
  <w:style w:type="paragraph" w:styleId="61">
    <w:name w:val="toc 6"/>
    <w:basedOn w:val="a"/>
    <w:next w:val="a"/>
    <w:semiHidden/>
    <w:qFormat/>
    <w:pPr>
      <w:ind w:left="2100"/>
    </w:pPr>
  </w:style>
  <w:style w:type="paragraph" w:styleId="32">
    <w:name w:val="Body Text Indent 3"/>
    <w:basedOn w:val="a"/>
    <w:qFormat/>
    <w:pPr>
      <w:ind w:left="360" w:firstLine="540"/>
    </w:pPr>
    <w:rPr>
      <w:rFonts w:eastAsia="长城仿宋"/>
      <w:sz w:val="24"/>
      <w:szCs w:val="20"/>
    </w:rPr>
  </w:style>
  <w:style w:type="paragraph" w:styleId="22">
    <w:name w:val="toc 2"/>
    <w:basedOn w:val="a"/>
    <w:next w:val="a"/>
    <w:semiHidden/>
    <w:qFormat/>
    <w:pPr>
      <w:ind w:left="420"/>
    </w:pPr>
  </w:style>
  <w:style w:type="paragraph" w:styleId="91">
    <w:name w:val="toc 9"/>
    <w:basedOn w:val="a"/>
    <w:next w:val="a"/>
    <w:semiHidden/>
    <w:qFormat/>
    <w:pPr>
      <w:ind w:left="3360"/>
    </w:pPr>
  </w:style>
  <w:style w:type="paragraph" w:styleId="23">
    <w:name w:val="Body Text 2"/>
    <w:basedOn w:val="a"/>
    <w:qFormat/>
    <w:pPr>
      <w:spacing w:after="120" w:line="480" w:lineRule="auto"/>
    </w:pPr>
  </w:style>
  <w:style w:type="paragraph" w:styleId="af1">
    <w:name w:val="Title"/>
    <w:basedOn w:val="a"/>
    <w:next w:val="a"/>
    <w:link w:val="af2"/>
    <w:uiPriority w:val="10"/>
    <w:qFormat/>
    <w:pPr>
      <w:spacing w:before="300" w:after="200"/>
      <w:contextualSpacing/>
    </w:pPr>
    <w:rPr>
      <w:sz w:val="48"/>
      <w:szCs w:val="48"/>
    </w:rPr>
  </w:style>
  <w:style w:type="paragraph" w:styleId="af3">
    <w:name w:val="annotation subject"/>
    <w:basedOn w:val="a5"/>
    <w:next w:val="a5"/>
    <w:link w:val="af4"/>
    <w:qFormat/>
    <w:rPr>
      <w:b/>
      <w:bCs/>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af9">
    <w:name w:val="footnote reference"/>
    <w:basedOn w:val="a0"/>
    <w:uiPriority w:val="99"/>
    <w:unhideWhenUsed/>
    <w:qFormat/>
    <w:rPr>
      <w:vertAlign w:val="superscript"/>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24">
    <w:name w:val="引用 字符2"/>
    <w:link w:val="afa"/>
    <w:uiPriority w:val="29"/>
    <w:qFormat/>
    <w:rPr>
      <w:i/>
    </w:rPr>
  </w:style>
  <w:style w:type="paragraph" w:styleId="afa">
    <w:name w:val="Quote"/>
    <w:basedOn w:val="a"/>
    <w:next w:val="a"/>
    <w:link w:val="24"/>
    <w:uiPriority w:val="29"/>
    <w:qFormat/>
    <w:pPr>
      <w:ind w:left="720" w:right="720"/>
    </w:pPr>
    <w:rPr>
      <w:i/>
    </w:rPr>
  </w:style>
  <w:style w:type="character" w:customStyle="1" w:styleId="25">
    <w:name w:val="明显引用 字符2"/>
    <w:link w:val="afb"/>
    <w:uiPriority w:val="30"/>
    <w:qFormat/>
    <w:rPr>
      <w:i/>
    </w:rPr>
  </w:style>
  <w:style w:type="paragraph" w:styleId="afb">
    <w:name w:val="Intense Quote"/>
    <w:basedOn w:val="a"/>
    <w:next w:val="a"/>
    <w:link w:val="2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table" w:customStyle="1" w:styleId="110">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Heading1Char">
    <w:name w:val="Heading 1 Char"/>
    <w:basedOn w:val="a0"/>
    <w:uiPriority w:val="9"/>
    <w:qFormat/>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customStyle="1" w:styleId="12">
    <w:name w:val="无间隔1"/>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character" w:customStyle="1" w:styleId="af2">
    <w:name w:val="标题 字符"/>
    <w:basedOn w:val="a0"/>
    <w:link w:val="af1"/>
    <w:uiPriority w:val="10"/>
    <w:qFormat/>
    <w:rPr>
      <w:sz w:val="48"/>
      <w:szCs w:val="48"/>
    </w:rPr>
  </w:style>
  <w:style w:type="character" w:customStyle="1" w:styleId="ae">
    <w:name w:val="副标题 字符"/>
    <w:basedOn w:val="a0"/>
    <w:link w:val="ad"/>
    <w:uiPriority w:val="11"/>
    <w:qFormat/>
    <w:rPr>
      <w:sz w:val="24"/>
      <w:szCs w:val="24"/>
    </w:rPr>
  </w:style>
  <w:style w:type="paragraph" w:customStyle="1" w:styleId="13">
    <w:name w:val="引用1"/>
    <w:basedOn w:val="a"/>
    <w:next w:val="a"/>
    <w:link w:val="afc"/>
    <w:uiPriority w:val="29"/>
    <w:qFormat/>
    <w:pPr>
      <w:ind w:left="720" w:right="720"/>
    </w:pPr>
    <w:rPr>
      <w:i/>
    </w:rPr>
  </w:style>
  <w:style w:type="character" w:customStyle="1" w:styleId="afc">
    <w:name w:val="引用 字符"/>
    <w:link w:val="13"/>
    <w:uiPriority w:val="29"/>
    <w:qFormat/>
    <w:rPr>
      <w:i/>
    </w:rPr>
  </w:style>
  <w:style w:type="paragraph" w:customStyle="1" w:styleId="14">
    <w:name w:val="明显引用1"/>
    <w:basedOn w:val="a"/>
    <w:next w:val="a"/>
    <w:link w:val="af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明显引用 字符"/>
    <w:link w:val="14"/>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auto"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auto"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auto"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auto"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auto" w:fill="FFFFFF"/>
      </w:tcPr>
    </w:tblStylePr>
    <w:tblStylePr w:type="lastRow">
      <w:pPr>
        <w:snapToGrid/>
      </w:pPr>
      <w:rPr>
        <w:b/>
        <w:color w:val="404040"/>
      </w:rPr>
      <w:tblPr/>
      <w:tcPr>
        <w:tcBorders>
          <w:top w:val="single" w:sz="4" w:space="0" w:color="4472C4"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auto" w:fill="FFFFFF"/>
      </w:tcPr>
    </w:tblStylePr>
    <w:tblStylePr w:type="lastRow">
      <w:pPr>
        <w:snapToGrid/>
      </w:pPr>
      <w:rPr>
        <w:b/>
        <w:color w:val="404040"/>
      </w:rPr>
      <w:tblPr/>
      <w:tcPr>
        <w:tcBorders>
          <w:top w:val="single" w:sz="4" w:space="0" w:color="70AD47"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auto"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auto"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auto"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auto"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auto"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auto" w:fill="FFFFFF" w:themeFill="light1"/>
      </w:tcPr>
    </w:tblStylePr>
    <w:tblStylePr w:type="firstCol">
      <w:pPr>
        <w:snapToGrid/>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auto"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auto"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snapToGrid/>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pPr>
        <w:snapToGrid/>
      </w:pPr>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auto"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auto"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auto"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auto" w:fill="FFFFFF" w:themeFill="light1"/>
      </w:tcPr>
    </w:tblStylePr>
    <w:tblStylePr w:type="firstCol">
      <w:pPr>
        <w:snapToGrid/>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pPr>
        <w:snapToGrid/>
      </w:pPr>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snapToGrid/>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pPr>
        <w:snapToGrid/>
      </w:pPr>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auto"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auto"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auto"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auto"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auto"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auto"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auto"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pPr>
        <w:snapToGrid/>
      </w:pPr>
      <w:rPr>
        <w:rFonts w:ascii="Arial" w:hAnsi="Arial"/>
        <w:i/>
        <w:color w:val="245A8C" w:themeColor="accent1" w:themeShade="94"/>
        <w:sz w:val="22"/>
      </w:rPr>
      <w:tblPr/>
      <w:tcPr>
        <w:tcBorders>
          <w:top w:val="nil"/>
          <w:left w:val="nil"/>
          <w:bottom w:val="single" w:sz="4" w:space="0" w:color="5B9BD5" w:themeColor="accent1"/>
          <w:right w:val="nil"/>
        </w:tcBorders>
        <w:shd w:val="clear" w:color="auto"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il"/>
          <w:bottom w:val="nil"/>
          <w:right w:val="nil"/>
        </w:tcBorders>
        <w:shd w:val="clear" w:color="auto" w:fill="FFFFFF" w:themeFill="light1"/>
      </w:tcPr>
    </w:tblStylePr>
    <w:tblStylePr w:type="firstCol">
      <w:pPr>
        <w:snapToGrid/>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pPr>
        <w:snapToGrid/>
      </w:pPr>
      <w:rPr>
        <w:rFonts w:ascii="Arial" w:hAnsi="Arial"/>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auto"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pPr>
        <w:snapToGrid/>
      </w:pPr>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auto"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pPr>
        <w:snapToGrid/>
      </w:pPr>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snapToGrid/>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pPr>
        <w:snapToGrid/>
      </w:pPr>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auto"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pPr>
        <w:snapToGrid/>
      </w:pPr>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auto"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pPr>
        <w:snapToGrid/>
      </w:pPr>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auto"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auto" w:fill="FFFFFF" w:themeFill="light1"/>
      </w:tcPr>
    </w:tblStylePr>
    <w:tblStylePr w:type="firstCol">
      <w:pPr>
        <w:snapToGrid/>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auto" w:fill="FFFFFF"/>
      </w:tcPr>
    </w:tblStylePr>
    <w:tblStylePr w:type="lastCol">
      <w:pPr>
        <w:snapToGrid/>
      </w:pPr>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auto"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pPr>
        <w:snapToGrid/>
      </w:pPr>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snapToGrid/>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pPr>
        <w:snapToGrid/>
      </w:pPr>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auto"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0">
    <w:name w:val="脚注文本 字符"/>
    <w:link w:val="af"/>
    <w:uiPriority w:val="99"/>
    <w:qFormat/>
    <w:rPr>
      <w:sz w:val="18"/>
      <w:szCs w:val="24"/>
      <w:shd w:val="clear" w:color="auto" w:fill="FFFFFF"/>
    </w:rPr>
  </w:style>
  <w:style w:type="paragraph" w:customStyle="1" w:styleId="TOC11">
    <w:name w:val="TOC 标题1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paragraph" w:customStyle="1" w:styleId="Web">
    <w:name w:val="普通 (Web)"/>
    <w:basedOn w:val="a"/>
    <w:qFormat/>
    <w:pPr>
      <w:widowControl/>
      <w:spacing w:before="100" w:beforeAutospacing="1" w:after="100" w:afterAutospacing="1"/>
      <w:jc w:val="left"/>
    </w:pPr>
    <w:rPr>
      <w:rFonts w:ascii="宋体" w:hAnsi="宋体"/>
      <w:sz w:val="24"/>
    </w:rPr>
  </w:style>
  <w:style w:type="paragraph" w:customStyle="1" w:styleId="Char">
    <w:name w:val="Char"/>
    <w:basedOn w:val="a"/>
    <w:qFormat/>
  </w:style>
  <w:style w:type="paragraph" w:customStyle="1" w:styleId="15">
    <w:name w:val="修订1"/>
    <w:hidden/>
    <w:uiPriority w:val="99"/>
    <w:semiHidden/>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1"/>
      <w:szCs w:val="24"/>
    </w:rPr>
  </w:style>
  <w:style w:type="character" w:customStyle="1" w:styleId="a6">
    <w:name w:val="批注文字 字符"/>
    <w:link w:val="a5"/>
    <w:uiPriority w:val="99"/>
    <w:qFormat/>
    <w:rPr>
      <w:sz w:val="21"/>
      <w:szCs w:val="24"/>
    </w:rPr>
  </w:style>
  <w:style w:type="character" w:customStyle="1" w:styleId="af4">
    <w:name w:val="批注主题 字符"/>
    <w:link w:val="af3"/>
    <w:qFormat/>
    <w:rPr>
      <w:b/>
      <w:bCs/>
      <w:sz w:val="21"/>
      <w:szCs w:val="24"/>
    </w:rPr>
  </w:style>
  <w:style w:type="paragraph" w:customStyle="1" w:styleId="afe">
    <w:name w:val="正文内容"/>
    <w:basedOn w:val="a"/>
    <w:link w:val="Char0"/>
    <w:qFormat/>
    <w:pPr>
      <w:spacing w:line="360" w:lineRule="auto"/>
      <w:ind w:firstLine="480"/>
    </w:pPr>
    <w:rPr>
      <w:bCs/>
      <w:sz w:val="24"/>
    </w:rPr>
  </w:style>
  <w:style w:type="character" w:customStyle="1" w:styleId="Char0">
    <w:name w:val="正文内容 Char"/>
    <w:link w:val="afe"/>
    <w:qFormat/>
    <w:rPr>
      <w:bCs/>
      <w:sz w:val="24"/>
      <w:szCs w:val="24"/>
    </w:rPr>
  </w:style>
  <w:style w:type="character" w:customStyle="1" w:styleId="ab">
    <w:name w:val="页脚 字符"/>
    <w:basedOn w:val="a0"/>
    <w:link w:val="aa"/>
    <w:uiPriority w:val="99"/>
    <w:qFormat/>
    <w:rPr>
      <w:sz w:val="18"/>
      <w:szCs w:val="18"/>
    </w:rPr>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仿宋_GB2312" w:eastAsia="仿宋_GB2312" w:hAnsi="Calibri" w:cs="仿宋_GB2312"/>
      <w:color w:val="000000"/>
      <w:sz w:val="24"/>
      <w:szCs w:val="24"/>
    </w:rPr>
  </w:style>
  <w:style w:type="paragraph" w:customStyle="1" w:styleId="16">
    <w:name w:val="列表段落1"/>
    <w:basedOn w:val="a"/>
    <w:uiPriority w:val="34"/>
    <w:qFormat/>
    <w:pPr>
      <w:ind w:firstLine="420"/>
    </w:pPr>
    <w:rPr>
      <w:rFonts w:ascii="Calibri" w:hAnsi="Calibri"/>
      <w:szCs w:val="22"/>
    </w:rPr>
  </w:style>
  <w:style w:type="paragraph" w:customStyle="1" w:styleId="WPSOffice1">
    <w:name w:val="WPSOffice手动目录 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paragraph" w:customStyle="1" w:styleId="26">
    <w:name w:val="修订2"/>
    <w:hidden/>
    <w:uiPriority w:val="99"/>
    <w:semiHidden/>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1"/>
      <w:szCs w:val="24"/>
    </w:rPr>
  </w:style>
  <w:style w:type="paragraph" w:customStyle="1" w:styleId="33">
    <w:name w:val="修订3"/>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4"/>
    </w:rPr>
  </w:style>
  <w:style w:type="paragraph" w:customStyle="1" w:styleId="42">
    <w:name w:val="修订4"/>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4"/>
    </w:rPr>
  </w:style>
  <w:style w:type="character" w:customStyle="1" w:styleId="17">
    <w:name w:val="超链接1"/>
    <w:qFormat/>
    <w:rPr>
      <w:color w:val="0000FF"/>
      <w:u w:val="single"/>
    </w:rPr>
  </w:style>
  <w:style w:type="paragraph" w:customStyle="1" w:styleId="113">
    <w:name w:val="目录 11"/>
    <w:basedOn w:val="a"/>
    <w:next w:val="a"/>
    <w:qFormat/>
    <w:pPr>
      <w:tabs>
        <w:tab w:val="right" w:pos="8296"/>
      </w:tabs>
      <w:jc w:val="center"/>
    </w:pPr>
    <w:rPr>
      <w:rFonts w:ascii="宋体" w:hAnsi="宋体"/>
      <w:b/>
      <w:caps/>
      <w:sz w:val="30"/>
      <w:szCs w:val="30"/>
    </w:rPr>
  </w:style>
  <w:style w:type="paragraph" w:styleId="aff">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character" w:customStyle="1" w:styleId="18">
    <w:name w:val="引用 字符1"/>
    <w:basedOn w:val="a0"/>
    <w:uiPriority w:val="99"/>
    <w:qFormat/>
    <w:rPr>
      <w:i/>
      <w:iCs/>
      <w:color w:val="404040" w:themeColor="text1" w:themeTint="BF"/>
      <w:sz w:val="21"/>
      <w:szCs w:val="24"/>
      <w:shd w:val="clear" w:color="auto" w:fill="FFFFFF"/>
    </w:rPr>
  </w:style>
  <w:style w:type="character" w:customStyle="1" w:styleId="19">
    <w:name w:val="明显引用 字符1"/>
    <w:basedOn w:val="a0"/>
    <w:uiPriority w:val="99"/>
    <w:qFormat/>
    <w:rPr>
      <w:i/>
      <w:iCs/>
      <w:color w:val="5B9BD5" w:themeColor="accent1"/>
      <w:sz w:val="21"/>
      <w:szCs w:val="24"/>
      <w:shd w:val="clear" w:color="auto" w:fill="FFFFFF"/>
    </w:rPr>
  </w:style>
  <w:style w:type="paragraph" w:styleId="aff0">
    <w:name w:val="List Paragraph"/>
    <w:basedOn w:val="a"/>
    <w:uiPriority w:val="34"/>
    <w:qFormat/>
    <w:pPr>
      <w:ind w:firstLine="420"/>
    </w:pPr>
    <w:rPr>
      <w:rFonts w:ascii="Calibri" w:hAnsi="Calibri"/>
      <w:szCs w:val="22"/>
    </w:rPr>
  </w:style>
  <w:style w:type="paragraph" w:customStyle="1" w:styleId="52">
    <w:name w:val="修订5"/>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4"/>
    </w:rPr>
  </w:style>
  <w:style w:type="paragraph" w:customStyle="1" w:styleId="62">
    <w:name w:val="修订6"/>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sz w:val="21"/>
      <w:szCs w:val="24"/>
    </w:rPr>
  </w:style>
  <w:style w:type="character" w:customStyle="1" w:styleId="10">
    <w:name w:val="标题 1 字符"/>
    <w:basedOn w:val="a0"/>
    <w:link w:val="1"/>
    <w:qFormat/>
    <w:rPr>
      <w:b/>
      <w:sz w:val="44"/>
      <w:shd w:val="clear" w:color="auto" w:fill="FFFFFF"/>
    </w:rPr>
  </w:style>
  <w:style w:type="paragraph" w:customStyle="1" w:styleId="72">
    <w:name w:val="修订7"/>
    <w:hidden/>
    <w:uiPriority w:val="99"/>
    <w:semiHidden/>
    <w:pPr>
      <w:pBdr>
        <w:top w:val="none" w:sz="0" w:space="0" w:color="000000"/>
        <w:left w:val="none" w:sz="0" w:space="0" w:color="000000"/>
        <w:bottom w:val="none" w:sz="0" w:space="0" w:color="000000"/>
        <w:right w:val="none" w:sz="0" w:space="0" w:color="000000"/>
        <w:between w:val="none" w:sz="0" w:space="0" w:color="000000"/>
      </w:pBdr>
    </w:pPr>
    <w:rPr>
      <w:sz w:val="21"/>
      <w:szCs w:val="24"/>
    </w:rPr>
  </w:style>
  <w:style w:type="paragraph" w:customStyle="1" w:styleId="82">
    <w:name w:val="修订8"/>
    <w:hidden/>
    <w:uiPriority w:val="99"/>
    <w:unhideWhenUsed/>
    <w:qFormat/>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326F-E645-4C53-9C52-8D266A48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3262</Words>
  <Characters>18597</Characters>
  <Application>Microsoft Office Word</Application>
  <DocSecurity>0</DocSecurity>
  <Lines>154</Lines>
  <Paragraphs>43</Paragraphs>
  <ScaleCrop>false</ScaleCrop>
  <Company>EastHome</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华安基金</dc:title>
  <dc:creator>user</dc:creator>
  <cp:lastModifiedBy>周佳玉</cp:lastModifiedBy>
  <cp:revision>4</cp:revision>
  <cp:lastPrinted>2024-09-27T01:18:00Z</cp:lastPrinted>
  <dcterms:created xsi:type="dcterms:W3CDTF">2024-09-24T10:06:00Z</dcterms:created>
  <dcterms:modified xsi:type="dcterms:W3CDTF">2025-04-23T08:02:00Z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D729C8D564CD4DBAB430DFB0BBF0A2E3_13</vt:lpwstr>
  </property>
  <property fmtid="{D5CDD505-2E9C-101B-9397-08002B2CF9AE}" pid="4" name="GrammarlyDocumentId">
    <vt:lpwstr>946c3feb5df2dca062f184e72b3005ebd2d1eff146e1ee9e9312bd073126f9f4</vt:lpwstr>
  </property>
</Properties>
</file>