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F317F4">
      <w:pPr>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Start w:id="7" w:name="_GoBack"/>
      <w:bookmarkEnd w:id="0"/>
      <w:bookmarkEnd w:id="1"/>
      <w:bookmarkEnd w:id="2"/>
      <w:bookmarkEnd w:id="3"/>
      <w:bookmarkEnd w:id="4"/>
      <w:bookmarkEnd w:id="5"/>
      <w:bookmarkEnd w:id="6"/>
      <w:bookmarkEnd w:id="7"/>
      <w:r>
        <w:rPr>
          <w:rFonts w:cs="Times New Roman" w:hint="eastAsia"/>
          <w:b/>
          <w:sz w:val="28"/>
          <w:szCs w:val="28"/>
        </w:rPr>
        <w:t>华安中证</w:t>
      </w:r>
      <w:r>
        <w:rPr>
          <w:rFonts w:cs="Times New Roman" w:hint="eastAsia"/>
          <w:b/>
          <w:sz w:val="28"/>
          <w:szCs w:val="28"/>
        </w:rPr>
        <w:t>A500</w:t>
      </w:r>
      <w:r>
        <w:rPr>
          <w:rFonts w:cs="Times New Roman" w:hint="eastAsia"/>
          <w:b/>
          <w:sz w:val="28"/>
          <w:szCs w:val="28"/>
        </w:rPr>
        <w:t>指数增强型发起式证券投资基金（华安中证</w:t>
      </w:r>
      <w:r>
        <w:rPr>
          <w:rFonts w:cs="Times New Roman" w:hint="eastAsia"/>
          <w:b/>
          <w:sz w:val="28"/>
          <w:szCs w:val="28"/>
        </w:rPr>
        <w:t>A500</w:t>
      </w:r>
      <w:r>
        <w:rPr>
          <w:rFonts w:cs="Times New Roman" w:hint="eastAsia"/>
          <w:b/>
          <w:sz w:val="28"/>
          <w:szCs w:val="28"/>
        </w:rPr>
        <w:t>指数增强发起式</w:t>
      </w:r>
      <w:r>
        <w:rPr>
          <w:rFonts w:cs="Times New Roman" w:hint="eastAsia"/>
          <w:b/>
          <w:sz w:val="28"/>
          <w:szCs w:val="28"/>
        </w:rPr>
        <w:t xml:space="preserve">A </w:t>
      </w:r>
      <w:r>
        <w:rPr>
          <w:rFonts w:cs="Times New Roman" w:hint="eastAsia"/>
          <w:b/>
          <w:sz w:val="28"/>
          <w:szCs w:val="28"/>
        </w:rPr>
        <w:t>）</w:t>
      </w:r>
      <w:r>
        <w:rPr>
          <w:rFonts w:cs="Times New Roman" w:hint="eastAsia"/>
          <w:b/>
          <w:sz w:val="28"/>
          <w:szCs w:val="28"/>
        </w:rPr>
        <w:br/>
      </w:r>
      <w:r>
        <w:rPr>
          <w:rFonts w:cs="Times New Roman" w:hint="eastAsia"/>
          <w:b/>
          <w:sz w:val="28"/>
          <w:szCs w:val="28"/>
        </w:rPr>
        <w:t>基金产品资料概</w:t>
      </w:r>
      <w:r>
        <w:rPr>
          <w:rFonts w:cs="Times New Roman" w:hint="eastAsia"/>
          <w:b/>
          <w:sz w:val="28"/>
          <w:szCs w:val="28"/>
        </w:rPr>
        <w:t>要</w:t>
      </w:r>
    </w:p>
    <w:p w:rsidR="00000000" w:rsidRDefault="00F317F4">
      <w:pPr>
        <w:spacing w:line="360" w:lineRule="auto"/>
        <w:ind w:firstLineChars="800" w:firstLine="1920"/>
        <w:jc w:val="right"/>
        <w:rPr>
          <w:rFonts w:hint="eastAsia"/>
        </w:rPr>
      </w:pPr>
      <w:r>
        <w:rPr>
          <w:rFonts w:hint="eastAsia"/>
          <w:bCs/>
          <w:sz w:val="24"/>
          <w:szCs w:val="30"/>
        </w:rPr>
        <w:t>编制日期</w:t>
      </w:r>
      <w:r>
        <w:rPr>
          <w:rFonts w:hint="eastAsia"/>
          <w:bCs/>
          <w:sz w:val="24"/>
          <w:szCs w:val="30"/>
        </w:rPr>
        <w:t>：</w:t>
      </w:r>
      <w:r>
        <w:rPr>
          <w:rFonts w:hint="eastAsia"/>
          <w:bCs/>
          <w:sz w:val="24"/>
          <w:szCs w:val="30"/>
        </w:rPr>
        <w:t>2025</w:t>
      </w:r>
      <w:r>
        <w:rPr>
          <w:rFonts w:hint="eastAsia"/>
          <w:bCs/>
          <w:sz w:val="24"/>
          <w:szCs w:val="30"/>
        </w:rPr>
        <w:t>年</w:t>
      </w:r>
      <w:r>
        <w:rPr>
          <w:rFonts w:hint="eastAsia"/>
          <w:bCs/>
          <w:sz w:val="24"/>
          <w:szCs w:val="30"/>
        </w:rPr>
        <w:t>3</w:t>
      </w:r>
      <w:r>
        <w:rPr>
          <w:rFonts w:hint="eastAsia"/>
          <w:bCs/>
          <w:sz w:val="24"/>
          <w:szCs w:val="30"/>
        </w:rPr>
        <w:t>月</w:t>
      </w:r>
      <w:r>
        <w:rPr>
          <w:rFonts w:hint="eastAsia"/>
          <w:bCs/>
          <w:sz w:val="24"/>
          <w:szCs w:val="30"/>
        </w:rPr>
        <w:t>27</w:t>
      </w:r>
      <w:r>
        <w:rPr>
          <w:rFonts w:hint="eastAsia"/>
          <w:bCs/>
          <w:sz w:val="24"/>
          <w:szCs w:val="30"/>
        </w:rPr>
        <w:t>日</w:t>
      </w:r>
    </w:p>
    <w:p w:rsidR="00000000" w:rsidRDefault="00F317F4">
      <w:pPr>
        <w:spacing w:line="360" w:lineRule="auto"/>
        <w:jc w:val="center"/>
        <w:rPr>
          <w:rFonts w:hint="eastAsia"/>
        </w:rPr>
      </w:pPr>
      <w:r>
        <w:rPr>
          <w:rFonts w:hint="eastAsia"/>
          <w:bCs/>
          <w:sz w:val="24"/>
          <w:szCs w:val="30"/>
        </w:rPr>
        <w:t>送出日期</w:t>
      </w:r>
      <w:r>
        <w:rPr>
          <w:rFonts w:hint="eastAsia"/>
          <w:bCs/>
          <w:sz w:val="24"/>
          <w:szCs w:val="30"/>
        </w:rPr>
        <w:t>：</w:t>
      </w:r>
      <w:r>
        <w:rPr>
          <w:rFonts w:hint="eastAsia"/>
          <w:bCs/>
          <w:sz w:val="24"/>
          <w:szCs w:val="30"/>
        </w:rPr>
        <w:t>2025</w:t>
      </w:r>
      <w:r>
        <w:rPr>
          <w:rFonts w:hint="eastAsia"/>
          <w:bCs/>
          <w:sz w:val="24"/>
          <w:szCs w:val="30"/>
        </w:rPr>
        <w:t>年</w:t>
      </w:r>
      <w:r>
        <w:rPr>
          <w:rFonts w:hint="eastAsia"/>
          <w:bCs/>
          <w:sz w:val="24"/>
          <w:szCs w:val="30"/>
        </w:rPr>
        <w:t>3</w:t>
      </w:r>
      <w:r>
        <w:rPr>
          <w:rFonts w:hint="eastAsia"/>
          <w:bCs/>
          <w:sz w:val="24"/>
          <w:szCs w:val="30"/>
        </w:rPr>
        <w:t>月</w:t>
      </w:r>
      <w:r>
        <w:rPr>
          <w:rFonts w:hint="eastAsia"/>
          <w:bCs/>
          <w:sz w:val="24"/>
          <w:szCs w:val="30"/>
        </w:rPr>
        <w:t>28</w:t>
      </w:r>
      <w:r>
        <w:rPr>
          <w:rFonts w:hint="eastAsia"/>
          <w:bCs/>
          <w:sz w:val="24"/>
          <w:szCs w:val="30"/>
        </w:rPr>
        <w:t>日</w:t>
      </w:r>
    </w:p>
    <w:p w:rsidR="00000000" w:rsidRDefault="00F317F4">
      <w:pPr>
        <w:spacing w:line="360" w:lineRule="auto"/>
        <w:jc w:val="center"/>
        <w:rPr>
          <w:rFonts w:hint="eastAsia"/>
        </w:rPr>
      </w:pPr>
      <w:r>
        <w:rPr>
          <w:rFonts w:cs="Times New Roman" w:hint="eastAsia"/>
          <w:b/>
          <w:sz w:val="24"/>
          <w:szCs w:val="24"/>
        </w:rPr>
        <w:t>本概要提供本基金的重要信息，是招募说明书的一部分。</w:t>
      </w:r>
      <w:r>
        <w:rPr>
          <w:rFonts w:cs="Times New Roman" w:hint="eastAsia"/>
          <w:b/>
          <w:sz w:val="24"/>
          <w:szCs w:val="24"/>
        </w:rPr>
        <w:t xml:space="preserve"> </w:t>
      </w:r>
    </w:p>
    <w:p w:rsidR="00000000" w:rsidRDefault="00F317F4">
      <w:pPr>
        <w:spacing w:line="360" w:lineRule="auto"/>
        <w:jc w:val="center"/>
        <w:rPr>
          <w:rFonts w:hint="eastAsia"/>
        </w:rPr>
      </w:pPr>
      <w:r>
        <w:rPr>
          <w:rFonts w:cs="Times New Roman" w:hint="eastAsia"/>
          <w:b/>
          <w:sz w:val="24"/>
          <w:szCs w:val="24"/>
        </w:rPr>
        <w:t>作出投资决定前，请阅读完整的招募说明书等销售文件。</w:t>
      </w:r>
      <w:r>
        <w:rPr>
          <w:rFonts w:cs="Times New Roman" w:hint="eastAsia"/>
          <w:b/>
          <w:sz w:val="24"/>
          <w:szCs w:val="24"/>
        </w:rPr>
        <w:t xml:space="preserve"> </w:t>
      </w:r>
    </w:p>
    <w:p w:rsidR="00000000" w:rsidRDefault="00F317F4">
      <w:pPr>
        <w:pStyle w:val="XBRLTitle1"/>
        <w:spacing w:before="156" w:line="312" w:lineRule="exact"/>
        <w:rPr>
          <w:rFonts w:hint="eastAsia"/>
        </w:rPr>
      </w:pPr>
      <w:bookmarkStart w:id="8" w:name="_Toc37433211"/>
      <w:bookmarkStart w:id="9" w:name="_Toc34758519"/>
      <w:bookmarkStart w:id="10" w:name="_Toc513295892"/>
      <w:bookmarkStart w:id="11" w:name="_Toc513295846"/>
      <w:bookmarkStart w:id="12" w:name="_Toc490050000"/>
      <w:bookmarkStart w:id="13" w:name="_Toc438646451"/>
      <w:bookmarkStart w:id="14" w:name="_Toc481075046"/>
      <w:bookmarkStart w:id="15" w:name="_Toc512519480"/>
      <w:bookmarkStart w:id="16" w:name="_Toc17897936"/>
      <w:bookmarkStart w:id="17" w:name="_Toc17898178"/>
      <w:bookmarkStart w:id="18" w:name="_Toc34841028"/>
      <w:bookmarkStart w:id="19" w:name="_Toc194311890"/>
      <w:bookmarkStart w:id="20" w:name="m01_01"/>
      <w:bookmarkStart w:id="21" w:name="m101"/>
      <w:r>
        <w:rPr>
          <w:rFonts w:hAnsi="宋体" w:hint="eastAsia"/>
        </w:rPr>
        <w:t>产品概</w:t>
      </w:r>
      <w:r>
        <w:rPr>
          <w:rFonts w:hAnsi="宋体" w:hint="eastAsia"/>
        </w:rPr>
        <w:t>况</w:t>
      </w:r>
      <w:bookmarkEnd w:id="8"/>
      <w:r>
        <w:rPr>
          <w:rFonts w:hAnsi="宋体" w:hint="eastAsia"/>
          <w:szCs w:val="44"/>
        </w:rPr>
        <w:t xml:space="preserve"> </w:t>
      </w:r>
    </w:p>
    <w:tbl>
      <w:tblPr>
        <w:tblW w:w="49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87"/>
        <w:gridCol w:w="2722"/>
        <w:gridCol w:w="2319"/>
        <w:gridCol w:w="2724"/>
      </w:tblGrid>
      <w:tr w:rsidR="00000000">
        <w:trPr>
          <w:divId w:val="1479690901"/>
          <w:trHeight w:val="387"/>
        </w:trPr>
        <w:tc>
          <w:tcPr>
            <w:tcW w:w="1951"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bookmarkStart w:id="22" w:name="m04_01_02_tab"/>
            <w:r>
              <w:rPr>
                <w:rFonts w:hint="eastAsia"/>
                <w:b/>
                <w:szCs w:val="24"/>
              </w:rPr>
              <w:t>基金简称</w:t>
            </w:r>
            <w:r>
              <w:rPr>
                <w:rFonts w:hint="eastAsia"/>
                <w:szCs w:val="24"/>
                <w:lang w:eastAsia="zh-Hans"/>
              </w:rPr>
              <w:t xml:space="preserve"> </w:t>
            </w:r>
          </w:p>
        </w:tc>
        <w:tc>
          <w:tcPr>
            <w:tcW w:w="2987"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rPr>
              <w:t>华安中证</w:t>
            </w:r>
            <w:r>
              <w:rPr>
                <w:rFonts w:hint="eastAsia"/>
                <w:szCs w:val="24"/>
              </w:rPr>
              <w:t>A500</w:t>
            </w:r>
            <w:r>
              <w:rPr>
                <w:rFonts w:hint="eastAsia"/>
                <w:szCs w:val="24"/>
              </w:rPr>
              <w:t>指数增强发起</w:t>
            </w:r>
            <w:r>
              <w:rPr>
                <w:rFonts w:hint="eastAsia"/>
                <w:szCs w:val="24"/>
              </w:rPr>
              <w:t>式</w:t>
            </w:r>
            <w:r>
              <w:rPr>
                <w:rFonts w:hint="eastAsia"/>
                <w:szCs w:val="24"/>
                <w:lang w:eastAsia="zh-Hans"/>
              </w:rPr>
              <w:t xml:space="preserve"> </w:t>
            </w:r>
          </w:p>
        </w:tc>
        <w:tc>
          <w:tcPr>
            <w:tcW w:w="2541"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rPr>
              <w:t>基金代码</w:t>
            </w:r>
            <w:r>
              <w:rPr>
                <w:rFonts w:hint="eastAsia"/>
                <w:szCs w:val="24"/>
                <w:lang w:eastAsia="zh-Hans"/>
              </w:rPr>
              <w:t xml:space="preserve"> </w:t>
            </w:r>
          </w:p>
        </w:tc>
        <w:tc>
          <w:tcPr>
            <w:tcW w:w="2989"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rPr>
              <w:t>02346</w:t>
            </w:r>
            <w:r>
              <w:rPr>
                <w:rFonts w:hint="eastAsia"/>
                <w:szCs w:val="24"/>
              </w:rPr>
              <w:t>6</w:t>
            </w:r>
            <w:r>
              <w:rPr>
                <w:rFonts w:hint="eastAsia"/>
                <w:szCs w:val="24"/>
                <w:lang w:eastAsia="zh-Hans"/>
              </w:rPr>
              <w:t xml:space="preserve"> </w:t>
            </w:r>
          </w:p>
        </w:tc>
      </w:tr>
      <w:tr w:rsidR="00000000">
        <w:trPr>
          <w:divId w:val="1479690901"/>
          <w:trHeight w:val="387"/>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rPr>
              <w:t>下属基金简称</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rPr>
              <w:t>华安中证</w:t>
            </w:r>
            <w:r>
              <w:rPr>
                <w:rFonts w:hint="eastAsia"/>
                <w:szCs w:val="24"/>
              </w:rPr>
              <w:t>A500</w:t>
            </w:r>
            <w:r>
              <w:rPr>
                <w:rFonts w:hint="eastAsia"/>
                <w:szCs w:val="24"/>
              </w:rPr>
              <w:t>指数增强发起式</w:t>
            </w:r>
            <w:r>
              <w:rPr>
                <w:rFonts w:hint="eastAsia"/>
                <w:szCs w:val="24"/>
              </w:rPr>
              <w:t>A</w:t>
            </w:r>
            <w:r>
              <w:rPr>
                <w:rFonts w:hint="eastAsia"/>
                <w:szCs w:val="24"/>
              </w:rPr>
              <w:t xml:space="preserve"> </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rPr>
              <w:t>下属基金交易代码</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rPr>
              <w:t>02346</w:t>
            </w:r>
            <w:r>
              <w:rPr>
                <w:rFonts w:hint="eastAsia"/>
                <w:szCs w:val="24"/>
              </w:rPr>
              <w:t>6</w:t>
            </w:r>
            <w:r>
              <w:rPr>
                <w:rFonts w:hint="eastAsia"/>
                <w:szCs w:val="24"/>
                <w:lang w:eastAsia="zh-Hans"/>
              </w:rPr>
              <w:t xml:space="preserve"> </w:t>
            </w:r>
          </w:p>
        </w:tc>
      </w:tr>
      <w:tr w:rsidR="00000000">
        <w:trPr>
          <w:divId w:val="1479690901"/>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基金管理人</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华安基金管理有限公</w:t>
            </w:r>
            <w:r>
              <w:rPr>
                <w:rFonts w:hint="eastAsia"/>
                <w:szCs w:val="24"/>
                <w:lang w:eastAsia="zh-Hans"/>
              </w:rPr>
              <w:t>司</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基金托管人</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中信银行股份有限公</w:t>
            </w:r>
            <w:r>
              <w:rPr>
                <w:rFonts w:hint="eastAsia"/>
                <w:szCs w:val="24"/>
                <w:lang w:eastAsia="zh-Hans"/>
              </w:rPr>
              <w:t>司</w:t>
            </w:r>
          </w:p>
        </w:tc>
      </w:tr>
      <w:tr w:rsidR="00000000">
        <w:trPr>
          <w:divId w:val="1479690901"/>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基金合同生效日</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上市交易所及上市日期</w:t>
            </w:r>
            <w:r>
              <w:rPr>
                <w:rFonts w:hint="eastAsia"/>
                <w:szCs w:val="24"/>
                <w:lang w:eastAsia="zh-Hans"/>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w:t>
            </w:r>
          </w:p>
        </w:tc>
      </w:tr>
      <w:tr w:rsidR="00000000">
        <w:trPr>
          <w:divId w:val="1479690901"/>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基金类型</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股票</w:t>
            </w:r>
            <w:r>
              <w:rPr>
                <w:rFonts w:hint="eastAsia"/>
                <w:szCs w:val="24"/>
                <w:lang w:eastAsia="zh-Hans"/>
              </w:rPr>
              <w:t>型</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交易币种</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人民</w:t>
            </w:r>
            <w:r>
              <w:rPr>
                <w:rFonts w:hint="eastAsia"/>
                <w:szCs w:val="24"/>
                <w:lang w:eastAsia="zh-Hans"/>
              </w:rPr>
              <w:t>币</w:t>
            </w:r>
          </w:p>
        </w:tc>
      </w:tr>
      <w:tr w:rsidR="00000000">
        <w:trPr>
          <w:divId w:val="1479690901"/>
          <w:trHeight w:val="386"/>
        </w:trPr>
        <w:tc>
          <w:tcPr>
            <w:tcW w:w="195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运作方式</w:t>
            </w:r>
            <w:r>
              <w:rPr>
                <w:rFonts w:hint="eastAsia"/>
                <w:szCs w:val="24"/>
                <w:lang w:eastAsia="zh-Hans"/>
              </w:rPr>
              <w:t xml:space="preserve"> </w:t>
            </w:r>
          </w:p>
        </w:tc>
        <w:tc>
          <w:tcPr>
            <w:tcW w:w="2987"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普通开放</w:t>
            </w:r>
            <w:r>
              <w:rPr>
                <w:rFonts w:hint="eastAsia"/>
                <w:szCs w:val="24"/>
                <w:lang w:eastAsia="zh-Hans"/>
              </w:rPr>
              <w:t>式</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开放频率</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每个开放</w:t>
            </w:r>
            <w:r>
              <w:rPr>
                <w:rFonts w:hint="eastAsia"/>
                <w:szCs w:val="24"/>
                <w:lang w:eastAsia="zh-Hans"/>
              </w:rPr>
              <w:t>日</w:t>
            </w:r>
          </w:p>
        </w:tc>
      </w:tr>
      <w:tr w:rsidR="00000000">
        <w:trPr>
          <w:divId w:val="1479690901"/>
          <w:trHeight w:val="386"/>
        </w:trPr>
        <w:tc>
          <w:tcPr>
            <w:tcW w:w="1951"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基金经理</w:t>
            </w:r>
            <w:r>
              <w:rPr>
                <w:rFonts w:hint="eastAsia"/>
                <w:szCs w:val="24"/>
                <w:lang w:eastAsia="zh-Hans"/>
              </w:rPr>
              <w:t xml:space="preserve"> </w:t>
            </w:r>
          </w:p>
        </w:tc>
        <w:tc>
          <w:tcPr>
            <w:tcW w:w="2987"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张</w:t>
            </w:r>
            <w:r>
              <w:rPr>
                <w:rFonts w:hint="eastAsia"/>
                <w:szCs w:val="24"/>
                <w:lang w:eastAsia="zh-Hans"/>
              </w:rPr>
              <w:t>序</w:t>
            </w: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开始担任本基金基金经理的日期</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w:t>
            </w:r>
          </w:p>
        </w:tc>
      </w:tr>
      <w:tr w:rsidR="00000000">
        <w:trPr>
          <w:divId w:val="1479690901"/>
          <w:trHeight w:val="386"/>
        </w:trPr>
        <w:tc>
          <w:tcPr>
            <w:tcW w:w="1951" w:type="dxa"/>
            <w:vMerge/>
            <w:tcBorders>
              <w:top w:val="nil"/>
              <w:left w:val="nil"/>
              <w:bottom w:val="dotted" w:sz="4" w:space="0" w:color="auto"/>
              <w:right w:val="nil"/>
            </w:tcBorders>
            <w:vAlign w:val="center"/>
            <w:hideMark/>
          </w:tcPr>
          <w:p w:rsidR="00000000" w:rsidRDefault="00F317F4">
            <w:pPr>
              <w:widowControl/>
              <w:jc w:val="left"/>
            </w:pPr>
          </w:p>
        </w:tc>
        <w:tc>
          <w:tcPr>
            <w:tcW w:w="3467" w:type="dxa"/>
            <w:vMerge/>
            <w:tcBorders>
              <w:top w:val="nil"/>
              <w:left w:val="nil"/>
              <w:bottom w:val="dotted" w:sz="4" w:space="0" w:color="auto"/>
              <w:right w:val="nil"/>
            </w:tcBorders>
            <w:vAlign w:val="center"/>
            <w:hideMark/>
          </w:tcPr>
          <w:p w:rsidR="00000000" w:rsidRDefault="00F317F4">
            <w:pPr>
              <w:widowControl/>
              <w:jc w:val="left"/>
            </w:pPr>
          </w:p>
        </w:tc>
        <w:tc>
          <w:tcPr>
            <w:tcW w:w="254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证券从业日期</w:t>
            </w:r>
            <w:r>
              <w:rPr>
                <w:rFonts w:hint="eastAsia"/>
                <w:szCs w:val="24"/>
                <w:lang w:eastAsia="zh-Hans"/>
              </w:rPr>
              <w:t xml:space="preserve"> </w:t>
            </w:r>
          </w:p>
        </w:tc>
        <w:tc>
          <w:tcPr>
            <w:tcW w:w="2989"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szCs w:val="24"/>
                <w:lang w:eastAsia="zh-Hans"/>
              </w:rPr>
              <w:t>2016</w:t>
            </w:r>
            <w:r>
              <w:rPr>
                <w:rFonts w:hint="eastAsia"/>
                <w:szCs w:val="24"/>
                <w:lang w:eastAsia="zh-Hans"/>
              </w:rPr>
              <w:t>年</w:t>
            </w:r>
            <w:r>
              <w:rPr>
                <w:rFonts w:hint="eastAsia"/>
                <w:szCs w:val="24"/>
                <w:lang w:eastAsia="zh-Hans"/>
              </w:rPr>
              <w:t>7</w:t>
            </w:r>
            <w:r>
              <w:rPr>
                <w:rFonts w:hint="eastAsia"/>
                <w:szCs w:val="24"/>
                <w:lang w:eastAsia="zh-Hans"/>
              </w:rPr>
              <w:t>月</w:t>
            </w:r>
            <w:r>
              <w:rPr>
                <w:rFonts w:hint="eastAsia"/>
                <w:szCs w:val="24"/>
                <w:lang w:eastAsia="zh-Hans"/>
              </w:rPr>
              <w:t>8</w:t>
            </w:r>
            <w:r>
              <w:rPr>
                <w:rFonts w:hint="eastAsia"/>
                <w:szCs w:val="24"/>
                <w:lang w:eastAsia="zh-Hans"/>
              </w:rPr>
              <w:t>日</w:t>
            </w:r>
          </w:p>
        </w:tc>
      </w:tr>
    </w:tbl>
    <w:p w:rsidR="00000000" w:rsidRDefault="00F317F4">
      <w:pPr>
        <w:pStyle w:val="XBRLTitle1"/>
        <w:spacing w:before="156" w:line="312" w:lineRule="exact"/>
        <w:rPr>
          <w:rFonts w:hint="eastAsia"/>
        </w:rPr>
      </w:pPr>
      <w:bookmarkStart w:id="23" w:name="_Toc37433212"/>
      <w:bookmarkStart w:id="24" w:name="_Toc34758521"/>
      <w:bookmarkStart w:id="25" w:name="_Toc34841030"/>
      <w:bookmarkStart w:id="26" w:name="_Toc17898179"/>
      <w:bookmarkStart w:id="27" w:name="_Toc17897937"/>
      <w:bookmarkStart w:id="28" w:name="_Toc512519481"/>
      <w:bookmarkStart w:id="29" w:name="_Toc481075047"/>
      <w:bookmarkStart w:id="30" w:name="_Toc438646452"/>
      <w:bookmarkStart w:id="31" w:name="_Toc490050001"/>
      <w:bookmarkStart w:id="32" w:name="_Toc513295847"/>
      <w:bookmarkStart w:id="33" w:name="_Toc513295893"/>
      <w:bookmarkStart w:id="34" w:name="m07_04_13_00"/>
      <w:bookmarkStart w:id="35" w:name="m201"/>
      <w:bookmarkStart w:id="36" w:name="m07_04_07_09_tab"/>
      <w:bookmarkStart w:id="37" w:name="m07_04_07_09"/>
      <w:bookmarkStart w:id="38" w:name="_Toc17898180"/>
      <w:bookmarkStart w:id="39" w:name="_Toc17897938"/>
      <w:bookmarkStart w:id="40" w:name="_Toc512519482"/>
      <w:bookmarkStart w:id="41" w:name="_Toc481075049"/>
      <w:bookmarkStart w:id="42" w:name="_Toc438646455"/>
      <w:bookmarkStart w:id="43" w:name="_Toc490050003"/>
      <w:bookmarkStart w:id="44" w:name="_Toc513295848"/>
      <w:bookmarkStart w:id="45" w:name="_Toc513295894"/>
      <w:bookmarkStart w:id="46" w:name="m401_tab"/>
      <w:bookmarkStart w:id="47" w:name="m401"/>
      <w:bookmarkStart w:id="48" w:name="m201_01"/>
      <w:r>
        <w:rPr>
          <w:rFonts w:hAnsi="宋体" w:hint="eastAsia"/>
        </w:rPr>
        <w:t>基金投资与净值表</w:t>
      </w:r>
      <w:r>
        <w:rPr>
          <w:rFonts w:hAnsi="宋体" w:hint="eastAsia"/>
        </w:rPr>
        <w:t>现</w:t>
      </w:r>
      <w:bookmarkEnd w:id="23"/>
      <w:r>
        <w:rPr>
          <w:rFonts w:hAnsi="宋体" w:hint="eastAsia"/>
        </w:rPr>
        <w:t xml:space="preserve"> </w:t>
      </w:r>
    </w:p>
    <w:p w:rsidR="00000000" w:rsidRDefault="00F317F4">
      <w:pPr>
        <w:pStyle w:val="XBRLTitle2"/>
        <w:spacing w:before="156" w:line="312" w:lineRule="exact"/>
        <w:rPr>
          <w:rFonts w:hint="eastAsia"/>
        </w:rPr>
      </w:pPr>
      <w:bookmarkStart w:id="49" w:name="_Toc37433213"/>
      <w:bookmarkStart w:id="50" w:name="_Toc34758522"/>
      <w:bookmarkStart w:id="51" w:name="_Toc513295895"/>
      <w:bookmarkStart w:id="52" w:name="_Toc513295849"/>
      <w:bookmarkStart w:id="53" w:name="_Toc490050004"/>
      <w:bookmarkStart w:id="54" w:name="_Toc438646456"/>
      <w:bookmarkStart w:id="55" w:name="_Toc481075050"/>
      <w:bookmarkStart w:id="56" w:name="_Toc512519483"/>
      <w:bookmarkStart w:id="57" w:name="_Toc17897939"/>
      <w:bookmarkStart w:id="58" w:name="_Toc17898181"/>
      <w:bookmarkStart w:id="59" w:name="_Toc34841031"/>
      <w:r>
        <w:rPr>
          <w:rFonts w:hAnsi="宋体" w:hint="eastAsia"/>
          <w:sz w:val="21"/>
        </w:rPr>
        <w:t>投资目标与投资策</w:t>
      </w:r>
      <w:r>
        <w:rPr>
          <w:rFonts w:hAnsi="宋体" w:hint="eastAsia"/>
          <w:sz w:val="21"/>
        </w:rPr>
        <w:t>略</w:t>
      </w:r>
      <w:bookmarkEnd w:id="49"/>
      <w:r>
        <w:rPr>
          <w:rFonts w:hAnsi="宋体" w:hint="eastAsia"/>
          <w:sz w:val="21"/>
        </w:rPr>
        <w:t xml:space="preserve"> </w:t>
      </w:r>
    </w:p>
    <w:p w:rsidR="00000000" w:rsidRDefault="00F317F4">
      <w:pPr>
        <w:spacing w:line="312" w:lineRule="exact"/>
        <w:divId w:val="954404205"/>
        <w:rPr>
          <w:rFonts w:hint="eastAsia"/>
        </w:rPr>
      </w:pPr>
      <w:bookmarkStart w:id="60" w:name="m04_02"/>
      <w:r>
        <w:rPr>
          <w:rFonts w:hint="eastAsia"/>
          <w:szCs w:val="21"/>
          <w:lang w:eastAsia="zh-Hans"/>
        </w:rPr>
        <w:t>详情请阅读《招募说明书》中“基金的投资”章节的相关内容</w:t>
      </w:r>
      <w:r>
        <w:rPr>
          <w:rFonts w:hint="eastAsia"/>
          <w:szCs w:val="21"/>
          <w:lang w:eastAsia="zh-Hans"/>
        </w:rPr>
        <w:t>。</w:t>
      </w:r>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745"/>
        <w:gridCol w:w="8002"/>
      </w:tblGrid>
      <w:tr w:rsidR="00000000">
        <w:trPr>
          <w:divId w:val="954404205"/>
          <w:trHeight w:val="387"/>
        </w:trPr>
        <w:tc>
          <w:tcPr>
            <w:tcW w:w="1526"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ascii="Times New Roman" w:hAnsi="Times New Roman" w:hint="eastAsia"/>
                <w:b/>
              </w:rPr>
              <w:t>投资目标</w:t>
            </w:r>
            <w:r>
              <w:rPr>
                <w:rFonts w:hint="eastAsia"/>
                <w:szCs w:val="24"/>
                <w:lang w:eastAsia="zh-Hans"/>
              </w:rPr>
              <w:t xml:space="preserve"> </w:t>
            </w:r>
          </w:p>
        </w:tc>
        <w:tc>
          <w:tcPr>
            <w:tcW w:w="6996"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spacing w:line="312" w:lineRule="exact"/>
              <w:jc w:val="left"/>
              <w:rPr>
                <w:rFonts w:hint="eastAsia"/>
              </w:rPr>
            </w:pPr>
            <w:r>
              <w:rPr>
                <w:rFonts w:hint="eastAsia"/>
                <w:szCs w:val="24"/>
              </w:rPr>
              <w:t>本基金为股票指数增强型基金，在力求对中证</w:t>
            </w:r>
            <w:r>
              <w:rPr>
                <w:rFonts w:hint="eastAsia"/>
                <w:szCs w:val="24"/>
              </w:rPr>
              <w:t>A500</w:t>
            </w:r>
            <w:r>
              <w:rPr>
                <w:rFonts w:hint="eastAsia"/>
                <w:szCs w:val="24"/>
              </w:rPr>
              <w:t>指数进行有效跟踪的基础上，通过数量化的方法进行积极的指数组合管理与风险控制，力争实现超越目标指数的投资收益，谋求基金资产的长期增值</w:t>
            </w:r>
            <w:r>
              <w:rPr>
                <w:rFonts w:hint="eastAsia"/>
                <w:szCs w:val="24"/>
              </w:rPr>
              <w:t>。</w:t>
            </w:r>
            <w:r>
              <w:rPr>
                <w:rFonts w:hint="eastAsia"/>
                <w:szCs w:val="24"/>
                <w:lang w:eastAsia="zh-Hans"/>
              </w:rPr>
              <w:t xml:space="preserve"> </w:t>
            </w:r>
          </w:p>
        </w:tc>
      </w:tr>
      <w:tr w:rsidR="00000000">
        <w:trPr>
          <w:divId w:val="954404205"/>
          <w:trHeight w:val="386"/>
        </w:trPr>
        <w:tc>
          <w:tcPr>
            <w:tcW w:w="15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bookmarkStart w:id="61" w:name="m02_02_tab"/>
            <w:r>
              <w:rPr>
                <w:rFonts w:ascii="Times New Roman" w:hAnsi="Times New Roman" w:hint="eastAsia"/>
                <w:b/>
                <w:szCs w:val="21"/>
                <w:shd w:val="clear" w:color="auto" w:fill="FFFFFF"/>
              </w:rPr>
              <w:t>投资范围</w:t>
            </w:r>
            <w:r>
              <w:rPr>
                <w:rFonts w:hint="eastAsia"/>
                <w:szCs w:val="24"/>
                <w:lang w:eastAsia="zh-Hans"/>
              </w:rPr>
              <w:t xml:space="preserve"> </w:t>
            </w:r>
          </w:p>
        </w:tc>
        <w:tc>
          <w:tcPr>
            <w:tcW w:w="699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312" w:lineRule="exact"/>
              <w:jc w:val="left"/>
              <w:rPr>
                <w:rFonts w:hint="eastAsia"/>
              </w:rPr>
            </w:pPr>
            <w:r>
              <w:rPr>
                <w:rFonts w:hint="eastAsia"/>
                <w:szCs w:val="24"/>
                <w:lang w:eastAsia="zh-Hans"/>
              </w:rPr>
              <w:t>本基金的投资范围为具有良好流动性的金融工具，包括中证</w:t>
            </w:r>
            <w:r>
              <w:rPr>
                <w:rFonts w:hint="eastAsia"/>
                <w:szCs w:val="24"/>
                <w:lang w:eastAsia="zh-Hans"/>
              </w:rPr>
              <w:t>A500</w:t>
            </w:r>
            <w:r>
              <w:rPr>
                <w:rFonts w:hint="eastAsia"/>
                <w:szCs w:val="24"/>
                <w:lang w:eastAsia="zh-Hans"/>
              </w:rPr>
              <w:t>指数的成份股及其备选成份股（均含存托凭证）、其他非指数成份股（包括主板、创业板及其他经中国证监会核准或注册上市的股票、存托凭证）、内地与香港股票市场交易互联互通机制下允许投资的规定范围内的香港联合交易所上市的股票（以下简称“港股通标的股票”）、债券（包括</w:t>
            </w:r>
            <w:r>
              <w:rPr>
                <w:rFonts w:hint="eastAsia"/>
                <w:szCs w:val="24"/>
                <w:lang w:eastAsia="zh-Hans"/>
              </w:rPr>
              <w:t>国债、地方政府债、央行票据、金融债、企业债、公司债、次级债、可转换债券（含分离交易可转债）、可交换债券、短期融资券、超短期融资券、中期票据等）、资产支持证券、债券回购、银行存款、同业存单、货币市场工具、股指期货以及法律法规或中国证监会允许基金投资的其他金融工具</w:t>
            </w:r>
            <w:r>
              <w:rPr>
                <w:rFonts w:hint="eastAsia"/>
                <w:szCs w:val="24"/>
                <w:lang w:eastAsia="zh-Hans"/>
              </w:rPr>
              <w:t>(</w:t>
            </w:r>
            <w:r>
              <w:rPr>
                <w:rFonts w:hint="eastAsia"/>
                <w:szCs w:val="24"/>
                <w:lang w:eastAsia="zh-Hans"/>
              </w:rPr>
              <w:t>但须符合中国证监会相关规定</w:t>
            </w:r>
            <w:r>
              <w:rPr>
                <w:rFonts w:hint="eastAsia"/>
                <w:szCs w:val="24"/>
                <w:lang w:eastAsia="zh-Hans"/>
              </w:rPr>
              <w:t>)</w:t>
            </w:r>
            <w:r>
              <w:rPr>
                <w:rFonts w:hint="eastAsia"/>
                <w:szCs w:val="24"/>
                <w:lang w:eastAsia="zh-Hans"/>
              </w:rPr>
              <w:t>。</w:t>
            </w:r>
            <w:r>
              <w:rPr>
                <w:rFonts w:hint="eastAsia"/>
                <w:szCs w:val="24"/>
                <w:lang w:eastAsia="zh-Hans"/>
              </w:rPr>
              <w:br/>
            </w:r>
            <w:r>
              <w:rPr>
                <w:rFonts w:hint="eastAsia"/>
                <w:szCs w:val="24"/>
                <w:lang w:eastAsia="zh-Hans"/>
              </w:rPr>
              <w:t>本基金将根据法律法规的规定参与融资、转融通证券出借业务。</w:t>
            </w:r>
            <w:r>
              <w:rPr>
                <w:rFonts w:hint="eastAsia"/>
                <w:szCs w:val="24"/>
                <w:lang w:eastAsia="zh-Hans"/>
              </w:rPr>
              <w:br/>
            </w:r>
            <w:r>
              <w:rPr>
                <w:rFonts w:hint="eastAsia"/>
                <w:szCs w:val="24"/>
                <w:lang w:eastAsia="zh-Hans"/>
              </w:rPr>
              <w:lastRenderedPageBreak/>
              <w:t>如法律法规或监管机构以后允许基金投资其他品种，基金管理人在履行适当程序后，可以将其纳入投资范围。</w:t>
            </w:r>
            <w:r>
              <w:rPr>
                <w:rFonts w:hint="eastAsia"/>
                <w:szCs w:val="24"/>
                <w:lang w:eastAsia="zh-Hans"/>
              </w:rPr>
              <w:br/>
            </w:r>
            <w:r>
              <w:rPr>
                <w:rFonts w:hint="eastAsia"/>
                <w:szCs w:val="24"/>
                <w:lang w:eastAsia="zh-Hans"/>
              </w:rPr>
              <w:t>基金的投资组合比例为：股票资产的投资比例不低于基金资产的</w:t>
            </w:r>
            <w:r>
              <w:rPr>
                <w:rFonts w:hint="eastAsia"/>
                <w:szCs w:val="24"/>
                <w:lang w:eastAsia="zh-Hans"/>
              </w:rPr>
              <w:t>80%</w:t>
            </w:r>
            <w:r>
              <w:rPr>
                <w:rFonts w:hint="eastAsia"/>
                <w:szCs w:val="24"/>
                <w:lang w:eastAsia="zh-Hans"/>
              </w:rPr>
              <w:t>，港股通标的股票的投资比例为股票资产的</w:t>
            </w:r>
            <w:r>
              <w:rPr>
                <w:rFonts w:hint="eastAsia"/>
                <w:szCs w:val="24"/>
                <w:lang w:eastAsia="zh-Hans"/>
              </w:rPr>
              <w:t>0%-50%</w:t>
            </w:r>
            <w:r>
              <w:rPr>
                <w:rFonts w:hint="eastAsia"/>
                <w:szCs w:val="24"/>
                <w:lang w:eastAsia="zh-Hans"/>
              </w:rPr>
              <w:t>，投资于标的指数成份股及其备选成份股的资产不低于非现金基金资产的</w:t>
            </w:r>
            <w:r>
              <w:rPr>
                <w:rFonts w:hint="eastAsia"/>
                <w:szCs w:val="24"/>
                <w:lang w:eastAsia="zh-Hans"/>
              </w:rPr>
              <w:t>80%</w:t>
            </w:r>
            <w:r>
              <w:rPr>
                <w:rFonts w:hint="eastAsia"/>
                <w:szCs w:val="24"/>
                <w:lang w:eastAsia="zh-Hans"/>
              </w:rPr>
              <w:t>；每个交易日日终在扣除股指期货合约需缴纳的交易保证金后，现金或到期日在一年以内的政府债券投资比例不低于基金资产净值的</w:t>
            </w:r>
            <w:r>
              <w:rPr>
                <w:rFonts w:hint="eastAsia"/>
                <w:szCs w:val="24"/>
                <w:lang w:eastAsia="zh-Hans"/>
              </w:rPr>
              <w:t>5%</w:t>
            </w:r>
            <w:r>
              <w:rPr>
                <w:rFonts w:hint="eastAsia"/>
                <w:szCs w:val="24"/>
                <w:lang w:eastAsia="zh-Hans"/>
              </w:rPr>
              <w:t>，其中，现金不包括结算备付金、存出保证金、应收申购款等。</w:t>
            </w:r>
            <w:r>
              <w:rPr>
                <w:rFonts w:hint="eastAsia"/>
                <w:szCs w:val="24"/>
                <w:lang w:eastAsia="zh-Hans"/>
              </w:rPr>
              <w:br/>
            </w:r>
            <w:r>
              <w:rPr>
                <w:rFonts w:hint="eastAsia"/>
                <w:szCs w:val="24"/>
                <w:lang w:eastAsia="zh-Hans"/>
              </w:rPr>
              <w:t>如法律法规或中国证监会变更上述投资品种的比例限制，以变更后的比例为准，基金管理人在依法履行适当程序后，可对本基金的投资比例做相应调整。</w:t>
            </w:r>
            <w:r>
              <w:rPr>
                <w:rFonts w:hint="eastAsia"/>
                <w:szCs w:val="24"/>
                <w:lang w:eastAsia="zh-Hans"/>
              </w:rPr>
              <w:br/>
            </w:r>
            <w:r>
              <w:rPr>
                <w:rFonts w:hint="eastAsia"/>
                <w:szCs w:val="24"/>
                <w:lang w:eastAsia="zh-Hans"/>
              </w:rPr>
              <w:t>本基金的标的指数为中证</w:t>
            </w:r>
            <w:r>
              <w:rPr>
                <w:rFonts w:hint="eastAsia"/>
                <w:szCs w:val="24"/>
                <w:lang w:eastAsia="zh-Hans"/>
              </w:rPr>
              <w:t>A500</w:t>
            </w:r>
            <w:r>
              <w:rPr>
                <w:rFonts w:hint="eastAsia"/>
                <w:szCs w:val="24"/>
                <w:lang w:eastAsia="zh-Hans"/>
              </w:rPr>
              <w:t>指数</w:t>
            </w:r>
            <w:r>
              <w:rPr>
                <w:rFonts w:hint="eastAsia"/>
                <w:szCs w:val="24"/>
                <w:lang w:eastAsia="zh-Hans"/>
              </w:rPr>
              <w:t>。</w:t>
            </w:r>
          </w:p>
        </w:tc>
      </w:tr>
      <w:tr w:rsidR="00000000">
        <w:trPr>
          <w:divId w:val="954404205"/>
          <w:trHeight w:val="386"/>
        </w:trPr>
        <w:tc>
          <w:tcPr>
            <w:tcW w:w="15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ascii="Times New Roman" w:hAnsi="Times New Roman" w:hint="eastAsia"/>
                <w:b/>
              </w:rPr>
              <w:lastRenderedPageBreak/>
              <w:t>主要投资策略</w:t>
            </w:r>
            <w:r>
              <w:rPr>
                <w:rFonts w:hint="eastAsia"/>
                <w:szCs w:val="24"/>
                <w:lang w:eastAsia="zh-Hans"/>
              </w:rPr>
              <w:t xml:space="preserve"> </w:t>
            </w:r>
          </w:p>
        </w:tc>
        <w:tc>
          <w:tcPr>
            <w:tcW w:w="699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312" w:lineRule="exact"/>
              <w:jc w:val="left"/>
              <w:rPr>
                <w:rFonts w:hint="eastAsia"/>
              </w:rPr>
            </w:pPr>
            <w:r>
              <w:rPr>
                <w:rFonts w:hint="eastAsia"/>
                <w:szCs w:val="24"/>
                <w:lang w:eastAsia="zh-Hans"/>
              </w:rPr>
              <w:t>1</w:t>
            </w:r>
            <w:r>
              <w:rPr>
                <w:rFonts w:hint="eastAsia"/>
                <w:szCs w:val="24"/>
                <w:lang w:eastAsia="zh-Hans"/>
              </w:rPr>
              <w:t>、大类资产配置策略</w:t>
            </w:r>
            <w:r>
              <w:rPr>
                <w:rFonts w:hint="eastAsia"/>
                <w:szCs w:val="24"/>
                <w:lang w:eastAsia="zh-Hans"/>
              </w:rPr>
              <w:br/>
            </w:r>
            <w:r>
              <w:rPr>
                <w:rFonts w:hint="eastAsia"/>
                <w:szCs w:val="24"/>
                <w:lang w:eastAsia="zh-Hans"/>
              </w:rPr>
              <w:t>2</w:t>
            </w:r>
            <w:r>
              <w:rPr>
                <w:rFonts w:hint="eastAsia"/>
                <w:szCs w:val="24"/>
                <w:lang w:eastAsia="zh-Hans"/>
              </w:rPr>
              <w:t>、股票投资策略</w:t>
            </w:r>
            <w:r>
              <w:rPr>
                <w:rFonts w:hint="eastAsia"/>
                <w:szCs w:val="24"/>
                <w:lang w:eastAsia="zh-Hans"/>
              </w:rPr>
              <w:br/>
              <w:t>3</w:t>
            </w:r>
            <w:r>
              <w:rPr>
                <w:rFonts w:hint="eastAsia"/>
                <w:szCs w:val="24"/>
                <w:lang w:eastAsia="zh-Hans"/>
              </w:rPr>
              <w:t>、存托凭证投资策略</w:t>
            </w:r>
            <w:r>
              <w:rPr>
                <w:rFonts w:hint="eastAsia"/>
                <w:szCs w:val="24"/>
                <w:lang w:eastAsia="zh-Hans"/>
              </w:rPr>
              <w:br/>
              <w:t>4</w:t>
            </w:r>
            <w:r>
              <w:rPr>
                <w:rFonts w:hint="eastAsia"/>
                <w:szCs w:val="24"/>
                <w:lang w:eastAsia="zh-Hans"/>
              </w:rPr>
              <w:t>、债券投资策略</w:t>
            </w:r>
            <w:r>
              <w:rPr>
                <w:rFonts w:hint="eastAsia"/>
                <w:szCs w:val="24"/>
                <w:lang w:eastAsia="zh-Hans"/>
              </w:rPr>
              <w:br/>
              <w:t>5</w:t>
            </w:r>
            <w:r>
              <w:rPr>
                <w:rFonts w:hint="eastAsia"/>
                <w:szCs w:val="24"/>
                <w:lang w:eastAsia="zh-Hans"/>
              </w:rPr>
              <w:t>、资产支持证券投资策略</w:t>
            </w:r>
            <w:r>
              <w:rPr>
                <w:rFonts w:hint="eastAsia"/>
                <w:szCs w:val="24"/>
                <w:lang w:eastAsia="zh-Hans"/>
              </w:rPr>
              <w:br/>
              <w:t>6</w:t>
            </w:r>
            <w:r>
              <w:rPr>
                <w:rFonts w:hint="eastAsia"/>
                <w:szCs w:val="24"/>
                <w:lang w:eastAsia="zh-Hans"/>
              </w:rPr>
              <w:t>、股指期货投资策略</w:t>
            </w:r>
            <w:r>
              <w:rPr>
                <w:rFonts w:hint="eastAsia"/>
                <w:szCs w:val="24"/>
                <w:lang w:eastAsia="zh-Hans"/>
              </w:rPr>
              <w:br/>
              <w:t>7</w:t>
            </w:r>
            <w:r>
              <w:rPr>
                <w:rFonts w:hint="eastAsia"/>
                <w:szCs w:val="24"/>
                <w:lang w:eastAsia="zh-Hans"/>
              </w:rPr>
              <w:t>、参与融资业务投资策略</w:t>
            </w:r>
            <w:r>
              <w:rPr>
                <w:rFonts w:hint="eastAsia"/>
                <w:szCs w:val="24"/>
                <w:lang w:eastAsia="zh-Hans"/>
              </w:rPr>
              <w:br/>
              <w:t>8</w:t>
            </w:r>
            <w:r>
              <w:rPr>
                <w:rFonts w:hint="eastAsia"/>
                <w:szCs w:val="24"/>
                <w:lang w:eastAsia="zh-Hans"/>
              </w:rPr>
              <w:t>、参与转融通证券出借业务投资策</w:t>
            </w:r>
            <w:r>
              <w:rPr>
                <w:rFonts w:hint="eastAsia"/>
                <w:szCs w:val="24"/>
                <w:lang w:eastAsia="zh-Hans"/>
              </w:rPr>
              <w:t>略</w:t>
            </w:r>
            <w:r>
              <w:rPr>
                <w:rFonts w:hint="eastAsia"/>
                <w:szCs w:val="24"/>
              </w:rPr>
              <w:t xml:space="preserve"> </w:t>
            </w:r>
          </w:p>
        </w:tc>
      </w:tr>
      <w:tr w:rsidR="00000000">
        <w:trPr>
          <w:divId w:val="954404205"/>
          <w:trHeight w:val="386"/>
        </w:trPr>
        <w:tc>
          <w:tcPr>
            <w:tcW w:w="15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ascii="Times New Roman" w:hAnsi="Times New Roman" w:hint="eastAsia"/>
                <w:b/>
              </w:rPr>
              <w:t>业绩比较基准</w:t>
            </w:r>
            <w:r>
              <w:rPr>
                <w:rFonts w:hint="eastAsia"/>
                <w:szCs w:val="24"/>
                <w:lang w:eastAsia="zh-Hans"/>
              </w:rPr>
              <w:t xml:space="preserve"> </w:t>
            </w:r>
          </w:p>
        </w:tc>
        <w:tc>
          <w:tcPr>
            <w:tcW w:w="699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312" w:lineRule="exact"/>
              <w:jc w:val="left"/>
              <w:rPr>
                <w:rFonts w:hint="eastAsia"/>
              </w:rPr>
            </w:pPr>
            <w:r>
              <w:rPr>
                <w:rFonts w:hint="eastAsia"/>
                <w:szCs w:val="24"/>
                <w:lang w:eastAsia="zh-Hans"/>
              </w:rPr>
              <w:t>中证</w:t>
            </w:r>
            <w:r>
              <w:rPr>
                <w:rFonts w:hint="eastAsia"/>
                <w:szCs w:val="24"/>
                <w:lang w:eastAsia="zh-Hans"/>
              </w:rPr>
              <w:t>A500</w:t>
            </w:r>
            <w:r>
              <w:rPr>
                <w:rFonts w:hint="eastAsia"/>
                <w:szCs w:val="24"/>
                <w:lang w:eastAsia="zh-Hans"/>
              </w:rPr>
              <w:t>指数收益率×</w:t>
            </w:r>
            <w:r>
              <w:rPr>
                <w:rFonts w:hint="eastAsia"/>
                <w:szCs w:val="24"/>
                <w:lang w:eastAsia="zh-Hans"/>
              </w:rPr>
              <w:t>95%+</w:t>
            </w:r>
            <w:r>
              <w:rPr>
                <w:rFonts w:hint="eastAsia"/>
                <w:szCs w:val="24"/>
                <w:lang w:eastAsia="zh-Hans"/>
              </w:rPr>
              <w:t>银行活期存款利率（税后）×</w:t>
            </w:r>
            <w:r>
              <w:rPr>
                <w:rFonts w:hint="eastAsia"/>
                <w:szCs w:val="24"/>
                <w:lang w:eastAsia="zh-Hans"/>
              </w:rPr>
              <w:t>5%</w:t>
            </w:r>
            <w:r>
              <w:rPr>
                <w:rFonts w:hint="eastAsia"/>
                <w:szCs w:val="24"/>
                <w:lang w:eastAsia="zh-Hans"/>
              </w:rPr>
              <w:t>。</w:t>
            </w:r>
          </w:p>
        </w:tc>
      </w:tr>
      <w:tr w:rsidR="00000000">
        <w:trPr>
          <w:divId w:val="954404205"/>
          <w:trHeight w:val="386"/>
        </w:trPr>
        <w:tc>
          <w:tcPr>
            <w:tcW w:w="1526" w:type="dxa"/>
            <w:tcBorders>
              <w:top w:val="nil"/>
              <w:left w:val="nil"/>
              <w:bottom w:val="single"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风险收益特征</w:t>
            </w:r>
            <w:r>
              <w:rPr>
                <w:rFonts w:hint="eastAsia"/>
                <w:szCs w:val="24"/>
                <w:lang w:eastAsia="zh-Hans"/>
              </w:rPr>
              <w:t xml:space="preserve"> </w:t>
            </w:r>
          </w:p>
        </w:tc>
        <w:tc>
          <w:tcPr>
            <w:tcW w:w="6996" w:type="dxa"/>
            <w:tcBorders>
              <w:top w:val="nil"/>
              <w:left w:val="nil"/>
              <w:bottom w:val="single" w:sz="4" w:space="0" w:color="auto"/>
              <w:right w:val="nil"/>
            </w:tcBorders>
            <w:tcMar>
              <w:top w:w="0" w:type="dxa"/>
              <w:left w:w="108" w:type="dxa"/>
              <w:bottom w:w="0" w:type="dxa"/>
              <w:right w:w="108" w:type="dxa"/>
            </w:tcMar>
            <w:vAlign w:val="center"/>
            <w:hideMark/>
          </w:tcPr>
          <w:p w:rsidR="00000000" w:rsidRDefault="00F317F4">
            <w:pPr>
              <w:spacing w:line="312" w:lineRule="exact"/>
              <w:jc w:val="left"/>
              <w:rPr>
                <w:rFonts w:hint="eastAsia"/>
              </w:rPr>
            </w:pPr>
            <w:r>
              <w:rPr>
                <w:rFonts w:hint="eastAsia"/>
                <w:szCs w:val="24"/>
                <w:lang w:eastAsia="zh-Hans"/>
              </w:rPr>
              <w:t>本基金为股票指数增强型基金，预期风险与预期收益高于混合型基金、债券型基金与货币市场基金。本基金主要投资于标的指数成份股及备选成份股，具有与标的指数相似的风险收益特征。本基金可投资港股通标的股票，需承担港股通机制下因投资环境、投资标的、市场制度以及交易规则等差异带来的特有风险</w:t>
            </w:r>
            <w:r>
              <w:rPr>
                <w:rFonts w:hint="eastAsia"/>
                <w:szCs w:val="24"/>
                <w:lang w:eastAsia="zh-Hans"/>
              </w:rPr>
              <w:t>。</w:t>
            </w:r>
          </w:p>
        </w:tc>
      </w:tr>
    </w:tbl>
    <w:p w:rsidR="00000000" w:rsidRDefault="00F317F4">
      <w:pPr>
        <w:pStyle w:val="XBRLTitle2"/>
        <w:spacing w:before="156" w:line="312" w:lineRule="exact"/>
        <w:rPr>
          <w:rFonts w:hint="eastAsia"/>
        </w:rPr>
      </w:pPr>
      <w:bookmarkStart w:id="62" w:name="_Toc37433214"/>
      <w:bookmarkStart w:id="63" w:name="_Toc512519484"/>
      <w:bookmarkStart w:id="64" w:name="_Toc481075051"/>
      <w:bookmarkStart w:id="65" w:name="_Toc438646457"/>
      <w:bookmarkStart w:id="66" w:name="_Toc490050005"/>
      <w:bookmarkStart w:id="67" w:name="_Toc513465658"/>
      <w:r>
        <w:rPr>
          <w:rFonts w:hAnsi="宋体" w:hint="eastAsia"/>
          <w:sz w:val="21"/>
        </w:rPr>
        <w:t>投资组合资产配置图表</w:t>
      </w:r>
      <w:r>
        <w:rPr>
          <w:rFonts w:hAnsi="宋体" w:hint="eastAsia"/>
          <w:sz w:val="21"/>
        </w:rPr>
        <w:t>/</w:t>
      </w:r>
      <w:r>
        <w:rPr>
          <w:rFonts w:hAnsi="宋体" w:hint="eastAsia"/>
          <w:sz w:val="21"/>
        </w:rPr>
        <w:t>区域配置图</w:t>
      </w:r>
      <w:r>
        <w:rPr>
          <w:rFonts w:hAnsi="宋体" w:hint="eastAsia"/>
          <w:sz w:val="21"/>
        </w:rPr>
        <w:t>表</w:t>
      </w:r>
      <w:bookmarkEnd w:id="62"/>
      <w:r>
        <w:rPr>
          <w:rFonts w:hAnsi="宋体" w:hint="eastAsia"/>
          <w:sz w:val="21"/>
        </w:rPr>
        <w:t xml:space="preserve"> </w:t>
      </w:r>
    </w:p>
    <w:p w:rsidR="00000000" w:rsidRDefault="00F317F4">
      <w:pPr>
        <w:pStyle w:val="XBRLTitle2"/>
        <w:spacing w:before="156" w:line="312" w:lineRule="exact"/>
        <w:rPr>
          <w:rFonts w:hint="eastAsia"/>
        </w:rPr>
      </w:pPr>
      <w:bookmarkStart w:id="68" w:name="_Toc37433215"/>
      <w:bookmarkStart w:id="69" w:name="m502"/>
      <w:bookmarkStart w:id="70" w:name="_Toc438646470"/>
      <w:bookmarkStart w:id="71" w:name="m504"/>
      <w:bookmarkStart w:id="72" w:name="_Toc34758531"/>
      <w:bookmarkStart w:id="73" w:name="_Toc513295913"/>
      <w:bookmarkStart w:id="74" w:name="_Toc513295861"/>
      <w:bookmarkStart w:id="75" w:name="_Toc512519501"/>
      <w:bookmarkStart w:id="76" w:name="_Toc490050022"/>
      <w:bookmarkStart w:id="77" w:name="_Toc481075069"/>
      <w:bookmarkStart w:id="78" w:name="_Toc17897952"/>
      <w:bookmarkStart w:id="79" w:name="_Toc17898200"/>
      <w:bookmarkStart w:id="80" w:name="_Toc34841040"/>
      <w:bookmarkStart w:id="81" w:name="m03_03"/>
      <w:bookmarkStart w:id="82" w:name="_Toc454983260"/>
      <w:bookmarkStart w:id="83" w:name="_Toc452398732"/>
      <w:bookmarkStart w:id="84" w:name="_Toc453852604"/>
      <w:bookmarkStart w:id="85" w:name="_Toc485300223"/>
      <w:bookmarkStart w:id="86" w:name="_Toc244948694"/>
      <w:bookmarkStart w:id="87" w:name="_Toc245003735"/>
      <w:bookmarkStart w:id="88" w:name="_Toc247616208"/>
      <w:bookmarkStart w:id="89" w:name="_Toc433036679"/>
      <w:bookmarkStart w:id="90" w:name="_Toc506208214"/>
      <w:bookmarkStart w:id="91" w:name="_Toc497398101"/>
      <w:bookmarkStart w:id="92" w:name="_Toc17897941"/>
      <w:bookmarkStart w:id="93" w:name="_Toc17898185"/>
      <w:bookmarkStart w:id="94" w:name="_Toc512519486"/>
      <w:bookmarkStart w:id="95" w:name="_Toc481075053"/>
      <w:bookmarkStart w:id="96" w:name="_Toc490050007"/>
      <w:bookmarkStart w:id="97" w:name="_Toc512519485"/>
      <w:bookmarkStart w:id="98" w:name="_Toc481075052"/>
      <w:bookmarkStart w:id="99" w:name="_Toc490050006"/>
      <w:bookmarkStart w:id="100" w:name="m501"/>
      <w:r>
        <w:rPr>
          <w:rFonts w:hAnsi="宋体" w:hint="eastAsia"/>
          <w:sz w:val="21"/>
        </w:rPr>
        <w:t>自基金合同生效以来基金每年的净值增长</w:t>
      </w:r>
      <w:r>
        <w:rPr>
          <w:rFonts w:hAnsi="宋体" w:hint="eastAsia"/>
          <w:sz w:val="21"/>
        </w:rPr>
        <w:t>率</w:t>
      </w:r>
      <w:r>
        <w:rPr>
          <w:rFonts w:hAnsi="宋体" w:hint="eastAsia"/>
          <w:sz w:val="21"/>
        </w:rPr>
        <w:t>及与同期业绩比较基准的比较</w:t>
      </w:r>
      <w:r>
        <w:rPr>
          <w:rFonts w:hAnsi="宋体" w:hint="eastAsia"/>
          <w:sz w:val="21"/>
        </w:rPr>
        <w:t>图</w:t>
      </w:r>
      <w:bookmarkEnd w:id="68"/>
      <w:bookmarkEnd w:id="69"/>
      <w:bookmarkEnd w:id="70"/>
      <w:bookmarkEnd w:id="71"/>
      <w:bookmarkEnd w:id="72"/>
      <w:bookmarkEnd w:id="73"/>
      <w:bookmarkEnd w:id="74"/>
      <w:bookmarkEnd w:id="75"/>
      <w:bookmarkEnd w:id="76"/>
      <w:bookmarkEnd w:id="77"/>
      <w:bookmarkEnd w:id="78"/>
      <w:bookmarkEnd w:id="79"/>
      <w:bookmarkEnd w:id="80"/>
      <w:r>
        <w:rPr>
          <w:rFonts w:hAnsi="宋体" w:hint="eastAsia"/>
          <w:sz w:val="21"/>
        </w:rPr>
        <w:t xml:space="preserve"> </w:t>
      </w:r>
    </w:p>
    <w:p w:rsidR="00000000" w:rsidRDefault="00F317F4">
      <w:pPr>
        <w:pStyle w:val="XBRLTitle1"/>
        <w:spacing w:before="156" w:line="312" w:lineRule="exact"/>
        <w:rPr>
          <w:rFonts w:hint="eastAsia"/>
        </w:rPr>
      </w:pPr>
      <w:bookmarkStart w:id="101" w:name="_Toc374332121"/>
      <w:r>
        <w:rPr>
          <w:rFonts w:hAnsi="宋体" w:hint="eastAsia"/>
        </w:rPr>
        <w:t>投资本基金涉及的费</w:t>
      </w:r>
      <w:r>
        <w:rPr>
          <w:rFonts w:hAnsi="宋体" w:hint="eastAsia"/>
        </w:rPr>
        <w:t>用</w:t>
      </w:r>
      <w:bookmarkEnd w:id="101"/>
      <w:r>
        <w:rPr>
          <w:rFonts w:hAnsi="宋体" w:hint="eastAsia"/>
        </w:rPr>
        <w:t xml:space="preserve"> </w:t>
      </w:r>
    </w:p>
    <w:p w:rsidR="00000000" w:rsidRDefault="00F317F4">
      <w:pPr>
        <w:pStyle w:val="XBRLTitle2"/>
        <w:spacing w:before="156" w:line="312" w:lineRule="exact"/>
        <w:rPr>
          <w:rFonts w:hint="eastAsia"/>
        </w:rPr>
      </w:pPr>
      <w:bookmarkStart w:id="102" w:name="_Toc374332131"/>
      <w:r>
        <w:rPr>
          <w:rFonts w:hAnsi="宋体" w:hint="eastAsia"/>
          <w:sz w:val="21"/>
        </w:rPr>
        <w:t>基金销售相关费</w:t>
      </w:r>
      <w:r>
        <w:rPr>
          <w:rFonts w:hAnsi="宋体" w:hint="eastAsia"/>
          <w:sz w:val="21"/>
        </w:rPr>
        <w:t>用</w:t>
      </w:r>
      <w:bookmarkEnd w:id="102"/>
      <w:r>
        <w:rPr>
          <w:rFonts w:hAnsi="宋体" w:hint="eastAsia"/>
          <w:sz w:val="21"/>
        </w:rPr>
        <w:t xml:space="preserve"> </w:t>
      </w:r>
    </w:p>
    <w:p w:rsidR="00000000" w:rsidRDefault="00F317F4">
      <w:pPr>
        <w:spacing w:line="312" w:lineRule="exact"/>
        <w:divId w:val="1597976290"/>
        <w:rPr>
          <w:rFonts w:hint="eastAsia"/>
        </w:rPr>
      </w:pPr>
      <w:r>
        <w:rPr>
          <w:rFonts w:hint="eastAsia"/>
          <w:szCs w:val="21"/>
        </w:rPr>
        <w:t>以下费用在认购</w:t>
      </w:r>
      <w:r>
        <w:rPr>
          <w:rFonts w:hint="eastAsia"/>
          <w:szCs w:val="21"/>
        </w:rPr>
        <w:t>/</w:t>
      </w:r>
      <w:r>
        <w:rPr>
          <w:rFonts w:hint="eastAsia"/>
          <w:szCs w:val="21"/>
        </w:rPr>
        <w:t>申购</w:t>
      </w:r>
      <w:r>
        <w:rPr>
          <w:rFonts w:hint="eastAsia"/>
          <w:szCs w:val="21"/>
        </w:rPr>
        <w:t>/</w:t>
      </w:r>
      <w:r>
        <w:rPr>
          <w:rFonts w:hint="eastAsia"/>
          <w:szCs w:val="21"/>
        </w:rPr>
        <w:t>赎回基金过程中收取：</w:t>
      </w:r>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86"/>
        <w:gridCol w:w="5771"/>
        <w:gridCol w:w="3457"/>
        <w:gridCol w:w="850"/>
        <w:gridCol w:w="1468"/>
      </w:tblGrid>
      <w:tr w:rsidR="00000000">
        <w:trPr>
          <w:divId w:val="1597976290"/>
        </w:trPr>
        <w:tc>
          <w:tcPr>
            <w:tcW w:w="1186"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费用类型</w:t>
            </w:r>
            <w:r>
              <w:rPr>
                <w:rFonts w:hint="eastAsia"/>
                <w:b/>
                <w:bCs/>
                <w:szCs w:val="21"/>
              </w:rPr>
              <w:t xml:space="preserve"> </w:t>
            </w:r>
          </w:p>
        </w:tc>
        <w:tc>
          <w:tcPr>
            <w:tcW w:w="2891"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份额（</w:t>
            </w:r>
            <w:r>
              <w:rPr>
                <w:rFonts w:hint="eastAsia"/>
                <w:b/>
                <w:bCs/>
                <w:szCs w:val="21"/>
              </w:rPr>
              <w:t>S</w:t>
            </w:r>
            <w:r>
              <w:rPr>
                <w:rFonts w:hint="eastAsia"/>
                <w:b/>
                <w:bCs/>
                <w:szCs w:val="21"/>
              </w:rPr>
              <w:t>）或金额（</w:t>
            </w:r>
            <w:r>
              <w:rPr>
                <w:rFonts w:hint="eastAsia"/>
                <w:b/>
                <w:bCs/>
                <w:szCs w:val="21"/>
              </w:rPr>
              <w:t>M</w:t>
            </w:r>
            <w:r>
              <w:rPr>
                <w:rFonts w:hint="eastAsia"/>
                <w:b/>
                <w:bCs/>
                <w:szCs w:val="21"/>
              </w:rPr>
              <w:t>）</w:t>
            </w:r>
            <w:r>
              <w:rPr>
                <w:rFonts w:hint="eastAsia"/>
                <w:b/>
                <w:bCs/>
                <w:szCs w:val="21"/>
              </w:rPr>
              <w:t xml:space="preserve"> </w:t>
            </w:r>
          </w:p>
          <w:p w:rsidR="00000000" w:rsidRDefault="00F317F4">
            <w:pPr>
              <w:spacing w:line="280" w:lineRule="exact"/>
              <w:jc w:val="center"/>
              <w:rPr>
                <w:rFonts w:hint="eastAsia"/>
              </w:rPr>
            </w:pPr>
            <w:r>
              <w:rPr>
                <w:rFonts w:hint="eastAsia"/>
                <w:b/>
                <w:bCs/>
                <w:szCs w:val="21"/>
              </w:rPr>
              <w:t>/</w:t>
            </w:r>
            <w:r>
              <w:rPr>
                <w:rFonts w:hint="eastAsia"/>
                <w:b/>
                <w:bCs/>
                <w:szCs w:val="21"/>
              </w:rPr>
              <w:t>持有期限（</w:t>
            </w:r>
            <w:r>
              <w:rPr>
                <w:rFonts w:hint="eastAsia"/>
                <w:b/>
                <w:bCs/>
                <w:szCs w:val="21"/>
              </w:rPr>
              <w:t>N</w:t>
            </w:r>
            <w:r>
              <w:rPr>
                <w:rFonts w:hint="eastAsia"/>
                <w:b/>
                <w:bCs/>
                <w:szCs w:val="21"/>
              </w:rPr>
              <w:t>）</w:t>
            </w:r>
            <w:r>
              <w:rPr>
                <w:rFonts w:hint="eastAsia"/>
                <w:b/>
                <w:bCs/>
                <w:szCs w:val="21"/>
              </w:rPr>
              <w:t xml:space="preserve"> </w:t>
            </w:r>
          </w:p>
        </w:tc>
        <w:tc>
          <w:tcPr>
            <w:tcW w:w="2977" w:type="dxa"/>
            <w:gridSpan w:val="2"/>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收费方式</w:t>
            </w:r>
            <w:r>
              <w:rPr>
                <w:rFonts w:hint="eastAsia"/>
                <w:b/>
                <w:bCs/>
                <w:szCs w:val="21"/>
              </w:rPr>
              <w:t>/</w:t>
            </w:r>
            <w:r>
              <w:rPr>
                <w:rFonts w:hint="eastAsia"/>
                <w:b/>
                <w:bCs/>
                <w:szCs w:val="21"/>
              </w:rPr>
              <w:t>费率</w:t>
            </w:r>
            <w:r>
              <w:rPr>
                <w:rFonts w:hint="eastAsia"/>
                <w:b/>
                <w:bCs/>
                <w:szCs w:val="21"/>
              </w:rPr>
              <w:t xml:space="preserve"> </w:t>
            </w:r>
          </w:p>
        </w:tc>
        <w:tc>
          <w:tcPr>
            <w:tcW w:w="1468" w:type="dxa"/>
            <w:tcBorders>
              <w:top w:val="single" w:sz="4" w:space="0" w:color="auto"/>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备注</w:t>
            </w:r>
            <w:r>
              <w:rPr>
                <w:rFonts w:hint="eastAsia"/>
                <w:b/>
                <w:bCs/>
                <w:szCs w:val="21"/>
              </w:rPr>
              <w:t xml:space="preserve"> </w:t>
            </w:r>
          </w:p>
        </w:tc>
      </w:tr>
      <w:tr w:rsidR="00000000">
        <w:trPr>
          <w:divId w:val="1597976290"/>
          <w:trHeight w:val="243"/>
        </w:trPr>
        <w:tc>
          <w:tcPr>
            <w:tcW w:w="1186"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认购费</w:t>
            </w:r>
            <w:r>
              <w:rPr>
                <w:rFonts w:hint="eastAsia"/>
                <w:b/>
                <w:bCs/>
                <w:szCs w:val="21"/>
              </w:rPr>
              <w:t xml:space="preserve"> </w:t>
            </w: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M</w:t>
            </w:r>
            <w:r>
              <w:rPr>
                <w:rFonts w:hint="eastAsia"/>
                <w:kern w:val="0"/>
                <w:szCs w:val="21"/>
              </w:rPr>
              <w:t>＜</w:t>
            </w:r>
            <w:r>
              <w:rPr>
                <w:rFonts w:hint="eastAsia"/>
                <w:kern w:val="0"/>
                <w:szCs w:val="21"/>
              </w:rPr>
              <w:t>100</w:t>
            </w:r>
            <w:r>
              <w:rPr>
                <w:rFonts w:hint="eastAsia"/>
                <w:kern w:val="0"/>
                <w:szCs w:val="21"/>
              </w:rPr>
              <w:t>万</w:t>
            </w:r>
            <w:r>
              <w:rPr>
                <w:rFonts w:hint="eastAsia"/>
                <w:kern w:val="0"/>
                <w:szCs w:val="21"/>
              </w:rPr>
              <w:t>元</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1.00</w:t>
            </w: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非养老金客</w:t>
            </w:r>
            <w:r>
              <w:rPr>
                <w:rFonts w:hint="eastAsia"/>
                <w:kern w:val="0"/>
                <w:szCs w:val="21"/>
              </w:rPr>
              <w:t>户</w:t>
            </w:r>
            <w:r>
              <w:rPr>
                <w:rFonts w:hint="eastAsia"/>
                <w:szCs w:val="21"/>
              </w:rPr>
              <w:t xml:space="preserve"> </w:t>
            </w:r>
          </w:p>
        </w:tc>
      </w:tr>
      <w:tr w:rsidR="00000000">
        <w:trPr>
          <w:divId w:val="1597976290"/>
          <w:trHeight w:val="24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100</w:t>
            </w:r>
            <w:r>
              <w:rPr>
                <w:rFonts w:hint="eastAsia"/>
                <w:kern w:val="0"/>
                <w:szCs w:val="21"/>
              </w:rPr>
              <w:t>万元≤</w:t>
            </w:r>
            <w:r>
              <w:rPr>
                <w:rFonts w:hint="eastAsia"/>
                <w:kern w:val="0"/>
                <w:szCs w:val="21"/>
              </w:rPr>
              <w:t>M</w:t>
            </w:r>
            <w:r>
              <w:rPr>
                <w:rFonts w:hint="eastAsia"/>
                <w:kern w:val="0"/>
                <w:szCs w:val="21"/>
              </w:rPr>
              <w:t>＜</w:t>
            </w:r>
            <w:r>
              <w:rPr>
                <w:rFonts w:hint="eastAsia"/>
                <w:kern w:val="0"/>
                <w:szCs w:val="21"/>
              </w:rPr>
              <w:t>500</w:t>
            </w:r>
            <w:r>
              <w:rPr>
                <w:rFonts w:hint="eastAsia"/>
                <w:kern w:val="0"/>
                <w:szCs w:val="21"/>
              </w:rPr>
              <w:t>万</w:t>
            </w:r>
            <w:r>
              <w:rPr>
                <w:rFonts w:hint="eastAsia"/>
                <w:kern w:val="0"/>
                <w:szCs w:val="21"/>
              </w:rPr>
              <w:t>元</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0.60</w:t>
            </w: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非养老金客</w:t>
            </w:r>
            <w:r>
              <w:rPr>
                <w:rFonts w:hint="eastAsia"/>
                <w:kern w:val="0"/>
                <w:szCs w:val="21"/>
              </w:rPr>
              <w:t>户</w:t>
            </w:r>
            <w:r>
              <w:rPr>
                <w:rFonts w:hint="eastAsia"/>
                <w:szCs w:val="21"/>
              </w:rPr>
              <w:t xml:space="preserve"> </w:t>
            </w:r>
          </w:p>
        </w:tc>
      </w:tr>
      <w:tr w:rsidR="00000000">
        <w:trPr>
          <w:divId w:val="1597976290"/>
          <w:trHeight w:val="24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M</w:t>
            </w:r>
            <w:r>
              <w:rPr>
                <w:rFonts w:hint="eastAsia"/>
                <w:kern w:val="0"/>
                <w:szCs w:val="21"/>
              </w:rPr>
              <w:t>≥</w:t>
            </w:r>
            <w:r>
              <w:rPr>
                <w:rFonts w:hint="eastAsia"/>
                <w:kern w:val="0"/>
                <w:szCs w:val="21"/>
              </w:rPr>
              <w:t>500</w:t>
            </w:r>
            <w:r>
              <w:rPr>
                <w:rFonts w:hint="eastAsia"/>
                <w:kern w:val="0"/>
                <w:szCs w:val="21"/>
              </w:rPr>
              <w:t>万</w:t>
            </w:r>
            <w:r>
              <w:rPr>
                <w:rFonts w:hint="eastAsia"/>
                <w:kern w:val="0"/>
                <w:szCs w:val="21"/>
              </w:rPr>
              <w:t>元</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每笔</w:t>
            </w:r>
            <w:r>
              <w:rPr>
                <w:rFonts w:hint="eastAsia"/>
                <w:kern w:val="0"/>
                <w:szCs w:val="21"/>
              </w:rPr>
              <w:t>1000</w:t>
            </w:r>
            <w:r>
              <w:rPr>
                <w:rFonts w:hint="eastAsia"/>
                <w:kern w:val="0"/>
                <w:szCs w:val="21"/>
              </w:rPr>
              <w:t>元</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非养老金客</w:t>
            </w:r>
            <w:r>
              <w:rPr>
                <w:rFonts w:hint="eastAsia"/>
                <w:kern w:val="0"/>
                <w:szCs w:val="21"/>
              </w:rPr>
              <w:t>户</w:t>
            </w:r>
            <w:r>
              <w:rPr>
                <w:rFonts w:hint="eastAsia"/>
                <w:szCs w:val="21"/>
              </w:rPr>
              <w:t xml:space="preserve"> </w:t>
            </w:r>
          </w:p>
        </w:tc>
      </w:tr>
      <w:tr w:rsidR="00000000">
        <w:trPr>
          <w:divId w:val="1597976290"/>
          <w:trHeight w:val="24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每笔</w:t>
            </w:r>
            <w:r>
              <w:rPr>
                <w:rFonts w:hint="eastAsia"/>
                <w:kern w:val="0"/>
                <w:szCs w:val="21"/>
              </w:rPr>
              <w:t>500</w:t>
            </w:r>
            <w:r>
              <w:rPr>
                <w:rFonts w:hint="eastAsia"/>
                <w:kern w:val="0"/>
                <w:szCs w:val="21"/>
              </w:rPr>
              <w:t>元</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养老金客户（直销</w:t>
            </w:r>
            <w:r>
              <w:rPr>
                <w:rFonts w:hint="eastAsia"/>
                <w:kern w:val="0"/>
                <w:szCs w:val="21"/>
              </w:rPr>
              <w:t>）</w:t>
            </w:r>
            <w:r>
              <w:rPr>
                <w:rFonts w:hint="eastAsia"/>
                <w:szCs w:val="21"/>
              </w:rPr>
              <w:t xml:space="preserve"> </w:t>
            </w:r>
          </w:p>
        </w:tc>
      </w:tr>
      <w:tr w:rsidR="00000000">
        <w:trPr>
          <w:divId w:val="1597976290"/>
          <w:trHeight w:val="243"/>
        </w:trPr>
        <w:tc>
          <w:tcPr>
            <w:tcW w:w="1186"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申购费</w:t>
            </w:r>
            <w:r>
              <w:rPr>
                <w:rFonts w:hint="eastAsia"/>
                <w:b/>
                <w:bCs/>
                <w:szCs w:val="21"/>
              </w:rPr>
              <w:t xml:space="preserve"> </w:t>
            </w:r>
          </w:p>
          <w:p w:rsidR="00000000" w:rsidRDefault="00F317F4">
            <w:pPr>
              <w:spacing w:line="280" w:lineRule="exact"/>
              <w:jc w:val="center"/>
              <w:rPr>
                <w:rFonts w:hint="eastAsia"/>
              </w:rPr>
            </w:pPr>
            <w:r>
              <w:rPr>
                <w:rFonts w:hint="eastAsia"/>
                <w:b/>
                <w:bCs/>
                <w:szCs w:val="21"/>
              </w:rPr>
              <w:t>（前收费）</w:t>
            </w:r>
            <w:r>
              <w:rPr>
                <w:rFonts w:hint="eastAsia"/>
                <w:b/>
                <w:bCs/>
                <w:szCs w:val="21"/>
              </w:rPr>
              <w:t xml:space="preserve"> </w:t>
            </w: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M</w:t>
            </w:r>
            <w:r>
              <w:rPr>
                <w:rFonts w:hint="eastAsia"/>
                <w:kern w:val="0"/>
                <w:szCs w:val="21"/>
              </w:rPr>
              <w:t>＜</w:t>
            </w:r>
            <w:r>
              <w:rPr>
                <w:rFonts w:hint="eastAsia"/>
                <w:kern w:val="0"/>
                <w:szCs w:val="21"/>
              </w:rPr>
              <w:t>100</w:t>
            </w:r>
            <w:r>
              <w:rPr>
                <w:rFonts w:hint="eastAsia"/>
                <w:kern w:val="0"/>
                <w:szCs w:val="21"/>
              </w:rPr>
              <w:t>万</w:t>
            </w:r>
            <w:r>
              <w:rPr>
                <w:rFonts w:hint="eastAsia"/>
                <w:kern w:val="0"/>
                <w:szCs w:val="21"/>
              </w:rPr>
              <w:t>元</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1.20</w:t>
            </w: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非养老金客</w:t>
            </w:r>
            <w:r>
              <w:rPr>
                <w:rFonts w:hint="eastAsia"/>
                <w:kern w:val="0"/>
                <w:szCs w:val="21"/>
              </w:rPr>
              <w:t>户</w:t>
            </w:r>
            <w:r>
              <w:rPr>
                <w:rFonts w:hint="eastAsia"/>
                <w:szCs w:val="21"/>
              </w:rPr>
              <w:t xml:space="preserve"> </w:t>
            </w:r>
          </w:p>
        </w:tc>
      </w:tr>
      <w:tr w:rsidR="00000000">
        <w:trPr>
          <w:divId w:val="1597976290"/>
          <w:trHeight w:val="24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100</w:t>
            </w:r>
            <w:r>
              <w:rPr>
                <w:rFonts w:hint="eastAsia"/>
                <w:kern w:val="0"/>
                <w:szCs w:val="21"/>
              </w:rPr>
              <w:t>万元≤</w:t>
            </w:r>
            <w:r>
              <w:rPr>
                <w:rFonts w:hint="eastAsia"/>
                <w:kern w:val="0"/>
                <w:szCs w:val="21"/>
              </w:rPr>
              <w:t>M</w:t>
            </w:r>
            <w:r>
              <w:rPr>
                <w:rFonts w:hint="eastAsia"/>
                <w:kern w:val="0"/>
                <w:szCs w:val="21"/>
              </w:rPr>
              <w:t>＜</w:t>
            </w:r>
            <w:r>
              <w:rPr>
                <w:rFonts w:hint="eastAsia"/>
                <w:kern w:val="0"/>
                <w:szCs w:val="21"/>
              </w:rPr>
              <w:t>500</w:t>
            </w:r>
            <w:r>
              <w:rPr>
                <w:rFonts w:hint="eastAsia"/>
                <w:kern w:val="0"/>
                <w:szCs w:val="21"/>
              </w:rPr>
              <w:t>万</w:t>
            </w:r>
            <w:r>
              <w:rPr>
                <w:rFonts w:hint="eastAsia"/>
                <w:kern w:val="0"/>
                <w:szCs w:val="21"/>
              </w:rPr>
              <w:t>元</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0.80</w:t>
            </w: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非养老金客</w:t>
            </w:r>
            <w:r>
              <w:rPr>
                <w:rFonts w:hint="eastAsia"/>
                <w:kern w:val="0"/>
                <w:szCs w:val="21"/>
              </w:rPr>
              <w:t>户</w:t>
            </w:r>
            <w:r>
              <w:rPr>
                <w:rFonts w:hint="eastAsia"/>
                <w:szCs w:val="21"/>
              </w:rPr>
              <w:t xml:space="preserve"> </w:t>
            </w:r>
          </w:p>
        </w:tc>
      </w:tr>
      <w:tr w:rsidR="00000000">
        <w:trPr>
          <w:divId w:val="1597976290"/>
          <w:trHeight w:val="24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M</w:t>
            </w:r>
            <w:r>
              <w:rPr>
                <w:rFonts w:hint="eastAsia"/>
                <w:kern w:val="0"/>
                <w:szCs w:val="21"/>
              </w:rPr>
              <w:t>≥</w:t>
            </w:r>
            <w:r>
              <w:rPr>
                <w:rFonts w:hint="eastAsia"/>
                <w:kern w:val="0"/>
                <w:szCs w:val="21"/>
              </w:rPr>
              <w:t>500</w:t>
            </w:r>
            <w:r>
              <w:rPr>
                <w:rFonts w:hint="eastAsia"/>
                <w:kern w:val="0"/>
                <w:szCs w:val="21"/>
              </w:rPr>
              <w:t>万</w:t>
            </w:r>
            <w:r>
              <w:rPr>
                <w:rFonts w:hint="eastAsia"/>
                <w:kern w:val="0"/>
                <w:szCs w:val="21"/>
              </w:rPr>
              <w:t>元</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每笔</w:t>
            </w:r>
            <w:r>
              <w:rPr>
                <w:rFonts w:hint="eastAsia"/>
                <w:kern w:val="0"/>
                <w:szCs w:val="21"/>
              </w:rPr>
              <w:t>1000</w:t>
            </w:r>
            <w:r>
              <w:rPr>
                <w:rFonts w:hint="eastAsia"/>
                <w:kern w:val="0"/>
                <w:szCs w:val="21"/>
              </w:rPr>
              <w:t>元</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非养老金客</w:t>
            </w:r>
            <w:r>
              <w:rPr>
                <w:rFonts w:hint="eastAsia"/>
                <w:kern w:val="0"/>
                <w:szCs w:val="21"/>
              </w:rPr>
              <w:t>户</w:t>
            </w:r>
            <w:r>
              <w:rPr>
                <w:rFonts w:hint="eastAsia"/>
                <w:szCs w:val="21"/>
              </w:rPr>
              <w:t xml:space="preserve"> </w:t>
            </w:r>
          </w:p>
        </w:tc>
      </w:tr>
      <w:tr w:rsidR="00000000">
        <w:trPr>
          <w:divId w:val="1597976290"/>
          <w:trHeight w:val="24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每笔</w:t>
            </w:r>
            <w:r>
              <w:rPr>
                <w:rFonts w:hint="eastAsia"/>
                <w:kern w:val="0"/>
                <w:szCs w:val="21"/>
              </w:rPr>
              <w:t>500</w:t>
            </w:r>
            <w:r>
              <w:rPr>
                <w:rFonts w:hint="eastAsia"/>
                <w:kern w:val="0"/>
                <w:szCs w:val="21"/>
              </w:rPr>
              <w:t>元</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养老金客户（直销</w:t>
            </w:r>
            <w:r>
              <w:rPr>
                <w:rFonts w:hint="eastAsia"/>
                <w:kern w:val="0"/>
                <w:szCs w:val="21"/>
              </w:rPr>
              <w:t>）</w:t>
            </w:r>
            <w:r>
              <w:rPr>
                <w:rFonts w:hint="eastAsia"/>
                <w:szCs w:val="21"/>
              </w:rPr>
              <w:t xml:space="preserve"> </w:t>
            </w:r>
          </w:p>
        </w:tc>
      </w:tr>
      <w:tr w:rsidR="00000000">
        <w:trPr>
          <w:divId w:val="1597976290"/>
          <w:trHeight w:val="353"/>
        </w:trPr>
        <w:tc>
          <w:tcPr>
            <w:tcW w:w="1186" w:type="dxa"/>
            <w:vMerge w:val="restart"/>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b/>
                <w:bCs/>
                <w:szCs w:val="21"/>
              </w:rPr>
              <w:t>赎回费</w:t>
            </w:r>
            <w:r>
              <w:rPr>
                <w:rFonts w:hint="eastAsia"/>
                <w:b/>
                <w:bCs/>
                <w:szCs w:val="21"/>
              </w:rPr>
              <w:t xml:space="preserve"> </w:t>
            </w: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N</w:t>
            </w:r>
            <w:r>
              <w:rPr>
                <w:rFonts w:hint="eastAsia"/>
                <w:kern w:val="0"/>
                <w:szCs w:val="21"/>
              </w:rPr>
              <w:t>＜</w:t>
            </w:r>
            <w:r>
              <w:rPr>
                <w:rFonts w:hint="eastAsia"/>
                <w:kern w:val="0"/>
                <w:szCs w:val="21"/>
              </w:rPr>
              <w:t>7</w:t>
            </w:r>
            <w:r>
              <w:rPr>
                <w:rFonts w:hint="eastAsia"/>
                <w:kern w:val="0"/>
                <w:szCs w:val="21"/>
              </w:rPr>
              <w:t>天</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1.50</w:t>
            </w: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r>
      <w:tr w:rsidR="00000000">
        <w:trPr>
          <w:divId w:val="1597976290"/>
          <w:trHeight w:val="353"/>
        </w:trPr>
        <w:tc>
          <w:tcPr>
            <w:tcW w:w="0" w:type="auto"/>
            <w:vMerge/>
            <w:tcBorders>
              <w:top w:val="nil"/>
              <w:left w:val="nil"/>
              <w:bottom w:val="dotted" w:sz="4" w:space="0" w:color="auto"/>
              <w:right w:val="nil"/>
            </w:tcBorders>
            <w:vAlign w:val="center"/>
            <w:hideMark/>
          </w:tcPr>
          <w:p w:rsidR="00000000" w:rsidRDefault="00F317F4">
            <w:pPr>
              <w:widowControl/>
              <w:jc w:val="left"/>
            </w:pPr>
          </w:p>
        </w:tc>
        <w:tc>
          <w:tcPr>
            <w:tcW w:w="765"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N</w:t>
            </w:r>
            <w:r>
              <w:rPr>
                <w:rFonts w:hint="eastAsia"/>
                <w:kern w:val="0"/>
                <w:szCs w:val="21"/>
              </w:rPr>
              <w:t>≥</w:t>
            </w:r>
            <w:r>
              <w:rPr>
                <w:rFonts w:hint="eastAsia"/>
                <w:kern w:val="0"/>
                <w:szCs w:val="21"/>
              </w:rPr>
              <w:t>7</w:t>
            </w:r>
            <w:r>
              <w:rPr>
                <w:rFonts w:hint="eastAsia"/>
                <w:kern w:val="0"/>
                <w:szCs w:val="21"/>
              </w:rPr>
              <w:t>天</w:t>
            </w:r>
            <w:r>
              <w:rPr>
                <w:rFonts w:hint="eastAsia"/>
                <w:szCs w:val="21"/>
              </w:rPr>
              <w:t xml:space="preserve"> </w:t>
            </w:r>
          </w:p>
        </w:tc>
        <w:tc>
          <w:tcPr>
            <w:tcW w:w="156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0.00</w:t>
            </w:r>
            <w:r>
              <w:rPr>
                <w:rFonts w:hint="eastAsia"/>
                <w:kern w:val="0"/>
                <w:szCs w:val="21"/>
              </w:rPr>
              <w:t>%</w:t>
            </w:r>
            <w:r>
              <w:rPr>
                <w:rFonts w:hint="eastAsia"/>
                <w:szCs w:val="21"/>
              </w:rPr>
              <w:t xml:space="preserve"> </w:t>
            </w:r>
          </w:p>
        </w:tc>
        <w:tc>
          <w:tcPr>
            <w:tcW w:w="850"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c>
          <w:tcPr>
            <w:tcW w:w="1468"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spacing w:line="280" w:lineRule="exact"/>
              <w:jc w:val="center"/>
              <w:rPr>
                <w:rFonts w:hint="eastAsia"/>
              </w:rPr>
            </w:pPr>
            <w:r>
              <w:rPr>
                <w:rFonts w:hint="eastAsia"/>
                <w:kern w:val="0"/>
                <w:szCs w:val="21"/>
              </w:rPr>
              <w:t>-</w:t>
            </w:r>
            <w:r>
              <w:rPr>
                <w:rFonts w:hint="eastAsia"/>
                <w:szCs w:val="21"/>
              </w:rPr>
              <w:t xml:space="preserve"> </w:t>
            </w:r>
          </w:p>
        </w:tc>
      </w:tr>
    </w:tbl>
    <w:p w:rsidR="00000000" w:rsidRDefault="00F317F4">
      <w:pPr>
        <w:spacing w:line="360" w:lineRule="auto"/>
        <w:jc w:val="left"/>
        <w:divId w:val="697781738"/>
        <w:rPr>
          <w:rFonts w:hint="eastAsia"/>
        </w:rPr>
      </w:pPr>
      <w:r>
        <w:rPr>
          <w:rFonts w:hint="eastAsia"/>
          <w:b/>
          <w:color w:val="000000"/>
        </w:rPr>
        <w:t>赎回费</w:t>
      </w:r>
      <w:r>
        <w:rPr>
          <w:rFonts w:hint="eastAsia"/>
          <w:b/>
          <w:color w:val="000000"/>
          <w:sz w:val="24"/>
        </w:rPr>
        <w:t xml:space="preserve"> </w:t>
      </w:r>
    </w:p>
    <w:p w:rsidR="00000000" w:rsidRDefault="00F317F4">
      <w:pPr>
        <w:spacing w:line="360" w:lineRule="auto"/>
        <w:ind w:firstLineChars="200" w:firstLine="420"/>
        <w:jc w:val="left"/>
        <w:divId w:val="697781738"/>
        <w:rPr>
          <w:rFonts w:hint="eastAsia"/>
          <w:kern w:val="0"/>
          <w:szCs w:val="21"/>
        </w:rPr>
      </w:pPr>
      <w:r>
        <w:rPr>
          <w:rFonts w:hint="eastAsia"/>
          <w:kern w:val="0"/>
          <w:szCs w:val="21"/>
        </w:rPr>
        <w:t>本基金的赎回费用由赎回基金份额的基金份额持有人承担，在基金份额持有人赎回基金份额时收取，其中对持续持有期少于</w:t>
      </w:r>
      <w:r>
        <w:rPr>
          <w:rFonts w:hint="eastAsia"/>
          <w:kern w:val="0"/>
          <w:szCs w:val="21"/>
        </w:rPr>
        <w:t>7</w:t>
      </w:r>
      <w:r>
        <w:rPr>
          <w:rFonts w:hint="eastAsia"/>
          <w:kern w:val="0"/>
          <w:szCs w:val="21"/>
        </w:rPr>
        <w:t>日的投资者收取的赎回费将全额计入基金财产。</w:t>
      </w:r>
      <w:r>
        <w:rPr>
          <w:rFonts w:hint="eastAsia"/>
          <w:kern w:val="0"/>
          <w:szCs w:val="21"/>
        </w:rPr>
        <w:t xml:space="preserve"> </w:t>
      </w:r>
    </w:p>
    <w:p w:rsidR="00000000" w:rsidRDefault="00F317F4">
      <w:pPr>
        <w:pStyle w:val="XBRLTitle2"/>
        <w:spacing w:before="156" w:line="312" w:lineRule="exact"/>
        <w:rPr>
          <w:rFonts w:hint="eastAsia"/>
        </w:rPr>
      </w:pPr>
      <w:bookmarkStart w:id="103" w:name="_Toc374332141"/>
      <w:r>
        <w:rPr>
          <w:rFonts w:hAnsi="宋体" w:hint="eastAsia"/>
          <w:sz w:val="21"/>
        </w:rPr>
        <w:t>基金运作相关费</w:t>
      </w:r>
      <w:r>
        <w:rPr>
          <w:rFonts w:hAnsi="宋体" w:hint="eastAsia"/>
          <w:sz w:val="21"/>
        </w:rPr>
        <w:t>用</w:t>
      </w:r>
      <w:bookmarkEnd w:id="103"/>
      <w:r>
        <w:rPr>
          <w:rFonts w:hAnsi="宋体" w:hint="eastAsia"/>
          <w:sz w:val="21"/>
        </w:rPr>
        <w:t xml:space="preserve"> </w:t>
      </w:r>
    </w:p>
    <w:p w:rsidR="00000000" w:rsidRDefault="00F317F4">
      <w:pPr>
        <w:spacing w:line="312" w:lineRule="exact"/>
        <w:divId w:val="1103455963"/>
        <w:rPr>
          <w:rFonts w:hint="eastAsia"/>
        </w:rPr>
      </w:pPr>
      <w:r>
        <w:rPr>
          <w:rFonts w:hint="eastAsia"/>
          <w:szCs w:val="21"/>
        </w:rPr>
        <w:t>以下费用将从基金资产中扣除：</w:t>
      </w:r>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26"/>
        <w:gridCol w:w="7853"/>
        <w:gridCol w:w="8333"/>
      </w:tblGrid>
      <w:tr w:rsidR="00000000">
        <w:trPr>
          <w:divId w:val="1103455963"/>
          <w:trHeight w:val="387"/>
        </w:trPr>
        <w:tc>
          <w:tcPr>
            <w:tcW w:w="3726" w:type="dxa"/>
            <w:tcBorders>
              <w:top w:val="single" w:sz="4" w:space="0" w:color="auto"/>
              <w:left w:val="nil"/>
              <w:bottom w:val="dotted" w:sz="4" w:space="0" w:color="auto"/>
              <w:right w:val="nil"/>
            </w:tcBorders>
            <w:tcMar>
              <w:top w:w="0" w:type="dxa"/>
              <w:left w:w="108" w:type="dxa"/>
              <w:bottom w:w="0" w:type="dxa"/>
              <w:right w:w="108" w:type="dxa"/>
            </w:tcMar>
            <w:vAlign w:val="center"/>
            <w:hideMark/>
          </w:tcPr>
          <w:bookmarkEnd w:id="61"/>
          <w:p w:rsidR="00000000" w:rsidRDefault="00F317F4">
            <w:pPr>
              <w:rPr>
                <w:rFonts w:hint="eastAsia"/>
              </w:rPr>
            </w:pPr>
            <w:r>
              <w:rPr>
                <w:rFonts w:ascii="Times New Roman" w:hAnsi="Times New Roman" w:hint="eastAsia"/>
                <w:b/>
              </w:rPr>
              <w:t>费用类别</w:t>
            </w:r>
            <w:r>
              <w:rPr>
                <w:rFonts w:hint="eastAsia"/>
                <w:b/>
                <w:szCs w:val="24"/>
                <w:lang w:eastAsia="zh-Hans"/>
              </w:rPr>
              <w:t xml:space="preserve"> </w:t>
            </w:r>
          </w:p>
        </w:tc>
        <w:tc>
          <w:tcPr>
            <w:tcW w:w="6893" w:type="dxa"/>
            <w:tcBorders>
              <w:top w:val="single" w:sz="4" w:space="0" w:color="auto"/>
              <w:left w:val="nil"/>
              <w:bottom w:val="dotted" w:sz="4" w:space="0" w:color="auto"/>
              <w:right w:val="nil"/>
            </w:tcBorders>
            <w:vAlign w:val="center"/>
            <w:hideMark/>
          </w:tcPr>
          <w:p w:rsidR="00000000" w:rsidRDefault="00F317F4">
            <w:pPr>
              <w:jc w:val="center"/>
              <w:rPr>
                <w:rFonts w:hint="eastAsia"/>
              </w:rPr>
            </w:pPr>
            <w:r>
              <w:rPr>
                <w:rFonts w:hint="eastAsia"/>
                <w:b/>
                <w:szCs w:val="24"/>
              </w:rPr>
              <w:t>收费方式</w:t>
            </w:r>
            <w:r>
              <w:rPr>
                <w:rFonts w:hint="eastAsia"/>
                <w:b/>
                <w:szCs w:val="24"/>
              </w:rPr>
              <w:t>/</w:t>
            </w:r>
            <w:r>
              <w:rPr>
                <w:rFonts w:hint="eastAsia"/>
                <w:b/>
                <w:szCs w:val="24"/>
              </w:rPr>
              <w:t>年费率或金额</w:t>
            </w:r>
            <w:r>
              <w:rPr>
                <w:rFonts w:hint="eastAsia"/>
                <w:b/>
                <w:szCs w:val="24"/>
                <w:lang w:eastAsia="zh-Hans"/>
              </w:rPr>
              <w:t xml:space="preserve"> </w:t>
            </w:r>
          </w:p>
        </w:tc>
        <w:tc>
          <w:tcPr>
            <w:tcW w:w="6893" w:type="dxa"/>
            <w:tcBorders>
              <w:top w:val="single" w:sz="4" w:space="0" w:color="auto"/>
              <w:left w:val="nil"/>
              <w:bottom w:val="dotted" w:sz="4" w:space="0" w:color="auto"/>
              <w:right w:val="nil"/>
            </w:tcBorders>
            <w:vAlign w:val="center"/>
            <w:hideMark/>
          </w:tcPr>
          <w:p w:rsidR="00000000" w:rsidRDefault="00F317F4">
            <w:pPr>
              <w:jc w:val="center"/>
              <w:rPr>
                <w:rFonts w:hint="eastAsia"/>
              </w:rPr>
            </w:pPr>
            <w:r>
              <w:rPr>
                <w:rFonts w:hint="eastAsia"/>
                <w:b/>
                <w:szCs w:val="24"/>
              </w:rPr>
              <w:t>收取方</w:t>
            </w:r>
            <w:r>
              <w:rPr>
                <w:rFonts w:hint="eastAsia"/>
                <w:b/>
                <w:szCs w:val="24"/>
                <w:lang w:eastAsia="zh-Hans"/>
              </w:rPr>
              <w:t xml:space="preserve"> </w:t>
            </w:r>
          </w:p>
        </w:tc>
      </w:tr>
      <w:tr w:rsidR="00000000">
        <w:trPr>
          <w:divId w:val="1103455963"/>
          <w:trHeight w:val="386"/>
        </w:trPr>
        <w:tc>
          <w:tcPr>
            <w:tcW w:w="37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ascii="Times New Roman" w:hAnsi="Times New Roman" w:hint="eastAsia"/>
                <w:b/>
              </w:rPr>
              <w:t>管理费</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jc w:val="center"/>
              <w:rPr>
                <w:rFonts w:hint="eastAsia"/>
              </w:rPr>
            </w:pPr>
            <w:r>
              <w:rPr>
                <w:rFonts w:hint="eastAsia"/>
                <w:szCs w:val="24"/>
                <w:lang w:eastAsia="zh-Hans"/>
              </w:rPr>
              <w:t>0.8</w:t>
            </w:r>
            <w:r>
              <w:rPr>
                <w:rFonts w:hint="eastAsia"/>
                <w:szCs w:val="24"/>
                <w:lang w:eastAsia="zh-Hans"/>
              </w:rPr>
              <w:t>0</w:t>
            </w:r>
            <w:r>
              <w:rPr>
                <w:rFonts w:hint="eastAsia"/>
                <w:szCs w:val="21"/>
              </w:rPr>
              <w:t>%</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jc w:val="center"/>
              <w:rPr>
                <w:rFonts w:hint="eastAsia"/>
              </w:rPr>
            </w:pPr>
            <w:r>
              <w:rPr>
                <w:rFonts w:hint="eastAsia"/>
                <w:szCs w:val="24"/>
                <w:lang w:eastAsia="zh-Hans"/>
              </w:rPr>
              <w:t>基金管理人和销售机</w:t>
            </w:r>
            <w:r>
              <w:rPr>
                <w:rFonts w:hint="eastAsia"/>
                <w:szCs w:val="24"/>
                <w:lang w:eastAsia="zh-Hans"/>
              </w:rPr>
              <w:t>构</w:t>
            </w:r>
            <w:r>
              <w:rPr>
                <w:rFonts w:hint="eastAsia"/>
                <w:szCs w:val="24"/>
                <w:lang w:eastAsia="zh-Hans"/>
              </w:rPr>
              <w:t xml:space="preserve"> </w:t>
            </w:r>
          </w:p>
        </w:tc>
      </w:tr>
      <w:tr w:rsidR="00000000">
        <w:trPr>
          <w:divId w:val="1103455963"/>
          <w:trHeight w:val="386"/>
        </w:trPr>
        <w:tc>
          <w:tcPr>
            <w:tcW w:w="3726"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ascii="Times New Roman" w:hAnsi="Times New Roman" w:hint="eastAsia"/>
                <w:b/>
              </w:rPr>
              <w:t>托管费</w:t>
            </w:r>
            <w:r>
              <w:rPr>
                <w:rFonts w:hint="eastAsia"/>
                <w:szCs w:val="24"/>
                <w:lang w:eastAsia="zh-Hans"/>
              </w:rPr>
              <w:t xml:space="preserve"> </w:t>
            </w:r>
          </w:p>
        </w:tc>
        <w:tc>
          <w:tcPr>
            <w:tcW w:w="3411" w:type="dxa"/>
            <w:tcBorders>
              <w:top w:val="nil"/>
              <w:left w:val="nil"/>
              <w:bottom w:val="dotted" w:sz="4" w:space="0" w:color="auto"/>
              <w:right w:val="nil"/>
            </w:tcBorders>
            <w:tcMar>
              <w:top w:w="0" w:type="dxa"/>
              <w:left w:w="108" w:type="dxa"/>
              <w:bottom w:w="0" w:type="dxa"/>
              <w:right w:w="108" w:type="dxa"/>
            </w:tcMar>
            <w:vAlign w:val="center"/>
            <w:hideMark/>
          </w:tcPr>
          <w:p w:rsidR="00000000" w:rsidRDefault="00F317F4">
            <w:pPr>
              <w:jc w:val="center"/>
              <w:rPr>
                <w:rFonts w:hint="eastAsia"/>
              </w:rPr>
            </w:pPr>
            <w:r>
              <w:rPr>
                <w:rFonts w:hint="eastAsia"/>
                <w:szCs w:val="24"/>
                <w:lang w:eastAsia="zh-Hans"/>
              </w:rPr>
              <w:t>0.1</w:t>
            </w:r>
            <w:r>
              <w:rPr>
                <w:rFonts w:hint="eastAsia"/>
                <w:szCs w:val="24"/>
                <w:lang w:eastAsia="zh-Hans"/>
              </w:rPr>
              <w:t>5</w:t>
            </w:r>
            <w:r>
              <w:rPr>
                <w:rFonts w:hint="eastAsia"/>
                <w:szCs w:val="21"/>
              </w:rPr>
              <w:t>%</w:t>
            </w:r>
            <w:r>
              <w:rPr>
                <w:rFonts w:hint="eastAsia"/>
                <w:szCs w:val="24"/>
              </w:rPr>
              <w:t xml:space="preserve"> </w:t>
            </w:r>
          </w:p>
        </w:tc>
        <w:tc>
          <w:tcPr>
            <w:tcW w:w="3482" w:type="dxa"/>
            <w:tcBorders>
              <w:top w:val="nil"/>
              <w:left w:val="nil"/>
              <w:bottom w:val="dotted" w:sz="4" w:space="0" w:color="auto"/>
              <w:right w:val="nil"/>
            </w:tcBorders>
            <w:vAlign w:val="center"/>
            <w:hideMark/>
          </w:tcPr>
          <w:p w:rsidR="00000000" w:rsidRDefault="00F317F4">
            <w:pPr>
              <w:jc w:val="center"/>
              <w:rPr>
                <w:rFonts w:hint="eastAsia"/>
              </w:rPr>
            </w:pPr>
            <w:r>
              <w:rPr>
                <w:rFonts w:hint="eastAsia"/>
                <w:szCs w:val="24"/>
              </w:rPr>
              <w:t>基金托管人</w:t>
            </w:r>
            <w:r>
              <w:rPr>
                <w:rFonts w:hint="eastAsia"/>
                <w:szCs w:val="24"/>
              </w:rPr>
              <w:t xml:space="preserve"> </w:t>
            </w:r>
          </w:p>
        </w:tc>
      </w:tr>
      <w:tr w:rsidR="00000000">
        <w:trPr>
          <w:divId w:val="1103455963"/>
          <w:trHeight w:val="386"/>
        </w:trPr>
        <w:tc>
          <w:tcPr>
            <w:tcW w:w="3726" w:type="dxa"/>
            <w:tcBorders>
              <w:top w:val="nil"/>
              <w:left w:val="nil"/>
              <w:bottom w:val="single" w:sz="4" w:space="0" w:color="auto"/>
              <w:right w:val="nil"/>
            </w:tcBorders>
            <w:tcMar>
              <w:top w:w="0" w:type="dxa"/>
              <w:left w:w="108" w:type="dxa"/>
              <w:bottom w:w="0" w:type="dxa"/>
              <w:right w:w="108" w:type="dxa"/>
            </w:tcMar>
            <w:vAlign w:val="center"/>
            <w:hideMark/>
          </w:tcPr>
          <w:p w:rsidR="00000000" w:rsidRDefault="00F317F4">
            <w:pPr>
              <w:rPr>
                <w:rFonts w:hint="eastAsia"/>
              </w:rPr>
            </w:pPr>
            <w:r>
              <w:rPr>
                <w:rFonts w:hint="eastAsia"/>
                <w:b/>
                <w:szCs w:val="24"/>
                <w:lang w:eastAsia="zh-Hans"/>
              </w:rPr>
              <w:t>其他费</w:t>
            </w:r>
            <w:r>
              <w:rPr>
                <w:rFonts w:hint="eastAsia"/>
                <w:b/>
                <w:szCs w:val="24"/>
                <w:lang w:eastAsia="zh-Hans"/>
              </w:rPr>
              <w:t>用</w:t>
            </w:r>
            <w:r>
              <w:rPr>
                <w:rFonts w:hint="eastAsia"/>
                <w:szCs w:val="24"/>
                <w:lang w:eastAsia="zh-Hans"/>
              </w:rPr>
              <w:t xml:space="preserve"> </w:t>
            </w:r>
          </w:p>
        </w:tc>
        <w:tc>
          <w:tcPr>
            <w:tcW w:w="3482" w:type="dxa"/>
            <w:gridSpan w:val="2"/>
            <w:tcBorders>
              <w:top w:val="nil"/>
              <w:left w:val="nil"/>
              <w:bottom w:val="single" w:sz="4" w:space="0" w:color="auto"/>
              <w:right w:val="nil"/>
            </w:tcBorders>
            <w:vAlign w:val="center"/>
            <w:hideMark/>
          </w:tcPr>
          <w:p w:rsidR="00000000" w:rsidRDefault="00F317F4">
            <w:pPr>
              <w:jc w:val="left"/>
              <w:rPr>
                <w:rFonts w:hint="eastAsia"/>
              </w:rPr>
            </w:pPr>
            <w:r>
              <w:rPr>
                <w:rFonts w:hint="eastAsia"/>
                <w:szCs w:val="24"/>
              </w:rPr>
              <w:t>《基金合同》生效后与基金相关的律师费、基金份额持有人大会费用、基金的证券交易费用、基金的银行汇划费用、基金的相关账户的开户费用、账户维护费用等费用，以及按照国家有关规定和《基金合同》约定，可以在基金财产中列支的其他费用。费用类别详见本基金《基金合同》及《招募说明书》或其更新</w:t>
            </w:r>
            <w:r>
              <w:rPr>
                <w:rFonts w:hint="eastAsia"/>
                <w:szCs w:val="24"/>
              </w:rPr>
              <w:t>。</w:t>
            </w:r>
          </w:p>
        </w:tc>
      </w:tr>
    </w:tbl>
    <w:bookmarkEnd w:id="22"/>
    <w:p w:rsidR="00000000" w:rsidRDefault="00F317F4">
      <w:pPr>
        <w:spacing w:line="312" w:lineRule="exact"/>
        <w:rPr>
          <w:rFonts w:hint="eastAsia"/>
        </w:rPr>
      </w:pPr>
      <w:r>
        <w:rPr>
          <w:rFonts w:hint="eastAsia"/>
          <w:szCs w:val="21"/>
        </w:rPr>
        <w:t>注</w:t>
      </w:r>
      <w:r>
        <w:rPr>
          <w:rFonts w:hint="eastAsia"/>
          <w:szCs w:val="21"/>
        </w:rPr>
        <w:t>：</w:t>
      </w:r>
      <w:r>
        <w:rPr>
          <w:rFonts w:hint="eastAsia"/>
          <w:szCs w:val="21"/>
          <w:lang w:eastAsia="zh-Hans"/>
        </w:rPr>
        <w:t>本基金交易证券、基金等产生的费用和税负，按实际发生额从基金资产扣除</w:t>
      </w:r>
      <w:r>
        <w:rPr>
          <w:rFonts w:hint="eastAsia"/>
          <w:szCs w:val="21"/>
          <w:lang w:eastAsia="zh-Hans"/>
        </w:rPr>
        <w:t>。</w:t>
      </w:r>
      <w:bookmarkEnd w:id="60"/>
      <w:r>
        <w:rPr>
          <w:rFonts w:hint="eastAsia"/>
        </w:rPr>
        <w:t xml:space="preserve"> </w:t>
      </w:r>
    </w:p>
    <w:p w:rsidR="00000000" w:rsidRDefault="00F317F4">
      <w:pPr>
        <w:pStyle w:val="XBRLTitle1"/>
        <w:spacing w:before="156" w:line="312" w:lineRule="exact"/>
        <w:divId w:val="120265638"/>
        <w:rPr>
          <w:rFonts w:hint="eastAsia"/>
        </w:rPr>
      </w:pPr>
      <w:bookmarkStart w:id="104" w:name="_Toc374332122"/>
      <w:r>
        <w:rPr>
          <w:rFonts w:hAnsi="宋体" w:hint="eastAsia"/>
        </w:rPr>
        <w:t>风险揭示与重要提</w:t>
      </w:r>
      <w:r>
        <w:rPr>
          <w:rFonts w:hAnsi="宋体" w:hint="eastAsia"/>
        </w:rPr>
        <w:t>示</w:t>
      </w:r>
      <w:bookmarkEnd w:id="104"/>
      <w:bookmarkEnd w:id="24"/>
      <w:bookmarkEnd w:id="25"/>
      <w:r>
        <w:rPr>
          <w:rFonts w:hAnsi="宋体" w:hint="eastAsia"/>
        </w:rPr>
        <w:t xml:space="preserve"> </w:t>
      </w:r>
    </w:p>
    <w:p w:rsidR="00000000" w:rsidRDefault="00F317F4">
      <w:pPr>
        <w:pStyle w:val="XBRLTitle2"/>
        <w:spacing w:before="156" w:line="312" w:lineRule="exact"/>
        <w:divId w:val="2002467180"/>
        <w:rPr>
          <w:rFonts w:hint="eastAsia"/>
        </w:rPr>
      </w:pPr>
      <w:bookmarkStart w:id="105" w:name="_Toc374332132"/>
      <w:r>
        <w:rPr>
          <w:rFonts w:hAnsi="宋体" w:hint="eastAsia"/>
          <w:sz w:val="21"/>
        </w:rPr>
        <w:t>风险揭</w:t>
      </w:r>
      <w:r>
        <w:rPr>
          <w:rFonts w:hAnsi="宋体" w:hint="eastAsia"/>
          <w:sz w:val="21"/>
        </w:rPr>
        <w:t>示</w:t>
      </w:r>
      <w:bookmarkEnd w:id="105"/>
      <w:bookmarkEnd w:id="50"/>
      <w:bookmarkEnd w:id="51"/>
      <w:bookmarkEnd w:id="52"/>
      <w:bookmarkEnd w:id="53"/>
      <w:bookmarkEnd w:id="54"/>
      <w:bookmarkEnd w:id="55"/>
      <w:bookmarkEnd w:id="56"/>
      <w:bookmarkEnd w:id="57"/>
      <w:bookmarkEnd w:id="58"/>
      <w:bookmarkEnd w:id="59"/>
      <w:r>
        <w:rPr>
          <w:rFonts w:hAnsi="宋体" w:hint="eastAsia"/>
          <w:sz w:val="21"/>
        </w:rPr>
        <w:t xml:space="preserve"> </w:t>
      </w:r>
    </w:p>
    <w:p w:rsidR="00000000" w:rsidRDefault="00F317F4">
      <w:pPr>
        <w:spacing w:line="312" w:lineRule="exact"/>
        <w:ind w:firstLineChars="200" w:firstLine="420"/>
        <w:divId w:val="2002467180"/>
        <w:rPr>
          <w:rFonts w:hint="eastAsia"/>
        </w:rPr>
      </w:pPr>
      <w:r>
        <w:rPr>
          <w:rFonts w:hint="eastAsia"/>
          <w:kern w:val="0"/>
        </w:rPr>
        <w:t>本基金不提供任何保证。投资者可能损失投资本金。</w:t>
      </w:r>
      <w:r>
        <w:rPr>
          <w:rFonts w:hint="eastAsia"/>
          <w:kern w:val="0"/>
        </w:rPr>
        <w:br/>
      </w:r>
      <w:r>
        <w:rPr>
          <w:rFonts w:hint="eastAsia"/>
          <w:kern w:val="0"/>
        </w:rPr>
        <w:t xml:space="preserve">　　投资有风险，投资者购买基金时应认真阅读本基金的招募说明书等销售文件。</w:t>
      </w:r>
      <w:r>
        <w:rPr>
          <w:rFonts w:hint="eastAsia"/>
          <w:kern w:val="0"/>
        </w:rPr>
        <w:br/>
      </w:r>
      <w:r>
        <w:rPr>
          <w:rFonts w:hint="eastAsia"/>
          <w:kern w:val="0"/>
        </w:rPr>
        <w:t xml:space="preserve">　　本基金面临的主要风险有投资组合的风险、本基金特有的风险、流动性风险、管理风险、合规性风险、操作风险、基金财产投资运营过程中的增值税风险、本基金法律文件风险收益特征表述与销售机构基金风险评价可能不一致的风险及其他风险等。本基金为股票指数增强型基金，预期风险与预期收益高于混合型基金、债券型基金与货币市场基金。本基金主要投资于标的指数成份股及备选成份股，具有与标的指数相似的风险收益特征。本基金可投资港股通标的股票，需承担港股通机制下因投资环境、投资标的、市场制度以及交易规则等差异带来的特有风险。</w:t>
      </w:r>
      <w:r>
        <w:rPr>
          <w:rFonts w:hint="eastAsia"/>
          <w:kern w:val="0"/>
        </w:rPr>
        <w:br/>
      </w:r>
      <w:r>
        <w:rPr>
          <w:rFonts w:hint="eastAsia"/>
          <w:kern w:val="0"/>
        </w:rPr>
        <w:t xml:space="preserve">　　本基金特</w:t>
      </w:r>
      <w:r>
        <w:rPr>
          <w:rFonts w:hint="eastAsia"/>
          <w:kern w:val="0"/>
        </w:rPr>
        <w:t>有的风险：</w:t>
      </w:r>
      <w:r>
        <w:rPr>
          <w:rFonts w:hint="eastAsia"/>
          <w:kern w:val="0"/>
        </w:rPr>
        <w:br/>
      </w:r>
      <w:r>
        <w:rPr>
          <w:rFonts w:hint="eastAsia"/>
          <w:kern w:val="0"/>
        </w:rPr>
        <w:t xml:space="preserve">　　</w:t>
      </w:r>
      <w:r>
        <w:rPr>
          <w:rFonts w:hint="eastAsia"/>
          <w:kern w:val="0"/>
        </w:rPr>
        <w:t>1</w:t>
      </w:r>
      <w:r>
        <w:rPr>
          <w:rFonts w:hint="eastAsia"/>
          <w:kern w:val="0"/>
        </w:rPr>
        <w:t>、标的指数回报与股票市场平均回报偏离的风险</w:t>
      </w:r>
      <w:r>
        <w:rPr>
          <w:rFonts w:hint="eastAsia"/>
          <w:kern w:val="0"/>
        </w:rPr>
        <w:br/>
      </w:r>
      <w:r>
        <w:rPr>
          <w:rFonts w:hint="eastAsia"/>
          <w:kern w:val="0"/>
        </w:rPr>
        <w:t xml:space="preserve">　　标的指数并不能完全代表整个股票市场。标的指数成份股的平均回报率与整个股票市场的平均回报率可能存在偏离。</w:t>
      </w:r>
      <w:r>
        <w:rPr>
          <w:rFonts w:hint="eastAsia"/>
          <w:kern w:val="0"/>
        </w:rPr>
        <w:br/>
      </w:r>
      <w:r>
        <w:rPr>
          <w:rFonts w:hint="eastAsia"/>
          <w:kern w:val="0"/>
        </w:rPr>
        <w:t xml:space="preserve">　　</w:t>
      </w:r>
      <w:r>
        <w:rPr>
          <w:rFonts w:hint="eastAsia"/>
          <w:kern w:val="0"/>
        </w:rPr>
        <w:t>2</w:t>
      </w:r>
      <w:r>
        <w:rPr>
          <w:rFonts w:hint="eastAsia"/>
          <w:kern w:val="0"/>
        </w:rPr>
        <w:t>、标的指数波动的风险</w:t>
      </w:r>
      <w:r>
        <w:rPr>
          <w:rFonts w:hint="eastAsia"/>
          <w:kern w:val="0"/>
        </w:rPr>
        <w:br/>
      </w:r>
      <w:r>
        <w:rPr>
          <w:rFonts w:hint="eastAsia"/>
          <w:kern w:val="0"/>
        </w:rPr>
        <w:t xml:space="preserve">　　标的指数成份股的价格可能受到政治因素、经济因素、上市公司经营状况、投资人心理和交易制度等各种因素的影响而波动，导致指数波动，从而使基金收益水平发生变化，产生风险。</w:t>
      </w:r>
      <w:r>
        <w:rPr>
          <w:rFonts w:hint="eastAsia"/>
          <w:kern w:val="0"/>
        </w:rPr>
        <w:br/>
      </w:r>
      <w:r>
        <w:rPr>
          <w:rFonts w:hint="eastAsia"/>
          <w:kern w:val="0"/>
        </w:rPr>
        <w:t xml:space="preserve">　　</w:t>
      </w:r>
      <w:r>
        <w:rPr>
          <w:rFonts w:hint="eastAsia"/>
          <w:kern w:val="0"/>
        </w:rPr>
        <w:t>3</w:t>
      </w:r>
      <w:r>
        <w:rPr>
          <w:rFonts w:hint="eastAsia"/>
          <w:kern w:val="0"/>
        </w:rPr>
        <w:t>、基金投资组合回报与标的指数回报偏离的风险</w:t>
      </w:r>
      <w:r>
        <w:rPr>
          <w:rFonts w:hint="eastAsia"/>
          <w:kern w:val="0"/>
        </w:rPr>
        <w:br/>
      </w:r>
      <w:r>
        <w:rPr>
          <w:rFonts w:hint="eastAsia"/>
          <w:kern w:val="0"/>
        </w:rPr>
        <w:t xml:space="preserve">　　由于标的指数调整成份股或变更编制方法、标的指数成份股发生配股或增发等行为导致成份股在标的指数</w:t>
      </w:r>
      <w:r>
        <w:rPr>
          <w:rFonts w:hint="eastAsia"/>
          <w:kern w:val="0"/>
        </w:rPr>
        <w:t>中的权重发生变化、成份股派发现金红利、新股市值配售、成份股停牌或摘牌、流动性差等原因使本基金无法及时调整投资组合以及与基金运作相关的费用等因素使本基金产生跟踪偏离度和跟踪误差。</w:t>
      </w:r>
      <w:r>
        <w:rPr>
          <w:rFonts w:hint="eastAsia"/>
          <w:kern w:val="0"/>
        </w:rPr>
        <w:br/>
      </w:r>
      <w:r>
        <w:rPr>
          <w:rFonts w:hint="eastAsia"/>
          <w:kern w:val="0"/>
        </w:rPr>
        <w:t xml:space="preserve">　　</w:t>
      </w:r>
      <w:r>
        <w:rPr>
          <w:rFonts w:hint="eastAsia"/>
          <w:kern w:val="0"/>
        </w:rPr>
        <w:t>4</w:t>
      </w:r>
      <w:r>
        <w:rPr>
          <w:rFonts w:hint="eastAsia"/>
          <w:kern w:val="0"/>
        </w:rPr>
        <w:t>、主动增强投资的风险</w:t>
      </w:r>
      <w:r>
        <w:rPr>
          <w:rFonts w:hint="eastAsia"/>
          <w:kern w:val="0"/>
        </w:rPr>
        <w:br/>
      </w:r>
      <w:r>
        <w:rPr>
          <w:rFonts w:hint="eastAsia"/>
          <w:kern w:val="0"/>
        </w:rPr>
        <w:t xml:space="preserve">　　本基金采用指数增强投资策略，将基于数量化投资分析及基本面研究等方法智能筛选优质上市公司、优化投资组合，根据模型结果结合市场环境进行组合投资，以争取实现指数增强型的目标。这种基于对宏观经济、基本面等深度研究、通过基金管理人开发的量化选股模型做出优化调整投资组合的决策，最终结果仍然存在一定的不确定性，其投</w:t>
      </w:r>
      <w:r>
        <w:rPr>
          <w:rFonts w:hint="eastAsia"/>
          <w:kern w:val="0"/>
        </w:rPr>
        <w:t>资收益率可能高于标的指数收益率但也有可能低于标的指数收益率，存在与标的指数的收益率发生偏离的风险。</w:t>
      </w:r>
      <w:r>
        <w:rPr>
          <w:rFonts w:hint="eastAsia"/>
          <w:kern w:val="0"/>
        </w:rPr>
        <w:br/>
      </w:r>
      <w:r>
        <w:rPr>
          <w:rFonts w:hint="eastAsia"/>
          <w:kern w:val="0"/>
        </w:rPr>
        <w:t xml:space="preserve">　　</w:t>
      </w:r>
      <w:r>
        <w:rPr>
          <w:rFonts w:hint="eastAsia"/>
          <w:kern w:val="0"/>
        </w:rPr>
        <w:t>5</w:t>
      </w:r>
      <w:r>
        <w:rPr>
          <w:rFonts w:hint="eastAsia"/>
          <w:kern w:val="0"/>
        </w:rPr>
        <w:t>、跟踪误差控制未达约定目标的风险</w:t>
      </w:r>
      <w:r>
        <w:rPr>
          <w:rFonts w:hint="eastAsia"/>
          <w:kern w:val="0"/>
        </w:rPr>
        <w:br/>
      </w:r>
      <w:r>
        <w:rPr>
          <w:rFonts w:hint="eastAsia"/>
          <w:kern w:val="0"/>
        </w:rPr>
        <w:t xml:space="preserve">　　本基金力争日均跟踪偏离度的绝对值不超过</w:t>
      </w:r>
      <w:r>
        <w:rPr>
          <w:rFonts w:hint="eastAsia"/>
          <w:kern w:val="0"/>
        </w:rPr>
        <w:t>0.5%</w:t>
      </w:r>
      <w:r>
        <w:rPr>
          <w:rFonts w:hint="eastAsia"/>
          <w:kern w:val="0"/>
        </w:rPr>
        <w:t>，年化跟踪误差不超过</w:t>
      </w:r>
      <w:r>
        <w:rPr>
          <w:rFonts w:hint="eastAsia"/>
          <w:kern w:val="0"/>
        </w:rPr>
        <w:t>7.75%</w:t>
      </w:r>
      <w:r>
        <w:rPr>
          <w:rFonts w:hint="eastAsia"/>
          <w:kern w:val="0"/>
        </w:rPr>
        <w:t>，但因标的指数编制规则调整或其他因素可能导致跟踪误差超过上述范围，本基金净值表现与指数价格走势可能发生较大偏离。</w:t>
      </w:r>
      <w:r>
        <w:rPr>
          <w:rFonts w:hint="eastAsia"/>
          <w:kern w:val="0"/>
        </w:rPr>
        <w:br/>
      </w:r>
      <w:r>
        <w:rPr>
          <w:rFonts w:hint="eastAsia"/>
          <w:kern w:val="0"/>
        </w:rPr>
        <w:t xml:space="preserve">　　</w:t>
      </w:r>
      <w:r>
        <w:rPr>
          <w:rFonts w:hint="eastAsia"/>
          <w:kern w:val="0"/>
        </w:rPr>
        <w:t>6</w:t>
      </w:r>
      <w:r>
        <w:rPr>
          <w:rFonts w:hint="eastAsia"/>
          <w:kern w:val="0"/>
        </w:rPr>
        <w:t>、成份股停牌的风险</w:t>
      </w:r>
      <w:r>
        <w:rPr>
          <w:rFonts w:hint="eastAsia"/>
          <w:kern w:val="0"/>
        </w:rPr>
        <w:br/>
      </w:r>
      <w:r>
        <w:rPr>
          <w:rFonts w:hint="eastAsia"/>
          <w:kern w:val="0"/>
        </w:rPr>
        <w:t xml:space="preserve">　　标的指数成份股可能因各种原因临时或长期停牌，发生成份股停牌时可能面临如下风险：</w:t>
      </w:r>
      <w:r>
        <w:rPr>
          <w:rFonts w:hint="eastAsia"/>
          <w:kern w:val="0"/>
        </w:rPr>
        <w:br/>
      </w:r>
      <w:r>
        <w:rPr>
          <w:rFonts w:hint="eastAsia"/>
          <w:kern w:val="0"/>
        </w:rPr>
        <w:t xml:space="preserve">　　（</w:t>
      </w:r>
      <w:r>
        <w:rPr>
          <w:rFonts w:hint="eastAsia"/>
          <w:kern w:val="0"/>
        </w:rPr>
        <w:t>1</w:t>
      </w:r>
      <w:r>
        <w:rPr>
          <w:rFonts w:hint="eastAsia"/>
          <w:kern w:val="0"/>
        </w:rPr>
        <w:t>）基金可能因无法及时调整投资组合而导致跟踪偏离度和跟踪误差扩</w:t>
      </w:r>
      <w:r>
        <w:rPr>
          <w:rFonts w:hint="eastAsia"/>
          <w:kern w:val="0"/>
        </w:rPr>
        <w:t>大。</w:t>
      </w:r>
      <w:r>
        <w:rPr>
          <w:rFonts w:hint="eastAsia"/>
          <w:kern w:val="0"/>
        </w:rPr>
        <w:br/>
      </w:r>
      <w:r>
        <w:rPr>
          <w:rFonts w:hint="eastAsia"/>
          <w:kern w:val="0"/>
        </w:rPr>
        <w:t xml:space="preserve">　　（</w:t>
      </w:r>
      <w:r>
        <w:rPr>
          <w:rFonts w:hint="eastAsia"/>
          <w:kern w:val="0"/>
        </w:rPr>
        <w:t>2</w:t>
      </w:r>
      <w:r>
        <w:rPr>
          <w:rFonts w:hint="eastAsia"/>
          <w:kern w:val="0"/>
        </w:rPr>
        <w:t>）在极端情况下，标的指数成份股可能大面积停牌，基金可能无法及时卖出成份股以获取足额的符合要求的赎回款项，由此基金管理人可能设置较低的赎回份额上限或者采取暂停赎回的措施，投资者将面临无法赎回全部或部分基金份额的风险。</w:t>
      </w:r>
      <w:r>
        <w:rPr>
          <w:rFonts w:hint="eastAsia"/>
          <w:kern w:val="0"/>
        </w:rPr>
        <w:br/>
      </w:r>
      <w:r>
        <w:rPr>
          <w:rFonts w:hint="eastAsia"/>
          <w:kern w:val="0"/>
        </w:rPr>
        <w:t xml:space="preserve">　　</w:t>
      </w:r>
      <w:r>
        <w:rPr>
          <w:rFonts w:hint="eastAsia"/>
          <w:kern w:val="0"/>
        </w:rPr>
        <w:t>7</w:t>
      </w:r>
      <w:r>
        <w:rPr>
          <w:rFonts w:hint="eastAsia"/>
          <w:kern w:val="0"/>
        </w:rPr>
        <w:t>、成份股退市的风险</w:t>
      </w:r>
      <w:r>
        <w:rPr>
          <w:rFonts w:hint="eastAsia"/>
          <w:kern w:val="0"/>
        </w:rPr>
        <w:br/>
      </w:r>
      <w:r>
        <w:rPr>
          <w:rFonts w:hint="eastAsia"/>
          <w:kern w:val="0"/>
        </w:rPr>
        <w:t xml:space="preserve">　　指数成份股发生明显负面事件面临退市风险，且指数编制机构暂未作出调整的，基金管理人将按照基金份额持有人利益优先的原则，综合考虑成份股的退市风险、其在指数中的权重以及对跟踪误差的影响，据此制定成份股替代策略，并对投资组合进行相应调整。</w:t>
      </w:r>
      <w:r>
        <w:rPr>
          <w:rFonts w:hint="eastAsia"/>
          <w:kern w:val="0"/>
        </w:rPr>
        <w:br/>
      </w:r>
      <w:r>
        <w:rPr>
          <w:rFonts w:hint="eastAsia"/>
          <w:kern w:val="0"/>
        </w:rPr>
        <w:t xml:space="preserve">　　</w:t>
      </w:r>
      <w:r>
        <w:rPr>
          <w:rFonts w:hint="eastAsia"/>
          <w:kern w:val="0"/>
        </w:rPr>
        <w:t>8</w:t>
      </w:r>
      <w:r>
        <w:rPr>
          <w:rFonts w:hint="eastAsia"/>
          <w:kern w:val="0"/>
        </w:rPr>
        <w:t>、指数编制机构</w:t>
      </w:r>
      <w:r>
        <w:rPr>
          <w:rFonts w:hint="eastAsia"/>
          <w:kern w:val="0"/>
        </w:rPr>
        <w:t>停止服务的风险</w:t>
      </w:r>
      <w:r>
        <w:rPr>
          <w:rFonts w:hint="eastAsia"/>
          <w:kern w:val="0"/>
        </w:rPr>
        <w:br/>
      </w:r>
      <w:r>
        <w:rPr>
          <w:rFonts w:hint="eastAsia"/>
          <w:kern w:val="0"/>
        </w:rPr>
        <w:t xml:space="preserve">　　本基金的标的指数由指数编制机构发布并管理和维护，未来指数编制机构可能由于各种原因停止对指数的管理和维护，本基金将根据基金合同的约定自该情形发生之日起十个工作日内向中国证监会报告并提出解决方案，如更换基金标的指数、转换运作方式、与其他基金合并、或者终止基金合同等，并在</w:t>
      </w:r>
      <w:r>
        <w:rPr>
          <w:rFonts w:hint="eastAsia"/>
          <w:kern w:val="0"/>
        </w:rPr>
        <w:t>6</w:t>
      </w:r>
      <w:r>
        <w:rPr>
          <w:rFonts w:hint="eastAsia"/>
          <w:kern w:val="0"/>
        </w:rPr>
        <w:t>个月内召集基金份额持有人大会进行表决，基金份额持有人大会未成功召开或就上述事项表决未通过的，基金合同终止。投资人将面临更换基金标的指数、转换运作方式，与其他基金合并、或者终止基金合同等风险。</w:t>
      </w:r>
      <w:r>
        <w:rPr>
          <w:rFonts w:hint="eastAsia"/>
          <w:kern w:val="0"/>
        </w:rPr>
        <w:br/>
      </w:r>
      <w:r>
        <w:rPr>
          <w:rFonts w:hint="eastAsia"/>
          <w:kern w:val="0"/>
        </w:rPr>
        <w:t xml:space="preserve">　　自指数编制机构停止标的指数的</w:t>
      </w:r>
      <w:r>
        <w:rPr>
          <w:rFonts w:hint="eastAsia"/>
          <w:kern w:val="0"/>
        </w:rPr>
        <w:t>编制及发布至解决方案确定并实施前，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r>
        <w:rPr>
          <w:rFonts w:hint="eastAsia"/>
          <w:kern w:val="0"/>
        </w:rPr>
        <w:br/>
      </w:r>
      <w:r>
        <w:rPr>
          <w:rFonts w:hint="eastAsia"/>
          <w:kern w:val="0"/>
        </w:rPr>
        <w:t xml:space="preserve">　　</w:t>
      </w:r>
      <w:r>
        <w:rPr>
          <w:rFonts w:hint="eastAsia"/>
          <w:kern w:val="0"/>
        </w:rPr>
        <w:t>9</w:t>
      </w:r>
      <w:r>
        <w:rPr>
          <w:rFonts w:hint="eastAsia"/>
          <w:kern w:val="0"/>
        </w:rPr>
        <w:t>、股指期货投资风险</w:t>
      </w:r>
      <w:r>
        <w:rPr>
          <w:rFonts w:hint="eastAsia"/>
          <w:kern w:val="0"/>
        </w:rPr>
        <w:br/>
      </w:r>
      <w:r>
        <w:rPr>
          <w:rFonts w:hint="eastAsia"/>
          <w:kern w:val="0"/>
        </w:rPr>
        <w:t xml:space="preserve">　　</w:t>
      </w:r>
      <w:r>
        <w:rPr>
          <w:rFonts w:hint="eastAsia"/>
          <w:kern w:val="0"/>
        </w:rPr>
        <w:t>10</w:t>
      </w:r>
      <w:r>
        <w:rPr>
          <w:rFonts w:hint="eastAsia"/>
          <w:kern w:val="0"/>
        </w:rPr>
        <w:t>、资产支持证券投资风险</w:t>
      </w:r>
      <w:r>
        <w:rPr>
          <w:rFonts w:hint="eastAsia"/>
          <w:kern w:val="0"/>
        </w:rPr>
        <w:br/>
      </w:r>
      <w:r>
        <w:rPr>
          <w:rFonts w:hint="eastAsia"/>
          <w:kern w:val="0"/>
        </w:rPr>
        <w:t xml:space="preserve">　　</w:t>
      </w:r>
      <w:r>
        <w:rPr>
          <w:rFonts w:hint="eastAsia"/>
          <w:kern w:val="0"/>
        </w:rPr>
        <w:t>11</w:t>
      </w:r>
      <w:r>
        <w:rPr>
          <w:rFonts w:hint="eastAsia"/>
          <w:kern w:val="0"/>
        </w:rPr>
        <w:t>、港股通机制下的投资风险</w:t>
      </w:r>
      <w:r>
        <w:rPr>
          <w:rFonts w:hint="eastAsia"/>
          <w:kern w:val="0"/>
        </w:rPr>
        <w:br/>
      </w:r>
      <w:r>
        <w:rPr>
          <w:rFonts w:hint="eastAsia"/>
          <w:kern w:val="0"/>
        </w:rPr>
        <w:t xml:space="preserve">　　</w:t>
      </w:r>
      <w:r>
        <w:rPr>
          <w:rFonts w:hint="eastAsia"/>
          <w:kern w:val="0"/>
        </w:rPr>
        <w:t>12</w:t>
      </w:r>
      <w:r>
        <w:rPr>
          <w:rFonts w:hint="eastAsia"/>
          <w:kern w:val="0"/>
        </w:rPr>
        <w:t>、科创板股票投资风险</w:t>
      </w:r>
      <w:r>
        <w:rPr>
          <w:rFonts w:hint="eastAsia"/>
          <w:kern w:val="0"/>
        </w:rPr>
        <w:br/>
      </w:r>
      <w:r>
        <w:rPr>
          <w:rFonts w:hint="eastAsia"/>
          <w:kern w:val="0"/>
        </w:rPr>
        <w:t xml:space="preserve">　　</w:t>
      </w:r>
      <w:r>
        <w:rPr>
          <w:rFonts w:hint="eastAsia"/>
          <w:kern w:val="0"/>
        </w:rPr>
        <w:t>13</w:t>
      </w:r>
      <w:r>
        <w:rPr>
          <w:rFonts w:hint="eastAsia"/>
          <w:kern w:val="0"/>
        </w:rPr>
        <w:t>、参与融资业务相关风险</w:t>
      </w:r>
      <w:r>
        <w:rPr>
          <w:rFonts w:hint="eastAsia"/>
          <w:kern w:val="0"/>
        </w:rPr>
        <w:br/>
      </w:r>
      <w:r>
        <w:rPr>
          <w:rFonts w:hint="eastAsia"/>
          <w:kern w:val="0"/>
        </w:rPr>
        <w:t xml:space="preserve">　　</w:t>
      </w:r>
      <w:r>
        <w:rPr>
          <w:rFonts w:hint="eastAsia"/>
          <w:kern w:val="0"/>
        </w:rPr>
        <w:t>14</w:t>
      </w:r>
      <w:r>
        <w:rPr>
          <w:rFonts w:hint="eastAsia"/>
          <w:kern w:val="0"/>
        </w:rPr>
        <w:t>、参与转融通证券出借业务的风险</w:t>
      </w:r>
      <w:r>
        <w:rPr>
          <w:rFonts w:hint="eastAsia"/>
          <w:kern w:val="0"/>
        </w:rPr>
        <w:br/>
      </w:r>
      <w:r>
        <w:rPr>
          <w:rFonts w:hint="eastAsia"/>
          <w:kern w:val="0"/>
        </w:rPr>
        <w:t xml:space="preserve">　　</w:t>
      </w:r>
      <w:r>
        <w:rPr>
          <w:rFonts w:hint="eastAsia"/>
          <w:kern w:val="0"/>
        </w:rPr>
        <w:t>15</w:t>
      </w:r>
      <w:r>
        <w:rPr>
          <w:rFonts w:hint="eastAsia"/>
          <w:kern w:val="0"/>
        </w:rPr>
        <w:t>、存托凭证的投资风险</w:t>
      </w:r>
      <w:r>
        <w:rPr>
          <w:rFonts w:hint="eastAsia"/>
          <w:kern w:val="0"/>
        </w:rPr>
        <w:br/>
      </w:r>
      <w:r>
        <w:rPr>
          <w:rFonts w:hint="eastAsia"/>
          <w:kern w:val="0"/>
        </w:rPr>
        <w:t xml:space="preserve">　　</w:t>
      </w:r>
      <w:r>
        <w:rPr>
          <w:rFonts w:hint="eastAsia"/>
          <w:kern w:val="0"/>
        </w:rPr>
        <w:t>16</w:t>
      </w:r>
      <w:r>
        <w:rPr>
          <w:rFonts w:hint="eastAsia"/>
          <w:kern w:val="0"/>
        </w:rPr>
        <w:t>、北京证券交易所上市股票投资风险</w:t>
      </w:r>
      <w:r>
        <w:rPr>
          <w:rFonts w:hint="eastAsia"/>
          <w:kern w:val="0"/>
        </w:rPr>
        <w:br/>
      </w:r>
      <w:r>
        <w:rPr>
          <w:rFonts w:hint="eastAsia"/>
          <w:kern w:val="0"/>
        </w:rPr>
        <w:t xml:space="preserve">　　</w:t>
      </w:r>
      <w:r>
        <w:rPr>
          <w:rFonts w:hint="eastAsia"/>
          <w:kern w:val="0"/>
        </w:rPr>
        <w:t>17</w:t>
      </w:r>
      <w:r>
        <w:rPr>
          <w:rFonts w:hint="eastAsia"/>
          <w:kern w:val="0"/>
        </w:rPr>
        <w:t>、基金合同</w:t>
      </w:r>
      <w:r>
        <w:rPr>
          <w:rFonts w:hint="eastAsia"/>
          <w:kern w:val="0"/>
        </w:rPr>
        <w:t>自动终止的风险</w:t>
      </w:r>
      <w:r>
        <w:rPr>
          <w:rFonts w:hint="eastAsia"/>
          <w:kern w:val="0"/>
        </w:rPr>
        <w:br/>
      </w:r>
      <w:r>
        <w:rPr>
          <w:rFonts w:hint="eastAsia"/>
          <w:kern w:val="0"/>
        </w:rPr>
        <w:t xml:space="preserve">　　本基金为发起式基金，若《基金合同》生效之日起三年后的对应日基金资产净值低于两亿元的，基金合同将自动终止。因此，投资者面临基金合同自动终止的风险</w:t>
      </w:r>
      <w:r>
        <w:rPr>
          <w:rFonts w:hint="eastAsia"/>
          <w:kern w:val="0"/>
        </w:rPr>
        <w:t>。</w:t>
      </w:r>
      <w:r>
        <w:rPr>
          <w:rFonts w:hint="eastAsia"/>
          <w:lang w:eastAsia="zh-Hans"/>
        </w:rPr>
        <w:t xml:space="preserve"> </w:t>
      </w:r>
    </w:p>
    <w:p w:rsidR="00000000" w:rsidRDefault="00F317F4">
      <w:pPr>
        <w:pStyle w:val="XBRLTitle2"/>
        <w:spacing w:before="156" w:line="312" w:lineRule="exact"/>
        <w:divId w:val="212272729"/>
        <w:rPr>
          <w:rFonts w:hint="eastAsia"/>
        </w:rPr>
      </w:pPr>
      <w:bookmarkStart w:id="106" w:name="_Toc374332142"/>
      <w:r>
        <w:rPr>
          <w:rFonts w:hAnsi="宋体" w:hint="eastAsia"/>
          <w:sz w:val="21"/>
        </w:rPr>
        <w:t>重要提</w:t>
      </w:r>
      <w:r>
        <w:rPr>
          <w:rFonts w:hAnsi="宋体" w:hint="eastAsia"/>
          <w:sz w:val="21"/>
        </w:rPr>
        <w:t>示</w:t>
      </w:r>
      <w:bookmarkEnd w:id="10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63"/>
      <w:bookmarkEnd w:id="64"/>
      <w:bookmarkEnd w:id="65"/>
      <w:bookmarkEnd w:id="66"/>
      <w:bookmarkEnd w:id="67"/>
      <w:r>
        <w:rPr>
          <w:rFonts w:hAnsi="宋体" w:hint="eastAsia"/>
          <w:sz w:val="21"/>
        </w:rPr>
        <w:t xml:space="preserve"> </w:t>
      </w:r>
    </w:p>
    <w:p w:rsidR="00000000" w:rsidRDefault="00F317F4">
      <w:pPr>
        <w:spacing w:line="312" w:lineRule="exact"/>
        <w:ind w:firstLineChars="200" w:firstLine="422"/>
        <w:divId w:val="212272729"/>
        <w:rPr>
          <w:rFonts w:hint="eastAsia"/>
        </w:rPr>
      </w:pPr>
      <w:r>
        <w:rPr>
          <w:rFonts w:hint="eastAsia"/>
          <w:b/>
          <w:bCs/>
          <w:kern w:val="0"/>
        </w:rPr>
        <w:t>中国证监会对本基金募集的注册，并不表明其对本基金的价值和收益做出实质性判断或保证，也不表明投资于本基金没有风险。基金管理人依照恪尽职守、诚实守信、谨慎勤勉的原则管理和运用基金财产，但不保证基金一定盈利，也不得保证最低收益。</w:t>
      </w:r>
      <w:r>
        <w:rPr>
          <w:rFonts w:hint="eastAsia"/>
          <w:b/>
          <w:bCs/>
          <w:kern w:val="0"/>
        </w:rPr>
        <w:br/>
      </w:r>
      <w:r>
        <w:rPr>
          <w:rFonts w:hint="eastAsia"/>
          <w:b/>
          <w:bCs/>
          <w:kern w:val="0"/>
        </w:rPr>
        <w:t xml:space="preserve">　　基金投资人自依基金合同取得基金份额，即成为基金份额持有人和基金合同的当事人。</w:t>
      </w:r>
      <w:r>
        <w:rPr>
          <w:rFonts w:hint="eastAsia"/>
          <w:b/>
          <w:bCs/>
          <w:kern w:val="0"/>
        </w:rPr>
        <w:br/>
      </w:r>
      <w:r>
        <w:rPr>
          <w:rFonts w:hint="eastAsia"/>
          <w:b/>
          <w:bCs/>
          <w:kern w:val="0"/>
        </w:rPr>
        <w:t xml:space="preserve">　　各方当事人同意，因《基</w:t>
      </w:r>
      <w:r>
        <w:rPr>
          <w:rFonts w:hint="eastAsia"/>
          <w:b/>
          <w:bCs/>
          <w:kern w:val="0"/>
        </w:rPr>
        <w:t>金合同》而产生的或与《基金合同》有关的一切争议，应经友好协商解决。如经友好协商未能解决的，任何一方均有权将争议提交中国国际经济贸易仲裁委员会，仲裁地点为北京市，按照届时有效的仲裁规则进行仲裁。仲裁裁决是终局的，对仲裁各方当事人均具有约束力。除非仲裁裁决另有决定，仲裁费、律师费由败诉方承担。</w:t>
      </w:r>
      <w:r>
        <w:rPr>
          <w:rFonts w:hint="eastAsia"/>
          <w:b/>
          <w:bCs/>
          <w:kern w:val="0"/>
        </w:rPr>
        <w:br/>
      </w:r>
      <w:r>
        <w:rPr>
          <w:rFonts w:hint="eastAsia"/>
          <w:b/>
          <w:bCs/>
          <w:kern w:val="0"/>
        </w:rPr>
        <w:t xml:space="preserve">　　基金产品资料概要信息发生重大变更的，基金管理人将在三个工作日内更新，其他信息发生变更的，基金管理人每年更新一次</w:t>
      </w:r>
      <w:r>
        <w:rPr>
          <w:rFonts w:hint="eastAsia"/>
          <w:b/>
          <w:bCs/>
          <w:kern w:val="0"/>
        </w:rPr>
        <w:t xml:space="preserve"> </w:t>
      </w:r>
      <w:r>
        <w:rPr>
          <w:rFonts w:hint="eastAsia"/>
          <w:b/>
          <w:bCs/>
          <w:kern w:val="0"/>
        </w:rPr>
        <w:t>。因此，本文件内容相比基金的实际情况可能存在一定的滞后，如需及时、准确获取基金的相关信息，敬请同时关注基</w:t>
      </w:r>
      <w:r>
        <w:rPr>
          <w:rFonts w:hint="eastAsia"/>
          <w:b/>
          <w:bCs/>
          <w:kern w:val="0"/>
        </w:rPr>
        <w:t>金管理人发布的相关临时公告等。</w:t>
      </w:r>
      <w:r>
        <w:rPr>
          <w:rFonts w:hint="eastAsia"/>
          <w:b/>
          <w:bCs/>
          <w:kern w:val="0"/>
        </w:rPr>
        <w:t xml:space="preserve"> </w:t>
      </w:r>
    </w:p>
    <w:p w:rsidR="00000000" w:rsidRDefault="00F317F4">
      <w:pPr>
        <w:pStyle w:val="XBRLTitle1"/>
        <w:spacing w:before="156" w:line="312" w:lineRule="exact"/>
        <w:divId w:val="1330405319"/>
        <w:rPr>
          <w:rFonts w:hint="eastAsia"/>
        </w:rPr>
      </w:pPr>
      <w:bookmarkStart w:id="107" w:name="_Toc374332111"/>
      <w:bookmarkEnd w:id="100"/>
      <w:r>
        <w:rPr>
          <w:rFonts w:hAnsi="宋体" w:hint="eastAsia"/>
        </w:rPr>
        <w:t>其他资料查询方</w:t>
      </w:r>
      <w:r>
        <w:rPr>
          <w:rFonts w:hAnsi="宋体" w:hint="eastAsia"/>
        </w:rPr>
        <w:t>式</w:t>
      </w:r>
      <w:bookmarkEnd w:id="107"/>
      <w:r>
        <w:rPr>
          <w:rFonts w:hAnsi="宋体" w:hint="eastAsia"/>
          <w:szCs w:val="44"/>
        </w:rPr>
        <w:t xml:space="preserve"> </w:t>
      </w:r>
      <w:bookmarkEnd w:id="9"/>
      <w:bookmarkEnd w:id="10"/>
      <w:bookmarkEnd w:id="11"/>
      <w:bookmarkEnd w:id="12"/>
      <w:bookmarkEnd w:id="13"/>
      <w:bookmarkEnd w:id="14"/>
      <w:bookmarkEnd w:id="15"/>
      <w:bookmarkEnd w:id="16"/>
      <w:bookmarkEnd w:id="17"/>
      <w:bookmarkEnd w:id="18"/>
    </w:p>
    <w:p w:rsidR="00000000" w:rsidRDefault="00F317F4">
      <w:pPr>
        <w:spacing w:line="312" w:lineRule="exact"/>
        <w:ind w:firstLineChars="200" w:firstLine="420"/>
        <w:divId w:val="1330405319"/>
        <w:rPr>
          <w:rFonts w:hint="eastAsia"/>
        </w:rPr>
      </w:pPr>
      <w:r>
        <w:rPr>
          <w:rFonts w:hint="eastAsia"/>
          <w:kern w:val="0"/>
        </w:rPr>
        <w:t>以下资料详见基金管理人网站：</w:t>
      </w:r>
      <w:r>
        <w:rPr>
          <w:rFonts w:hint="eastAsia"/>
          <w:kern w:val="0"/>
        </w:rPr>
        <w:t>www.huaan.com.cn</w:t>
      </w:r>
      <w:r>
        <w:rPr>
          <w:rFonts w:hint="eastAsia"/>
          <w:kern w:val="0"/>
        </w:rPr>
        <w:t>；客户服务电话：</w:t>
      </w:r>
      <w:r>
        <w:rPr>
          <w:rFonts w:hint="eastAsia"/>
          <w:kern w:val="0"/>
        </w:rPr>
        <w:t xml:space="preserve">40088-50099 </w:t>
      </w:r>
      <w:r>
        <w:rPr>
          <w:rFonts w:hint="eastAsia"/>
          <w:kern w:val="0"/>
        </w:rPr>
        <w:br/>
      </w:r>
      <w:r>
        <w:rPr>
          <w:rFonts w:hint="eastAsia"/>
          <w:kern w:val="0"/>
        </w:rPr>
        <w:t>（一）基金合同、托管协议、招募说明书</w:t>
      </w:r>
      <w:r>
        <w:rPr>
          <w:rFonts w:hint="eastAsia"/>
          <w:kern w:val="0"/>
        </w:rPr>
        <w:br/>
      </w:r>
      <w:r>
        <w:rPr>
          <w:rFonts w:hint="eastAsia"/>
          <w:kern w:val="0"/>
        </w:rPr>
        <w:t>（二）定期报告、包括基金季度报告、中期报告、年度报告</w:t>
      </w:r>
      <w:r>
        <w:rPr>
          <w:rFonts w:hint="eastAsia"/>
          <w:kern w:val="0"/>
        </w:rPr>
        <w:br/>
      </w:r>
      <w:r>
        <w:rPr>
          <w:rFonts w:hint="eastAsia"/>
          <w:kern w:val="0"/>
        </w:rPr>
        <w:t>（三）基金份额净值</w:t>
      </w:r>
      <w:r>
        <w:rPr>
          <w:rFonts w:hint="eastAsia"/>
          <w:kern w:val="0"/>
        </w:rPr>
        <w:br/>
      </w:r>
      <w:r>
        <w:rPr>
          <w:rFonts w:hint="eastAsia"/>
          <w:kern w:val="0"/>
        </w:rPr>
        <w:t>（四）基金销售机构及联系方式</w:t>
      </w:r>
      <w:r>
        <w:rPr>
          <w:rFonts w:hint="eastAsia"/>
          <w:kern w:val="0"/>
        </w:rPr>
        <w:br/>
      </w:r>
      <w:r>
        <w:rPr>
          <w:rFonts w:hint="eastAsia"/>
          <w:kern w:val="0"/>
        </w:rPr>
        <w:t>（五）其他重要资</w:t>
      </w:r>
      <w:r>
        <w:rPr>
          <w:rFonts w:hint="eastAsia"/>
          <w:kern w:val="0"/>
        </w:rPr>
        <w:t>料</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19"/>
      <w:bookmarkEnd w:id="20"/>
      <w:bookmarkEnd w:id="21"/>
      <w:r>
        <w:rPr>
          <w:rFonts w:hint="eastAsia"/>
          <w:lang w:eastAsia="zh-Hans"/>
        </w:rPr>
        <w:t xml:space="preserve"> </w:t>
      </w:r>
    </w:p>
    <w:sectPr w:rsidR="00000000">
      <w:headerReference w:type="default" r:id="rId8"/>
      <w:footerReference w:type="default" r:id="rId9"/>
      <w:headerReference w:type="first" r:id="rId10"/>
      <w:footerReference w:type="first" r:id="rId11"/>
      <w:pgSz w:w="11907" w:h="16839"/>
      <w:pgMar w:top="1440" w:right="1080" w:bottom="1440" w:left="108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317F4">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000000" w:rsidRDefault="00F317F4">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crosoft YaHei UI">
    <w:altName w:val="宋体"/>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7F4">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7F4">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noProof/>
        <w:sz w:val="18"/>
        <w:szCs w:val="18"/>
      </w:rPr>
      <w:t>1</w:t>
    </w:r>
    <w:r>
      <w:rPr>
        <w:rFonts w:hint="eastAsia"/>
        <w:sz w:val="18"/>
        <w:szCs w:val="18"/>
      </w:rPr>
      <w:fldChar w:fldCharType="end"/>
    </w:r>
    <w:r>
      <w:rPr>
        <w:rFonts w:hint="eastAsia"/>
        <w:sz w:val="18"/>
        <w:szCs w:val="18"/>
        <w:lang w:val="zh-CN"/>
      </w:rPr>
      <w:t>页</w:t>
    </w:r>
    <w:r>
      <w:rPr>
        <w:rFonts w:hint="eastAsia"/>
        <w:sz w:val="18"/>
        <w:szCs w:val="18"/>
        <w:lang w:val="zh-CN"/>
      </w:rPr>
      <w:t xml:space="preserve"> </w:t>
    </w:r>
    <w:r>
      <w:rPr>
        <w:rFonts w:hint="eastAsia"/>
        <w:sz w:val="18"/>
        <w:szCs w:val="18"/>
        <w:lang w:val="zh-CN"/>
      </w:rPr>
      <w:t>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noProof/>
        <w:sz w:val="18"/>
        <w:szCs w:val="18"/>
      </w:rPr>
      <w:t>1</w:t>
    </w:r>
    <w:r>
      <w:rPr>
        <w:rFonts w:hint="eastAsia"/>
        <w:sz w:val="18"/>
        <w:szCs w:val="18"/>
      </w:rPr>
      <w:fldChar w:fldCharType="end"/>
    </w:r>
    <w:r>
      <w:rPr>
        <w:rFonts w:hint="eastAsia"/>
        <w:sz w:val="18"/>
        <w:szCs w:val="18"/>
      </w:rPr>
      <w:t>页</w:t>
    </w:r>
    <w:r>
      <w:rPr>
        <w:rFonts w:hint="eastAsia"/>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317F4">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000000" w:rsidRDefault="00F317F4">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7F4">
    <w:pPr>
      <w:pStyle w:val="a8"/>
      <w:jc w:val="right"/>
    </w:pPr>
    <w:r>
      <w:rPr>
        <w:rFonts w:hint="eastAsia"/>
      </w:rPr>
      <w:t>华安中证</w:t>
    </w:r>
    <w:r>
      <w:rPr>
        <w:rFonts w:hint="eastAsia"/>
      </w:rPr>
      <w:t>A500</w:t>
    </w:r>
    <w:r>
      <w:rPr>
        <w:rFonts w:hint="eastAsia"/>
      </w:rPr>
      <w:t>指数增强型发起式证券投资基金（华安中证</w:t>
    </w:r>
    <w:r>
      <w:rPr>
        <w:rFonts w:hint="eastAsia"/>
      </w:rPr>
      <w:t>A500</w:t>
    </w:r>
    <w:r>
      <w:rPr>
        <w:rFonts w:hint="eastAsia"/>
      </w:rPr>
      <w:t>指数增强发起式</w:t>
    </w:r>
    <w:r>
      <w:rPr>
        <w:rFonts w:hint="eastAsia"/>
      </w:rPr>
      <w:t xml:space="preserve">A </w:t>
    </w:r>
    <w:r>
      <w:rPr>
        <w:rFonts w:hint="eastAsia"/>
      </w:rPr>
      <w:t>）基金产品资料概</w:t>
    </w:r>
    <w:r>
      <w:rPr>
        <w:rFonts w:hint="eastAsia"/>
      </w:rPr>
      <w:t>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F317F4">
    <w:pPr>
      <w:pStyle w:val="a8"/>
      <w:jc w:val="right"/>
    </w:pPr>
    <w:r>
      <w:rPr>
        <w:rFonts w:hint="eastAsia"/>
      </w:rPr>
      <w:t>华安中证</w:t>
    </w:r>
    <w:r>
      <w:rPr>
        <w:rFonts w:hint="eastAsia"/>
      </w:rPr>
      <w:t>A500</w:t>
    </w:r>
    <w:r>
      <w:rPr>
        <w:rFonts w:hint="eastAsia"/>
      </w:rPr>
      <w:t>指数增强型发起式证券投资基金（华安中证</w:t>
    </w:r>
    <w:r>
      <w:rPr>
        <w:rFonts w:hint="eastAsia"/>
      </w:rPr>
      <w:t>A500</w:t>
    </w:r>
    <w:r>
      <w:rPr>
        <w:rFonts w:hint="eastAsia"/>
      </w:rPr>
      <w:t>指数增强发起式</w:t>
    </w:r>
    <w:r>
      <w:rPr>
        <w:rFonts w:hint="eastAsia"/>
      </w:rPr>
      <w:t xml:space="preserve">A </w:t>
    </w:r>
    <w:r>
      <w:rPr>
        <w:rFonts w:hint="eastAsia"/>
      </w:rPr>
      <w:t>）基金产品资料概</w:t>
    </w:r>
    <w:r>
      <w:rPr>
        <w:rFonts w:hint="eastAsia"/>
      </w:rPr>
      <w:t>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606430B2"/>
    <w:lvl w:ilvl="0">
      <w:start w:val="1"/>
      <w:numFmt w:val="chineseCountingThousand"/>
      <w:pStyle w:val="XBRLTitle1"/>
      <w:lvlText w:val="%1、"/>
      <w:lvlJc w:val="left"/>
      <w:pPr>
        <w:ind w:left="425" w:hanging="425"/>
      </w:pPr>
      <w:rPr>
        <w:sz w:val="21"/>
        <w:szCs w:val="21"/>
      </w:rPr>
    </w:lvl>
    <w:lvl w:ilvl="1">
      <w:start w:val="1"/>
      <w:numFmt w:val="chineseCountingThousand"/>
      <w:pStyle w:val="XBRLTitle2"/>
      <w:lvlText w:val="(%2)"/>
      <w:lvlJc w:val="left"/>
      <w:pPr>
        <w:ind w:left="454" w:hanging="454"/>
      </w:pPr>
      <w:rPr>
        <w:sz w:val="21"/>
      </w:r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2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788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VertAlignCellWithSp/>
    <w:doNotBreakConstrainedForcedTable/>
    <w:doNotVertAlignInTxbx/>
    <w:useAnsiKerningPairs/>
    <w:cachedColBalance/>
    <w:compatSetting w:name="compatibilityMode" w:uri="http://schemas.microsoft.com/office/word" w:val="15"/>
    <w:compatSetting w:name="differentiateMultirowTableHeaders" w:uri="http://schemas.microsoft.com/office/word" w:val="1"/>
  </w:compat>
  <w:rsids>
    <w:rsidRoot w:val="00F317F4"/>
    <w:rsid w:val="00F31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0F14CC5D-6214-4D59-85E0-37760726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val="x-none" w:eastAsia="x-none"/>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link w:val="1"/>
    <w:uiPriority w:val="9"/>
    <w:locked/>
    <w:rPr>
      <w:b/>
      <w:bCs/>
      <w:kern w:val="44"/>
      <w:sz w:val="44"/>
      <w:szCs w:val="44"/>
    </w:rPr>
  </w:style>
  <w:style w:type="character" w:customStyle="1" w:styleId="20">
    <w:name w:val="标题 2 字符"/>
    <w:basedOn w:val="a0"/>
    <w:link w:val="2"/>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link w:val="3"/>
    <w:uiPriority w:val="9"/>
    <w:locked/>
    <w:rPr>
      <w:b/>
      <w:bCs/>
      <w:kern w:val="2"/>
      <w:sz w:val="32"/>
      <w:szCs w:val="32"/>
    </w:rPr>
  </w:style>
  <w:style w:type="character" w:customStyle="1" w:styleId="40">
    <w:name w:val="标题 4 字符"/>
    <w:basedOn w:val="a0"/>
    <w:link w:val="4"/>
    <w:locked/>
    <w:rPr>
      <w:rFonts w:asciiTheme="majorHAnsi" w:eastAsiaTheme="majorEastAsia" w:hAnsiTheme="majorHAnsi" w:cstheme="majorBidi" w:hint="default"/>
      <w:b/>
      <w:bCs/>
      <w:kern w:val="2"/>
      <w:sz w:val="24"/>
      <w:szCs w:val="24"/>
    </w:rPr>
  </w:style>
  <w:style w:type="character" w:customStyle="1" w:styleId="50">
    <w:name w:val="标题 5 字符"/>
    <w:basedOn w:val="a0"/>
    <w:link w:val="5"/>
    <w:uiPriority w:val="9"/>
    <w:semiHidden/>
    <w:rPr>
      <w:rFonts w:cs="宋体"/>
      <w:b/>
      <w:bCs/>
      <w:kern w:val="2"/>
      <w:sz w:val="28"/>
      <w:szCs w:val="28"/>
    </w:rPr>
  </w:style>
  <w:style w:type="character" w:customStyle="1" w:styleId="60">
    <w:name w:val="标题 6 字符"/>
    <w:basedOn w:val="a0"/>
    <w:link w:val="6"/>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12">
    <w:name w:val="toc 1"/>
    <w:basedOn w:val="a"/>
    <w:next w:val="a"/>
    <w:autoRedefine/>
    <w:uiPriority w:val="39"/>
    <w:semiHidden/>
    <w:unhideWhenUsed/>
    <w:pPr>
      <w:tabs>
        <w:tab w:val="right" w:leader="dot" w:pos="8835"/>
      </w:tabs>
    </w:pPr>
    <w:rPr>
      <w:noProof/>
    </w:rPr>
  </w:style>
  <w:style w:type="paragraph" w:styleId="22">
    <w:name w:val="toc 2"/>
    <w:basedOn w:val="a"/>
    <w:next w:val="a"/>
    <w:autoRedefine/>
    <w:uiPriority w:val="39"/>
    <w:semiHidden/>
    <w:unhideWhenUsed/>
    <w:qFormat/>
    <w:pPr>
      <w:tabs>
        <w:tab w:val="right" w:leader="dot" w:pos="8834"/>
      </w:tabs>
      <w:ind w:left="210"/>
      <w:jc w:val="left"/>
    </w:pPr>
    <w:rPr>
      <w:rFonts w:asciiTheme="minorEastAsia" w:eastAsiaTheme="minorEastAsia" w:hAnsiTheme="minorEastAsia" w:cs="Times New Roman"/>
      <w:noProof/>
      <w:szCs w:val="21"/>
      <w:lang w:val="x-none" w:eastAsia="x-none"/>
    </w:rPr>
  </w:style>
  <w:style w:type="paragraph" w:styleId="32">
    <w:name w:val="toc 3"/>
    <w:basedOn w:val="a"/>
    <w:next w:val="a"/>
    <w:autoRedefine/>
    <w:uiPriority w:val="39"/>
    <w:semiHidden/>
    <w:unhideWhenUsed/>
  </w:style>
  <w:style w:type="paragraph" w:styleId="a6">
    <w:name w:val="footnote text"/>
    <w:basedOn w:val="a"/>
    <w:link w:val="13"/>
    <w:pPr>
      <w:snapToGrid w:val="0"/>
      <w:jc w:val="left"/>
    </w:pPr>
    <w:rPr>
      <w:sz w:val="18"/>
      <w:szCs w:val="18"/>
    </w:rPr>
  </w:style>
  <w:style w:type="character" w:customStyle="1" w:styleId="a7">
    <w:name w:val="脚注文本 字符"/>
    <w:basedOn w:val="a0"/>
    <w:link w:val="a6"/>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link w:val="aa"/>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link w:val="ac"/>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6"/>
    <w:qFormat/>
    <w:pPr>
      <w:spacing w:before="240" w:after="60" w:line="312" w:lineRule="auto"/>
      <w:jc w:val="left"/>
    </w:pPr>
    <w:rPr>
      <w:bCs w:val="0"/>
      <w:kern w:val="24"/>
      <w:sz w:val="24"/>
    </w:rPr>
  </w:style>
  <w:style w:type="character" w:customStyle="1" w:styleId="af">
    <w:name w:val="副标题 字符"/>
    <w:basedOn w:val="a0"/>
    <w:link w:val="ae"/>
    <w:locked/>
    <w:rPr>
      <w:rFonts w:asciiTheme="minorHAnsi" w:eastAsiaTheme="minorEastAsia" w:hAnsiTheme="minorHAnsi" w:cstheme="minorBidi" w:hint="default"/>
      <w:b/>
      <w:bCs/>
      <w:kern w:val="24"/>
      <w:sz w:val="32"/>
      <w:szCs w:val="32"/>
    </w:rPr>
  </w:style>
  <w:style w:type="paragraph" w:styleId="af0">
    <w:name w:val="Date"/>
    <w:basedOn w:val="a"/>
    <w:next w:val="a"/>
    <w:link w:val="17"/>
    <w:rPr>
      <w:sz w:val="32"/>
      <w:lang w:val="x-none" w:eastAsia="x-none"/>
    </w:rPr>
  </w:style>
  <w:style w:type="character" w:customStyle="1" w:styleId="af1">
    <w:name w:val="日期 字符"/>
    <w:basedOn w:val="a0"/>
    <w:link w:val="af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ink w:val="af2"/>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before="0" w:after="0" w:line="240" w:lineRule="auto"/>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jc w:val="left"/>
    </w:pPr>
    <w:rPr>
      <w:rFonts w:hAnsi="Cambria"/>
      <w:sz w:val="21"/>
      <w:szCs w:val="32"/>
    </w:rPr>
  </w:style>
  <w:style w:type="paragraph" w:customStyle="1" w:styleId="XBRLTitle2">
    <w:name w:val="XBRLTitle2"/>
    <w:basedOn w:val="ae"/>
    <w:next w:val="4"/>
    <w:qFormat/>
    <w:pPr>
      <w:keepNext w:val="0"/>
      <w:keepLines w:val="0"/>
      <w:numPr>
        <w:ilvl w:val="1"/>
        <w:numId w:val="2"/>
      </w:numPr>
      <w:spacing w:beforeLines="50" w:before="0" w:after="0" w:line="240" w:lineRule="auto"/>
    </w:pPr>
    <w:rPr>
      <w:rFonts w:ascii="宋体"/>
      <w:bCs/>
    </w:rPr>
  </w:style>
  <w:style w:type="paragraph" w:customStyle="1" w:styleId="XBRLTitle5">
    <w:name w:val="XBRLTitle5"/>
    <w:basedOn w:val="ae"/>
    <w:next w:val="4"/>
    <w:qFormat/>
    <w:pPr>
      <w:numPr>
        <w:ilvl w:val="4"/>
        <w:numId w:val="2"/>
      </w:numPr>
      <w:spacing w:beforeLines="50" w:before="0" w:after="0" w:line="240" w:lineRule="auto"/>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4"/>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left="0"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basedOn w:val="a0"/>
    <w:link w:val="1"/>
    <w:uiPriority w:val="9"/>
    <w:locked/>
    <w:rPr>
      <w:b/>
      <w:bCs/>
      <w:kern w:val="44"/>
      <w:sz w:val="44"/>
      <w:szCs w:val="44"/>
    </w:rPr>
  </w:style>
  <w:style w:type="character" w:customStyle="1" w:styleId="2Char">
    <w:name w:val="标题 2 Char"/>
    <w:basedOn w:val="a0"/>
    <w:link w:val="2"/>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link w:val="3"/>
    <w:uiPriority w:val="9"/>
    <w:locked/>
    <w:rPr>
      <w:b/>
      <w:bCs/>
      <w:kern w:val="2"/>
      <w:sz w:val="32"/>
      <w:szCs w:val="32"/>
    </w:rPr>
  </w:style>
  <w:style w:type="character" w:customStyle="1" w:styleId="4Char">
    <w:name w:val="标题 4 Char"/>
    <w:basedOn w:val="a0"/>
    <w:link w:val="4"/>
    <w:locked/>
    <w:rPr>
      <w:rFonts w:asciiTheme="majorHAnsi" w:eastAsiaTheme="majorEastAsia" w:hAnsiTheme="majorHAnsi" w:cstheme="majorBidi" w:hint="default"/>
      <w:b/>
      <w:bCs/>
      <w:kern w:val="2"/>
      <w:sz w:val="24"/>
      <w:szCs w:val="24"/>
    </w:rPr>
  </w:style>
  <w:style w:type="character" w:customStyle="1" w:styleId="5Char">
    <w:name w:val="标题 5 Char"/>
    <w:basedOn w:val="a0"/>
    <w:link w:val="5"/>
    <w:uiPriority w:val="9"/>
    <w:semiHidden/>
    <w:locked/>
    <w:rPr>
      <w:b/>
      <w:bCs/>
      <w:kern w:val="2"/>
      <w:sz w:val="24"/>
      <w:szCs w:val="24"/>
    </w:rPr>
  </w:style>
  <w:style w:type="character" w:customStyle="1" w:styleId="6Char">
    <w:name w:val="标题 6 Char"/>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ink w:val="a6"/>
    <w:locked/>
    <w:rPr>
      <w:kern w:val="2"/>
      <w:sz w:val="18"/>
      <w:szCs w:val="18"/>
    </w:rPr>
  </w:style>
  <w:style w:type="character" w:customStyle="1" w:styleId="Char1">
    <w:name w:val="页眉 Char"/>
    <w:basedOn w:val="a0"/>
    <w:link w:val="a8"/>
    <w:uiPriority w:val="99"/>
    <w:locked/>
    <w:rPr>
      <w:kern w:val="2"/>
      <w:sz w:val="18"/>
      <w:szCs w:val="18"/>
    </w:rPr>
  </w:style>
  <w:style w:type="character" w:customStyle="1" w:styleId="Char2">
    <w:name w:val="页脚 Char"/>
    <w:basedOn w:val="a0"/>
    <w:link w:val="aa"/>
    <w:uiPriority w:val="99"/>
    <w:locked/>
    <w:rPr>
      <w:kern w:val="2"/>
      <w:sz w:val="18"/>
      <w:szCs w:val="18"/>
    </w:rPr>
  </w:style>
  <w:style w:type="character" w:customStyle="1" w:styleId="Char3">
    <w:name w:val="标题 Char"/>
    <w:basedOn w:val="a0"/>
    <w:link w:val="ac"/>
    <w:uiPriority w:val="10"/>
    <w:locked/>
    <w:rPr>
      <w:rFonts w:asciiTheme="majorHAnsi" w:hAnsiTheme="majorHAnsi" w:cstheme="majorBidi" w:hint="default"/>
      <w:b/>
      <w:bCs/>
      <w:kern w:val="2"/>
      <w:sz w:val="32"/>
      <w:szCs w:val="32"/>
    </w:rPr>
  </w:style>
  <w:style w:type="character" w:customStyle="1" w:styleId="Char4">
    <w:name w:val="副标题 Char"/>
    <w:basedOn w:val="a0"/>
    <w:link w:val="ae"/>
    <w:locked/>
    <w:rPr>
      <w:rFonts w:asciiTheme="majorHAnsi" w:hAnsiTheme="majorHAnsi" w:cstheme="majorBidi" w:hint="default"/>
      <w:b/>
      <w:bCs/>
      <w:kern w:val="24"/>
      <w:sz w:val="32"/>
      <w:szCs w:val="32"/>
    </w:rPr>
  </w:style>
  <w:style w:type="character" w:customStyle="1" w:styleId="Char5">
    <w:name w:val="日期 Char"/>
    <w:basedOn w:val="a0"/>
    <w:link w:val="af0"/>
    <w:locked/>
    <w:rPr>
      <w:kern w:val="2"/>
      <w:sz w:val="21"/>
    </w:rPr>
  </w:style>
  <w:style w:type="character" w:customStyle="1" w:styleId="Char6">
    <w:name w:val="文档结构图 Char"/>
    <w:basedOn w:val="a0"/>
    <w:link w:val="af2"/>
    <w:locked/>
    <w:rPr>
      <w:rFonts w:ascii="宋体" w:eastAsia="宋体" w:hAnsi="宋体" w:hint="eastAsia"/>
      <w:kern w:val="2"/>
      <w:sz w:val="18"/>
      <w:szCs w:val="18"/>
    </w:rPr>
  </w:style>
  <w:style w:type="character" w:customStyle="1" w:styleId="Char7">
    <w:name w:val="批注框文本 Char"/>
    <w:basedOn w:val="a0"/>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Cambria" w:hAnsi="Cambria" w:cs="宋体" w:hint="default"/>
      <w:b/>
      <w:bCs/>
      <w:sz w:val="32"/>
      <w:szCs w:val="32"/>
    </w:rPr>
  </w:style>
  <w:style w:type="character" w:customStyle="1" w:styleId="16">
    <w:name w:val="副标题 字符1"/>
    <w:link w:val="ae"/>
    <w:locked/>
    <w:rPr>
      <w:rFonts w:ascii="Cambria" w:eastAsia="宋体" w:hAnsi="Cambria" w:cs="宋体" w:hint="default"/>
      <w:b/>
      <w:bCs w:val="0"/>
      <w:kern w:val="24"/>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4"/>
      <w:szCs w:val="24"/>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5638">
      <w:marLeft w:val="0"/>
      <w:marRight w:val="0"/>
      <w:marTop w:val="0"/>
      <w:marBottom w:val="0"/>
      <w:divBdr>
        <w:top w:val="none" w:sz="0" w:space="0" w:color="auto"/>
        <w:left w:val="none" w:sz="0" w:space="0" w:color="auto"/>
        <w:bottom w:val="none" w:sz="0" w:space="0" w:color="auto"/>
        <w:right w:val="none" w:sz="0" w:space="0" w:color="auto"/>
      </w:divBdr>
      <w:divsChild>
        <w:div w:id="2002467180">
          <w:marLeft w:val="0"/>
          <w:marRight w:val="0"/>
          <w:marTop w:val="0"/>
          <w:marBottom w:val="0"/>
          <w:divBdr>
            <w:top w:val="none" w:sz="0" w:space="0" w:color="auto"/>
            <w:left w:val="none" w:sz="0" w:space="0" w:color="auto"/>
            <w:bottom w:val="none" w:sz="0" w:space="0" w:color="auto"/>
            <w:right w:val="none" w:sz="0" w:space="0" w:color="auto"/>
          </w:divBdr>
        </w:div>
        <w:div w:id="212272729">
          <w:marLeft w:val="0"/>
          <w:marRight w:val="0"/>
          <w:marTop w:val="0"/>
          <w:marBottom w:val="0"/>
          <w:divBdr>
            <w:top w:val="none" w:sz="0" w:space="0" w:color="auto"/>
            <w:left w:val="none" w:sz="0" w:space="0" w:color="auto"/>
            <w:bottom w:val="none" w:sz="0" w:space="0" w:color="auto"/>
            <w:right w:val="none" w:sz="0" w:space="0" w:color="auto"/>
          </w:divBdr>
        </w:div>
      </w:divsChild>
    </w:div>
    <w:div w:id="697781738">
      <w:marLeft w:val="0"/>
      <w:marRight w:val="0"/>
      <w:marTop w:val="0"/>
      <w:marBottom w:val="0"/>
      <w:divBdr>
        <w:top w:val="none" w:sz="0" w:space="0" w:color="auto"/>
        <w:left w:val="none" w:sz="0" w:space="0" w:color="auto"/>
        <w:bottom w:val="none" w:sz="0" w:space="0" w:color="auto"/>
        <w:right w:val="none" w:sz="0" w:space="0" w:color="auto"/>
      </w:divBdr>
    </w:div>
    <w:div w:id="954404205">
      <w:marLeft w:val="0"/>
      <w:marRight w:val="0"/>
      <w:marTop w:val="0"/>
      <w:marBottom w:val="0"/>
      <w:divBdr>
        <w:top w:val="none" w:sz="0" w:space="0" w:color="auto"/>
        <w:left w:val="none" w:sz="0" w:space="0" w:color="auto"/>
        <w:bottom w:val="none" w:sz="0" w:space="0" w:color="auto"/>
        <w:right w:val="none" w:sz="0" w:space="0" w:color="auto"/>
      </w:divBdr>
    </w:div>
    <w:div w:id="1103455963">
      <w:marLeft w:val="0"/>
      <w:marRight w:val="0"/>
      <w:marTop w:val="0"/>
      <w:marBottom w:val="0"/>
      <w:divBdr>
        <w:top w:val="none" w:sz="0" w:space="0" w:color="auto"/>
        <w:left w:val="none" w:sz="0" w:space="0" w:color="auto"/>
        <w:bottom w:val="none" w:sz="0" w:space="0" w:color="auto"/>
        <w:right w:val="none" w:sz="0" w:space="0" w:color="auto"/>
      </w:divBdr>
    </w:div>
    <w:div w:id="1330405319">
      <w:marLeft w:val="0"/>
      <w:marRight w:val="0"/>
      <w:marTop w:val="0"/>
      <w:marBottom w:val="0"/>
      <w:divBdr>
        <w:top w:val="none" w:sz="0" w:space="0" w:color="auto"/>
        <w:left w:val="none" w:sz="0" w:space="0" w:color="auto"/>
        <w:bottom w:val="none" w:sz="0" w:space="0" w:color="auto"/>
        <w:right w:val="none" w:sz="0" w:space="0" w:color="auto"/>
      </w:divBdr>
    </w:div>
    <w:div w:id="1479690901">
      <w:marLeft w:val="0"/>
      <w:marRight w:val="0"/>
      <w:marTop w:val="0"/>
      <w:marBottom w:val="0"/>
      <w:divBdr>
        <w:top w:val="none" w:sz="0" w:space="0" w:color="auto"/>
        <w:left w:val="none" w:sz="0" w:space="0" w:color="auto"/>
        <w:bottom w:val="none" w:sz="0" w:space="0" w:color="auto"/>
        <w:right w:val="none" w:sz="0" w:space="0" w:color="auto"/>
      </w:divBdr>
    </w:div>
    <w:div w:id="1597976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D66A5-D0E8-465E-8FDC-D2B7568F0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4116</Characters>
  <Application>Microsoft Office Word</Application>
  <DocSecurity>4</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周佳玉</cp:lastModifiedBy>
  <cp:revision>2</cp:revision>
  <dcterms:created xsi:type="dcterms:W3CDTF">2025-03-26T06:19:00Z</dcterms:created>
  <dcterms:modified xsi:type="dcterms:W3CDTF">2025-03-26T06:19:00Z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