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浦银理财天添利现金宝63号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2301241707(销售代码:2301241879/2301241880/2301241891)</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Z7006924000232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2024-06-13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611,034,803.39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2301241879 : 人民银行7天通知存款利率</w:t>
              <w:br/>
              <w:t>2301241880 : 人民银行7天通知存款利率</w:t>
              <w:br/>
              <w:t>2301241891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2301241707 : 611,034,803.39</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2301241879-A : 1.0000</w:t>
              <w:br/>
              <w:t>2301241880-A : 1.0000</w:t>
              <w:br/>
              <w:t>2301241891-A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2301241879-A : -</w:t>
              <w:br/>
              <w:t>2301241880-A : -</w:t>
              <w:br/>
              <w:t>2301241891-A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2301241879-A : 0.4600</w:t>
              <w:br/>
              <w:t>2301241880-A : 0.4587</w:t>
              <w:br/>
              <w:t>2301241891-A : 0.4739</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2301241879-A : 0.0145</w:t>
              <w:br/>
              <w:t>2301241880-A : 0.0144</w:t>
              <w:br/>
              <w:t>2301241891-A : 0.0150</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325,677,861.90</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53.29%</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325,862,208.01</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53.32%</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132,182,562.05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21.63%</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49,534,206.96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49,534,206.96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8.10%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135,953,636.00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22.24%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100,007,933.22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16.36%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103,594,661.06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16.95%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611,173,638.08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611,173,638.08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广东粤财信托有限公司、华润深国投信托有限公司、建信信托有限责任公司、中诚信托有限责任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325,677,861.90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53.30%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100,007,933.22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16.37%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粤财信托-天盈增利3号集合资金信托计划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82,299,937.13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13.47%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24北京银行CD083</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49,534,206.96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8.11%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32,585,198.41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5.33%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华润信托-惠鑫丰利9号集合资金信托计划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9,471,148.35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1.55%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5,797,215.92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0.95%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长城财富玄武多资产固收十号资产管理产品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3,233,270.67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0.53%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中诚信托-安泰15号集合资金信托计划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1,110,057.04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0.18%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百年资管弘远33号资产管理产品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537,803.28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0.09%</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35287446.66</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5.78%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20162873.30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3.30%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16816122.57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10086237.25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10085099.57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10080654.88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10078604.83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10015270.30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8063250.26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8060482.11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1.32%</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1</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2024-06-13</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个人</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200000.00</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33.33%</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本季度新增</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200018.23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200018.23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200018.24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200073.36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200073.39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200074.18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200092.28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200092.32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200093.38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200111.20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200111.25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200112.58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200130.12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200130.18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200131.78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200149.58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27.53%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200149.66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27.53%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200151.53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27.53%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31.24%</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
            </w:r>
          </w:p>
        </w:tc>
        <w:tc>
          <w:tcPr>
            <w:tcW w:w="2357" w:type="dxa"/>
            <w:vAlign w:val="center"/>
          </w:tcPr>
          <w:p w:rsidR="00F63FAF" w:rsidRDefault="0094595E" w:rsidP="006E6AF8">
            <w:pPr>
              <w:jc w:val="center"/>
            </w:pPr>
            <w:r>
              <w:rPr>
                <w:rFonts w:ascii="仿宋_GB2312" w:eastAsia="仿宋_GB2312" w:hAnsiTheme="minorEastAsia"/>
                <w:bCs/>
                <w:sz w:val="24"/>
                <w:szCs w:val="24"/>
              </w:rPr>
              <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托管费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260339.76</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