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AD7590" w:rsidRDefault="00E61C1A" w:rsidP="00E61C1A">
      <w:pPr>
        <w:snapToGrid w:val="0"/>
        <w:spacing w:line="360" w:lineRule="auto"/>
        <w:jc w:val="center"/>
        <w:rPr>
          <w:rFonts w:asciiTheme="majorEastAsia" w:eastAsiaTheme="majorEastAsia" w:hAnsiTheme="majorEastAsia"/>
          <w:b/>
          <w:bCs/>
          <w:szCs w:val="32"/>
          <w:vertAlign w:val="superscript"/>
        </w:rPr>
      </w:pPr>
      <w:r w:rsidRPr="00AD7590">
        <w:rPr>
          <w:rFonts w:asciiTheme="majorEastAsia" w:eastAsiaTheme="majorEastAsia" w:hAnsiTheme="majorEastAsia" w:hint="eastAsia"/>
          <w:b/>
          <w:bCs/>
          <w:color w:val="000000"/>
          <w:szCs w:val="32"/>
        </w:rPr>
        <w:t>公募理财产品定期</w:t>
      </w:r>
      <w:r w:rsidRPr="00AD7590">
        <w:rPr>
          <w:rFonts w:asciiTheme="majorEastAsia" w:eastAsiaTheme="majorEastAsia" w:hAnsiTheme="majorEastAsia" w:hint="eastAsia"/>
          <w:b/>
          <w:bCs/>
          <w:szCs w:val="32"/>
        </w:rPr>
        <w:t>报告</w:t>
      </w:r>
    </w:p>
    <w:p w:rsidR="00E61C1A" w:rsidRPr="00AD7590" w:rsidRDefault="00E61C1A" w:rsidP="00E61C1A">
      <w:pPr>
        <w:snapToGrid w:val="0"/>
        <w:spacing w:line="360" w:lineRule="auto"/>
        <w:rPr>
          <w:rFonts w:ascii="仿宋_GB2312" w:eastAsia="仿宋_GB2312"/>
          <w:b/>
          <w:bCs/>
          <w:sz w:val="28"/>
          <w:szCs w:val="24"/>
          <w:vertAlign w:val="superscript"/>
        </w:rPr>
      </w:pPr>
      <w:r w:rsidRPr="00AD7590">
        <w:rPr>
          <w:rFonts w:ascii="仿宋_GB2312" w:eastAsia="仿宋_GB2312" w:hint="eastAsia"/>
          <w:b/>
          <w:sz w:val="28"/>
          <w:szCs w:val="24"/>
        </w:rPr>
        <w:t>1</w:t>
      </w:r>
      <w:r w:rsidRPr="00AD7590">
        <w:rPr>
          <w:rFonts w:hint="eastAsia"/>
          <w:b/>
          <w:sz w:val="28"/>
          <w:szCs w:val="24"/>
        </w:rPr>
        <w:t> </w:t>
      </w:r>
      <w:r w:rsidRPr="00AD7590">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产品管理人承诺以诚实信用、勤勉尽责的原则管理和运用产品资产，但不保证产品一定盈利。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产品的过往业绩并不代表其未来表现。投资有风险，投资者在做出投资决策前应仔细阅读本产品的销售文件。</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本报告中财务资料未经审计。</w:t>
            </w:r>
          </w:p>
          <w:p w:rsidR="00E61C1A" w:rsidRDefault="000A6C81" w:rsidP="000A6C81">
            <w:pPr>
              <w:snapToGrid w:val="0"/>
              <w:spacing w:line="360" w:lineRule="auto"/>
              <w:ind w:firstLine="360"/>
              <w:jc w:val="left"/>
              <w:rPr>
                <w:rFonts w:ascii="仿宋_GB2312" w:eastAsia="仿宋_GB2312" w:hAnsi="Calibri" w:cs="宋体"/>
                <w:color w:val="404040"/>
                <w:sz w:val="24"/>
                <w:szCs w:val="24"/>
              </w:rPr>
            </w:pPr>
            <w:r w:rsidRPr="000A6C81">
              <w:rPr>
                <w:rFonts w:ascii="仿宋_GB2312" w:eastAsia="仿宋_GB2312" w:hint="eastAsia"/>
                <w:color w:val="404040"/>
                <w:sz w:val="24"/>
                <w:szCs w:val="24"/>
              </w:rPr>
              <w:t>产品管理人保留对本报告随时补充、更正和修订的权利，以及对所有文字说明的最终解释权。</w:t>
            </w:r>
          </w:p>
        </w:tc>
      </w:tr>
    </w:tbl>
    <w:p w:rsidR="00E61C1A" w:rsidRPr="00AD7590" w:rsidRDefault="00E61C1A" w:rsidP="00E61C1A">
      <w:pPr>
        <w:snapToGrid w:val="0"/>
        <w:spacing w:line="360" w:lineRule="auto"/>
        <w:rPr>
          <w:rFonts w:ascii="仿宋_GB2312" w:eastAsia="仿宋_GB2312"/>
          <w:b/>
          <w:sz w:val="28"/>
          <w:szCs w:val="24"/>
        </w:rPr>
      </w:pPr>
      <w:r w:rsidRPr="00AD7590">
        <w:rPr>
          <w:rFonts w:ascii="仿宋_GB2312" w:eastAsia="仿宋_GB2312" w:hint="eastAsia"/>
          <w:b/>
          <w:sz w:val="28"/>
          <w:szCs w:val="24"/>
        </w:rPr>
        <w:t>2.</w:t>
      </w:r>
      <w:r w:rsidRPr="00AD7590">
        <w:rPr>
          <w:rFonts w:ascii="仿宋_GB2312" w:eastAsia="仿宋_GB2312" w:hint="eastAsia"/>
          <w:b/>
          <w:sz w:val="28"/>
          <w:szCs w:val="24"/>
        </w:rPr>
        <w:t> </w:t>
      </w:r>
      <w:r w:rsidRPr="00AD7590">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浦银理财月月鑫最短持有期23号理财产品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2301240185(销售代码:2301240501/2301248699)</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Z7006924000386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2024-05-21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1,169,837,810.42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DC144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2301240501 : 2.28%</w:t>
              <w:br/>
              <w:t>2301248699 : 2.33%</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DB1D0D" w:rsidP="00DB1D0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宁波银行股份有限公司</w:t>
            </w:r>
          </w:p>
        </w:tc>
      </w:tr>
    </w:tbl>
    <w:p w:rsidR="00E61C1A" w:rsidRDefault="00E61C1A" w:rsidP="00E61C1A">
      <w:pPr>
        <w:rPr>
          <w:rFonts w:ascii="仿宋_GB2312" w:eastAsia="仿宋_GB2312" w:hAnsi="Calibri"/>
          <w:sz w:val="24"/>
          <w:szCs w:val="24"/>
        </w:rPr>
      </w:pPr>
    </w:p>
    <w:p w:rsidR="004E272F" w:rsidRPr="00AD7590" w:rsidRDefault="004E272F" w:rsidP="004E272F">
      <w:pPr>
        <w:snapToGrid w:val="0"/>
        <w:spacing w:line="360" w:lineRule="auto"/>
        <w:rPr>
          <w:rFonts w:ascii="仿宋_GB2312" w:eastAsia="仿宋_GB2312"/>
          <w:b/>
          <w:sz w:val="28"/>
          <w:szCs w:val="24"/>
        </w:rPr>
      </w:pPr>
      <w:r w:rsidRPr="00AD7590">
        <w:rPr>
          <w:rFonts w:ascii="仿宋_GB2312" w:eastAsia="仿宋_GB2312" w:hint="eastAsia"/>
          <w:b/>
          <w:sz w:val="28"/>
          <w:szCs w:val="24"/>
        </w:rPr>
        <w:t>3</w:t>
      </w:r>
      <w:r w:rsidRPr="00AD7590">
        <w:rPr>
          <w:rFonts w:ascii="仿宋_GB2312" w:eastAsia="仿宋_GB2312"/>
          <w:b/>
          <w:sz w:val="28"/>
          <w:szCs w:val="24"/>
        </w:rPr>
        <w:t>.</w:t>
      </w:r>
      <w:r w:rsidRPr="00AD7590">
        <w:rPr>
          <w:rFonts w:ascii="仿宋_GB2312" w:eastAsia="仿宋_GB2312" w:hint="eastAsia"/>
          <w:b/>
          <w:sz w:val="28"/>
          <w:szCs w:val="24"/>
        </w:rPr>
        <w:t>产品净值表现</w:t>
      </w:r>
    </w:p>
    <w:p w:rsidR="004E272F" w:rsidRPr="00AD7590" w:rsidRDefault="004E272F" w:rsidP="004E272F">
      <w:pPr>
        <w:snapToGrid w:val="0"/>
        <w:spacing w:line="360" w:lineRule="auto"/>
        <w:ind w:firstLine="482"/>
        <w:rPr>
          <w:rFonts w:ascii="仿宋_GB2312" w:eastAsia="仿宋_GB2312"/>
          <w:b/>
          <w:bCs/>
          <w:sz w:val="28"/>
          <w:szCs w:val="24"/>
        </w:rPr>
      </w:pPr>
      <w:r w:rsidRPr="00AD7590">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2301240185 : 1,196,067,991.18</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2301240501 : 1.0266</w:t>
              <w:br/>
              <w:t>2301248699 : 1.0182</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2301240501 : 1.0266</w:t>
              <w:br/>
              <w:t>2301248699 : 1.0182</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Pr="00AD7590" w:rsidRDefault="00564E1C" w:rsidP="00564E1C">
      <w:pPr>
        <w:snapToGrid w:val="0"/>
        <w:spacing w:line="360" w:lineRule="auto"/>
        <w:rPr>
          <w:rFonts w:ascii="仿宋_GB2312" w:eastAsia="仿宋_GB2312"/>
          <w:b/>
          <w:sz w:val="28"/>
          <w:szCs w:val="24"/>
        </w:rPr>
      </w:pPr>
      <w:r w:rsidRPr="00AD7590">
        <w:rPr>
          <w:rFonts w:ascii="仿宋_GB2312" w:eastAsia="仿宋_GB2312" w:hint="eastAsia"/>
          <w:b/>
          <w:sz w:val="28"/>
          <w:szCs w:val="24"/>
        </w:rPr>
        <w:t>4.投资组合报告</w:t>
      </w:r>
    </w:p>
    <w:p w:rsidR="00564E1C" w:rsidRPr="00AD7590" w:rsidRDefault="00564E1C" w:rsidP="00564E1C">
      <w:pPr>
        <w:spacing w:line="360" w:lineRule="auto"/>
        <w:ind w:firstLine="482"/>
        <w:rPr>
          <w:rFonts w:ascii="仿宋_GB2312" w:eastAsia="仿宋_GB2312"/>
          <w:b/>
          <w:bCs/>
          <w:sz w:val="28"/>
          <w:szCs w:val="24"/>
        </w:rPr>
      </w:pPr>
      <w:r w:rsidRPr="00AD7590">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C602A3" w:rsidRPr="004567B4" w:rsidTr="00E706B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C602A3" w:rsidRPr="004567B4" w:rsidTr="00E706B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bookmarkStart w:id="0" w:name="_GoBack"/>
            <w:bookmarkEnd w:id="0"/>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r>
      <w:tr w:rsidR="00C602A3" w:rsidRPr="004567B4" w:rsidTr="002668CD">
        <w:tc>
          <w:tcPr>
            <w:tcW w:w="373" w:type="pct"/>
            <w:tcBorders>
              <w:top w:val="nil"/>
              <w:left w:val="single" w:sz="4" w:space="0" w:color="auto"/>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67,248,314.19</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5.62%</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76,816,982.85</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6.42%</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990,413,532.32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82.79%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2,295,332.70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0.19%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50,746,857.71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4.24%</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1,128,978,983.95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94.38%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75,954,592.55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6.35%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1,196,227,298.14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1,196,227,298.14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DC144F" w:rsidRDefault="00564E1C" w:rsidP="00564E1C">
      <w:pPr>
        <w:rPr>
          <w:rFonts w:ascii="仿宋_GB2312" w:eastAsia="仿宋_GB2312" w:hAnsi="Calibri"/>
          <w:sz w:val="24"/>
          <w:szCs w:val="24"/>
        </w:rPr>
      </w:pPr>
    </w:p>
    <w:p w:rsidR="00DE496A" w:rsidRPr="00AD7590" w:rsidRDefault="00DE496A" w:rsidP="00DE496A">
      <w:pPr>
        <w:spacing w:line="360" w:lineRule="auto"/>
        <w:ind w:firstLine="482"/>
        <w:rPr>
          <w:rFonts w:ascii="仿宋_GB2312" w:eastAsia="仿宋_GB2312" w:hAnsi="Calibri"/>
          <w:sz w:val="28"/>
          <w:szCs w:val="24"/>
        </w:rPr>
      </w:pPr>
      <w:r w:rsidRPr="00AD7590">
        <w:rPr>
          <w:rFonts w:ascii="仿宋_GB2312" w:eastAsia="仿宋_GB2312" w:hint="eastAsia"/>
          <w:b/>
          <w:bCs/>
          <w:sz w:val="28"/>
          <w:szCs w:val="24"/>
        </w:rPr>
        <w:t>4.2 报告期内产品投资策略和组合流动性风险分析</w:t>
      </w:r>
    </w:p>
    <w:p w:rsidR="007047BC" w:rsidRDefault="004A2E4E" w:rsidP="007047BC">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投资策略以配置估值稳定资产为主，适当配置短期限信用债，同时适当通过杠杆等方式增厚收益，相机通过久期调整获取超额收益。报告期内组合流动性资产比例维持在较高水准，未有流动性风险情况。</w:t>
      </w:r>
    </w:p>
    <w:p w:rsidR="007047BC" w:rsidRPr="007047BC" w:rsidRDefault="007047BC" w:rsidP="007047BC">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附：本报告期内，本产品理财投资合作机构为“广东粤财信托有限公司、华润深国投信托有限公司、中国对外经济贸易信托有限公司、中航信托股份有限公司”。</w:t>
      </w:r>
    </w:p>
    <w:p w:rsidR="00DE496A" w:rsidRPr="00AD7590" w:rsidRDefault="00DE496A" w:rsidP="00DE496A">
      <w:pPr>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8433AC">
              <w:rPr>
                <w:rFonts w:ascii="仿宋_GB2312" w:eastAsia="仿宋_GB2312" w:hAnsiTheme="minorEastAsia" w:hint="eastAsia"/>
                <w:color w:val="000000"/>
                <w:sz w:val="24"/>
                <w:szCs w:val="24"/>
              </w:rPr>
              <w:t>（元）</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外贸信托-睿富4号证券投资集合资金信托计划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517,390,806.93</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43.26%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粤财信托浦银睿盈32号集合资金信托计划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390,973,274.98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32.69%</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华润信托盈亨2号集合资金信托计划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122,950,565.70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10.28%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67,248,314.19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5.62%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中航信托天玑共赢2号证券投资集合资金信托计划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51,506,551.72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4.31%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粤财信托浦银睿盈3号集合资金信托计划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46,157,784.62</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3.86%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粤财信托浦银睿盈26号集合资金信托计划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0.00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DC144F" w:rsidRDefault="00DE496A" w:rsidP="00DE496A">
      <w:pPr>
        <w:rPr>
          <w:rFonts w:ascii="仿宋_GB2312" w:eastAsia="仿宋_GB2312" w:hAnsi="Calibri"/>
          <w:sz w:val="24"/>
          <w:szCs w:val="24"/>
        </w:rPr>
      </w:pPr>
    </w:p>
    <w:p w:rsidR="00DE496A" w:rsidRPr="00AD7590"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4.4报告期末非标准化债权</w:t>
      </w:r>
      <w:r w:rsidRPr="00AD7590">
        <w:rPr>
          <w:rStyle w:val="a6"/>
          <w:rFonts w:ascii="仿宋_GB2312" w:eastAsia="仿宋_GB2312" w:hAnsiTheme="minorEastAsia"/>
          <w:b/>
          <w:bCs/>
          <w:sz w:val="28"/>
          <w:szCs w:val="24"/>
        </w:rPr>
        <w:footnoteReference w:id="3"/>
      </w:r>
      <w:r w:rsidRPr="00AD7590">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8433AC">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8433AC">
              <w:rPr>
                <w:rFonts w:ascii="仿宋_GB2312" w:eastAsia="仿宋_GB2312" w:hAnsiTheme="minorEastAsia" w:hint="eastAsia"/>
                <w:bCs/>
                <w:sz w:val="24"/>
                <w:szCs w:val="24"/>
              </w:rPr>
              <w:t>（天）</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8433AC">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7129B4">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DC144F" w:rsidRPr="00792F91"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DC144F"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DC144F" w:rsidRPr="00DC144F" w:rsidRDefault="00DC144F" w:rsidP="006508A1">
      <w:pPr>
        <w:snapToGrid w:val="0"/>
        <w:spacing w:line="360" w:lineRule="auto"/>
        <w:ind w:firstLine="480"/>
        <w:rPr>
          <w:rFonts w:ascii="仿宋_GB2312" w:eastAsia="仿宋_GB2312" w:hAnsiTheme="minorEastAsia"/>
          <w:bCs/>
          <w:sz w:val="24"/>
          <w:szCs w:val="24"/>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5</w:t>
      </w:r>
      <w:r w:rsidRPr="00AD7590">
        <w:rPr>
          <w:rFonts w:ascii="仿宋_GB2312" w:eastAsia="仿宋_GB2312"/>
          <w:b/>
          <w:sz w:val="28"/>
          <w:szCs w:val="24"/>
        </w:rPr>
        <w:t> </w:t>
      </w:r>
      <w:r w:rsidRPr="00AD7590">
        <w:rPr>
          <w:rFonts w:ascii="仿宋_GB2312" w:eastAsia="仿宋_GB2312" w:hint="eastAsia"/>
          <w:b/>
          <w:sz w:val="28"/>
          <w:szCs w:val="24"/>
        </w:rPr>
        <w:t>.关联交易</w:t>
      </w:r>
    </w:p>
    <w:p w:rsidR="00DC144F" w:rsidRPr="00C53238" w:rsidRDefault="00DC144F" w:rsidP="00DC144F">
      <w:pPr>
        <w:rPr>
          <w:rFonts w:ascii="仿宋_GB2312" w:eastAsia="仿宋_GB2312" w:hAnsi="仿宋_GB2312" w:cs="仿宋_GB2312"/>
          <w:b/>
          <w:sz w:val="28"/>
        </w:rPr>
      </w:pPr>
      <w:r>
        <w:rPr>
          <w:rFonts w:ascii="仿宋_GB2312" w:eastAsia="仿宋_GB2312" w:hAnsi="仿宋_GB2312" w:cs="仿宋_GB2312"/>
          <w:b/>
          <w:sz w:val="28"/>
        </w:rPr>
        <w:t>5.1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DC144F" w:rsidTr="006E6AF8">
        <w:tc>
          <w:tcPr>
            <w:tcW w:w="805" w:type="dxa"/>
            <w:vAlign w:val="center"/>
          </w:tcPr>
          <w:p w:rsidR="00DC144F" w:rsidRDefault="00DC144F" w:rsidP="006E6AF8">
            <w:pPr>
              <w:jc w:val="center"/>
            </w:pPr>
            <w:r>
              <w:rPr>
                <w:rFonts w:ascii="仿宋_GB2312" w:eastAsia="仿宋_GB2312" w:hAnsi="仿宋_GB2312" w:cs="仿宋_GB2312"/>
                <w:sz w:val="24"/>
              </w:rPr>
              <w:t>序号</w:t>
            </w:r>
          </w:p>
        </w:tc>
        <w:tc>
          <w:tcPr>
            <w:tcW w:w="3370" w:type="dxa"/>
            <w:vAlign w:val="center"/>
          </w:tcPr>
          <w:p w:rsidR="00DC144F" w:rsidRDefault="00DC144F" w:rsidP="006E6AF8">
            <w:pPr>
              <w:jc w:val="center"/>
            </w:pPr>
            <w:r>
              <w:rPr>
                <w:rFonts w:ascii="仿宋_GB2312" w:eastAsia="仿宋_GB2312" w:hAnsi="仿宋_GB2312" w:cs="仿宋_GB2312"/>
                <w:sz w:val="24"/>
              </w:rPr>
              <w:t>资产名称</w:t>
            </w:r>
          </w:p>
        </w:tc>
        <w:tc>
          <w:tcPr>
            <w:tcW w:w="1618" w:type="dxa"/>
            <w:vAlign w:val="center"/>
          </w:tcPr>
          <w:p w:rsidR="00DC144F" w:rsidRDefault="00DC144F" w:rsidP="006E6AF8">
            <w:pPr>
              <w:jc w:val="center"/>
            </w:pPr>
            <w:r>
              <w:rPr>
                <w:rFonts w:ascii="仿宋_GB2312" w:eastAsia="仿宋_GB2312" w:hAnsi="仿宋_GB2312" w:cs="仿宋_GB2312"/>
                <w:sz w:val="24"/>
              </w:rPr>
              <w:t>报告期内应付管理费金额（元）</w:t>
            </w:r>
          </w:p>
        </w:tc>
        <w:tc>
          <w:tcPr>
            <w:tcW w:w="2729"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805"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DC144F" w:rsidRDefault="00DC144F" w:rsidP="00DC144F">
      <w:r>
        <w:rPr>
          <w:rFonts w:ascii="仿宋_GB2312" w:eastAsia="仿宋_GB2312" w:hAnsi="仿宋_GB2312" w:cs="仿宋_GB2312"/>
          <w:b/>
          <w:sz w:val="28"/>
        </w:rPr>
        <w:t>5.3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DC144F" w:rsidTr="006E6AF8">
        <w:tc>
          <w:tcPr>
            <w:tcW w:w="959" w:type="dxa"/>
            <w:vAlign w:val="center"/>
          </w:tcPr>
          <w:p w:rsidR="00DC144F" w:rsidRDefault="00DC144F" w:rsidP="006E6AF8">
            <w:pPr>
              <w:jc w:val="center"/>
            </w:pPr>
            <w:r>
              <w:rPr>
                <w:rFonts w:ascii="仿宋_GB2312" w:eastAsia="仿宋_GB2312" w:hAnsi="仿宋_GB2312" w:cs="仿宋_GB2312"/>
                <w:sz w:val="24"/>
              </w:rPr>
              <w:t>序号</w:t>
            </w:r>
          </w:p>
        </w:tc>
        <w:tc>
          <w:tcPr>
            <w:tcW w:w="1886" w:type="dxa"/>
            <w:vAlign w:val="center"/>
          </w:tcPr>
          <w:p w:rsidR="00DC144F" w:rsidRDefault="00DC144F" w:rsidP="006E6AF8">
            <w:pPr>
              <w:jc w:val="center"/>
            </w:pPr>
            <w:r>
              <w:rPr>
                <w:rFonts w:ascii="仿宋_GB2312" w:eastAsia="仿宋_GB2312" w:hAnsi="仿宋_GB2312" w:cs="仿宋_GB2312"/>
                <w:sz w:val="24"/>
              </w:rPr>
              <w:t>费用类型</w:t>
            </w:r>
          </w:p>
        </w:tc>
        <w:tc>
          <w:tcPr>
            <w:tcW w:w="1939" w:type="dxa"/>
            <w:vAlign w:val="center"/>
          </w:tcPr>
          <w:p w:rsidR="00DC144F" w:rsidRDefault="00DC144F" w:rsidP="006E6AF8">
            <w:pPr>
              <w:jc w:val="center"/>
            </w:pPr>
            <w:r>
              <w:rPr>
                <w:rFonts w:ascii="仿宋_GB2312" w:eastAsia="仿宋_GB2312" w:hAnsi="仿宋_GB2312" w:cs="仿宋_GB2312"/>
                <w:sz w:val="24"/>
              </w:rPr>
              <w:t>报告期内</w:t>
            </w:r>
            <w:r w:rsidR="004709F5">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95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88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93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73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snapToGrid w:val="0"/>
        <w:spacing w:line="360" w:lineRule="auto"/>
        <w:rPr>
          <w:rFonts w:ascii="仿宋_GB2312" w:eastAsia="仿宋_GB2312"/>
          <w:b/>
          <w:color w:val="000000" w:themeColor="text1"/>
          <w:sz w:val="17"/>
          <w:szCs w:val="17"/>
        </w:rPr>
      </w:pPr>
    </w:p>
    <w:p w:rsidR="009D54D8" w:rsidRDefault="009D54D8" w:rsidP="009D54D8">
      <w:pPr>
        <w:snapToGrid w:val="0"/>
        <w:spacing w:line="360" w:lineRule="auto"/>
        <w:rPr>
          <w:rFonts w:ascii="仿宋_GB2312" w:eastAsia="仿宋_GB2312"/>
          <w:b/>
          <w:color w:val="000000" w:themeColor="text1"/>
          <w:sz w:val="17"/>
          <w:szCs w:val="17"/>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6</w:t>
      </w:r>
      <w:r w:rsidRPr="00AD7590">
        <w:rPr>
          <w:rFonts w:ascii="仿宋_GB2312" w:eastAsia="仿宋_GB2312" w:hint="eastAsia"/>
          <w:b/>
          <w:sz w:val="28"/>
          <w:szCs w:val="24"/>
        </w:rPr>
        <w:t> </w:t>
      </w:r>
      <w:r w:rsidRPr="00AD7590">
        <w:rPr>
          <w:rFonts w:ascii="仿宋_GB2312" w:eastAsia="仿宋_GB2312" w:hint="eastAsia"/>
          <w:b/>
          <w:sz w:val="28"/>
          <w:szCs w:val="24"/>
        </w:rPr>
        <w:t>.影响投资者决策的其他重要信息</w:t>
      </w:r>
    </w:p>
    <w:p w:rsidR="005F4270" w:rsidRDefault="005F4270" w:rsidP="00702569">
      <w:pPr>
        <w:snapToGrid w:val="0"/>
        <w:spacing w:line="360" w:lineRule="auto"/>
        <w:ind w:firstLineChars="100" w:firstLine="240"/>
        <w:rPr>
          <w:rFonts w:ascii="仿宋_GB2312" w:eastAsia="仿宋_GB2312"/>
          <w:color w:val="000000"/>
          <w:sz w:val="24"/>
          <w:szCs w:val="24"/>
        </w:rPr>
      </w:pPr>
      <w:r>
        <w:rPr>
          <w:rFonts w:ascii="仿宋_GB2312" w:eastAsia="仿宋_GB2312" w:hint="eastAsia"/>
          <w:color w:val="000000"/>
          <w:sz w:val="24"/>
          <w:szCs w:val="24"/>
        </w:rPr>
        <w:t>无</w:t>
      </w:r>
    </w:p>
    <w:p w:rsidR="009F0B98" w:rsidRPr="00AD7590" w:rsidRDefault="0087105A"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7</w:t>
      </w:r>
      <w:r w:rsidR="009F0B98" w:rsidRPr="00AD7590">
        <w:rPr>
          <w:rFonts w:ascii="仿宋_GB2312" w:eastAsia="仿宋_GB2312" w:hint="eastAsia"/>
          <w:b/>
          <w:sz w:val="28"/>
          <w:szCs w:val="24"/>
        </w:rPr>
        <w:t>.托管机构报告</w:t>
      </w:r>
    </w:p>
    <w:p w:rsidR="00DC144F" w:rsidRPr="00190127"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FD5C8A"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FD5C8A" w:rsidSect="0014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A" w:rsidRDefault="00E5017A" w:rsidP="00E61C1A">
      <w:r>
        <w:separator/>
      </w:r>
    </w:p>
  </w:endnote>
  <w:endnote w:type="continuationSeparator" w:id="0">
    <w:p w:rsidR="00E5017A" w:rsidRDefault="00E5017A"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A" w:rsidRDefault="00E5017A" w:rsidP="00E61C1A">
      <w:r>
        <w:separator/>
      </w:r>
    </w:p>
  </w:footnote>
  <w:footnote w:type="continuationSeparator" w:id="0">
    <w:p w:rsidR="00E5017A" w:rsidRDefault="00E5017A" w:rsidP="00E61C1A">
      <w:r>
        <w:continuationSeparator/>
      </w:r>
    </w:p>
  </w:footnote>
  <w:footnote w:id="1">
    <w:p w:rsidR="00DC144F" w:rsidRPr="00DC144F" w:rsidRDefault="00E61C1A" w:rsidP="00E61C1A">
      <w:pPr>
        <w:pStyle w:val="a5"/>
        <w:rPr>
          <w:sz w:val="15"/>
          <w:szCs w:val="15"/>
        </w:rPr>
      </w:pPr>
      <w:r>
        <w:rPr>
          <w:rStyle w:val="a6"/>
        </w:rPr>
        <w:footnoteRef/>
      </w:r>
      <w:r>
        <w:rPr>
          <w:rFonts w:hint="eastAsia"/>
          <w:sz w:val="15"/>
          <w:szCs w:val="15"/>
        </w:rPr>
        <w:t>产品登记编码指本产品在全国银行理财信息登记系统获取的登记编码。</w:t>
      </w:r>
    </w:p>
  </w:footnote>
  <w:footnote w:id="2">
    <w:p w:rsidR="00DC144F" w:rsidRDefault="00DC144F" w:rsidP="00DC144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DC144F">
        <w:rPr>
          <w:rFonts w:hint="eastAsia"/>
          <w:sz w:val="15"/>
          <w:szCs w:val="15"/>
        </w:rPr>
        <w:t>所称非标准化债权资产，指根据《关于规范金融机构资产管理业务的指导意见》规定，标准化债权类资产之外的债权类资产</w:t>
      </w:r>
      <w:r w:rsidR="00DC144F" w:rsidRPr="00D73CEA">
        <w:rPr>
          <w:rFonts w:hint="eastAsia"/>
          <w:sz w:val="15"/>
          <w:szCs w:val="15"/>
        </w:rPr>
        <w:t>，以及不符合《标准化债权类资产认定规则》第一条、第二条、第三条所列条件的债权类资产，但存款（包括大额存单）以及债券逆回购、同业拆借等形成的资产除外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77F23"/>
    <w:rsid w:val="000814A5"/>
    <w:rsid w:val="000868F8"/>
    <w:rsid w:val="000A6C81"/>
    <w:rsid w:val="00104D58"/>
    <w:rsid w:val="00130728"/>
    <w:rsid w:val="00135D2E"/>
    <w:rsid w:val="00143D48"/>
    <w:rsid w:val="001814DB"/>
    <w:rsid w:val="00211495"/>
    <w:rsid w:val="00213ECF"/>
    <w:rsid w:val="00252B44"/>
    <w:rsid w:val="00265127"/>
    <w:rsid w:val="002668CD"/>
    <w:rsid w:val="00274D37"/>
    <w:rsid w:val="002A4991"/>
    <w:rsid w:val="0030187A"/>
    <w:rsid w:val="00316DA9"/>
    <w:rsid w:val="00337239"/>
    <w:rsid w:val="00367DBF"/>
    <w:rsid w:val="00380BE2"/>
    <w:rsid w:val="003C2427"/>
    <w:rsid w:val="003F480F"/>
    <w:rsid w:val="00400A77"/>
    <w:rsid w:val="00403000"/>
    <w:rsid w:val="0041011E"/>
    <w:rsid w:val="0041666B"/>
    <w:rsid w:val="00422289"/>
    <w:rsid w:val="0042245C"/>
    <w:rsid w:val="00442040"/>
    <w:rsid w:val="004567B4"/>
    <w:rsid w:val="004709F5"/>
    <w:rsid w:val="00476B87"/>
    <w:rsid w:val="0048092C"/>
    <w:rsid w:val="00493E9F"/>
    <w:rsid w:val="004A2E4E"/>
    <w:rsid w:val="004B609C"/>
    <w:rsid w:val="004E272F"/>
    <w:rsid w:val="005030C2"/>
    <w:rsid w:val="00564E1C"/>
    <w:rsid w:val="0058623B"/>
    <w:rsid w:val="005B0E63"/>
    <w:rsid w:val="005F4270"/>
    <w:rsid w:val="006304A5"/>
    <w:rsid w:val="006508A1"/>
    <w:rsid w:val="00675FEB"/>
    <w:rsid w:val="006E00B8"/>
    <w:rsid w:val="00702569"/>
    <w:rsid w:val="007047BC"/>
    <w:rsid w:val="007129B4"/>
    <w:rsid w:val="007167B6"/>
    <w:rsid w:val="007661A0"/>
    <w:rsid w:val="00771A45"/>
    <w:rsid w:val="00781652"/>
    <w:rsid w:val="007B1532"/>
    <w:rsid w:val="007D042E"/>
    <w:rsid w:val="007E2254"/>
    <w:rsid w:val="008009A1"/>
    <w:rsid w:val="008433AC"/>
    <w:rsid w:val="00870520"/>
    <w:rsid w:val="0087105A"/>
    <w:rsid w:val="008D2ECD"/>
    <w:rsid w:val="008D4921"/>
    <w:rsid w:val="009027FB"/>
    <w:rsid w:val="0093653B"/>
    <w:rsid w:val="00973891"/>
    <w:rsid w:val="00973E2E"/>
    <w:rsid w:val="009B5CCD"/>
    <w:rsid w:val="009B6B6E"/>
    <w:rsid w:val="009D54D8"/>
    <w:rsid w:val="009F0B98"/>
    <w:rsid w:val="00A15AE9"/>
    <w:rsid w:val="00A67501"/>
    <w:rsid w:val="00A7331C"/>
    <w:rsid w:val="00A768E1"/>
    <w:rsid w:val="00AD7590"/>
    <w:rsid w:val="00B2798E"/>
    <w:rsid w:val="00B650BC"/>
    <w:rsid w:val="00B9403A"/>
    <w:rsid w:val="00BB17CD"/>
    <w:rsid w:val="00BB6B71"/>
    <w:rsid w:val="00BC4844"/>
    <w:rsid w:val="00BE22F6"/>
    <w:rsid w:val="00C2222B"/>
    <w:rsid w:val="00C602A3"/>
    <w:rsid w:val="00C6244C"/>
    <w:rsid w:val="00C734DA"/>
    <w:rsid w:val="00CA6A9F"/>
    <w:rsid w:val="00D170C5"/>
    <w:rsid w:val="00D33E13"/>
    <w:rsid w:val="00D37F3B"/>
    <w:rsid w:val="00D601E1"/>
    <w:rsid w:val="00DA7C2E"/>
    <w:rsid w:val="00DB1D0D"/>
    <w:rsid w:val="00DC144F"/>
    <w:rsid w:val="00DC25F6"/>
    <w:rsid w:val="00DE1F30"/>
    <w:rsid w:val="00DE496A"/>
    <w:rsid w:val="00E5017A"/>
    <w:rsid w:val="00E61C1A"/>
    <w:rsid w:val="00E63347"/>
    <w:rsid w:val="00E706B1"/>
    <w:rsid w:val="00E903A0"/>
    <w:rsid w:val="00F16ECB"/>
    <w:rsid w:val="00F864D2"/>
    <w:rsid w:val="00FB1262"/>
    <w:rsid w:val="00FB4D10"/>
    <w:rsid w:val="00FC64B6"/>
    <w:rsid w:val="00FD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29B85-5848-4651-A67C-6B994CF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89434">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925571404">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545561087">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174522390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86</cp:revision>
</cp:coreProperties>
</file>