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浦银理财天添盈增利N款现金管理产品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2301239403(销售代码:2301232628/2301241861/2301241943/2301241944)</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Z7006923000523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2023-12-29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1,015,877,474.27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2301232628 : 人民银行7天通知存款利率</w:t>
              <w:br/>
              <w:t>2301241861 : 人民银行7天通知存款利率</w:t>
              <w:br/>
              <w:t>2301241943 : 人民银行7天通知存款利率</w:t>
              <w:br/>
              <w:t>2301241944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2301239403 : 1,015,877,474.27</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2301232628-A : 1.0000</w:t>
              <w:br/>
              <w:t>2301241861-A : 1.0000</w:t>
              <w:br/>
              <w:t>2301241943-A : 1.0000</w:t>
              <w:br/>
              <w:t>2301241944-A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2301232628-A : -</w:t>
              <w:br/>
              <w:t>2301241861-A : -</w:t>
              <w:br/>
              <w:t>2301241943-A : -</w:t>
              <w:br/>
              <w:t>2301241944-A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2301232628-A : 0.4824</w:t>
              <w:br/>
              <w:t>2301241861-A : 0.4958</w:t>
              <w:br/>
              <w:t>2301241943-A : 0.4816</w:t>
              <w:br/>
              <w:t>2301241944-A : 0.5082</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2301232628-A : 0.0156</w:t>
              <w:br/>
              <w:t>2301241861-A : 0.0161</w:t>
              <w:br/>
              <w:t>2301241943-A : 0.0156</w:t>
              <w:br/>
              <w:t>2301241944-A : 0.0161</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178,257,561.68</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17.54%</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178,849,631.09</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17.60%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12,111,257.61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530,561,266.14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52.21%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49,828,746.54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49,828,746.54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526,021,032.57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51.76%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250,019,340.58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24.60%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256,998,295.21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25.29%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1,016,237,938.98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1,016,237,938.98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华润深国投信托有限公司、建信信托有限责任公司、五矿国际信托有限公司、中诚信托有限责任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建信信托-尊驰1号信托计划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365,407,514.13</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35.97%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250,019,340.58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24.61%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178,257,474.61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17.55%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华润信托-惠鑫丰利13号集合资金信托计划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100,655,212.41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9.91%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24恒丰银行CD227</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49,828,746.54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4.90%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建信信托-尊驰7号信托计划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40,366,864.29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3.97%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24前海天语ABN001优先</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12,111,257.61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1.19%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建信信托-尊鑫40号集合资金信托计划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10,001,278.00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0.98%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长城财富玄武多资产固收十号资产管理产品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4,225,923.79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0.42%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百年资管弘远33号资产管理产品</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2,970,748.27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0.29%</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26385952.93</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2.60%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12082904.53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10983910.13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10075194.57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0.99%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7051735.84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6949966.86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6868487.25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6614977.03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6058620.78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6058535.19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0.60%</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1</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2024-01-02</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个人</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10001.50</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100.00%</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本季度新增</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2024-01-03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10001.85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2024-01-04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10002.20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2024-01-05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10002.55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49.98%</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4003.60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4000.12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49.98%</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4003.74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4000.26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49.98%</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4003.89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4000.40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49.98%</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4004.04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4000.54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49.98%</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4004.19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4000.97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49.98%</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4004.63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50.02%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4001.11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4004.78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4000.17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4001.26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4004.93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4000.42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4001.50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4005.17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4000.67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4001.74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4005.41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4002.46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4006.14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4001.66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4002.70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4006.38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4001.91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4002.94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4006.62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4002.16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4003.18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4006.86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4002.41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4003.42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4007.10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4003.15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4004.14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4007.83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4003.40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4004.38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4008.07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2024-01-31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4003.65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2024-01-31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4004.62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2024-01-31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4008.31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4003.90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4004.86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4008.55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33.36%</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40000.00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30.30%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70005.69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31.53%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80005.69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36.03%</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100010.32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24.27%</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100017.48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100027.37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100037.17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100046.97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100135.23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100145.03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100154.83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2024-02-21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100164.50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100174.17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100183.84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100212.85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2024-02-27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100222.52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100232.19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2024-02-29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100241.86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100251.53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2024-03-04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100280.69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2024-03-05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100289.69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100298.69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100307.69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100316.69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100343.69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2024-03-12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100352.69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2024-03-13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100361.68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2024-03-14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100370.67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100379.66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100406.63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100415.60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100424.57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100433.54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100442.55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100469.68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100478.72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100487.97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100497.43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2024-03-29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100506.93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100535.43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100544.91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100554.41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100592.41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100601.91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100611.41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100620.90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100630.40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100639.41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100666.43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100675.43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100684.43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100693.43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2024-04-19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100702.43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100729.44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100738.50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100747.56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100756.61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100765.61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100783.61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100792.60</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2024-04-30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100801.59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100855.58</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100864.57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100873.56</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2024-05-09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100882.55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100891.54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100900.53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100918.52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100926.15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100933.83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100941.51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2024-05-17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100949.19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100972.23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100979.91</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100987.59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100995.27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101002.95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101025.99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2024-05-28</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101033.67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136</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2024-05-29</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101041.35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137</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2024-05-30</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101049.03</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138</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2024-05-31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101056.75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139</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2024-06-03</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101079.92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22.12%</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140</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2024-06-04</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101087.64</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21.20%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141</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2024-06-05</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101095.79</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21.20%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142</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2024-06-06</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101104.22</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21.20%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143</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2024-06-07</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101112.65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21.20%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144</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2024-06-11</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101150.57</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21.20%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r>
        <w:tc>
          <w:tcPr>
            <w:tcW w:w="736" w:type="dxa"/>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145</w:t>
            </w:r>
          </w:p>
        </w:tc>
        <w:tc>
          <w:tcPr>
            <w:tcW w:w="1640" w:type="dxa"/>
            <w:vAlign w:val="center"/>
          </w:tcPr>
          <w:p>
            <w:pPr>
              <w:jc w:val="center"/>
              <w:textAlignment w:val="auto"/>
            </w:pPr>
            <w:r>
              <w:rPr>
                <w:rFonts w:ascii="仿宋_GB2312" w:hAnsi="宋体" w:cs="" w:eastAsia="仿宋_GB2312" w:asciiTheme="" w:cstheme="" w:eastAsiaTheme="" w:hAnsiTheme=""/>
                <w:b w:val="false"/>
                <w:i w:val="false"/>
                <w:color w:val=""/>
                <w:sz w:val="24"/>
                <w:u w:val="none"/>
              </w:rPr>
              <w:t>2024-06-12</w:t>
            </w:r>
          </w:p>
        </w:tc>
        <w:tc>
          <w:tcPr>
            <w:tcW w:w="993"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个人</w:t>
            </w:r>
          </w:p>
        </w:tc>
        <w:tc>
          <w:tcPr>
            <w:tcW w:w="1701"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101160.05</w:t>
            </w:r>
          </w:p>
        </w:tc>
        <w:tc>
          <w:tcPr>
            <w:tcW w:w="1559" w:type="dxa"/>
            <w:vAlign w:val="center"/>
            <w:hideMark/>
          </w:tcPr>
          <w:p>
            <w:pPr>
              <w:jc w:val="center"/>
              <w:textAlignment w:val="auto"/>
            </w:pPr>
            <w:r>
              <w:rPr>
                <w:rFonts w:ascii="仿宋_GB2312" w:hAnsi="宋体" w:cs="" w:eastAsia="仿宋_GB2312" w:asciiTheme="" w:cstheme="" w:eastAsiaTheme="" w:hAnsiTheme=""/>
                <w:b w:val="false"/>
                <w:i w:val="false"/>
                <w:color w:val=""/>
                <w:sz w:val="24"/>
                <w:u w:val="none"/>
              </w:rPr>
              <w:t>21.20%</w:t>
            </w:r>
          </w:p>
        </w:tc>
        <w:tc>
          <w:tcPr>
            <w:tcW w:w="1701" w:type="dxa"/>
            <w:vAlign w:val="center"/>
          </w:tcPr>
          <w:p>
            <w:pPr>
              <w:jc w:val="center"/>
              <w:textAlignment w:val="auto"/>
            </w:pPr>
            <w:r>
              <w:rPr>
                <w:rFonts w:ascii="仿宋_GB2312" w:hAnsi="宋体" w:cs="" w:eastAsia="仿宋_GB2312" w:asciiTheme="" w:cstheme="" w:eastAsiaTheme="" w:hAnsiTheme=""/>
                <w:b w:val="false"/>
                <w:i w:val="false"/>
                <w:color w:val=""/>
                <w:sz w:val="24"/>
                <w:u w:val="none"/>
              </w:rPr>
              <w:t>本季度新增</w:t>
            </w:r>
          </w:p>
        </w:tc>
        <w:tc>
          <w:tcPr>
            <w:tcW w:w="1276" w:type="dxa"/>
            <w:vAlign w:val="center"/>
          </w:tcPr>
          <w:p>
            <w:pPr>
              <w:jc w:val="center"/>
              <w:textAlignment w:val="auto"/>
            </w:pPr>
            <w:r>
              <w:rPr>
                <w:rFonts w:ascii="仿宋_GB2312" w:hAnsi="宋体" w:cs="" w:eastAsia="仿宋_GB2312" w:asciiTheme="" w:cstheme="" w:eastAsiaTheme="" w:hAnsiTheme=""/>
                <w:b w:val="false"/>
                <w:i w:val="false"/>
                <w:color w:val=""/>
                <w:sz w:val="24"/>
                <w:u w:val="none"/>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2024-06-14</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23平发D3</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20434698.63</w:t>
            </w:r>
          </w:p>
        </w:tc>
        <w:tc>
          <w:tcPr>
            <w:tcW w:w="2357" w:type="dxa"/>
            <w:vAlign w:val="center"/>
          </w:tcPr>
          <w:p w:rsidR="00F63FAF" w:rsidRDefault="0094595E" w:rsidP="006E6AF8">
            <w:pPr>
              <w:jc w:val="center"/>
            </w:pPr>
            <w:r>
              <w:rPr>
                <w:rFonts w:ascii="仿宋_GB2312" w:eastAsia="仿宋_GB2312" w:hAnsiTheme="minorEastAsia"/>
                <w:bCs/>
                <w:sz w:val="24"/>
                <w:szCs w:val="24"/>
              </w:rPr>
              <w:t>国泰君安证券股份有限公司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388.19</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浦银理财有限责任公司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213243.34</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