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浦银理财天添利现金宝18号</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2301239394(销售代码:2301241894/2301241895)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Z7006923000514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2024-06-21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498,045,640.39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2301241894 : 人民银行7天通知存款利率</w:t>
              <w:br/>
              <w:t>2301241895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中国银行股份有限公司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2301239394 : 498,045,640.39</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2301241894-A : 1.0000</w:t>
              <w:br/>
              <w:t>2301241895-A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2301241894-A : -</w:t>
              <w:br/>
              <w:t>2301241895-A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2301241894-A : 0.3724</w:t>
              <w:br/>
              <w:t>2301241895-A : 0.3628</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2301241894-A : 0.0150</w:t>
              <w:br/>
              <w:t>2301241895-A : 0.0145</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389,107,105.07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78.11%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389,213,793.33</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78.13%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105,915,227.51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21.26%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109,041,048.07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21.89%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3,019,132.30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498,148,153.14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498,148,153.14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附：本报告期内，本产品理财投资合作机构为“百年保险资产管理有限责任公司、长城财富保险资产管理股份有限公司、华润深国投信托有限公司、建信信托有限责任公司、中诚信托有限责任公司”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389,107,105.07</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78.13%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建信信托-尊鑫16号集合资金信托计划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82,443,474.42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16.55%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9,593,489.12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1.93%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中诚信托-安泰7号集合资金信托计划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5,444,906.43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5,006,579.91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3,125,820.56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0.63%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1,110,048.20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0.22%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644,249.69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566,970.33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中诚信托-安泰13号集合资金信托计划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517,229.79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0.10%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20171857.94</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4.05%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16647216.61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13599963.67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12283624.16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2.47%</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10080123.40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9631888.26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9134371.42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9077336.46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9000348.74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8068743.59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1.62%</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2024-06-21</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机构</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2000000.00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38.46%</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2000555.97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2200611.53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2000738.67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2200812.46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2000921.35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2201013.39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2001104.03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2201214.32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2001286.24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2201414.71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2001286.24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2201414.71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2001834.29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2202017.53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2002016.97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2202218.45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2002199.65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2202419.37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2002382.33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2202620.28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2002589.54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2202848.18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2003211.13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38.46%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2024-07-08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机构</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2203531.89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42.31%</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
            </w:r>
          </w:p>
        </w:tc>
        <w:tc>
          <w:tcPr>
            <w:tcW w:w="2357" w:type="dxa"/>
            <w:vAlign w:val="center"/>
          </w:tcPr>
          <w:p w:rsidR="00F63FAF" w:rsidRDefault="0094595E" w:rsidP="006E6AF8">
            <w:pPr>
              <w:jc w:val="center"/>
            </w:pPr>
            <w:r>
              <w:rPr>
                <w:rFonts w:ascii="仿宋_GB2312" w:eastAsia="仿宋_GB2312" w:hAnsiTheme="minorEastAsia"/>
                <w:bCs/>
                <w:sz w:val="24"/>
                <w:szCs w:val="24"/>
              </w:rPr>
              <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847.87</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浦银理财有限责任公司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