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浦银理财悦丰利增盈29号理财产品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2301230593(销售代码:2301240907/2301240908/2301240909/2301240910)</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Z7006923000622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2024-02-08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118,824,570.00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2301240907 : 3.10%-3.60%</w:t>
              <w:br/>
              <w:t>2301240908 : 3.20%-3.70%</w:t>
              <w:br/>
              <w:t>2301240909 : 3.00%-3.50%</w:t>
              <w:br/>
              <w:t>2301240910 : 2.95%-3.45%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2301230593 : 122,515,645.44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2301240907 : 1.031100</w:t>
              <w:br/>
              <w:t>2301240908 : 1.032024</w:t>
              <w:br/>
              <w:t>2301240909 : 1.030176</w:t>
              <w:br/>
              <w:t>2301240910 : 1.029715</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2301240907 : 1.031100</w:t>
              <w:br/>
              <w:t>2301240908 : 1.032024</w:t>
              <w:br/>
              <w:t>2301240909 : 1.030176</w:t>
              <w:br/>
              <w:t>2301240910 : 1.029715</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1,714,177.78</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1.40%</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2,169,717.73</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63,301,553.94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51.66%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57,067,882.75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46.57%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63,757,093.89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52.03%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57,067,882.75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46.57%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122,539,154.42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122,539,154.42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投资策略以配置估值稳定资产为主，适当配置短期限信用债，同时适当通过杠杆等方式增厚收益，相机通过久期调整获取超额收益。报告期内组合流动性资产比例维持在较高水准，未有流动性风险情况。</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附：本报告期内，本产品理财投资合作机构为“光大兴陇信托有限责任公司、华润深国投信托有限公司、中国对外经济贸易信托有限公司、中航信托股份有限公司”。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光大信托光信光鑫湘安80号1湖北省联合发展投资集团有限公司信托贷款业务</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57,067,882.75</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46.58%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37,588,857.13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30.68%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外贸信托-睿富19号证券投资集合资金信托计划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25,657,683.29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20.94%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1,714,177.78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1.40%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中航信托天玑共赢1号证券投资集合资金信托计划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510,553.47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0.42%</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湖北省联合发展投资集团有限公司</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光大信托光信光鑫湘安80号1湖北省联合发展投资集团有限公司信托贷款业务</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87</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信托贷款</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46.58%</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183935.61</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8634.18</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15464.15</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