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浦银理财天添鑫中短债2号理财产品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2301230059(销售代码:2301230336/2301230362/2301230377/2301230129)</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Z7006923000365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2023-08-18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2,533,725,204.73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2301230336 : 中债-综合财富(一年以下)指数收益率</w:t>
              <w:br/>
              <w:t>2301230362 : 中债-综合财富(一年以下)指数收益率</w:t>
              <w:br/>
              <w:t>2301230377 : 中债-综合财富(一年以下)指数收益率</w:t>
              <w:br/>
              <w:t>2301230129 : 中债-综合财富(一年以下)指数收益率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2301230059 : 2,615,646,292.86</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2301230129 : 1.0000</w:t>
              <w:br/>
              <w:t>2301230336 : 1.0364</w:t>
              <w:br/>
              <w:t>2301230362 : 1.0371</w:t>
              <w:br/>
              <w:t>2301230377 : 1.0312</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2301230129 : 1.0000</w:t>
              <w:br/>
              <w:t>2301230336 : 1.0364</w:t>
              <w:br/>
              <w:t>2301230362 : 1.0371</w:t>
              <w:br/>
              <w:t>2301230377 : 1.0312</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141,760,972.38</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5.42%</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1,582,463,287.15</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60.49%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796,321,562.06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30.44%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555.86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105,738,869.09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4.04%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2,474,306,372.10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94.58%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131,543,070.31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5.03%</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2,616,067,344.48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2,616,067,344.48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投资策略偏稳健，主要配置高等级短期限信用债，同时适当通过杠杆等方式增厚收益，相机通过久期调整获取超额收益。本产品杠杆率控制在合理水平，组合的流动性风险处于可控范围。</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大家资产管理有限责任公司、广东粤财信托有限公司、国华兴益保险资产管理有限公司、华润深国投信托有限公司、民生通惠资产管理有限公司、太平洋资产管理有限责任公司、新华资产管理股份有限公司、中国对外经济贸易信托有限公司、中国人寿资产管理有限公司、中航信托股份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外贸信托-睿富16号证券投资集合资金信托计划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417,942,155.75</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15.98%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民生通惠浦银惠享5号</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289,506,188.96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11.07%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国华兴益资管日馨月益7号</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279,729,896.14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10.69%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粤财信托浦银睿盈21号集合资金信托计划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269,979,299.12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10.32%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大家资产厚坤67号资产管理产品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267,463,119.16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10.23%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新华资产-明远九号</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262,578,359.90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10.04%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民生通惠浦银惠享3号</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177,763,742.70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6.80%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141,760,970.72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5.42%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中航信托天玑共赢2号证券投资集合资金信托计划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107,321,808.19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4.10%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百年资管弘远16号资产管理产品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102,656,063.14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3.92%</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2024-05-16</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22农发清发03</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51098017.21</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东方证券股份有限公司</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7342387.04</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1062662.88</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110897.46</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浦银理财有限责任公司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1258094.07</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