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广发中证国新港股通央企红利交易型开放式指数证券投资基金发起式联接基金（广发中证国新港股通央企红利ETF发起式联接C）基金产品资料概要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2025年1月7日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2025年1月10日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广发中证国新港股通央企红利ETF发起式联接</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022719</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广发中证国新港股通央企红利ETF发起式联接C</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022720</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招商银行股份有限公司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霍华明</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2008-07-01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满三年后继续存续的，连续20个工作日出现基金份额持有人数量不满200人或者基金资产净值低于5,000万元情形的，基金管理人应当在定期报告中予以披露；连续60个工作日出现上述情形的，基金管理人应当在10个工作日内向中国证监会报告并提出解决方案，解决方案包括持续运作、转换运作方式、与其他基金合并或者终止基金合同等，并在6个月内召集基金份额持有人大会。法律法规或中国证监会另有规定时，从其规定。	</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本基金通过主要投资于目标ETF，紧密跟踪业绩比较基准，追求跟踪偏离度和跟踪误差最小化。</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以目标ETF基金份额、标的指数（中证国新港股通央企红利指数）成份股及备选成份股（含存托凭证）为主要投资对象。此外，为更好地实现投资目标，本基金可少量投资于非成份股（包括科创板、创业板及其他国内依法发行上市的股票、存托凭证）、港股通标的股票、债券、债券回购、资产支持证券、银行存款、同业存单、货币市场工具、金融衍生工具（包括股指期货、国债期货、股票期权等）以及法律法规或中国证监会允许本基金投资的其他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本基金的目标ETF为广发中证国新港股通央企红利交易型开放式指数证券投资基金。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本基金可根据相关法律法规的规定参与转融通证券出借业务。</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如法律法规或监管机构以后允许基金投资于其他品种，基金管理人在履行适当程序后，可以将其纳入投资范围。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投资于目标ETF的比例不低于基金资产净值的90%且不低于非现金基金资产的80%；每个交易日日终在扣除股指期货合约、国债期货合约、股票期权合约需缴纳的交易保证金后，现金及到期日在一年以内的政府债券的比例合计不低于基金资产净值的5%，现金不包括结算备付金、存出保证金、应收申购款等。股指期货、国债期货、股票期权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如法律法规或中国证监会变更投资品种的投资比例限制，基金管理人在履行适当程序后，可以做出相应调整。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本基金为ETF联接基金，主要通过投资于目标ETF实现对标的指数的紧密跟踪。本基金力争将本基金净值增长率与业绩比较基准之间的日均跟踪偏离度的绝对值控制在0.35%以内，年化跟踪误差控制在4%以内。</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具体策略包括：（1）资产配置策略；（2）目标ETF投资策略；（3）股票投资策略；（4）存托凭证投资策略；（5）债券投资策略；（6）金融衍生品投资策略；（7）资产支持证券投资策略；（8）参与转融通证券出借业务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中证国新港股通央企红利指数收益率（使用估值汇率折算）×95%+活期存款利率（税后）×5%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本基金为ETF联接基金，风险与收益高于混合型基金、债券型基金与货币市场基金。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本基金为指数型基金，具有与标的指数、以及标的指数所代表的股票市场相似的风险收益特征。</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资产将投资于港股，会面临港股通机制下因投资环境、投资标的、市场制度以及交易规则等差异带来的特有风险，包括港股市场股价波动较大的风险、汇率风险、港股通机制下交易日不连贯可能带来的风险等。</w:t>
            </w:r>
          </w:p>
        </w:tc>
      </w:tr>
    </w:tbl>
    <w:p w:rsidR="00AD3A6F" w:rsidRPr="00E87B8A" w:rsidRDefault="00E71BEF">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注：详见《广发中证国新港股通央企红利交易型开放式指数证券投资基金发起式联接基金招募说明书》及其更新文件中“基金的投资”。</w:t>
      </w:r>
    </w:p>
    <w:p w:rsidR="00AD3A6F" w:rsidRPr="00E87B8A" w:rsidRDefault="00E71BEF">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71BEF"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A73782" gbicc:emptyAbove="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8"/>
        <w:gridCol w:w="3262"/>
        <w:gridCol w:w="1981"/>
        <w:gridCol w:w="1417"/>
      </w:tblGrid>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6"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本基金C类份额无认购费</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本基金C类份额无申购费</w:t>
            </w:r>
          </w:p>
        </w:tc>
      </w:tr>
      <w:tr w:rsidR="00AD3A6F" w:rsidRPr="00E87B8A" w:rsidTr="00165844">
        <w:trPr>
          <w:trHeight w:val="454"/>
        </w:trPr>
        <w:tc>
          <w:tcPr>
            <w:tcW w:w="1315"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71BEF">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0.50%</w:t>
            </w:r>
          </w:p>
        </w:tc>
        <w:tc>
          <w:tcPr>
            <w:tcW w:w="1457" w:type="pct"/>
            <w:tcBorders>
              <w:top w:val="dashSmallGap" w:sz="4" w:space="0" w:color="808080" w:themeColor="background1" w:themeShade="80"/>
            </w:tcBorders>
            <w:vAlign w:val="center"/>
          </w:tcPr>
          <w:p w:rsidR="000D2645" w:rsidRPr="00E87B8A" w:rsidRDefault="00E71BEF"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销售服务费</w:t>
            </w:r>
            <w:r w:rsidRPr="00E87B8A">
              <w:rPr>
                <w:rFonts w:ascii="仿宋" w:eastAsia="仿宋" w:hAnsi="仿宋" w:cs="方正仿宋简体" w:hint="eastAsia"/>
                <w:iCs/>
              </w:rPr>
              <w:t/>
            </w:r>
            <w:r w:rsidRPr="00E87B8A">
              <w:rPr>
                <w:rFonts w:ascii="仿宋" w:eastAsia="仿宋" w:hAnsi="仿宋" w:cs="方正仿宋简体" w:hint="eastAsia"/>
                <w:iCs/>
              </w:rPr>
              <w:t/>
            </w:r>
            <w:r w:rsidRPr="00E87B8A">
              <w:rPr>
                <w:rFonts w:ascii="仿宋" w:eastAsia="仿宋" w:hAnsi="仿宋" w:cs="方正仿宋简体" w:hint="eastAsia"/>
                <w:iCs/>
              </w:rPr>
              <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0.20%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71BEF"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71BEF">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本基金交易证券、基金等产生的费用和税负，按实际发生额从基金资产扣除；</w:t>
        <w:br/>
        <w:t>本基金基金财产中投资于目标ETF的部分不收取管理费和托管费。</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（1）指数投资相关的风险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1）标的指数回报与股票市场平均回报偏离的风险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2）标的指数波动的风险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3）基金投资组合回报与标的指数回报偏离的风险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4）成份股权重较大的风险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5）成份股停牌的风险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6）指数成份股发生负面事件面临退市时的应对风险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7）标的指数变更的风险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8）指数编制机构停止服务的风险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9）标的指数值计算出错的风险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（2）ETF联接基金相关投资风险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1）投资于目标ETF的风险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2）跟踪误差控制未达约定目标的风险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3）本基金为目标ETF的联接基金，但不能保证本基金的表现与目标ETF的表现完全一致，产生差异的原因主要包括：①现金投资比例要求；②申购赎回的影响。</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4）目标ETF面临的风险可能直接或间接成为本基金的风险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5）由目标ETF的联接基金变更为直接投资目标ETF标的指数成份股的指数基金的风险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（3）本基金可投资于股指期货、国债期货、股票期权、资产支持证券、存托凭证等特定品种，将面临投资上述品种所产生特定的风险，可能给基金净值带来不利影响或损失。</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（4）主题集中投资的风险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本基金标的指数成份股主要集中于港股通央企红利主题相关上市公司，须承受因政府政策变化、市场情况变化等影响相关主题的因素所带来的行业风险。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（5）投资港股通标的股票的风险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1）港股交易失败风险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2）汇率风险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3）港股通可投资标的范围调整带来的风险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4）境外市场的风险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（6）参与转融通证券出借业务风险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（7）本基金基金合同生效满三年之日，若基金资产净值低于2亿元人民币，基金合同自动终止，投资者将面临触及上述事件导致基金合同终止的风险。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（1）市场风险；（2）管理风险；（3）职业道德风险；（4）流动性风险；（5）合规性风险；（6）本基金法律文件风险收益特征表述与销售机构基金风险评价可能不一致的风险等。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（1）《广发中证国新港股通央企红利交易型开放式指数证券投资基金发起式联接基金基金合同》</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（2）《广发中证国新港股通央企红利交易型开放式指数证券投资基金发起式联接基金托管协议》</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（3）《广发中证国新港股通央企红利交易型开放式指数证券投资基金发起式联接基金招募说明书》</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F" w:rsidRDefault="00E71BEF" w:rsidP="0092395F">
      <w:r>
        <w:separator/>
      </w:r>
    </w:p>
  </w:endnote>
  <w:endnote w:type="continuationSeparator" w:id="0">
    <w:p w:rsidR="00E71BEF" w:rsidRDefault="00E71BEF"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2262">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2262">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F" w:rsidRDefault="00E71BEF" w:rsidP="0092395F">
      <w:r>
        <w:separator/>
      </w:r>
    </w:p>
  </w:footnote>
  <w:footnote w:type="continuationSeparator" w:id="0">
    <w:p w:rsidR="00E71BEF" w:rsidRDefault="00E71BEF"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0D57"/>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291"/>
    <w:rsid w:val="00364FA7"/>
    <w:rsid w:val="003665BF"/>
    <w:rsid w:val="003667EC"/>
    <w:rsid w:val="00367E76"/>
    <w:rsid w:val="00367F65"/>
    <w:rsid w:val="00370C84"/>
    <w:rsid w:val="003712CC"/>
    <w:rsid w:val="00373CC2"/>
    <w:rsid w:val="003744FE"/>
    <w:rsid w:val="0037519F"/>
    <w:rsid w:val="00375483"/>
    <w:rsid w:val="003800E8"/>
    <w:rsid w:val="00380AD2"/>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2F95"/>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262"/>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1BEF"/>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5988"/>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485C"/>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C16A9"/>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6DAA"/>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44A06648-8823-4AB8-A2C7-CD9D90AA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