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22E" w:rsidRDefault="00CB4FC9">
      <w:pPr>
        <w:adjustRightInd w:val="0"/>
        <w:snapToGrid w:val="0"/>
        <w:jc w:val="center"/>
        <w:rPr>
          <w:rFonts w:cs="方正黑体简体"/>
          <w:b/>
          <w:bCs/>
          <w:iCs/>
          <w:sz w:val="30"/>
          <w:szCs w:val="30"/>
        </w:rPr>
      </w:pPr>
      <w:bookmarkStart w:id="0" w:name="_GoBack"/>
      <w:bookmarkEnd w:id="0"/>
      <w:r>
        <w:rPr>
          <w:rFonts w:cs="方正黑体简体"/>
          <w:b/>
          <w:bCs/>
          <w:iCs/>
          <w:sz w:val="30"/>
          <w:szCs w:val="30"/>
        </w:rPr>
        <w:t>富国鑫汇养老目标日期</w:t>
      </w:r>
      <w:r>
        <w:rPr>
          <w:rFonts w:cs="方正黑体简体"/>
          <w:b/>
          <w:bCs/>
          <w:iCs/>
          <w:sz w:val="30"/>
          <w:szCs w:val="30"/>
        </w:rPr>
        <w:t>2045</w:t>
      </w:r>
      <w:r>
        <w:rPr>
          <w:rFonts w:cs="方正黑体简体"/>
          <w:b/>
          <w:bCs/>
          <w:iCs/>
          <w:sz w:val="30"/>
          <w:szCs w:val="30"/>
        </w:rPr>
        <w:t>五年持有期混合型发起式基金中基金（</w:t>
      </w:r>
      <w:r>
        <w:rPr>
          <w:rFonts w:cs="方正黑体简体"/>
          <w:b/>
          <w:bCs/>
          <w:iCs/>
          <w:sz w:val="30"/>
          <w:szCs w:val="30"/>
        </w:rPr>
        <w:t>FOF</w:t>
      </w:r>
      <w:r>
        <w:rPr>
          <w:rFonts w:cs="方正黑体简体"/>
          <w:b/>
          <w:bCs/>
          <w:iCs/>
          <w:sz w:val="30"/>
          <w:szCs w:val="30"/>
        </w:rPr>
        <w:t>）（</w:t>
      </w:r>
      <w:r>
        <w:rPr>
          <w:rFonts w:cs="方正黑体简体"/>
          <w:b/>
          <w:bCs/>
          <w:iCs/>
          <w:sz w:val="30"/>
          <w:szCs w:val="30"/>
        </w:rPr>
        <w:t>A</w:t>
      </w:r>
      <w:r>
        <w:rPr>
          <w:rFonts w:cs="方正黑体简体"/>
          <w:b/>
          <w:bCs/>
          <w:iCs/>
          <w:sz w:val="30"/>
          <w:szCs w:val="30"/>
        </w:rPr>
        <w:t>类份额）基金产品资料概要更新</w:t>
      </w:r>
    </w:p>
    <w:p w:rsidR="00084FBF" w:rsidRPr="00A14942" w:rsidRDefault="009D4653" w:rsidP="0043556E">
      <w:pPr>
        <w:adjustRightInd w:val="0"/>
        <w:snapToGrid w:val="0"/>
        <w:jc w:val="right"/>
        <w:rPr>
          <w:rFonts w:cs="方正仿宋简体"/>
          <w:iCs/>
          <w:color w:val="FF0000"/>
          <w:szCs w:val="21"/>
        </w:rPr>
      </w:pPr>
      <w:r>
        <w:rPr>
          <w:rFonts w:hint="eastAsia"/>
          <w:szCs w:val="21"/>
        </w:rPr>
        <w:t>2024年06月07日</w:t>
      </w:r>
      <w:r w:rsidR="0043556E" w:rsidRPr="00A14942">
        <w:rPr>
          <w:rFonts w:hint="eastAsia"/>
          <w:szCs w:val="21"/>
        </w:rPr>
        <w:t>（</w:t>
      </w:r>
      <w:r w:rsidR="0043556E" w:rsidRPr="00A14942">
        <w:rPr>
          <w:rFonts w:cs="方正仿宋简体" w:hint="eastAsia"/>
          <w:iCs/>
          <w:szCs w:val="21"/>
        </w:rPr>
        <w:t>信息截至：</w:t>
      </w:r>
      <w:r>
        <w:rPr>
          <w:rFonts w:cs="方正仿宋简体" w:hint="eastAsia"/>
          <w:iCs/>
          <w:szCs w:val="21"/>
        </w:rPr>
        <w:t>2024年06月06日</w:t>
      </w:r>
      <w:r w:rsidR="0043556E" w:rsidRPr="00A14942">
        <w:rPr>
          <w:rFonts w:hint="eastAsia"/>
          <w:szCs w:val="21"/>
        </w:rPr>
        <w:t>）</w:t>
      </w:r>
    </w:p>
    <w:p w:rsidR="00DE25AF" w:rsidRPr="00A14942" w:rsidRDefault="004E7FF3" w:rsidP="00084FBF">
      <w:pPr>
        <w:adjustRightInd w:val="0"/>
        <w:snapToGrid w:val="0"/>
        <w:jc w:val="center"/>
        <w:rPr>
          <w:rFonts w:cs="方正黑体简体"/>
          <w:b/>
          <w:bCs/>
          <w:iCs/>
          <w:sz w:val="24"/>
          <w:szCs w:val="21"/>
        </w:rPr>
      </w:pPr>
      <w:r w:rsidRPr="00A14942">
        <w:rPr>
          <w:rFonts w:cs="方正黑体简体" w:hint="eastAsia"/>
          <w:b/>
          <w:bCs/>
          <w:iCs/>
          <w:sz w:val="24"/>
          <w:szCs w:val="21"/>
        </w:rPr>
        <w:t>本概要提供本基金的重要信息，是招募说明书的一部分。作出投资决定前，请阅读完整的招募说明书等销售文件。</w:t>
      </w:r>
    </w:p>
    <w:p w:rsidR="006F366F" w:rsidRPr="000776C8" w:rsidRDefault="006F366F" w:rsidP="00E31F9B">
      <w:pPr>
        <w:pStyle w:val="1"/>
      </w:pPr>
      <w:r w:rsidRPr="000776C8">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28622E">
        <w:trPr>
          <w:trHeight w:val="340"/>
          <w:jc w:val="center"/>
        </w:trPr>
        <w:tc>
          <w:tcPr>
            <w:tcW w:w="1757"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基金简称</w:t>
            </w:r>
          </w:p>
        </w:tc>
        <w:tc>
          <w:tcPr>
            <w:tcW w:w="2887" w:type="dxa"/>
            <w:shd w:val="clear" w:color="auto" w:fill="auto"/>
            <w:vAlign w:val="center"/>
          </w:tcPr>
          <w:p w:rsidR="0028622E" w:rsidRDefault="00CB4FC9">
            <w:pPr>
              <w:adjustRightInd w:val="0"/>
              <w:snapToGrid w:val="0"/>
              <w:rPr>
                <w:rFonts w:cs="方正仿宋简体"/>
                <w:iCs/>
                <w:szCs w:val="21"/>
              </w:rPr>
            </w:pPr>
            <w:r>
              <w:rPr>
                <w:kern w:val="0"/>
                <w:szCs w:val="21"/>
              </w:rPr>
              <w:t>富国鑫汇养老目标日期</w:t>
            </w:r>
            <w:r>
              <w:rPr>
                <w:kern w:val="0"/>
                <w:szCs w:val="21"/>
              </w:rPr>
              <w:t>2045</w:t>
            </w:r>
            <w:r>
              <w:rPr>
                <w:kern w:val="0"/>
                <w:szCs w:val="21"/>
              </w:rPr>
              <w:t>五年持有期混合发起式（</w:t>
            </w:r>
            <w:r>
              <w:rPr>
                <w:kern w:val="0"/>
                <w:szCs w:val="21"/>
              </w:rPr>
              <w:t>FOF</w:t>
            </w:r>
            <w:r>
              <w:rPr>
                <w:kern w:val="0"/>
                <w:szCs w:val="21"/>
              </w:rPr>
              <w:t>）</w:t>
            </w: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基金代码</w:t>
            </w:r>
          </w:p>
        </w:tc>
        <w:tc>
          <w:tcPr>
            <w:tcW w:w="2835"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013420</w:t>
            </w:r>
          </w:p>
        </w:tc>
      </w:tr>
      <w:tr w:rsidR="0028622E">
        <w:trPr>
          <w:trHeight w:val="340"/>
          <w:jc w:val="center"/>
        </w:trPr>
        <w:tc>
          <w:tcPr>
            <w:tcW w:w="1757"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份额简称</w:t>
            </w:r>
          </w:p>
        </w:tc>
        <w:tc>
          <w:tcPr>
            <w:tcW w:w="2887" w:type="dxa"/>
            <w:shd w:val="clear" w:color="auto" w:fill="auto"/>
            <w:vAlign w:val="center"/>
          </w:tcPr>
          <w:p w:rsidR="0028622E" w:rsidRDefault="00CB4FC9">
            <w:pPr>
              <w:adjustRightInd w:val="0"/>
              <w:snapToGrid w:val="0"/>
              <w:rPr>
                <w:rFonts w:cs="方正仿宋简体"/>
                <w:iCs/>
                <w:szCs w:val="21"/>
              </w:rPr>
            </w:pPr>
            <w:r>
              <w:rPr>
                <w:kern w:val="0"/>
                <w:szCs w:val="21"/>
              </w:rPr>
              <w:t>富国鑫汇养老目标日期</w:t>
            </w:r>
            <w:r>
              <w:rPr>
                <w:kern w:val="0"/>
                <w:szCs w:val="21"/>
              </w:rPr>
              <w:t>2045</w:t>
            </w:r>
            <w:r>
              <w:rPr>
                <w:kern w:val="0"/>
                <w:szCs w:val="21"/>
              </w:rPr>
              <w:t>五年持有期混合发起式（</w:t>
            </w:r>
            <w:r>
              <w:rPr>
                <w:kern w:val="0"/>
                <w:szCs w:val="21"/>
              </w:rPr>
              <w:t>FOF</w:t>
            </w:r>
            <w:r>
              <w:rPr>
                <w:kern w:val="0"/>
                <w:szCs w:val="21"/>
              </w:rPr>
              <w:t>）</w:t>
            </w:r>
            <w:r>
              <w:rPr>
                <w:kern w:val="0"/>
                <w:szCs w:val="21"/>
              </w:rPr>
              <w:t>A</w:t>
            </w: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iCs/>
                <w:szCs w:val="21"/>
              </w:rPr>
              <w:t>份额代码</w:t>
            </w:r>
          </w:p>
        </w:tc>
        <w:tc>
          <w:tcPr>
            <w:tcW w:w="2835"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013420</w:t>
            </w:r>
          </w:p>
        </w:tc>
      </w:tr>
      <w:tr w:rsidR="0028622E">
        <w:trPr>
          <w:trHeight w:val="340"/>
          <w:jc w:val="center"/>
        </w:trPr>
        <w:tc>
          <w:tcPr>
            <w:tcW w:w="1757"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基金管理人</w:t>
            </w:r>
          </w:p>
        </w:tc>
        <w:tc>
          <w:tcPr>
            <w:tcW w:w="2887"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富国基金管理有限公司</w:t>
            </w: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基金托管人</w:t>
            </w:r>
          </w:p>
        </w:tc>
        <w:tc>
          <w:tcPr>
            <w:tcW w:w="2835"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招商银行股份有限公司</w:t>
            </w:r>
          </w:p>
        </w:tc>
      </w:tr>
      <w:tr w:rsidR="0028622E">
        <w:trPr>
          <w:trHeight w:val="340"/>
          <w:jc w:val="center"/>
        </w:trPr>
        <w:tc>
          <w:tcPr>
            <w:tcW w:w="1757"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基金合同生效日</w:t>
            </w:r>
          </w:p>
        </w:tc>
        <w:tc>
          <w:tcPr>
            <w:tcW w:w="2887" w:type="dxa"/>
            <w:shd w:val="clear" w:color="auto" w:fill="auto"/>
            <w:vAlign w:val="center"/>
          </w:tcPr>
          <w:p w:rsidR="0028622E" w:rsidRDefault="00CB4FC9">
            <w:pPr>
              <w:adjustRightInd w:val="0"/>
              <w:snapToGrid w:val="0"/>
              <w:rPr>
                <w:rFonts w:cs="方正仿宋简体"/>
                <w:iCs/>
                <w:szCs w:val="21"/>
              </w:rPr>
            </w:pPr>
            <w:r>
              <w:rPr>
                <w:kern w:val="0"/>
                <w:szCs w:val="21"/>
              </w:rPr>
              <w:t>2022</w:t>
            </w:r>
            <w:r>
              <w:rPr>
                <w:kern w:val="0"/>
                <w:szCs w:val="21"/>
              </w:rPr>
              <w:t>年</w:t>
            </w:r>
            <w:r>
              <w:rPr>
                <w:kern w:val="0"/>
                <w:szCs w:val="21"/>
              </w:rPr>
              <w:t>03</w:t>
            </w:r>
            <w:r>
              <w:rPr>
                <w:kern w:val="0"/>
                <w:szCs w:val="21"/>
              </w:rPr>
              <w:t>月</w:t>
            </w:r>
            <w:r>
              <w:rPr>
                <w:kern w:val="0"/>
                <w:szCs w:val="21"/>
              </w:rPr>
              <w:t>30</w:t>
            </w:r>
            <w:r>
              <w:rPr>
                <w:kern w:val="0"/>
                <w:szCs w:val="21"/>
              </w:rPr>
              <w:t>日</w:t>
            </w: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基金类型</w:t>
            </w:r>
          </w:p>
        </w:tc>
        <w:tc>
          <w:tcPr>
            <w:tcW w:w="2835"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基金中基金</w:t>
            </w:r>
          </w:p>
        </w:tc>
      </w:tr>
      <w:tr w:rsidR="0028622E">
        <w:trPr>
          <w:trHeight w:val="340"/>
          <w:jc w:val="center"/>
        </w:trPr>
        <w:tc>
          <w:tcPr>
            <w:tcW w:w="1757"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运作方式</w:t>
            </w:r>
          </w:p>
        </w:tc>
        <w:tc>
          <w:tcPr>
            <w:tcW w:w="2887" w:type="dxa"/>
            <w:shd w:val="clear" w:color="auto" w:fill="auto"/>
            <w:vAlign w:val="center"/>
          </w:tcPr>
          <w:p w:rsidR="0028622E" w:rsidRDefault="00CB4FC9">
            <w:pPr>
              <w:adjustRightInd w:val="0"/>
              <w:snapToGrid w:val="0"/>
              <w:rPr>
                <w:rFonts w:cs="方正仿宋简体"/>
                <w:iCs/>
                <w:szCs w:val="21"/>
              </w:rPr>
            </w:pPr>
            <w:r>
              <w:rPr>
                <w:kern w:val="0"/>
                <w:szCs w:val="21"/>
              </w:rPr>
              <w:t>其他开放式</w:t>
            </w: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开放频率</w:t>
            </w:r>
          </w:p>
        </w:tc>
        <w:tc>
          <w:tcPr>
            <w:tcW w:w="2835"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对每份基金份额设置五年的最短持有期限</w:t>
            </w:r>
          </w:p>
        </w:tc>
      </w:tr>
      <w:tr w:rsidR="0028622E">
        <w:trPr>
          <w:trHeight w:val="340"/>
          <w:jc w:val="center"/>
        </w:trPr>
        <w:tc>
          <w:tcPr>
            <w:tcW w:w="1757"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交易币种</w:t>
            </w:r>
          </w:p>
        </w:tc>
        <w:tc>
          <w:tcPr>
            <w:tcW w:w="2887" w:type="dxa"/>
            <w:shd w:val="clear" w:color="auto" w:fill="auto"/>
            <w:vAlign w:val="center"/>
          </w:tcPr>
          <w:p w:rsidR="0028622E" w:rsidRDefault="00CB4FC9">
            <w:pPr>
              <w:adjustRightInd w:val="0"/>
              <w:snapToGrid w:val="0"/>
              <w:rPr>
                <w:rFonts w:cs="方正仿宋简体"/>
                <w:iCs/>
                <w:szCs w:val="21"/>
              </w:rPr>
            </w:pPr>
            <w:r>
              <w:rPr>
                <w:rFonts w:hint="eastAsia"/>
                <w:kern w:val="0"/>
                <w:szCs w:val="21"/>
              </w:rPr>
              <w:t>人民币</w:t>
            </w:r>
          </w:p>
        </w:tc>
        <w:tc>
          <w:tcPr>
            <w:tcW w:w="1701" w:type="dxa"/>
            <w:shd w:val="clear" w:color="auto" w:fill="auto"/>
            <w:vAlign w:val="center"/>
          </w:tcPr>
          <w:p w:rsidR="004E1601" w:rsidRPr="00315D72" w:rsidRDefault="004E1601" w:rsidP="004E1601">
            <w:pPr>
              <w:adjustRightInd w:val="0"/>
              <w:snapToGrid w:val="0"/>
              <w:rPr>
                <w:rFonts w:cs="方正仿宋简体"/>
                <w:iCs/>
                <w:szCs w:val="21"/>
              </w:rPr>
            </w:pPr>
          </w:p>
        </w:tc>
        <w:tc>
          <w:tcPr>
            <w:tcW w:w="2835" w:type="dxa"/>
            <w:shd w:val="clear" w:color="auto" w:fill="auto"/>
            <w:vAlign w:val="center"/>
          </w:tcPr>
          <w:p w:rsidR="0028622E" w:rsidRDefault="0028622E">
            <w:pPr>
              <w:adjustRightInd w:val="0"/>
              <w:snapToGrid w:val="0"/>
              <w:rPr>
                <w:rFonts w:cs="方正仿宋简体"/>
                <w:iCs/>
                <w:szCs w:val="21"/>
              </w:rPr>
            </w:pPr>
          </w:p>
        </w:tc>
      </w:tr>
      <w:tr w:rsidR="0028622E">
        <w:trPr>
          <w:trHeight w:val="340"/>
          <w:jc w:val="center"/>
        </w:trPr>
        <w:tc>
          <w:tcPr>
            <w:tcW w:w="1757" w:type="dxa"/>
            <w:vMerge w:val="restart"/>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基金经理</w:t>
            </w:r>
          </w:p>
        </w:tc>
        <w:tc>
          <w:tcPr>
            <w:tcW w:w="2887" w:type="dxa"/>
            <w:vMerge w:val="restart"/>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王登元</w:t>
            </w: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任职日期</w:t>
            </w:r>
          </w:p>
        </w:tc>
        <w:tc>
          <w:tcPr>
            <w:tcW w:w="2835"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2022</w:t>
            </w:r>
            <w:r>
              <w:rPr>
                <w:rFonts w:cs="方正仿宋简体" w:hint="eastAsia"/>
                <w:iCs/>
                <w:szCs w:val="21"/>
              </w:rPr>
              <w:t>年</w:t>
            </w:r>
            <w:r>
              <w:rPr>
                <w:rFonts w:cs="方正仿宋简体" w:hint="eastAsia"/>
                <w:iCs/>
                <w:szCs w:val="21"/>
              </w:rPr>
              <w:t>03</w:t>
            </w:r>
            <w:r>
              <w:rPr>
                <w:rFonts w:cs="方正仿宋简体" w:hint="eastAsia"/>
                <w:iCs/>
                <w:szCs w:val="21"/>
              </w:rPr>
              <w:t>月</w:t>
            </w:r>
            <w:r>
              <w:rPr>
                <w:rFonts w:cs="方正仿宋简体" w:hint="eastAsia"/>
                <w:iCs/>
                <w:szCs w:val="21"/>
              </w:rPr>
              <w:t>30</w:t>
            </w:r>
            <w:r>
              <w:rPr>
                <w:rFonts w:cs="方正仿宋简体" w:hint="eastAsia"/>
                <w:iCs/>
                <w:szCs w:val="21"/>
              </w:rPr>
              <w:t>日</w:t>
            </w:r>
          </w:p>
        </w:tc>
      </w:tr>
      <w:tr w:rsidR="0028622E">
        <w:trPr>
          <w:trHeight w:val="340"/>
          <w:jc w:val="center"/>
        </w:trPr>
        <w:tc>
          <w:tcPr>
            <w:tcW w:w="175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288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1701"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证券从业日期</w:t>
            </w:r>
          </w:p>
        </w:tc>
        <w:tc>
          <w:tcPr>
            <w:tcW w:w="2835" w:type="dxa"/>
            <w:shd w:val="clear" w:color="auto" w:fill="auto"/>
            <w:vAlign w:val="center"/>
          </w:tcPr>
          <w:p w:rsidR="0028622E" w:rsidRDefault="00CB4FC9">
            <w:pPr>
              <w:adjustRightInd w:val="0"/>
              <w:snapToGrid w:val="0"/>
              <w:rPr>
                <w:rFonts w:cs="方正仿宋简体"/>
                <w:iCs/>
                <w:szCs w:val="21"/>
              </w:rPr>
            </w:pPr>
            <w:r>
              <w:rPr>
                <w:rFonts w:cs="方正仿宋简体" w:hint="eastAsia"/>
                <w:iCs/>
                <w:szCs w:val="21"/>
              </w:rPr>
              <w:t>2011</w:t>
            </w:r>
            <w:r>
              <w:rPr>
                <w:rFonts w:cs="方正仿宋简体" w:hint="eastAsia"/>
                <w:iCs/>
                <w:szCs w:val="21"/>
              </w:rPr>
              <w:t>年</w:t>
            </w:r>
            <w:r>
              <w:rPr>
                <w:rFonts w:cs="方正仿宋简体" w:hint="eastAsia"/>
                <w:iCs/>
                <w:szCs w:val="21"/>
              </w:rPr>
              <w:t>07</w:t>
            </w:r>
            <w:r>
              <w:rPr>
                <w:rFonts w:cs="方正仿宋简体" w:hint="eastAsia"/>
                <w:iCs/>
                <w:szCs w:val="21"/>
              </w:rPr>
              <w:t>月</w:t>
            </w:r>
            <w:r>
              <w:rPr>
                <w:rFonts w:cs="方正仿宋简体" w:hint="eastAsia"/>
                <w:iCs/>
                <w:szCs w:val="21"/>
              </w:rPr>
              <w:t>01</w:t>
            </w:r>
            <w:r>
              <w:rPr>
                <w:rFonts w:cs="方正仿宋简体" w:hint="eastAsia"/>
                <w:iCs/>
                <w:szCs w:val="21"/>
              </w:rPr>
              <w:t>日</w:t>
            </w:r>
          </w:p>
        </w:tc>
      </w:tr>
    </w:tbl>
    <w:p w:rsidR="0028622E" w:rsidRDefault="00CB4FC9">
      <w:pPr>
        <w:adjustRightInd w:val="0"/>
        <w:snapToGrid w:val="0"/>
        <w:spacing w:beforeLines="20" w:before="87" w:line="288" w:lineRule="auto"/>
        <w:rPr>
          <w:rFonts w:cs="方正仿宋简体"/>
          <w:iCs/>
          <w:szCs w:val="21"/>
        </w:rPr>
      </w:pPr>
      <w:r>
        <w:rPr>
          <w:rFonts w:cs="方正仿宋简体" w:hint="eastAsia"/>
          <w:iCs/>
          <w:szCs w:val="21"/>
        </w:rPr>
        <w:t>注：在目标日期</w:t>
      </w:r>
      <w:r>
        <w:rPr>
          <w:rFonts w:cs="方正仿宋简体" w:hint="eastAsia"/>
          <w:iCs/>
          <w:szCs w:val="21"/>
        </w:rPr>
        <w:t>2045</w:t>
      </w:r>
      <w:r>
        <w:rPr>
          <w:rFonts w:cs="方正仿宋简体" w:hint="eastAsia"/>
          <w:iCs/>
          <w:szCs w:val="21"/>
        </w:rPr>
        <w:t>年</w:t>
      </w:r>
      <w:r>
        <w:rPr>
          <w:rFonts w:cs="方正仿宋简体" w:hint="eastAsia"/>
          <w:iCs/>
          <w:szCs w:val="21"/>
        </w:rPr>
        <w:t>12</w:t>
      </w:r>
      <w:r>
        <w:rPr>
          <w:rFonts w:cs="方正仿宋简体" w:hint="eastAsia"/>
          <w:iCs/>
          <w:szCs w:val="21"/>
        </w:rPr>
        <w:t>月</w:t>
      </w:r>
      <w:r>
        <w:rPr>
          <w:rFonts w:cs="方正仿宋简体" w:hint="eastAsia"/>
          <w:iCs/>
          <w:szCs w:val="21"/>
        </w:rPr>
        <w:t>31</w:t>
      </w:r>
      <w:r>
        <w:rPr>
          <w:rFonts w:cs="方正仿宋简体" w:hint="eastAsia"/>
          <w:iCs/>
          <w:szCs w:val="21"/>
        </w:rPr>
        <w:t>日次日（即</w:t>
      </w:r>
      <w:r>
        <w:rPr>
          <w:rFonts w:cs="方正仿宋简体" w:hint="eastAsia"/>
          <w:iCs/>
          <w:szCs w:val="21"/>
        </w:rPr>
        <w:t>2046</w:t>
      </w:r>
      <w:r>
        <w:rPr>
          <w:rFonts w:cs="方正仿宋简体" w:hint="eastAsia"/>
          <w:iCs/>
          <w:szCs w:val="21"/>
        </w:rPr>
        <w:t>年</w:t>
      </w:r>
      <w:r>
        <w:rPr>
          <w:rFonts w:cs="方正仿宋简体" w:hint="eastAsia"/>
          <w:iCs/>
          <w:szCs w:val="21"/>
        </w:rPr>
        <w:t>1</w:t>
      </w:r>
      <w:r>
        <w:rPr>
          <w:rFonts w:cs="方正仿宋简体" w:hint="eastAsia"/>
          <w:iCs/>
          <w:szCs w:val="21"/>
        </w:rPr>
        <w:t>月</w:t>
      </w:r>
      <w:r>
        <w:rPr>
          <w:rFonts w:cs="方正仿宋简体" w:hint="eastAsia"/>
          <w:iCs/>
          <w:szCs w:val="21"/>
        </w:rPr>
        <w:t>1</w:t>
      </w:r>
      <w:r>
        <w:rPr>
          <w:rFonts w:cs="方正仿宋简体" w:hint="eastAsia"/>
          <w:iCs/>
          <w:szCs w:val="21"/>
        </w:rPr>
        <w:t>日），本基金自动转型为“富国鑫颐混合型基金中基金（</w:t>
      </w:r>
      <w:r>
        <w:rPr>
          <w:rFonts w:cs="方正仿宋简体" w:hint="eastAsia"/>
          <w:iCs/>
          <w:szCs w:val="21"/>
        </w:rPr>
        <w:t>FOF</w:t>
      </w:r>
      <w:r>
        <w:rPr>
          <w:rFonts w:cs="方正仿宋简体" w:hint="eastAsia"/>
          <w:iCs/>
          <w:szCs w:val="21"/>
        </w:rPr>
        <w:t>）”。</w:t>
      </w:r>
    </w:p>
    <w:p w:rsidR="006F366F" w:rsidRPr="005F6CAD" w:rsidRDefault="006F366F" w:rsidP="000776C8">
      <w:pPr>
        <w:pStyle w:val="1"/>
      </w:pPr>
      <w:r w:rsidRPr="005F6CAD">
        <w:rPr>
          <w:rFonts w:hint="eastAsia"/>
        </w:rPr>
        <w:t>基金投资与净值表现</w:t>
      </w:r>
    </w:p>
    <w:p w:rsidR="00BC4EFB" w:rsidRDefault="00BC4EFB" w:rsidP="000776C8">
      <w:pPr>
        <w:pStyle w:val="2"/>
      </w:pPr>
      <w:r w:rsidRPr="000776C8">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28622E">
        <w:trPr>
          <w:trHeight w:val="340"/>
          <w:jc w:val="center"/>
        </w:trPr>
        <w:tc>
          <w:tcPr>
            <w:tcW w:w="1757" w:type="dxa"/>
            <w:shd w:val="clear" w:color="auto" w:fill="auto"/>
            <w:vAlign w:val="center"/>
          </w:tcPr>
          <w:p w:rsidR="0028622E" w:rsidRDefault="00CB4FC9">
            <w:pPr>
              <w:pStyle w:val="ae"/>
            </w:pPr>
            <w:r>
              <w:rPr>
                <w:rFonts w:hint="eastAsia"/>
              </w:rPr>
              <w:t>投资目标</w:t>
            </w:r>
          </w:p>
        </w:tc>
        <w:tc>
          <w:tcPr>
            <w:tcW w:w="7423" w:type="dxa"/>
            <w:shd w:val="clear" w:color="auto" w:fill="auto"/>
            <w:vAlign w:val="center"/>
          </w:tcPr>
          <w:p w:rsidR="0028622E" w:rsidRDefault="00CB4FC9">
            <w:pPr>
              <w:pStyle w:val="ae"/>
            </w:pPr>
            <w:r>
              <w:rPr>
                <w:rFonts w:hint="eastAsia"/>
              </w:rPr>
              <w:t>本基金依照下滑曲线进行大类资产配置，随着目标日期临近逐渐降低权益类资产的配置比例，灵活投资于多种具有不同风险收益特征的基金和其他资产，在力争实现养老目标的前提下，追求养老资产的长期稳健增值。</w:t>
            </w:r>
          </w:p>
          <w:p w:rsidR="0028622E" w:rsidRDefault="00CB4FC9">
            <w:pPr>
              <w:pStyle w:val="ae"/>
            </w:pPr>
            <w:r>
              <w:rPr>
                <w:rFonts w:hint="eastAsia"/>
              </w:rPr>
              <w:t>目标日期后，本基金在严格控制风险的基础上，通过积极主动的投资管理、基金优选，追求基金长期稳健增值。</w:t>
            </w:r>
          </w:p>
        </w:tc>
      </w:tr>
      <w:tr w:rsidR="0028622E">
        <w:trPr>
          <w:trHeight w:val="340"/>
          <w:jc w:val="center"/>
        </w:trPr>
        <w:tc>
          <w:tcPr>
            <w:tcW w:w="1757" w:type="dxa"/>
            <w:shd w:val="clear" w:color="auto" w:fill="auto"/>
            <w:vAlign w:val="center"/>
          </w:tcPr>
          <w:p w:rsidR="0028622E" w:rsidRDefault="00CB4FC9">
            <w:pPr>
              <w:pStyle w:val="ae"/>
            </w:pPr>
            <w:r>
              <w:rPr>
                <w:rFonts w:hint="eastAsia"/>
              </w:rPr>
              <w:t>投资范围</w:t>
            </w:r>
          </w:p>
        </w:tc>
        <w:tc>
          <w:tcPr>
            <w:tcW w:w="7423" w:type="dxa"/>
            <w:shd w:val="clear" w:color="auto" w:fill="auto"/>
            <w:vAlign w:val="center"/>
          </w:tcPr>
          <w:p w:rsidR="0028622E" w:rsidRDefault="00CB4FC9">
            <w:pPr>
              <w:pStyle w:val="ae"/>
            </w:pPr>
            <w:r>
              <w:rPr>
                <w:rFonts w:hint="eastAsia"/>
              </w:rPr>
              <w:t>本基金的投资范围包括经中国证监会依法核准或注册的公开募集的基金份额（包括</w:t>
            </w:r>
            <w:r>
              <w:rPr>
                <w:rFonts w:hint="eastAsia"/>
              </w:rPr>
              <w:t>QDII</w:t>
            </w:r>
            <w:r>
              <w:rPr>
                <w:rFonts w:hint="eastAsia"/>
              </w:rPr>
              <w:t>基金、商品基金（含商品期货基金和黄金</w:t>
            </w:r>
            <w:r>
              <w:rPr>
                <w:rFonts w:hint="eastAsia"/>
              </w:rPr>
              <w:t>ETF</w:t>
            </w:r>
            <w:r>
              <w:rPr>
                <w:rFonts w:hint="eastAsia"/>
              </w:rPr>
              <w:t>，下同）及其他经中国证监会核准或注册的公开募集证券投资基金、香港互认基金）、国内依法公开发行上市交易的股票（包括主板、创业板及其他中国证监会允许发行的股票）、存托凭证、港股通标的股票、债券（包括国债、地方政府债、金融债、企业债、公司债、政府支持债券、政府支持机构债、次级债、可转换债券、分离交易可转债、央行票据、中期票据、短期融资券（含超短期融资券）、可交换债券）、资产支持证券、债券回购、</w:t>
            </w:r>
            <w:r>
              <w:rPr>
                <w:rFonts w:hint="eastAsia"/>
              </w:rPr>
              <w:t>银行存款（包括定期存款、协议存款、通知存款等）、同业存单以及法律法规或中国证监会允许基金投资的其他金融工具（但须符合中国证监会的相关规定）。</w:t>
            </w:r>
          </w:p>
          <w:p w:rsidR="0028622E" w:rsidRDefault="00CB4FC9">
            <w:pPr>
              <w:pStyle w:val="ae"/>
            </w:pPr>
            <w:r>
              <w:rPr>
                <w:rFonts w:hint="eastAsia"/>
              </w:rPr>
              <w:t>基金的投资组合比例为：本基金投资于经中国证监会依法核准或注册的公开募集的基金份额的资产占基金资产的比例不低于</w:t>
            </w:r>
            <w:r>
              <w:rPr>
                <w:rFonts w:hint="eastAsia"/>
              </w:rPr>
              <w:t>80%</w:t>
            </w:r>
            <w:r>
              <w:rPr>
                <w:rFonts w:hint="eastAsia"/>
              </w:rPr>
              <w:t>；本基金投资于股票、存托凭证、股票型基金、混合型基金和商品基金（含商品期货基金和黄金</w:t>
            </w:r>
            <w:r>
              <w:rPr>
                <w:rFonts w:hint="eastAsia"/>
              </w:rPr>
              <w:t>ETF</w:t>
            </w:r>
            <w:r>
              <w:rPr>
                <w:rFonts w:hint="eastAsia"/>
              </w:rPr>
              <w:t>）等品种的比例合计原则上不高于基金资产的</w:t>
            </w:r>
            <w:r>
              <w:rPr>
                <w:rFonts w:hint="eastAsia"/>
              </w:rPr>
              <w:t>80%</w:t>
            </w:r>
            <w:r>
              <w:rPr>
                <w:rFonts w:hint="eastAsia"/>
              </w:rPr>
              <w:t>。本基金投资于货币市场基金的资产占基金资产的比例不高于</w:t>
            </w:r>
            <w:r>
              <w:rPr>
                <w:rFonts w:hint="eastAsia"/>
              </w:rPr>
              <w:t>15%</w:t>
            </w:r>
            <w:r>
              <w:rPr>
                <w:rFonts w:hint="eastAsia"/>
              </w:rPr>
              <w:t>，投资于商品基金的资产占基金资产的比例不高于</w:t>
            </w:r>
            <w:r>
              <w:rPr>
                <w:rFonts w:hint="eastAsia"/>
              </w:rPr>
              <w:t>10%</w:t>
            </w:r>
            <w:r>
              <w:rPr>
                <w:rFonts w:hint="eastAsia"/>
              </w:rPr>
              <w:t>。本基金投</w:t>
            </w:r>
            <w:r>
              <w:rPr>
                <w:rFonts w:hint="eastAsia"/>
              </w:rPr>
              <w:t>资于港股通标的股票的比例占股票资产的</w:t>
            </w:r>
            <w:r>
              <w:rPr>
                <w:rFonts w:hint="eastAsia"/>
              </w:rPr>
              <w:t>0%-50%</w:t>
            </w:r>
            <w:r>
              <w:rPr>
                <w:rFonts w:hint="eastAsia"/>
              </w:rPr>
              <w:t>。</w:t>
            </w:r>
          </w:p>
          <w:p w:rsidR="0028622E" w:rsidRDefault="00CB4FC9">
            <w:pPr>
              <w:pStyle w:val="ae"/>
            </w:pPr>
            <w:r>
              <w:rPr>
                <w:rFonts w:hint="eastAsia"/>
              </w:rPr>
              <w:lastRenderedPageBreak/>
              <w:t>本基金持有的现金或者到期日在一年以内的政府债券不低于基金资产净值的</w:t>
            </w:r>
            <w:r>
              <w:rPr>
                <w:rFonts w:hint="eastAsia"/>
              </w:rPr>
              <w:t>5%</w:t>
            </w:r>
            <w:r>
              <w:rPr>
                <w:rFonts w:hint="eastAsia"/>
              </w:rPr>
              <w:t>，其中现金不包括结算备付金、存出保证金、应收申购款等。</w:t>
            </w:r>
          </w:p>
        </w:tc>
      </w:tr>
      <w:tr w:rsidR="0028622E">
        <w:trPr>
          <w:trHeight w:val="340"/>
          <w:jc w:val="center"/>
        </w:trPr>
        <w:tc>
          <w:tcPr>
            <w:tcW w:w="1757" w:type="dxa"/>
            <w:shd w:val="clear" w:color="auto" w:fill="auto"/>
            <w:vAlign w:val="center"/>
          </w:tcPr>
          <w:p w:rsidR="0028622E" w:rsidRDefault="00CB4FC9">
            <w:pPr>
              <w:pStyle w:val="ae"/>
            </w:pPr>
            <w:r>
              <w:rPr>
                <w:rFonts w:hint="eastAsia"/>
              </w:rPr>
              <w:lastRenderedPageBreak/>
              <w:t>主要投资策略</w:t>
            </w:r>
          </w:p>
        </w:tc>
        <w:tc>
          <w:tcPr>
            <w:tcW w:w="7423" w:type="dxa"/>
            <w:shd w:val="clear" w:color="auto" w:fill="auto"/>
            <w:vAlign w:val="center"/>
          </w:tcPr>
          <w:p w:rsidR="0028622E" w:rsidRDefault="00CB4FC9">
            <w:pPr>
              <w:pStyle w:val="ae"/>
            </w:pPr>
            <w:r>
              <w:rPr>
                <w:rFonts w:hint="eastAsia"/>
              </w:rPr>
              <w:t>本基金采用目标日期策略，即随着所设定目标日期的临近，逐步降低权益类资产的配置比例，增加非权益类资产的配置比例。在有效控制风险前提下确定大类资产配置比例，并通过定量分析和定性分析相结合的方式筛选出优质基金组成投资组合，争取实现基金资产的长期稳健增值。在资产配置方面，本基金充分考虑投资者在职业生涯中人力资本和金融资本的不断变化、中长期投资对投资风险的承受能力的变化等因素，设定权益类资产、非权益类资产的配置目标比例随时间变化的路径，同时根据短期政策与法规的变化、证券市场情况变化、利率走势、经济运作周期、市场情绪等</w:t>
            </w:r>
            <w:r>
              <w:rPr>
                <w:rFonts w:hint="eastAsia"/>
              </w:rPr>
              <w:t>宏观经济及市场环境的变化，综合衡量各资产类别的收益潜力、相关性以及相对吸引力，进而提出局部配置变化方案，从而起到提高风险收益比的作用；在基金投资方面，本基金采用定量分析和定性分析相结合的方式，一方面通过严格的量化规则筛选有潜在投资价值的标的纳入研究范围，另一方面结合所选基金的基金管理人的基本情况和投研文化等定性因素进行二次研判，双重维度筛选出中长期业绩稳定的优秀基金；在股票投资方面，以价值选股、组合投资为原则，通过分散投资、组合投资，降低个股风险与集中性风险；在债券投资方面，本基金将采用久期控制下的主动性投</w:t>
            </w:r>
            <w:r>
              <w:rPr>
                <w:rFonts w:hint="eastAsia"/>
              </w:rPr>
              <w:t>资策略。本基金的港股通标的股票投资策略、存托凭证投资策略和资产支持证券投资策略详见法律文件。</w:t>
            </w:r>
          </w:p>
        </w:tc>
      </w:tr>
      <w:tr w:rsidR="0028622E">
        <w:trPr>
          <w:trHeight w:val="340"/>
          <w:jc w:val="center"/>
        </w:trPr>
        <w:tc>
          <w:tcPr>
            <w:tcW w:w="1757" w:type="dxa"/>
            <w:shd w:val="clear" w:color="auto" w:fill="auto"/>
            <w:vAlign w:val="center"/>
          </w:tcPr>
          <w:p w:rsidR="0028622E" w:rsidRDefault="00CB4FC9">
            <w:pPr>
              <w:pStyle w:val="ae"/>
            </w:pPr>
            <w:r>
              <w:rPr>
                <w:rFonts w:hint="eastAsia"/>
              </w:rPr>
              <w:t>业绩比较基准</w:t>
            </w:r>
          </w:p>
        </w:tc>
        <w:tc>
          <w:tcPr>
            <w:tcW w:w="7423" w:type="dxa"/>
            <w:shd w:val="clear" w:color="auto" w:fill="auto"/>
            <w:vAlign w:val="center"/>
          </w:tcPr>
          <w:p w:rsidR="0028622E" w:rsidRDefault="00CB4FC9">
            <w:pPr>
              <w:pStyle w:val="ae"/>
            </w:pPr>
            <w:r>
              <w:rPr>
                <w:rFonts w:hint="eastAsia"/>
              </w:rPr>
              <w:t>沪深</w:t>
            </w:r>
            <w:r>
              <w:rPr>
                <w:rFonts w:hint="eastAsia"/>
              </w:rPr>
              <w:t>300</w:t>
            </w:r>
            <w:r>
              <w:rPr>
                <w:rFonts w:hint="eastAsia"/>
              </w:rPr>
              <w:t>指数收益率×</w:t>
            </w:r>
            <w:r>
              <w:rPr>
                <w:rFonts w:hint="eastAsia"/>
              </w:rPr>
              <w:t>X</w:t>
            </w:r>
            <w:r>
              <w:rPr>
                <w:rFonts w:hint="eastAsia"/>
              </w:rPr>
              <w:t>值</w:t>
            </w:r>
            <w:r>
              <w:rPr>
                <w:rFonts w:hint="eastAsia"/>
              </w:rPr>
              <w:t>%+</w:t>
            </w:r>
            <w:r>
              <w:rPr>
                <w:rFonts w:hint="eastAsia"/>
              </w:rPr>
              <w:t>中债综合全价指数收益率</w:t>
            </w:r>
            <w:r>
              <w:rPr>
                <w:rFonts w:hint="eastAsia"/>
              </w:rPr>
              <w:t>*</w:t>
            </w:r>
            <w:r>
              <w:rPr>
                <w:rFonts w:hint="eastAsia"/>
              </w:rPr>
              <w:t>（</w:t>
            </w:r>
            <w:r>
              <w:rPr>
                <w:rFonts w:hint="eastAsia"/>
              </w:rPr>
              <w:t>100-X</w:t>
            </w:r>
            <w:r>
              <w:rPr>
                <w:rFonts w:hint="eastAsia"/>
              </w:rPr>
              <w:t>值）</w:t>
            </w:r>
            <w:r>
              <w:rPr>
                <w:rFonts w:hint="eastAsia"/>
              </w:rPr>
              <w:t>%</w:t>
            </w:r>
            <w:r>
              <w:rPr>
                <w:rFonts w:hint="eastAsia"/>
              </w:rPr>
              <w:t>，其中本基金各年的下滑曲线中枢值（即</w:t>
            </w:r>
            <w:r>
              <w:rPr>
                <w:rFonts w:hint="eastAsia"/>
              </w:rPr>
              <w:t>X</w:t>
            </w:r>
            <w:r>
              <w:rPr>
                <w:rFonts w:hint="eastAsia"/>
              </w:rPr>
              <w:t>值）为：</w:t>
            </w:r>
            <w:r>
              <w:rPr>
                <w:rFonts w:hint="eastAsia"/>
              </w:rPr>
              <w:t>2021-2024</w:t>
            </w:r>
            <w:r>
              <w:rPr>
                <w:rFonts w:hint="eastAsia"/>
              </w:rPr>
              <w:t>，</w:t>
            </w:r>
            <w:r>
              <w:rPr>
                <w:rFonts w:hint="eastAsia"/>
              </w:rPr>
              <w:t>75.0%</w:t>
            </w:r>
            <w:r>
              <w:rPr>
                <w:rFonts w:hint="eastAsia"/>
              </w:rPr>
              <w:t>；</w:t>
            </w:r>
            <w:r>
              <w:rPr>
                <w:rFonts w:hint="eastAsia"/>
              </w:rPr>
              <w:t>2025</w:t>
            </w:r>
            <w:r>
              <w:rPr>
                <w:rFonts w:hint="eastAsia"/>
              </w:rPr>
              <w:t>，</w:t>
            </w:r>
            <w:r>
              <w:rPr>
                <w:rFonts w:hint="eastAsia"/>
              </w:rPr>
              <w:t>66.8%</w:t>
            </w:r>
            <w:r>
              <w:rPr>
                <w:rFonts w:hint="eastAsia"/>
              </w:rPr>
              <w:t>；</w:t>
            </w:r>
            <w:r>
              <w:rPr>
                <w:rFonts w:hint="eastAsia"/>
              </w:rPr>
              <w:t>2026</w:t>
            </w:r>
            <w:r>
              <w:rPr>
                <w:rFonts w:hint="eastAsia"/>
              </w:rPr>
              <w:t>，</w:t>
            </w:r>
            <w:r>
              <w:rPr>
                <w:rFonts w:hint="eastAsia"/>
              </w:rPr>
              <w:t>59.6%</w:t>
            </w:r>
            <w:r>
              <w:rPr>
                <w:rFonts w:hint="eastAsia"/>
              </w:rPr>
              <w:t>；</w:t>
            </w:r>
            <w:r>
              <w:rPr>
                <w:rFonts w:hint="eastAsia"/>
              </w:rPr>
              <w:t>2027</w:t>
            </w:r>
            <w:r>
              <w:rPr>
                <w:rFonts w:hint="eastAsia"/>
              </w:rPr>
              <w:t>，</w:t>
            </w:r>
            <w:r>
              <w:rPr>
                <w:rFonts w:hint="eastAsia"/>
              </w:rPr>
              <w:t>53.8%</w:t>
            </w:r>
            <w:r>
              <w:rPr>
                <w:rFonts w:hint="eastAsia"/>
              </w:rPr>
              <w:t>；</w:t>
            </w:r>
            <w:r>
              <w:rPr>
                <w:rFonts w:hint="eastAsia"/>
              </w:rPr>
              <w:t>2028</w:t>
            </w:r>
            <w:r>
              <w:rPr>
                <w:rFonts w:hint="eastAsia"/>
              </w:rPr>
              <w:t>，</w:t>
            </w:r>
            <w:r>
              <w:rPr>
                <w:rFonts w:hint="eastAsia"/>
              </w:rPr>
              <w:t>48.9%</w:t>
            </w:r>
            <w:r>
              <w:rPr>
                <w:rFonts w:hint="eastAsia"/>
              </w:rPr>
              <w:t>；</w:t>
            </w:r>
            <w:r>
              <w:rPr>
                <w:rFonts w:hint="eastAsia"/>
              </w:rPr>
              <w:t>2029</w:t>
            </w:r>
            <w:r>
              <w:rPr>
                <w:rFonts w:hint="eastAsia"/>
              </w:rPr>
              <w:t>，</w:t>
            </w:r>
            <w:r>
              <w:rPr>
                <w:rFonts w:hint="eastAsia"/>
              </w:rPr>
              <w:t>44.9%</w:t>
            </w:r>
            <w:r>
              <w:rPr>
                <w:rFonts w:hint="eastAsia"/>
              </w:rPr>
              <w:t>；</w:t>
            </w:r>
            <w:r>
              <w:rPr>
                <w:rFonts w:hint="eastAsia"/>
              </w:rPr>
              <w:t>2030</w:t>
            </w:r>
            <w:r>
              <w:rPr>
                <w:rFonts w:hint="eastAsia"/>
              </w:rPr>
              <w:t>，</w:t>
            </w:r>
            <w:r>
              <w:rPr>
                <w:rFonts w:hint="eastAsia"/>
              </w:rPr>
              <w:t>41.5%</w:t>
            </w:r>
            <w:r>
              <w:rPr>
                <w:rFonts w:hint="eastAsia"/>
              </w:rPr>
              <w:t>；</w:t>
            </w:r>
            <w:r>
              <w:rPr>
                <w:rFonts w:hint="eastAsia"/>
              </w:rPr>
              <w:t>2031</w:t>
            </w:r>
            <w:r>
              <w:rPr>
                <w:rFonts w:hint="eastAsia"/>
              </w:rPr>
              <w:t>，</w:t>
            </w:r>
            <w:r>
              <w:rPr>
                <w:rFonts w:hint="eastAsia"/>
              </w:rPr>
              <w:t>38.5%</w:t>
            </w:r>
            <w:r>
              <w:rPr>
                <w:rFonts w:hint="eastAsia"/>
              </w:rPr>
              <w:t>；</w:t>
            </w:r>
            <w:r>
              <w:rPr>
                <w:rFonts w:hint="eastAsia"/>
              </w:rPr>
              <w:t>2032</w:t>
            </w:r>
            <w:r>
              <w:rPr>
                <w:rFonts w:hint="eastAsia"/>
              </w:rPr>
              <w:t>，</w:t>
            </w:r>
            <w:r>
              <w:rPr>
                <w:rFonts w:hint="eastAsia"/>
              </w:rPr>
              <w:t>35.9%</w:t>
            </w:r>
            <w:r>
              <w:rPr>
                <w:rFonts w:hint="eastAsia"/>
              </w:rPr>
              <w:t>；</w:t>
            </w:r>
            <w:r>
              <w:rPr>
                <w:rFonts w:hint="eastAsia"/>
              </w:rPr>
              <w:t>2033</w:t>
            </w:r>
            <w:r>
              <w:rPr>
                <w:rFonts w:hint="eastAsia"/>
              </w:rPr>
              <w:t>，</w:t>
            </w:r>
            <w:r>
              <w:rPr>
                <w:rFonts w:hint="eastAsia"/>
              </w:rPr>
              <w:t>33.7%</w:t>
            </w:r>
            <w:r>
              <w:rPr>
                <w:rFonts w:hint="eastAsia"/>
              </w:rPr>
              <w:t>；</w:t>
            </w:r>
            <w:r>
              <w:rPr>
                <w:rFonts w:hint="eastAsia"/>
              </w:rPr>
              <w:t>2034</w:t>
            </w:r>
            <w:r>
              <w:rPr>
                <w:rFonts w:hint="eastAsia"/>
              </w:rPr>
              <w:t>，</w:t>
            </w:r>
            <w:r>
              <w:rPr>
                <w:rFonts w:hint="eastAsia"/>
              </w:rPr>
              <w:t>31.7%</w:t>
            </w:r>
            <w:r>
              <w:rPr>
                <w:rFonts w:hint="eastAsia"/>
              </w:rPr>
              <w:t>；</w:t>
            </w:r>
            <w:r>
              <w:rPr>
                <w:rFonts w:hint="eastAsia"/>
              </w:rPr>
              <w:t>2035</w:t>
            </w:r>
            <w:r>
              <w:rPr>
                <w:rFonts w:hint="eastAsia"/>
              </w:rPr>
              <w:t>，</w:t>
            </w:r>
            <w:r>
              <w:rPr>
                <w:rFonts w:hint="eastAsia"/>
              </w:rPr>
              <w:t>30.0%</w:t>
            </w:r>
            <w:r>
              <w:rPr>
                <w:rFonts w:hint="eastAsia"/>
              </w:rPr>
              <w:t>；</w:t>
            </w:r>
            <w:r>
              <w:rPr>
                <w:rFonts w:hint="eastAsia"/>
              </w:rPr>
              <w:t>2036</w:t>
            </w:r>
            <w:r>
              <w:rPr>
                <w:rFonts w:hint="eastAsia"/>
              </w:rPr>
              <w:t>，</w:t>
            </w:r>
            <w:r>
              <w:rPr>
                <w:rFonts w:hint="eastAsia"/>
              </w:rPr>
              <w:t>28.5%</w:t>
            </w:r>
            <w:r>
              <w:rPr>
                <w:rFonts w:hint="eastAsia"/>
              </w:rPr>
              <w:t>；</w:t>
            </w:r>
            <w:r>
              <w:rPr>
                <w:rFonts w:hint="eastAsia"/>
              </w:rPr>
              <w:t>2037</w:t>
            </w:r>
            <w:r>
              <w:rPr>
                <w:rFonts w:hint="eastAsia"/>
              </w:rPr>
              <w:t>，</w:t>
            </w:r>
            <w:r>
              <w:rPr>
                <w:rFonts w:hint="eastAsia"/>
              </w:rPr>
              <w:t>21.7%</w:t>
            </w:r>
            <w:r>
              <w:rPr>
                <w:rFonts w:hint="eastAsia"/>
              </w:rPr>
              <w:t>；</w:t>
            </w:r>
            <w:r>
              <w:rPr>
                <w:rFonts w:hint="eastAsia"/>
              </w:rPr>
              <w:t>2038</w:t>
            </w:r>
            <w:r>
              <w:rPr>
                <w:rFonts w:hint="eastAsia"/>
              </w:rPr>
              <w:t>，</w:t>
            </w:r>
            <w:r>
              <w:rPr>
                <w:rFonts w:hint="eastAsia"/>
              </w:rPr>
              <w:t>20.7%</w:t>
            </w:r>
            <w:r>
              <w:rPr>
                <w:rFonts w:hint="eastAsia"/>
              </w:rPr>
              <w:t>；</w:t>
            </w:r>
            <w:r>
              <w:rPr>
                <w:rFonts w:hint="eastAsia"/>
              </w:rPr>
              <w:t>2039</w:t>
            </w:r>
            <w:r>
              <w:rPr>
                <w:rFonts w:hint="eastAsia"/>
              </w:rPr>
              <w:t>，</w:t>
            </w:r>
            <w:r>
              <w:rPr>
                <w:rFonts w:hint="eastAsia"/>
              </w:rPr>
              <w:t>19.9%</w:t>
            </w:r>
            <w:r>
              <w:rPr>
                <w:rFonts w:hint="eastAsia"/>
              </w:rPr>
              <w:t>；</w:t>
            </w:r>
            <w:r>
              <w:rPr>
                <w:rFonts w:hint="eastAsia"/>
              </w:rPr>
              <w:t>2040</w:t>
            </w:r>
            <w:r>
              <w:rPr>
                <w:rFonts w:hint="eastAsia"/>
              </w:rPr>
              <w:t>，</w:t>
            </w:r>
            <w:r>
              <w:rPr>
                <w:rFonts w:hint="eastAsia"/>
              </w:rPr>
              <w:t>15.9%</w:t>
            </w:r>
            <w:r>
              <w:rPr>
                <w:rFonts w:hint="eastAsia"/>
              </w:rPr>
              <w:t>；</w:t>
            </w:r>
            <w:r>
              <w:rPr>
                <w:rFonts w:hint="eastAsia"/>
              </w:rPr>
              <w:t>2041</w:t>
            </w:r>
            <w:r>
              <w:rPr>
                <w:rFonts w:hint="eastAsia"/>
              </w:rPr>
              <w:t>，</w:t>
            </w:r>
            <w:r>
              <w:rPr>
                <w:rFonts w:hint="eastAsia"/>
              </w:rPr>
              <w:t>15.4%</w:t>
            </w:r>
            <w:r>
              <w:rPr>
                <w:rFonts w:hint="eastAsia"/>
              </w:rPr>
              <w:t>；</w:t>
            </w:r>
            <w:r>
              <w:rPr>
                <w:rFonts w:hint="eastAsia"/>
              </w:rPr>
              <w:t>2042</w:t>
            </w:r>
            <w:r>
              <w:rPr>
                <w:rFonts w:hint="eastAsia"/>
              </w:rPr>
              <w:t>，</w:t>
            </w:r>
            <w:r>
              <w:rPr>
                <w:rFonts w:hint="eastAsia"/>
              </w:rPr>
              <w:t>14.9%</w:t>
            </w:r>
            <w:r>
              <w:rPr>
                <w:rFonts w:hint="eastAsia"/>
              </w:rPr>
              <w:t>；</w:t>
            </w:r>
            <w:r>
              <w:rPr>
                <w:rFonts w:hint="eastAsia"/>
              </w:rPr>
              <w:t>2043</w:t>
            </w:r>
            <w:r>
              <w:rPr>
                <w:rFonts w:hint="eastAsia"/>
              </w:rPr>
              <w:t>，</w:t>
            </w:r>
            <w:r>
              <w:rPr>
                <w:rFonts w:hint="eastAsia"/>
              </w:rPr>
              <w:t>14.4%</w:t>
            </w:r>
            <w:r>
              <w:rPr>
                <w:rFonts w:hint="eastAsia"/>
              </w:rPr>
              <w:t>；</w:t>
            </w:r>
            <w:r>
              <w:rPr>
                <w:rFonts w:hint="eastAsia"/>
              </w:rPr>
              <w:t>2044</w:t>
            </w:r>
            <w:r>
              <w:rPr>
                <w:rFonts w:hint="eastAsia"/>
              </w:rPr>
              <w:t>，</w:t>
            </w:r>
            <w:r>
              <w:rPr>
                <w:rFonts w:hint="eastAsia"/>
              </w:rPr>
              <w:t>14.0%</w:t>
            </w:r>
            <w:r>
              <w:rPr>
                <w:rFonts w:hint="eastAsia"/>
              </w:rPr>
              <w:t>；</w:t>
            </w:r>
            <w:r>
              <w:rPr>
                <w:rFonts w:hint="eastAsia"/>
              </w:rPr>
              <w:t>2045</w:t>
            </w:r>
            <w:r>
              <w:rPr>
                <w:rFonts w:hint="eastAsia"/>
              </w:rPr>
              <w:t>，</w:t>
            </w:r>
            <w:r>
              <w:rPr>
                <w:rFonts w:hint="eastAsia"/>
              </w:rPr>
              <w:t>13.6%</w:t>
            </w:r>
            <w:r>
              <w:rPr>
                <w:rFonts w:hint="eastAsia"/>
              </w:rPr>
              <w:t>。</w:t>
            </w:r>
          </w:p>
        </w:tc>
      </w:tr>
      <w:tr w:rsidR="0028622E">
        <w:trPr>
          <w:trHeight w:val="340"/>
          <w:jc w:val="center"/>
        </w:trPr>
        <w:tc>
          <w:tcPr>
            <w:tcW w:w="1757" w:type="dxa"/>
            <w:shd w:val="clear" w:color="auto" w:fill="auto"/>
            <w:vAlign w:val="center"/>
          </w:tcPr>
          <w:p w:rsidR="0028622E" w:rsidRDefault="00CB4FC9">
            <w:pPr>
              <w:pStyle w:val="ae"/>
            </w:pPr>
            <w:r>
              <w:rPr>
                <w:rFonts w:hint="eastAsia"/>
              </w:rPr>
              <w:t>风险收益特征</w:t>
            </w:r>
          </w:p>
        </w:tc>
        <w:tc>
          <w:tcPr>
            <w:tcW w:w="7423" w:type="dxa"/>
            <w:shd w:val="clear" w:color="auto" w:fill="auto"/>
            <w:vAlign w:val="center"/>
          </w:tcPr>
          <w:p w:rsidR="0028622E" w:rsidRDefault="00CB4FC9">
            <w:pPr>
              <w:pStyle w:val="ae"/>
            </w:pPr>
            <w:r>
              <w:rPr>
                <w:rFonts w:hint="eastAsia"/>
              </w:rPr>
              <w:t>本基金属于采用目标日期策略的基金中基金，</w:t>
            </w:r>
            <w:r>
              <w:rPr>
                <w:rFonts w:hint="eastAsia"/>
              </w:rPr>
              <w:t>2045</w:t>
            </w:r>
            <w:r>
              <w:rPr>
                <w:rFonts w:hint="eastAsia"/>
              </w:rPr>
              <w:t>年</w:t>
            </w:r>
            <w:r>
              <w:rPr>
                <w:rFonts w:hint="eastAsia"/>
              </w:rPr>
              <w:t>12</w:t>
            </w:r>
            <w:r>
              <w:rPr>
                <w:rFonts w:hint="eastAsia"/>
              </w:rPr>
              <w:t>月</w:t>
            </w:r>
            <w:r>
              <w:rPr>
                <w:rFonts w:hint="eastAsia"/>
              </w:rPr>
              <w:t>31</w:t>
            </w:r>
            <w:r>
              <w:rPr>
                <w:rFonts w:hint="eastAsia"/>
              </w:rPr>
              <w:t>日为本基金的目标日期。从基金合同生效日至目标日期止，本基金的预期风险与预期收益水平将随着时间逐渐接近目标日期而逐步降低。</w:t>
            </w:r>
          </w:p>
          <w:p w:rsidR="0028622E" w:rsidRDefault="00CB4FC9">
            <w:pPr>
              <w:pStyle w:val="ae"/>
            </w:pPr>
            <w:r>
              <w:rPr>
                <w:rFonts w:hint="eastAsia"/>
              </w:rPr>
              <w:t>本基金为混合型基金中基金，在通常情况下其预期收益及预期风险水平高于债券型基金、货币市场基金、债券型基金</w:t>
            </w:r>
            <w:r>
              <w:rPr>
                <w:rFonts w:hint="eastAsia"/>
              </w:rPr>
              <w:t>中基金和货币型基金中基金，低于股票型基金和股票型基金中基金。本基金投资港股通标的股票的，需承担港股通机制下因投资环境、投资标的、市场制度以及交易规则等差异带来的特有风险。</w:t>
            </w:r>
          </w:p>
        </w:tc>
      </w:tr>
    </w:tbl>
    <w:p w:rsidR="00E10111" w:rsidRPr="00AA62CC" w:rsidRDefault="009D4653" w:rsidP="00E10111">
      <w:pPr>
        <w:adjustRightInd w:val="0"/>
        <w:snapToGrid w:val="0"/>
        <w:spacing w:beforeLines="20" w:before="87" w:line="288" w:lineRule="auto"/>
        <w:rPr>
          <w:rFonts w:cs="方正仿宋简体"/>
          <w:iCs/>
          <w:szCs w:val="21"/>
        </w:rPr>
      </w:pPr>
      <w:r>
        <w:rPr>
          <w:rFonts w:cs="方正仿宋简体" w:hint="eastAsia"/>
          <w:iCs/>
          <w:szCs w:val="21"/>
        </w:rPr>
        <w:t>注：详情请阅读《招募说明书》中“基金的投资”章节的相关内容。</w:t>
      </w:r>
    </w:p>
    <w:p w:rsidR="00DA42C1" w:rsidRDefault="00DA42C1" w:rsidP="000776C8">
      <w:pPr>
        <w:pStyle w:val="2"/>
      </w:pPr>
      <w:r w:rsidRPr="00ED3BD1">
        <w:rPr>
          <w:rFonts w:hint="eastAsia"/>
        </w:rPr>
        <w:t>投资组合资产配置图表</w:t>
      </w:r>
    </w:p>
    <w:p w:rsidR="00E10111" w:rsidRDefault="00E10111" w:rsidP="000776C8">
      <w:pPr>
        <w:adjustRightInd w:val="0"/>
        <w:snapToGrid w:val="0"/>
        <w:rPr>
          <w:rFonts w:cs="方正仿宋简体"/>
          <w:iCs/>
          <w:szCs w:val="21"/>
        </w:rPr>
      </w:pPr>
      <w:r>
        <w:rPr>
          <w:noProof/>
        </w:rPr>
        <w:lastRenderedPageBreak/>
        <w:drawing>
          <wp:inline distT="0" distB="0" distL="0" distR="0">
            <wp:extent cx="5943600" cy="3803904"/>
            <wp:effectExtent l="0" t="0" r="0" b="0"/>
            <wp:docPr id="1" name="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_50100000_013420_FA010080_20240012_01.jpg"/>
                    <pic:cNvPicPr/>
                  </pic:nvPicPr>
                  <pic:blipFill>
                    <a:blip r:embed="rId7" cstate="print">
                      <a:extLst/>
                    </a:blip>
                    <a:stretch>
                      <a:fillRect/>
                    </a:stretch>
                  </pic:blipFill>
                  <pic:spPr>
                    <a:xfrm>
                      <a:off x="0" y="0"/>
                      <a:ext cx="5943600" cy="3803904"/>
                    </a:xfrm>
                    <a:prstGeom prst="rect">
                      <a:avLst/>
                    </a:prstGeom>
                  </pic:spPr>
                </pic:pic>
              </a:graphicData>
            </a:graphic>
          </wp:inline>
        </w:drawing>
      </w:r>
    </w:p>
    <w:p w:rsidR="00E10111" w:rsidRDefault="00E10111" w:rsidP="000776C8">
      <w:pPr>
        <w:adjustRightInd w:val="0"/>
        <w:snapToGrid w:val="0"/>
        <w:rPr>
          <w:rFonts w:cs="方正仿宋简体"/>
          <w:iCs/>
          <w:szCs w:val="21"/>
        </w:rPr>
      </w:pPr>
    </w:p>
    <w:p w:rsidR="0028622E" w:rsidRDefault="00CB4FC9">
      <w:pPr>
        <w:adjustRightInd w:val="0"/>
        <w:snapToGrid w:val="0"/>
        <w:spacing w:beforeLines="20" w:before="87" w:line="288" w:lineRule="auto"/>
        <w:rPr>
          <w:rFonts w:cs="方正仿宋简体"/>
          <w:iCs/>
          <w:szCs w:val="21"/>
        </w:rPr>
      </w:pPr>
      <w:r>
        <w:rPr>
          <w:rFonts w:cs="方正仿宋简体" w:hint="eastAsia"/>
          <w:iCs/>
          <w:szCs w:val="21"/>
        </w:rPr>
        <w:t>注：截止日期</w:t>
      </w:r>
      <w:r>
        <w:rPr>
          <w:rFonts w:cs="方正仿宋简体" w:hint="eastAsia"/>
          <w:iCs/>
          <w:szCs w:val="21"/>
        </w:rPr>
        <w:t>2024</w:t>
      </w:r>
      <w:r>
        <w:rPr>
          <w:rFonts w:cs="方正仿宋简体" w:hint="eastAsia"/>
          <w:iCs/>
          <w:szCs w:val="21"/>
        </w:rPr>
        <w:t>年</w:t>
      </w:r>
      <w:r>
        <w:rPr>
          <w:rFonts w:cs="方正仿宋简体" w:hint="eastAsia"/>
          <w:iCs/>
          <w:szCs w:val="21"/>
        </w:rPr>
        <w:t>03</w:t>
      </w:r>
      <w:r>
        <w:rPr>
          <w:rFonts w:cs="方正仿宋简体" w:hint="eastAsia"/>
          <w:iCs/>
          <w:szCs w:val="21"/>
        </w:rPr>
        <w:t>月</w:t>
      </w:r>
      <w:r>
        <w:rPr>
          <w:rFonts w:cs="方正仿宋简体" w:hint="eastAsia"/>
          <w:iCs/>
          <w:szCs w:val="21"/>
        </w:rPr>
        <w:t>31</w:t>
      </w:r>
      <w:r>
        <w:rPr>
          <w:rFonts w:cs="方正仿宋简体" w:hint="eastAsia"/>
          <w:iCs/>
          <w:szCs w:val="21"/>
        </w:rPr>
        <w:t>日。</w:t>
      </w:r>
    </w:p>
    <w:p w:rsidR="00124B97" w:rsidRPr="004C1DD8" w:rsidRDefault="009D4653" w:rsidP="000776C8">
      <w:pPr>
        <w:pStyle w:val="2"/>
      </w:pPr>
      <w:r>
        <w:rPr>
          <w:rFonts w:hint="eastAsia"/>
        </w:rPr>
        <w:t>自基金合同生效以来</w:t>
      </w:r>
      <w:r w:rsidR="00196B69" w:rsidRPr="00ED3BD1">
        <w:rPr>
          <w:rFonts w:hint="eastAsia"/>
        </w:rPr>
        <w:t>基金</w:t>
      </w:r>
      <w:r w:rsidR="009230A7" w:rsidRPr="00ED3BD1">
        <w:rPr>
          <w:rFonts w:hint="eastAsia"/>
        </w:rPr>
        <w:t>（</w:t>
      </w:r>
      <w:r>
        <w:rPr>
          <w:rFonts w:hint="eastAsia"/>
        </w:rPr>
        <w:t>A份额</w:t>
      </w:r>
      <w:r w:rsidR="009230A7" w:rsidRPr="00ED3BD1">
        <w:rPr>
          <w:rFonts w:hint="eastAsia"/>
        </w:rPr>
        <w:t>）</w:t>
      </w:r>
      <w:r w:rsidR="00196B69" w:rsidRPr="00ED3BD1">
        <w:rPr>
          <w:rFonts w:hint="eastAsia"/>
        </w:rPr>
        <w:t>每年的净值</w:t>
      </w:r>
      <w:r>
        <w:rPr>
          <w:rFonts w:hint="eastAsia"/>
        </w:rPr>
        <w:t>增长率</w:t>
      </w:r>
      <w:r w:rsidR="00196B69" w:rsidRPr="00ED3BD1">
        <w:rPr>
          <w:rFonts w:hint="eastAsia"/>
        </w:rPr>
        <w:t>及与同期业绩比较基准的比</w:t>
      </w:r>
      <w:r w:rsidR="00196B69" w:rsidRPr="004C1DD8">
        <w:rPr>
          <w:rFonts w:hint="eastAsia"/>
        </w:rPr>
        <w:t>较图</w:t>
      </w:r>
    </w:p>
    <w:p w:rsidR="00F06C60" w:rsidRDefault="00F06C60" w:rsidP="000776C8">
      <w:pPr>
        <w:adjustRightInd w:val="0"/>
        <w:snapToGrid w:val="0"/>
        <w:rPr>
          <w:rFonts w:cs="方正仿宋简体"/>
          <w:iCs/>
          <w:szCs w:val="21"/>
        </w:rPr>
      </w:pPr>
      <w:r>
        <w:rPr>
          <w:noProof/>
        </w:rPr>
        <w:drawing>
          <wp:inline distT="0" distB="0" distL="0" distR="0">
            <wp:extent cx="5943600" cy="3803904"/>
            <wp:effectExtent l="0" t="0" r="0" b="0"/>
            <wp:docPr id="2" name="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_50100000_013420_FA010080_20240013_22.jpg"/>
                    <pic:cNvPicPr/>
                  </pic:nvPicPr>
                  <pic:blipFill>
                    <a:blip r:embed="rId8" cstate="print">
                      <a:extLst/>
                    </a:blip>
                    <a:stretch>
                      <a:fillRect/>
                    </a:stretch>
                  </pic:blipFill>
                  <pic:spPr>
                    <a:xfrm>
                      <a:off x="0" y="0"/>
                      <a:ext cx="5943600" cy="3803904"/>
                    </a:xfrm>
                    <a:prstGeom prst="rect">
                      <a:avLst/>
                    </a:prstGeom>
                  </pic:spPr>
                </pic:pic>
              </a:graphicData>
            </a:graphic>
          </wp:inline>
        </w:drawing>
      </w:r>
    </w:p>
    <w:p w:rsidR="0028622E" w:rsidRDefault="00CB4FC9">
      <w:pPr>
        <w:widowControl w:val="0"/>
        <w:adjustRightInd w:val="0"/>
        <w:snapToGrid w:val="0"/>
        <w:spacing w:beforeLines="20" w:before="87" w:line="288" w:lineRule="auto"/>
        <w:jc w:val="both"/>
        <w:rPr>
          <w:rFonts w:cs="方正仿宋简体"/>
          <w:iCs/>
          <w:szCs w:val="21"/>
        </w:rPr>
      </w:pPr>
      <w:r>
        <w:rPr>
          <w:rFonts w:cs="方正仿宋简体" w:hint="eastAsia"/>
          <w:iCs/>
          <w:szCs w:val="21"/>
        </w:rPr>
        <w:t>注：本基金合同生效日</w:t>
      </w:r>
      <w:r>
        <w:rPr>
          <w:rFonts w:cs="方正仿宋简体" w:hint="eastAsia"/>
          <w:iCs/>
          <w:szCs w:val="21"/>
        </w:rPr>
        <w:t>2022</w:t>
      </w:r>
      <w:r>
        <w:rPr>
          <w:rFonts w:cs="方正仿宋简体" w:hint="eastAsia"/>
          <w:iCs/>
          <w:szCs w:val="21"/>
        </w:rPr>
        <w:t>年</w:t>
      </w:r>
      <w:r>
        <w:rPr>
          <w:rFonts w:cs="方正仿宋简体" w:hint="eastAsia"/>
          <w:iCs/>
          <w:szCs w:val="21"/>
        </w:rPr>
        <w:t>03</w:t>
      </w:r>
      <w:r>
        <w:rPr>
          <w:rFonts w:cs="方正仿宋简体" w:hint="eastAsia"/>
          <w:iCs/>
          <w:szCs w:val="21"/>
        </w:rPr>
        <w:t>月</w:t>
      </w:r>
      <w:r>
        <w:rPr>
          <w:rFonts w:cs="方正仿宋简体" w:hint="eastAsia"/>
          <w:iCs/>
          <w:szCs w:val="21"/>
        </w:rPr>
        <w:t>30</w:t>
      </w:r>
      <w:r>
        <w:rPr>
          <w:rFonts w:cs="方正仿宋简体" w:hint="eastAsia"/>
          <w:iCs/>
          <w:szCs w:val="21"/>
        </w:rPr>
        <w:t>日。业绩表现截止日期</w:t>
      </w:r>
      <w:r>
        <w:rPr>
          <w:rFonts w:cs="方正仿宋简体" w:hint="eastAsia"/>
          <w:iCs/>
          <w:szCs w:val="21"/>
        </w:rPr>
        <w:t>2023</w:t>
      </w:r>
      <w:r>
        <w:rPr>
          <w:rFonts w:cs="方正仿宋简体" w:hint="eastAsia"/>
          <w:iCs/>
          <w:szCs w:val="21"/>
        </w:rPr>
        <w:t>年</w:t>
      </w:r>
      <w:r>
        <w:rPr>
          <w:rFonts w:cs="方正仿宋简体" w:hint="eastAsia"/>
          <w:iCs/>
          <w:szCs w:val="21"/>
        </w:rPr>
        <w:t>12</w:t>
      </w:r>
      <w:r>
        <w:rPr>
          <w:rFonts w:cs="方正仿宋简体" w:hint="eastAsia"/>
          <w:iCs/>
          <w:szCs w:val="21"/>
        </w:rPr>
        <w:t>月</w:t>
      </w:r>
      <w:r>
        <w:rPr>
          <w:rFonts w:cs="方正仿宋简体" w:hint="eastAsia"/>
          <w:iCs/>
          <w:szCs w:val="21"/>
        </w:rPr>
        <w:t>31</w:t>
      </w:r>
      <w:r>
        <w:rPr>
          <w:rFonts w:cs="方正仿宋简体" w:hint="eastAsia"/>
          <w:iCs/>
          <w:szCs w:val="21"/>
        </w:rPr>
        <w:t>日。基金过往业绩不代表未来表现。</w:t>
      </w:r>
    </w:p>
    <w:p w:rsidR="006F366F" w:rsidRPr="00A14942" w:rsidRDefault="006F366F" w:rsidP="000776C8">
      <w:pPr>
        <w:pStyle w:val="1"/>
      </w:pPr>
      <w:r w:rsidRPr="00A14942">
        <w:rPr>
          <w:rFonts w:hint="eastAsia"/>
        </w:rPr>
        <w:lastRenderedPageBreak/>
        <w:t>投资本基金涉及的费用</w:t>
      </w:r>
    </w:p>
    <w:p w:rsidR="00D5603D" w:rsidRDefault="00A535E9" w:rsidP="000776C8">
      <w:pPr>
        <w:pStyle w:val="2"/>
        <w:numPr>
          <w:ilvl w:val="1"/>
          <w:numId w:val="14"/>
        </w:numPr>
      </w:pPr>
      <w:r w:rsidRPr="00ED3BD1">
        <w:rPr>
          <w:rFonts w:hint="eastAsia"/>
        </w:rPr>
        <w:t>基金销售相关费用</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rsidR="00D97BE2" w:rsidRPr="00165774" w:rsidTr="00B457F0">
        <w:trPr>
          <w:trHeight w:val="340"/>
        </w:trPr>
        <w:tc>
          <w:tcPr>
            <w:tcW w:w="1092"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费用类型</w:t>
            </w:r>
          </w:p>
        </w:tc>
        <w:tc>
          <w:tcPr>
            <w:tcW w:w="1659"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金额（M）</w:t>
            </w:r>
            <w:r w:rsidR="00A7537D" w:rsidRPr="00BA55B0">
              <w:rPr>
                <w:rFonts w:hint="eastAsia"/>
              </w:rPr>
              <w:t>/</w:t>
            </w:r>
            <w:r w:rsidR="003134F0" w:rsidRPr="00BA55B0">
              <w:rPr>
                <w:rFonts w:hint="eastAsia"/>
              </w:rPr>
              <w:t>持有期限（N）</w:t>
            </w:r>
          </w:p>
        </w:tc>
        <w:tc>
          <w:tcPr>
            <w:tcW w:w="1125"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费率（普通客户）</w:t>
            </w:r>
          </w:p>
        </w:tc>
        <w:tc>
          <w:tcPr>
            <w:tcW w:w="1124"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费率（特定客户）</w:t>
            </w:r>
          </w:p>
        </w:tc>
      </w:tr>
      <w:tr w:rsidR="0028622E">
        <w:trPr>
          <w:trHeight w:val="340"/>
        </w:trPr>
        <w:tc>
          <w:tcPr>
            <w:tcW w:w="1092" w:type="pct"/>
            <w:vMerge w:val="restar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申购费（前端）</w:t>
            </w:r>
          </w:p>
        </w:tc>
        <w:tc>
          <w:tcPr>
            <w:tcW w:w="1659"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1.2%</w:t>
            </w:r>
          </w:p>
        </w:tc>
        <w:tc>
          <w:tcPr>
            <w:tcW w:w="1124"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0.12%</w:t>
            </w:r>
          </w:p>
        </w:tc>
      </w:tr>
      <w:tr w:rsidR="0028622E">
        <w:trPr>
          <w:trHeight w:val="340"/>
        </w:trPr>
        <w:tc>
          <w:tcPr>
            <w:tcW w:w="1092" w:type="pct"/>
            <w:vMerge/>
            <w:shd w:val="clear" w:color="auto" w:fill="auto"/>
            <w:vAlign w:val="center"/>
          </w:tcPr>
          <w:p w:rsidR="0028622E" w:rsidRDefault="0028622E">
            <w:pPr>
              <w:adjustRightInd w:val="0"/>
              <w:snapToGrid w:val="0"/>
              <w:jc w:val="center"/>
              <w:rPr>
                <w:rFonts w:cs="方正仿宋简体"/>
                <w:iCs/>
                <w:szCs w:val="21"/>
              </w:rPr>
            </w:pPr>
          </w:p>
        </w:tc>
        <w:tc>
          <w:tcPr>
            <w:tcW w:w="1659"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1.0%</w:t>
            </w:r>
          </w:p>
        </w:tc>
        <w:tc>
          <w:tcPr>
            <w:tcW w:w="1124"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0.1%</w:t>
            </w:r>
          </w:p>
        </w:tc>
      </w:tr>
      <w:tr w:rsidR="0028622E">
        <w:trPr>
          <w:trHeight w:val="340"/>
        </w:trPr>
        <w:tc>
          <w:tcPr>
            <w:tcW w:w="1092" w:type="pct"/>
            <w:vMerge/>
            <w:shd w:val="clear" w:color="auto" w:fill="auto"/>
            <w:vAlign w:val="center"/>
          </w:tcPr>
          <w:p w:rsidR="0028622E" w:rsidRDefault="0028622E">
            <w:pPr>
              <w:adjustRightInd w:val="0"/>
              <w:snapToGrid w:val="0"/>
              <w:jc w:val="center"/>
              <w:rPr>
                <w:rFonts w:cs="方正仿宋简体"/>
                <w:iCs/>
                <w:szCs w:val="21"/>
              </w:rPr>
            </w:pPr>
          </w:p>
        </w:tc>
        <w:tc>
          <w:tcPr>
            <w:tcW w:w="1659"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28622E" w:rsidRDefault="00CB4FC9">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bl>
    <w:p w:rsidR="0028622E" w:rsidRDefault="00CB4FC9">
      <w:pPr>
        <w:widowControl w:val="0"/>
        <w:adjustRightInd w:val="0"/>
        <w:snapToGrid w:val="0"/>
        <w:spacing w:beforeLines="20" w:before="87" w:line="288" w:lineRule="auto"/>
        <w:jc w:val="both"/>
        <w:rPr>
          <w:rFonts w:cs="方正仿宋简体"/>
          <w:iCs/>
          <w:szCs w:val="21"/>
        </w:rPr>
      </w:pPr>
      <w:r>
        <w:rPr>
          <w:rFonts w:cs="方正仿宋简体"/>
          <w:iCs/>
          <w:szCs w:val="21"/>
        </w:rPr>
        <w:t>注：以上费用在投资者申购基金过程中收取，本基金转型前不收取赎回费。本基金转型后申购费率将有所调整并将收取赎回费，转型后的申购费率、赎回费率、特定客户的具体含义请见《招募说明书》相关内容。</w:t>
      </w:r>
    </w:p>
    <w:p w:rsidR="00956AC1" w:rsidRDefault="00A535E9" w:rsidP="000776C8">
      <w:pPr>
        <w:pStyle w:val="2"/>
      </w:pPr>
      <w:r w:rsidRPr="00ED3BD1">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728"/>
        <w:gridCol w:w="2318"/>
      </w:tblGrid>
      <w:tr w:rsidR="0028622E">
        <w:trPr>
          <w:jc w:val="center"/>
        </w:trPr>
        <w:tc>
          <w:tcPr>
            <w:tcW w:w="1984" w:type="dxa"/>
            <w:shd w:val="clear" w:color="auto" w:fill="auto"/>
            <w:vAlign w:val="center"/>
          </w:tcPr>
          <w:p w:rsidR="0028622E" w:rsidRDefault="00CB4FC9">
            <w:pPr>
              <w:pStyle w:val="ae"/>
              <w:spacing w:beforeLines="10" w:before="43" w:line="264" w:lineRule="auto"/>
              <w:contextualSpacing w:val="0"/>
              <w:jc w:val="center"/>
            </w:pPr>
            <w:r>
              <w:t>费用类别</w:t>
            </w:r>
          </w:p>
        </w:tc>
        <w:tc>
          <w:tcPr>
            <w:tcW w:w="4566" w:type="dxa"/>
            <w:shd w:val="clear" w:color="auto" w:fill="auto"/>
            <w:vAlign w:val="center"/>
          </w:tcPr>
          <w:p w:rsidR="0028622E" w:rsidRDefault="00CB4FC9">
            <w:pPr>
              <w:pStyle w:val="ae"/>
              <w:spacing w:beforeLines="10" w:before="43" w:line="264" w:lineRule="auto"/>
              <w:contextualSpacing w:val="0"/>
              <w:jc w:val="center"/>
            </w:pPr>
            <w:r>
              <w:rPr>
                <w:rFonts w:hint="eastAsia"/>
              </w:rPr>
              <w:t>年费率</w:t>
            </w:r>
            <w:r>
              <w:rPr>
                <w:rFonts w:hint="eastAsia"/>
              </w:rPr>
              <w:t>/</w:t>
            </w:r>
            <w:r>
              <w:rPr>
                <w:rFonts w:hint="eastAsia"/>
              </w:rPr>
              <w:t>收费方式</w:t>
            </w:r>
          </w:p>
        </w:tc>
        <w:tc>
          <w:tcPr>
            <w:tcW w:w="2239" w:type="dxa"/>
            <w:shd w:val="clear" w:color="auto" w:fill="auto"/>
            <w:vAlign w:val="center"/>
          </w:tcPr>
          <w:p w:rsidR="0028622E" w:rsidRDefault="00CB4FC9">
            <w:pPr>
              <w:pStyle w:val="ae"/>
              <w:spacing w:beforeLines="10" w:before="43" w:line="264" w:lineRule="auto"/>
              <w:contextualSpacing w:val="0"/>
              <w:jc w:val="center"/>
            </w:pPr>
            <w:r>
              <w:rPr>
                <w:rFonts w:hint="eastAsia"/>
              </w:rPr>
              <w:t>收取方</w:t>
            </w:r>
          </w:p>
        </w:tc>
      </w:tr>
      <w:tr w:rsidR="0028622E">
        <w:trPr>
          <w:jc w:val="center"/>
        </w:trPr>
        <w:tc>
          <w:tcPr>
            <w:tcW w:w="1984" w:type="dxa"/>
          </w:tcPr>
          <w:p w:rsidR="0028622E" w:rsidRDefault="00CB4FC9">
            <w:pPr>
              <w:pStyle w:val="ae"/>
              <w:spacing w:beforeLines="10" w:before="43" w:line="264" w:lineRule="auto"/>
              <w:contextualSpacing w:val="0"/>
              <w:jc w:val="center"/>
            </w:pPr>
            <w:r>
              <w:t>管理费</w:t>
            </w:r>
          </w:p>
        </w:tc>
        <w:tc>
          <w:tcPr>
            <w:tcW w:w="4566" w:type="dxa"/>
            <w:shd w:val="clear" w:color="auto" w:fill="auto"/>
            <w:vAlign w:val="center"/>
          </w:tcPr>
          <w:p w:rsidR="0028622E" w:rsidRDefault="00CB4FC9">
            <w:pPr>
              <w:pStyle w:val="ae"/>
              <w:spacing w:beforeLines="10" w:before="43" w:line="264" w:lineRule="auto"/>
              <w:contextualSpacing w:val="0"/>
            </w:pPr>
            <w:r>
              <w:rPr>
                <w:rFonts w:hint="eastAsia"/>
              </w:rPr>
              <w:t>0.90%</w:t>
            </w:r>
          </w:p>
        </w:tc>
        <w:tc>
          <w:tcPr>
            <w:tcW w:w="2239" w:type="dxa"/>
            <w:shd w:val="clear" w:color="auto" w:fill="auto"/>
            <w:vAlign w:val="center"/>
          </w:tcPr>
          <w:p w:rsidR="0028622E" w:rsidRDefault="00CB4FC9">
            <w:pPr>
              <w:pStyle w:val="ae"/>
              <w:spacing w:beforeLines="10" w:before="43" w:line="264" w:lineRule="auto"/>
              <w:contextualSpacing w:val="0"/>
              <w:jc w:val="left"/>
            </w:pPr>
            <w:r>
              <w:rPr>
                <w:rFonts w:hint="eastAsia"/>
              </w:rPr>
              <w:t>基金管理人、销售机构</w:t>
            </w:r>
          </w:p>
        </w:tc>
      </w:tr>
      <w:tr w:rsidR="0028622E">
        <w:trPr>
          <w:jc w:val="center"/>
        </w:trPr>
        <w:tc>
          <w:tcPr>
            <w:tcW w:w="1984" w:type="dxa"/>
          </w:tcPr>
          <w:p w:rsidR="0028622E" w:rsidRDefault="00CB4FC9">
            <w:pPr>
              <w:pStyle w:val="ae"/>
              <w:spacing w:beforeLines="10" w:before="43" w:line="264" w:lineRule="auto"/>
              <w:contextualSpacing w:val="0"/>
              <w:jc w:val="center"/>
            </w:pPr>
            <w:r>
              <w:t>托管费</w:t>
            </w:r>
          </w:p>
        </w:tc>
        <w:tc>
          <w:tcPr>
            <w:tcW w:w="4566" w:type="dxa"/>
            <w:shd w:val="clear" w:color="auto" w:fill="auto"/>
            <w:vAlign w:val="center"/>
          </w:tcPr>
          <w:p w:rsidR="0028622E" w:rsidRDefault="00CB4FC9">
            <w:pPr>
              <w:pStyle w:val="ae"/>
              <w:spacing w:beforeLines="10" w:before="43" w:line="264" w:lineRule="auto"/>
              <w:contextualSpacing w:val="0"/>
            </w:pPr>
            <w:r>
              <w:rPr>
                <w:rFonts w:hint="eastAsia"/>
              </w:rPr>
              <w:t>0.20%</w:t>
            </w:r>
          </w:p>
        </w:tc>
        <w:tc>
          <w:tcPr>
            <w:tcW w:w="2239" w:type="dxa"/>
            <w:shd w:val="clear" w:color="auto" w:fill="auto"/>
            <w:vAlign w:val="center"/>
          </w:tcPr>
          <w:p w:rsidR="0028622E" w:rsidRDefault="00CB4FC9">
            <w:pPr>
              <w:pStyle w:val="ae"/>
              <w:spacing w:beforeLines="10" w:before="43" w:line="264" w:lineRule="auto"/>
              <w:contextualSpacing w:val="0"/>
              <w:jc w:val="left"/>
            </w:pPr>
            <w:r>
              <w:rPr>
                <w:rFonts w:hint="eastAsia"/>
              </w:rPr>
              <w:t>基金托管人</w:t>
            </w:r>
          </w:p>
        </w:tc>
      </w:tr>
      <w:tr w:rsidR="0028622E">
        <w:trPr>
          <w:jc w:val="center"/>
        </w:trPr>
        <w:tc>
          <w:tcPr>
            <w:tcW w:w="1984" w:type="dxa"/>
          </w:tcPr>
          <w:p w:rsidR="0028622E" w:rsidRDefault="00CB4FC9">
            <w:pPr>
              <w:pStyle w:val="ae"/>
              <w:spacing w:beforeLines="10" w:before="43" w:line="264" w:lineRule="auto"/>
              <w:contextualSpacing w:val="0"/>
              <w:jc w:val="center"/>
            </w:pPr>
            <w:r>
              <w:rPr>
                <w:szCs w:val="21"/>
              </w:rPr>
              <w:t>审计费用</w:t>
            </w:r>
          </w:p>
        </w:tc>
        <w:tc>
          <w:tcPr>
            <w:tcW w:w="4566" w:type="dxa"/>
            <w:shd w:val="clear" w:color="auto" w:fill="auto"/>
            <w:vAlign w:val="center"/>
          </w:tcPr>
          <w:p w:rsidR="0028622E" w:rsidRDefault="00CB4FC9">
            <w:pPr>
              <w:pStyle w:val="ae"/>
              <w:spacing w:beforeLines="10" w:before="43" w:line="264" w:lineRule="auto"/>
              <w:contextualSpacing w:val="0"/>
              <w:rPr>
                <w:szCs w:val="21"/>
              </w:rPr>
            </w:pPr>
            <w:r>
              <w:rPr>
                <w:rFonts w:hint="eastAsia"/>
                <w:szCs w:val="21"/>
              </w:rPr>
              <w:t>18,000.00</w:t>
            </w:r>
            <w:r>
              <w:rPr>
                <w:rFonts w:hint="eastAsia"/>
                <w:szCs w:val="21"/>
              </w:rPr>
              <w:t>元</w:t>
            </w:r>
            <w:r>
              <w:rPr>
                <w:rFonts w:hint="eastAsia"/>
                <w:szCs w:val="21"/>
              </w:rPr>
              <w:t>/</w:t>
            </w:r>
            <w:r>
              <w:rPr>
                <w:rFonts w:hint="eastAsia"/>
                <w:szCs w:val="21"/>
              </w:rPr>
              <w:t>年</w:t>
            </w:r>
          </w:p>
        </w:tc>
        <w:tc>
          <w:tcPr>
            <w:tcW w:w="2239" w:type="dxa"/>
            <w:shd w:val="clear" w:color="auto" w:fill="auto"/>
          </w:tcPr>
          <w:p w:rsidR="0028622E" w:rsidRDefault="00CB4FC9">
            <w:pPr>
              <w:pStyle w:val="ae"/>
              <w:spacing w:beforeLines="10" w:before="43" w:line="264" w:lineRule="auto"/>
              <w:contextualSpacing w:val="0"/>
              <w:jc w:val="left"/>
              <w:rPr>
                <w:szCs w:val="21"/>
              </w:rPr>
            </w:pPr>
            <w:r>
              <w:rPr>
                <w:rFonts w:hint="eastAsia"/>
                <w:szCs w:val="21"/>
              </w:rPr>
              <w:t>会计师事务所</w:t>
            </w:r>
          </w:p>
        </w:tc>
      </w:tr>
      <w:tr w:rsidR="0028622E">
        <w:trPr>
          <w:jc w:val="center"/>
        </w:trPr>
        <w:tc>
          <w:tcPr>
            <w:tcW w:w="1984" w:type="dxa"/>
            <w:shd w:val="clear" w:color="auto" w:fill="auto"/>
            <w:vAlign w:val="center"/>
          </w:tcPr>
          <w:p w:rsidR="0028622E" w:rsidRDefault="00CB4FC9">
            <w:pPr>
              <w:pStyle w:val="ae"/>
              <w:spacing w:beforeLines="10" w:before="43" w:line="264" w:lineRule="auto"/>
              <w:contextualSpacing w:val="0"/>
              <w:jc w:val="center"/>
              <w:rPr>
                <w:szCs w:val="21"/>
              </w:rPr>
            </w:pPr>
            <w:r>
              <w:rPr>
                <w:rFonts w:ascii="方正仿宋简体" w:hAnsi="方正仿宋简体" w:cs="方正仿宋简体" w:hint="eastAsia"/>
                <w:iCs/>
                <w:szCs w:val="21"/>
              </w:rPr>
              <w:t>信息披露费</w:t>
            </w:r>
          </w:p>
        </w:tc>
        <w:tc>
          <w:tcPr>
            <w:tcW w:w="4566" w:type="dxa"/>
            <w:shd w:val="clear" w:color="auto" w:fill="auto"/>
            <w:vAlign w:val="center"/>
          </w:tcPr>
          <w:p w:rsidR="0028622E" w:rsidRDefault="00CB4FC9">
            <w:pPr>
              <w:pStyle w:val="ae"/>
              <w:spacing w:beforeLines="10" w:before="43" w:line="264" w:lineRule="auto"/>
              <w:contextualSpacing w:val="0"/>
              <w:rPr>
                <w:szCs w:val="21"/>
              </w:rPr>
            </w:pPr>
            <w:r>
              <w:rPr>
                <w:rFonts w:hint="eastAsia"/>
                <w:szCs w:val="21"/>
              </w:rPr>
              <w:t>80,000.00</w:t>
            </w:r>
            <w:r>
              <w:rPr>
                <w:rFonts w:hint="eastAsia"/>
                <w:szCs w:val="21"/>
              </w:rPr>
              <w:t>元</w:t>
            </w:r>
            <w:r>
              <w:rPr>
                <w:rFonts w:hint="eastAsia"/>
                <w:szCs w:val="21"/>
              </w:rPr>
              <w:t>/</w:t>
            </w:r>
            <w:r>
              <w:rPr>
                <w:rFonts w:hint="eastAsia"/>
                <w:szCs w:val="21"/>
              </w:rPr>
              <w:t>年</w:t>
            </w:r>
          </w:p>
        </w:tc>
        <w:tc>
          <w:tcPr>
            <w:tcW w:w="2239" w:type="dxa"/>
            <w:shd w:val="clear" w:color="auto" w:fill="auto"/>
          </w:tcPr>
          <w:p w:rsidR="0028622E" w:rsidRDefault="00CB4FC9">
            <w:pPr>
              <w:pStyle w:val="ae"/>
              <w:spacing w:beforeLines="10" w:before="43" w:line="264" w:lineRule="auto"/>
              <w:contextualSpacing w:val="0"/>
              <w:jc w:val="left"/>
              <w:rPr>
                <w:szCs w:val="21"/>
              </w:rPr>
            </w:pPr>
            <w:r>
              <w:rPr>
                <w:rFonts w:hint="eastAsia"/>
                <w:szCs w:val="21"/>
              </w:rPr>
              <w:t>规定披露报刊</w:t>
            </w:r>
          </w:p>
        </w:tc>
      </w:tr>
    </w:tbl>
    <w:p w:rsidR="0028622E" w:rsidRDefault="00CB4FC9">
      <w:pPr>
        <w:adjustRightInd w:val="0"/>
        <w:snapToGrid w:val="0"/>
        <w:spacing w:beforeLines="20" w:before="87" w:line="288" w:lineRule="auto"/>
        <w:rPr>
          <w:rFonts w:cs="方正仿宋简体"/>
          <w:iCs/>
          <w:szCs w:val="21"/>
        </w:rPr>
      </w:pPr>
      <w:r>
        <w:rPr>
          <w:rFonts w:cs="方正仿宋简体"/>
          <w:iCs/>
          <w:szCs w:val="21"/>
        </w:rPr>
        <w:t>注：以上费用将从基金资产中扣除；本基金交易证券、基金等产生的费用和税负，按实际发生额从基金资产扣除。本基金转型后</w:t>
      </w:r>
      <w:r>
        <w:rPr>
          <w:rFonts w:cs="方正仿宋简体"/>
          <w:iCs/>
          <w:szCs w:val="21"/>
        </w:rPr>
        <w:t>A</w:t>
      </w:r>
      <w:r>
        <w:rPr>
          <w:rFonts w:cs="方正仿宋简体"/>
          <w:iCs/>
          <w:szCs w:val="21"/>
        </w:rPr>
        <w:t>类基金份额管理费年费率将调整为</w:t>
      </w:r>
      <w:r>
        <w:rPr>
          <w:rFonts w:cs="方正仿宋简体"/>
          <w:iCs/>
          <w:szCs w:val="21"/>
        </w:rPr>
        <w:t>0.60%</w:t>
      </w:r>
      <w:r>
        <w:rPr>
          <w:rFonts w:cs="方正仿宋简体"/>
          <w:iCs/>
          <w:szCs w:val="21"/>
        </w:rPr>
        <w:t>，</w:t>
      </w:r>
      <w:r>
        <w:rPr>
          <w:rFonts w:cs="方正仿宋简体"/>
          <w:iCs/>
          <w:szCs w:val="21"/>
        </w:rPr>
        <w:t>Y</w:t>
      </w:r>
      <w:r>
        <w:rPr>
          <w:rFonts w:cs="方正仿宋简体"/>
          <w:iCs/>
          <w:szCs w:val="21"/>
        </w:rPr>
        <w:t>类基金份额管理费年费率将调整为</w:t>
      </w:r>
      <w:r>
        <w:rPr>
          <w:rFonts w:cs="方正仿宋简体"/>
          <w:iCs/>
          <w:szCs w:val="21"/>
        </w:rPr>
        <w:t>0.30%</w:t>
      </w:r>
      <w:r>
        <w:rPr>
          <w:rFonts w:cs="方正仿宋简体"/>
          <w:iCs/>
          <w:szCs w:val="21"/>
        </w:rPr>
        <w:t>。本基金对基金财产中持有的本基金管理人自身管理的基金部分不收取管理费，对基金财产中持有的本基金托管人自身托管的基金部分不收取托管费。审计费用、信息披露费为基金整体承担的年费用金额，非单个份额类别费用；年费用金额为预估值，最终实际金额以基金定期报告披露为准。除上述费用外的其他运作费用，详见《招募说明书》中的</w:t>
      </w:r>
      <w:r>
        <w:rPr>
          <w:rFonts w:cs="方正仿宋简体"/>
          <w:iCs/>
          <w:szCs w:val="21"/>
        </w:rPr>
        <w:t>“</w:t>
      </w:r>
      <w:r>
        <w:rPr>
          <w:rFonts w:cs="方正仿宋简体"/>
          <w:iCs/>
          <w:szCs w:val="21"/>
        </w:rPr>
        <w:t>基金费</w:t>
      </w:r>
      <w:r>
        <w:rPr>
          <w:rFonts w:cs="方正仿宋简体"/>
          <w:iCs/>
          <w:szCs w:val="21"/>
        </w:rPr>
        <w:t>用与税收</w:t>
      </w:r>
      <w:r>
        <w:rPr>
          <w:rFonts w:cs="方正仿宋简体"/>
          <w:iCs/>
          <w:szCs w:val="21"/>
        </w:rPr>
        <w:t>”</w:t>
      </w:r>
      <w:r>
        <w:rPr>
          <w:rFonts w:cs="方正仿宋简体"/>
          <w:iCs/>
          <w:szCs w:val="21"/>
        </w:rPr>
        <w:t>章节。</w:t>
      </w:r>
    </w:p>
    <w:p w:rsidR="008F56AE" w:rsidRDefault="008F56AE" w:rsidP="008B58DF">
      <w:pPr>
        <w:pStyle w:val="2"/>
      </w:pPr>
      <w:r w:rsidRPr="00B32DAD">
        <w:t>基金运作综合费用测算</w:t>
      </w:r>
    </w:p>
    <w:tbl>
      <w:tblPr>
        <w:tblStyle w:val="a9"/>
        <w:tblW w:w="5000" w:type="pct"/>
        <w:jc w:val="center"/>
        <w:tblLook w:val="04A0" w:firstRow="1" w:lastRow="0" w:firstColumn="1" w:lastColumn="0" w:noHBand="0" w:noVBand="1"/>
      </w:tblPr>
      <w:tblGrid>
        <w:gridCol w:w="8948"/>
      </w:tblGrid>
      <w:tr w:rsidR="0028622E">
        <w:trPr>
          <w:jc w:val="center"/>
        </w:trPr>
        <w:tc>
          <w:tcPr>
            <w:tcW w:w="4417" w:type="dxa"/>
          </w:tcPr>
          <w:p w:rsidR="0028622E" w:rsidRDefault="00CB4FC9">
            <w:pPr>
              <w:jc w:val="center"/>
            </w:pPr>
            <w:r>
              <w:rPr>
                <w:rFonts w:hint="eastAsia"/>
              </w:rPr>
              <w:t>基金运作综合费率（年化）</w:t>
            </w:r>
          </w:p>
        </w:tc>
      </w:tr>
      <w:tr w:rsidR="0028622E">
        <w:trPr>
          <w:jc w:val="center"/>
        </w:trPr>
        <w:tc>
          <w:tcPr>
            <w:tcW w:w="4417" w:type="dxa"/>
          </w:tcPr>
          <w:p w:rsidR="0028622E" w:rsidRDefault="00CB4FC9">
            <w:pPr>
              <w:jc w:val="center"/>
            </w:pPr>
            <w:r>
              <w:rPr>
                <w:rFonts w:hint="eastAsia"/>
              </w:rPr>
              <w:t>1.26%</w:t>
            </w:r>
          </w:p>
        </w:tc>
      </w:tr>
    </w:tbl>
    <w:p w:rsidR="0028622E" w:rsidRDefault="00CB4FC9">
      <w:pPr>
        <w:adjustRightInd w:val="0"/>
        <w:snapToGrid w:val="0"/>
        <w:spacing w:beforeLines="20" w:before="87" w:line="288" w:lineRule="auto"/>
        <w:rPr>
          <w:rFonts w:cs="方正仿宋简体"/>
          <w:iCs/>
          <w:szCs w:val="21"/>
        </w:rPr>
      </w:pPr>
      <w:r>
        <w:rPr>
          <w:rFonts w:cs="方正仿宋简体"/>
          <w:iCs/>
          <w:szCs w:val="21"/>
        </w:rPr>
        <w:t>注：若投资者认购</w:t>
      </w:r>
      <w:r>
        <w:rPr>
          <w:rFonts w:cs="方正仿宋简体"/>
          <w:iCs/>
          <w:szCs w:val="21"/>
        </w:rPr>
        <w:t>/</w:t>
      </w:r>
      <w:r>
        <w:rPr>
          <w:rFonts w:cs="方正仿宋简体"/>
          <w:iCs/>
          <w:szCs w:val="21"/>
        </w:rPr>
        <w:t>申购本基金份额，在持有期间，投资者需支出的运作费率如上表所示。基金管理费率、托管费率为基金现行费率，其他运作费用以最近一次基金年报披露的相关数据为基准测算。</w:t>
      </w:r>
    </w:p>
    <w:p w:rsidR="006370B9" w:rsidRPr="00A14942" w:rsidRDefault="006370B9" w:rsidP="006370B9">
      <w:pPr>
        <w:pStyle w:val="1"/>
        <w:ind w:left="425" w:hanging="425"/>
      </w:pPr>
      <w:r w:rsidRPr="00A14942">
        <w:rPr>
          <w:rFonts w:hint="eastAsia"/>
        </w:rPr>
        <w:t>风险揭示与重要提示</w:t>
      </w:r>
    </w:p>
    <w:p w:rsidR="006370B9" w:rsidRPr="00006391" w:rsidRDefault="006370B9" w:rsidP="006370B9">
      <w:pPr>
        <w:pStyle w:val="2"/>
        <w:numPr>
          <w:ilvl w:val="1"/>
          <w:numId w:val="18"/>
        </w:numPr>
      </w:pPr>
      <w:r w:rsidRPr="00006391">
        <w:rPr>
          <w:rFonts w:hint="eastAsia"/>
        </w:rPr>
        <w:t>风险揭示</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本基金不提供任何保证。投资者可能损失投资本金。投资有风险，投资者购买基金时应认真阅读本基金的《招募说明书》等销售文件。</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w:t>
      </w:r>
      <w:r>
        <w:rPr>
          <w:rFonts w:cs="方正仿宋简体"/>
          <w:iCs/>
          <w:szCs w:val="21"/>
        </w:rPr>
        <w:t>“</w:t>
      </w:r>
      <w:r>
        <w:rPr>
          <w:rFonts w:cs="方正仿宋简体"/>
          <w:iCs/>
          <w:szCs w:val="21"/>
        </w:rPr>
        <w:t>买者自负</w:t>
      </w:r>
      <w:r>
        <w:rPr>
          <w:rFonts w:cs="方正仿宋简体"/>
          <w:iCs/>
          <w:szCs w:val="21"/>
        </w:rPr>
        <w:t>”</w:t>
      </w:r>
      <w:r>
        <w:rPr>
          <w:rFonts w:cs="方正仿宋简体"/>
          <w:iCs/>
          <w:szCs w:val="21"/>
        </w:rPr>
        <w:t>原则，在投资者作出投资决策后，基金运营状况与基金净值变化引致的投资风险，由投资者自行负责。</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本基金的特有风险包括：</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、基金运作的风险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lastRenderedPageBreak/>
        <w:t>本基金是混合型基金中基金，存在大类资产配置风险，有可能受到经济周期、市场环境或基金管理人对市场所处的经济周期</w:t>
      </w:r>
      <w:r>
        <w:rPr>
          <w:rFonts w:cs="方正仿宋简体"/>
          <w:iCs/>
          <w:szCs w:val="21"/>
        </w:rPr>
        <w:t>和产业周期的判断不足等因素的影响，导致基金的大类资产配置比例偏离最优化水平，给基金投资组合的绩效带来风险。本基金对被投资基金的评估具有一定的主观性，将在基金投资决策中给基金带来一定的不确定性的风险。被投资基金的波动会受到宏观经济环境、行业周期、基金经理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的下跌风险。同时，本基金可能因持续规模较小而被合</w:t>
      </w:r>
      <w:r>
        <w:rPr>
          <w:rFonts w:cs="方正仿宋简体"/>
          <w:iCs/>
          <w:szCs w:val="21"/>
        </w:rPr>
        <w:t>并导致基金终止的风险。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、资产支持证券投资风险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本基金的投资范围包括资产支持证券。资产支持证券存在信用风险、利率风险、流动性风险、提前偿付风险、操作风险和法律风险等。</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本基金对于每份基金份额，设定锁定持有期，原则上每份基金份额的锁定持有期为五年，锁定持有期到期后进入开放持有期，每份基金份额自其开放持有期首日起才能办理赎回业务，因此基金份额持有人面临在最短持有期内不能赎回基金份额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、发起式基金自动终止的风险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基金合同生效之日起</w:t>
      </w:r>
      <w:r>
        <w:rPr>
          <w:rFonts w:cs="方正仿宋简体"/>
          <w:iCs/>
          <w:szCs w:val="21"/>
        </w:rPr>
        <w:t>3</w:t>
      </w:r>
      <w:r>
        <w:rPr>
          <w:rFonts w:cs="方正仿宋简体"/>
          <w:iCs/>
          <w:szCs w:val="21"/>
        </w:rPr>
        <w:t>年后的对应日，若基金资产规模低于</w:t>
      </w:r>
      <w:r>
        <w:rPr>
          <w:rFonts w:cs="方正仿宋简体"/>
          <w:iCs/>
          <w:szCs w:val="21"/>
        </w:rPr>
        <w:t>2</w:t>
      </w:r>
      <w:r>
        <w:rPr>
          <w:rFonts w:cs="方正仿宋简体"/>
          <w:iCs/>
          <w:szCs w:val="21"/>
        </w:rPr>
        <w:t>亿元，基金合同应当按照基金合同约</w:t>
      </w:r>
      <w:r>
        <w:rPr>
          <w:rFonts w:cs="方正仿宋简体"/>
          <w:iCs/>
          <w:szCs w:val="21"/>
        </w:rPr>
        <w:t>定的程序进行清算并终止，且不得通过召开基金份额持有人大会的方式延续。因此，投资者还将面临发起式基金自动终止的风险。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、存托凭证投资风险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本基金投资存托凭证在承担境内上市交易股票投资的共同风险外，还将承担与存托凭证、创新企业发行、境外发行人以及交易机制相关的特有风险。</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6</w:t>
      </w:r>
      <w:r>
        <w:rPr>
          <w:rFonts w:cs="方正仿宋简体"/>
          <w:iCs/>
          <w:szCs w:val="21"/>
        </w:rPr>
        <w:t>、本基金可以投资于港股通标的股票，投资风险包括：</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）本基金将通过</w:t>
      </w:r>
      <w:r>
        <w:rPr>
          <w:rFonts w:cs="方正仿宋简体"/>
          <w:iCs/>
          <w:szCs w:val="21"/>
        </w:rPr>
        <w:t>“</w:t>
      </w:r>
      <w:r>
        <w:rPr>
          <w:rFonts w:cs="方正仿宋简体"/>
          <w:iCs/>
          <w:szCs w:val="21"/>
        </w:rPr>
        <w:t>港股通</w:t>
      </w:r>
      <w:r>
        <w:rPr>
          <w:rFonts w:cs="方正仿宋简体"/>
          <w:iCs/>
          <w:szCs w:val="21"/>
        </w:rPr>
        <w:t>”</w:t>
      </w:r>
      <w:r>
        <w:rPr>
          <w:rFonts w:cs="方正仿宋简体"/>
          <w:iCs/>
          <w:szCs w:val="21"/>
        </w:rPr>
        <w:t>投资于香港市场，在市场进入、投资额度、可投资对象、税务政策等方面都有一定的限制，而且此类限制可能会不断调整，这些限制因素的变化可能对本基金进入或退出当地市场造成障碍</w:t>
      </w:r>
      <w:r>
        <w:rPr>
          <w:rFonts w:cs="方正仿宋简体"/>
          <w:iCs/>
          <w:szCs w:val="21"/>
        </w:rPr>
        <w:t>，从而对投资收益以及正常的申购赎回产生直接或间接的影响。</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）香港市场交易规则有别于内地</w:t>
      </w:r>
      <w:r>
        <w:rPr>
          <w:rFonts w:cs="方正仿宋简体"/>
          <w:iCs/>
          <w:szCs w:val="21"/>
        </w:rPr>
        <w:t>A</w:t>
      </w:r>
      <w:r>
        <w:rPr>
          <w:rFonts w:cs="方正仿宋简体"/>
          <w:iCs/>
          <w:szCs w:val="21"/>
        </w:rPr>
        <w:t>股市场规则，此外，在港股通下参与香港股票投资还将面临包括但不限于如下特殊风险：涨跌幅限制、交易日不同、临时停市、交易机制、代理投票、汇率风险、港股通每日额度限制等。</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）本基金可根据投资策略需要或不同配置地市场环境的变化，选择将部分基金资产投资于港股或选择不将基金资产投资于港股，基金资产并非必然投资港股。</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7</w:t>
      </w:r>
      <w:r>
        <w:rPr>
          <w:rFonts w:cs="方正仿宋简体"/>
          <w:iCs/>
          <w:szCs w:val="21"/>
        </w:rPr>
        <w:t>、本基金的名称中包含</w:t>
      </w:r>
      <w:r>
        <w:rPr>
          <w:rFonts w:cs="方正仿宋简体"/>
          <w:iCs/>
          <w:szCs w:val="21"/>
        </w:rPr>
        <w:t>“</w:t>
      </w:r>
      <w:r>
        <w:rPr>
          <w:rFonts w:cs="方正仿宋简体"/>
          <w:iCs/>
          <w:szCs w:val="21"/>
        </w:rPr>
        <w:t>养老目标</w:t>
      </w:r>
      <w:r>
        <w:rPr>
          <w:rFonts w:cs="方正仿宋简体"/>
          <w:iCs/>
          <w:szCs w:val="21"/>
        </w:rPr>
        <w:t>”</w:t>
      </w:r>
      <w:r>
        <w:rPr>
          <w:rFonts w:cs="方正仿宋简体"/>
          <w:iCs/>
          <w:szCs w:val="21"/>
        </w:rPr>
        <w:t>字样，不代表基金收益保障或其他任何形式的收益承诺，基金管理人在此特别提示投资者：</w:t>
      </w:r>
      <w:r>
        <w:rPr>
          <w:rFonts w:cs="方正仿宋简体"/>
          <w:iCs/>
          <w:szCs w:val="21"/>
        </w:rPr>
        <w:t>本基金不保本，可能发生亏损。敬请投资人根据自身年龄、退休日期和收入水平，选择适合的养老目标基金。</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8</w:t>
      </w:r>
      <w:r>
        <w:rPr>
          <w:rFonts w:cs="方正仿宋简体"/>
          <w:iCs/>
          <w:szCs w:val="21"/>
        </w:rPr>
        <w:t>、本基金运作过程中可能出现不符合相关条件从而被移出个人养老金基金名录的情形，届时本基金将暂停办理</w:t>
      </w:r>
      <w:r>
        <w:rPr>
          <w:rFonts w:cs="方正仿宋简体"/>
          <w:iCs/>
          <w:szCs w:val="21"/>
        </w:rPr>
        <w:t>Y</w:t>
      </w:r>
      <w:r>
        <w:rPr>
          <w:rFonts w:cs="方正仿宋简体"/>
          <w:iCs/>
          <w:szCs w:val="21"/>
        </w:rPr>
        <w:t>类份额的申购，投资者由此可能面临无法继续投资</w:t>
      </w:r>
      <w:r>
        <w:rPr>
          <w:rFonts w:cs="方正仿宋简体"/>
          <w:iCs/>
          <w:szCs w:val="21"/>
        </w:rPr>
        <w:t>Y</w:t>
      </w:r>
      <w:r>
        <w:rPr>
          <w:rFonts w:cs="方正仿宋简体"/>
          <w:iCs/>
          <w:szCs w:val="21"/>
        </w:rPr>
        <w:t>类份额的风险。</w:t>
      </w:r>
    </w:p>
    <w:p w:rsidR="006370B9" w:rsidRPr="00006391" w:rsidRDefault="006370B9" w:rsidP="006370B9">
      <w:pPr>
        <w:pStyle w:val="2"/>
        <w:numPr>
          <w:ilvl w:val="1"/>
          <w:numId w:val="17"/>
        </w:numPr>
      </w:pPr>
      <w:r w:rsidRPr="00006391">
        <w:rPr>
          <w:rFonts w:hint="eastAsia"/>
        </w:rPr>
        <w:t>重要提示</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中国证监会对本基金募集的注册</w:t>
      </w:r>
      <w:r>
        <w:rPr>
          <w:rFonts w:cs="方正仿宋简体"/>
          <w:iCs/>
          <w:szCs w:val="21"/>
        </w:rPr>
        <w:t>/</w:t>
      </w:r>
      <w:r>
        <w:rPr>
          <w:rFonts w:cs="方正仿宋简体"/>
          <w:iCs/>
          <w:szCs w:val="21"/>
        </w:rPr>
        <w:t>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w:t>
      </w:r>
      <w:r>
        <w:rPr>
          <w:rFonts w:cs="方正仿宋简体"/>
          <w:iCs/>
          <w:szCs w:val="21"/>
        </w:rPr>
        <w:t>金合同取得基金份额，即成为基金份额持有人和基金合同的当事人。</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因基金合同而产生的或与基金合同有关的一切争议，如经友好协商未能解决的，均应提交深圳国际仲裁院，按照申请仲裁时深圳国际仲裁院届时有效的仲裁规则进行仲裁，仲裁地点为深圳市。仲裁裁决是终局的，并对各方当事人具有约束力。</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基金产品资料概要信息发生重大变更的，基金管理人将在三个工作日内更新，其他信息发生变更的，基金管理人每年更新一次。因此，本文件内容相比基金的实际情况可能存在一定的滞</w:t>
      </w:r>
      <w:r>
        <w:rPr>
          <w:rFonts w:cs="方正仿宋简体"/>
          <w:iCs/>
          <w:szCs w:val="21"/>
        </w:rPr>
        <w:lastRenderedPageBreak/>
        <w:t>后，如需及时、准确获取基金的相关信息，敬请同时关注基金管理人发布的相关临时公告、定期公告等披露文件。</w:t>
      </w:r>
    </w:p>
    <w:p w:rsidR="006370B9" w:rsidRPr="00A14942" w:rsidRDefault="006370B9" w:rsidP="006370B9">
      <w:pPr>
        <w:pStyle w:val="1"/>
        <w:ind w:left="425" w:hanging="425"/>
      </w:pPr>
      <w:r w:rsidRPr="00A14942">
        <w:rPr>
          <w:rFonts w:hint="eastAsia"/>
        </w:rPr>
        <w:t>其他资料查询方式</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以下资料详见基金管理人网站（</w:t>
      </w:r>
      <w:r>
        <w:rPr>
          <w:rFonts w:cs="方正仿宋简体"/>
          <w:iCs/>
          <w:szCs w:val="21"/>
        </w:rPr>
        <w:t>www.fullgoal.com.cn</w:t>
      </w:r>
      <w:r>
        <w:rPr>
          <w:rFonts w:cs="方正仿宋简体"/>
          <w:iCs/>
          <w:szCs w:val="21"/>
        </w:rPr>
        <w:t>），客户服务热线：</w:t>
      </w:r>
      <w:r>
        <w:rPr>
          <w:rFonts w:cs="方正仿宋简体"/>
          <w:iCs/>
          <w:szCs w:val="21"/>
        </w:rPr>
        <w:t>95105686</w:t>
      </w:r>
      <w:r>
        <w:rPr>
          <w:rFonts w:cs="方正仿宋简体"/>
          <w:iCs/>
          <w:szCs w:val="21"/>
        </w:rPr>
        <w:t>，</w:t>
      </w:r>
      <w:r>
        <w:rPr>
          <w:rFonts w:cs="方正仿宋简体"/>
          <w:iCs/>
          <w:szCs w:val="21"/>
        </w:rPr>
        <w:t>4008880688</w:t>
      </w:r>
      <w:r>
        <w:rPr>
          <w:rFonts w:cs="方正仿宋简体"/>
          <w:iCs/>
          <w:szCs w:val="21"/>
        </w:rPr>
        <w:t>（全国统一，免长途话费）</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基金合同、托管协议、招募说明书</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定期报告，包括基金季度报告、中期报告和年度报告</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基金份额净值</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基金销售机构及联系方式</w:t>
      </w:r>
    </w:p>
    <w:p w:rsidR="0028622E" w:rsidRDefault="00CB4FC9">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其他重要资料</w:t>
      </w:r>
    </w:p>
    <w:sectPr w:rsidR="0028622E" w:rsidSect="00AD4857">
      <w:footerReference w:type="default" r:id="rId9"/>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FC9" w:rsidRDefault="00CB4FC9" w:rsidP="00084FBF">
      <w:r>
        <w:separator/>
      </w:r>
    </w:p>
  </w:endnote>
  <w:endnote w:type="continuationSeparator" w:id="0">
    <w:p w:rsidR="00CB4FC9" w:rsidRDefault="00CB4FC9"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70E79">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70E79">
      <w:rPr>
        <w:b/>
        <w:bCs/>
        <w:noProof/>
      </w:rPr>
      <w:t>6</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FC9" w:rsidRDefault="00CB4FC9" w:rsidP="00084FBF">
      <w:r>
        <w:separator/>
      </w:r>
    </w:p>
  </w:footnote>
  <w:footnote w:type="continuationSeparator" w:id="0">
    <w:p w:rsidR="00CB4FC9" w:rsidRDefault="00CB4FC9"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51409CC"/>
    <w:multiLevelType w:val="hybridMultilevel"/>
    <w:tmpl w:val="035A1476"/>
    <w:lvl w:ilvl="0" w:tplc="99480BE8">
      <w:start w:val="1"/>
      <w:numFmt w:val="chineseCountingThousand"/>
      <w:pStyle w:val="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6213A5"/>
    <w:multiLevelType w:val="hybridMultilevel"/>
    <w:tmpl w:val="A8DC98DE"/>
    <w:lvl w:ilvl="0" w:tplc="67C8E68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1E66571"/>
    <w:multiLevelType w:val="multilevel"/>
    <w:tmpl w:val="D868A662"/>
    <w:lvl w:ilvl="0">
      <w:start w:val="1"/>
      <w:numFmt w:val="chineseCountingThousand"/>
      <w:pStyle w:val="1"/>
      <w:suff w:val="space"/>
      <w:lvlText w:val="%1、"/>
      <w:lvlJc w:val="left"/>
      <w:pPr>
        <w:ind w:left="0" w:firstLine="0"/>
      </w:pPr>
      <w:rPr>
        <w:rFonts w:hint="eastAsia"/>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307B2E9D"/>
    <w:multiLevelType w:val="multilevel"/>
    <w:tmpl w:val="3E7A3EF0"/>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nsid w:val="4F606D61"/>
    <w:multiLevelType w:val="multilevel"/>
    <w:tmpl w:val="811EEC96"/>
    <w:lvl w:ilvl="0">
      <w:start w:val="1"/>
      <w:numFmt w:val="japaneseCounting"/>
      <w:lvlText w:val="（%1）"/>
      <w:lvlJc w:val="left"/>
      <w:pPr>
        <w:ind w:left="420" w:hanging="420"/>
      </w:pPr>
      <w:rPr>
        <w:rFonts w:hint="default"/>
      </w:rPr>
    </w:lvl>
    <w:lvl w:ilvl="1">
      <w:start w:val="1"/>
      <w:numFmt w:val="chineseCountingThousand"/>
      <w:pStyle w:val="2"/>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5AC33CF0"/>
    <w:multiLevelType w:val="singleLevel"/>
    <w:tmpl w:val="5AC33CF0"/>
    <w:lvl w:ilvl="0">
      <w:start w:val="1"/>
      <w:numFmt w:val="chineseCounting"/>
      <w:suff w:val="nothing"/>
      <w:lvlText w:val="%1、"/>
      <w:lvlJc w:val="left"/>
    </w:lvl>
  </w:abstractNum>
  <w:abstractNum w:abstractNumId="10">
    <w:nsid w:val="5C21FE0E"/>
    <w:multiLevelType w:val="singleLevel"/>
    <w:tmpl w:val="5C21FE0E"/>
    <w:lvl w:ilvl="0">
      <w:start w:val="2"/>
      <w:numFmt w:val="chineseCounting"/>
      <w:suff w:val="nothing"/>
      <w:lvlText w:val="（%1）"/>
      <w:lvlJc w:val="left"/>
    </w:lvl>
  </w:abstractNum>
  <w:abstractNum w:abstractNumId="11">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0"/>
  </w:num>
  <w:num w:numId="4">
    <w:abstractNumId w:val="3"/>
  </w:num>
  <w:num w:numId="5">
    <w:abstractNumId w:val="12"/>
  </w:num>
  <w:num w:numId="6">
    <w:abstractNumId w:val="4"/>
  </w:num>
  <w:num w:numId="7">
    <w:abstractNumId w:val="11"/>
  </w:num>
  <w:num w:numId="8">
    <w:abstractNumId w:val="7"/>
  </w:num>
  <w:num w:numId="9">
    <w:abstractNumId w:val="3"/>
  </w:num>
  <w:num w:numId="10">
    <w:abstractNumId w:val="2"/>
  </w:num>
  <w:num w:numId="11">
    <w:abstractNumId w:val="8"/>
  </w:num>
  <w:num w:numId="12">
    <w:abstractNumId w:va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CD"/>
    <w:rsid w:val="00005219"/>
    <w:rsid w:val="00011D44"/>
    <w:rsid w:val="00013020"/>
    <w:rsid w:val="00020BC0"/>
    <w:rsid w:val="00022545"/>
    <w:rsid w:val="000232C6"/>
    <w:rsid w:val="00036483"/>
    <w:rsid w:val="00042918"/>
    <w:rsid w:val="000477E3"/>
    <w:rsid w:val="00051C0C"/>
    <w:rsid w:val="00053417"/>
    <w:rsid w:val="00064982"/>
    <w:rsid w:val="000776C8"/>
    <w:rsid w:val="000827C1"/>
    <w:rsid w:val="00084FBF"/>
    <w:rsid w:val="000A7B26"/>
    <w:rsid w:val="000C530A"/>
    <w:rsid w:val="000D10B4"/>
    <w:rsid w:val="000D218F"/>
    <w:rsid w:val="000D57C1"/>
    <w:rsid w:val="001000DB"/>
    <w:rsid w:val="00106AF7"/>
    <w:rsid w:val="00120CE6"/>
    <w:rsid w:val="00124B97"/>
    <w:rsid w:val="0013684A"/>
    <w:rsid w:val="00142362"/>
    <w:rsid w:val="00151E19"/>
    <w:rsid w:val="00154E3B"/>
    <w:rsid w:val="00162B21"/>
    <w:rsid w:val="00165774"/>
    <w:rsid w:val="00186F72"/>
    <w:rsid w:val="00196B69"/>
    <w:rsid w:val="001A1651"/>
    <w:rsid w:val="001A78ED"/>
    <w:rsid w:val="001A7B4D"/>
    <w:rsid w:val="001C35F9"/>
    <w:rsid w:val="001C6EE3"/>
    <w:rsid w:val="001E5192"/>
    <w:rsid w:val="001E7595"/>
    <w:rsid w:val="001F6EBF"/>
    <w:rsid w:val="002060B7"/>
    <w:rsid w:val="00237E86"/>
    <w:rsid w:val="00240B15"/>
    <w:rsid w:val="00257D13"/>
    <w:rsid w:val="00257FDD"/>
    <w:rsid w:val="00275953"/>
    <w:rsid w:val="0028622E"/>
    <w:rsid w:val="00286D86"/>
    <w:rsid w:val="00290A40"/>
    <w:rsid w:val="00295B43"/>
    <w:rsid w:val="002C27FD"/>
    <w:rsid w:val="002D0197"/>
    <w:rsid w:val="002D37DC"/>
    <w:rsid w:val="002D42AF"/>
    <w:rsid w:val="002D4A95"/>
    <w:rsid w:val="002D7116"/>
    <w:rsid w:val="0030389D"/>
    <w:rsid w:val="003134F0"/>
    <w:rsid w:val="00315D72"/>
    <w:rsid w:val="00327F91"/>
    <w:rsid w:val="00337FB1"/>
    <w:rsid w:val="00347591"/>
    <w:rsid w:val="003504A0"/>
    <w:rsid w:val="003539CD"/>
    <w:rsid w:val="0035634C"/>
    <w:rsid w:val="00360C64"/>
    <w:rsid w:val="003652C5"/>
    <w:rsid w:val="00373E2A"/>
    <w:rsid w:val="00377863"/>
    <w:rsid w:val="003A5D1B"/>
    <w:rsid w:val="003B35F0"/>
    <w:rsid w:val="003C4AB4"/>
    <w:rsid w:val="003E23FE"/>
    <w:rsid w:val="003E480C"/>
    <w:rsid w:val="003F7FAE"/>
    <w:rsid w:val="004023B8"/>
    <w:rsid w:val="0041084F"/>
    <w:rsid w:val="00417D05"/>
    <w:rsid w:val="004246E6"/>
    <w:rsid w:val="0043556E"/>
    <w:rsid w:val="00455495"/>
    <w:rsid w:val="0046074E"/>
    <w:rsid w:val="00480EB1"/>
    <w:rsid w:val="004A428B"/>
    <w:rsid w:val="004C1AD1"/>
    <w:rsid w:val="004C1DD8"/>
    <w:rsid w:val="004C4CD9"/>
    <w:rsid w:val="004E1601"/>
    <w:rsid w:val="004E7FF3"/>
    <w:rsid w:val="00530C6C"/>
    <w:rsid w:val="005354AA"/>
    <w:rsid w:val="00542A87"/>
    <w:rsid w:val="0055000C"/>
    <w:rsid w:val="00555D8A"/>
    <w:rsid w:val="00556076"/>
    <w:rsid w:val="00561D0D"/>
    <w:rsid w:val="00571244"/>
    <w:rsid w:val="00575E82"/>
    <w:rsid w:val="005856EF"/>
    <w:rsid w:val="005925E3"/>
    <w:rsid w:val="00593075"/>
    <w:rsid w:val="00593E9D"/>
    <w:rsid w:val="005A32CA"/>
    <w:rsid w:val="005A489D"/>
    <w:rsid w:val="005B44EB"/>
    <w:rsid w:val="005C1B06"/>
    <w:rsid w:val="005D1E03"/>
    <w:rsid w:val="005D322F"/>
    <w:rsid w:val="005D415A"/>
    <w:rsid w:val="005D721D"/>
    <w:rsid w:val="005D72AE"/>
    <w:rsid w:val="005E2DF2"/>
    <w:rsid w:val="005E5E27"/>
    <w:rsid w:val="005E71AC"/>
    <w:rsid w:val="005F5DD9"/>
    <w:rsid w:val="005F6CAD"/>
    <w:rsid w:val="00600EBD"/>
    <w:rsid w:val="00620C7A"/>
    <w:rsid w:val="00626941"/>
    <w:rsid w:val="006370B9"/>
    <w:rsid w:val="00641C70"/>
    <w:rsid w:val="00643E4E"/>
    <w:rsid w:val="00645219"/>
    <w:rsid w:val="00653821"/>
    <w:rsid w:val="00663258"/>
    <w:rsid w:val="00664AC2"/>
    <w:rsid w:val="00670E79"/>
    <w:rsid w:val="00670ED5"/>
    <w:rsid w:val="00671DFC"/>
    <w:rsid w:val="00687CB7"/>
    <w:rsid w:val="006C2B49"/>
    <w:rsid w:val="006C5632"/>
    <w:rsid w:val="006D2F59"/>
    <w:rsid w:val="006D5811"/>
    <w:rsid w:val="006F1A17"/>
    <w:rsid w:val="006F2A34"/>
    <w:rsid w:val="006F366F"/>
    <w:rsid w:val="006F6CCD"/>
    <w:rsid w:val="007059E2"/>
    <w:rsid w:val="00712140"/>
    <w:rsid w:val="00724683"/>
    <w:rsid w:val="00744E9B"/>
    <w:rsid w:val="00764765"/>
    <w:rsid w:val="00766DB6"/>
    <w:rsid w:val="0077109C"/>
    <w:rsid w:val="00773D1E"/>
    <w:rsid w:val="00780D3C"/>
    <w:rsid w:val="00797D09"/>
    <w:rsid w:val="007F229D"/>
    <w:rsid w:val="007F2FCA"/>
    <w:rsid w:val="007F325A"/>
    <w:rsid w:val="00803F3E"/>
    <w:rsid w:val="00804EB8"/>
    <w:rsid w:val="00820676"/>
    <w:rsid w:val="008215E2"/>
    <w:rsid w:val="00825AC7"/>
    <w:rsid w:val="00861058"/>
    <w:rsid w:val="00861D61"/>
    <w:rsid w:val="008867F2"/>
    <w:rsid w:val="00892D27"/>
    <w:rsid w:val="008B0257"/>
    <w:rsid w:val="008B58DF"/>
    <w:rsid w:val="008C1DCE"/>
    <w:rsid w:val="008C4F6A"/>
    <w:rsid w:val="008D1684"/>
    <w:rsid w:val="008D51DC"/>
    <w:rsid w:val="008D6A76"/>
    <w:rsid w:val="008E5B4E"/>
    <w:rsid w:val="008E5ED8"/>
    <w:rsid w:val="008F56AE"/>
    <w:rsid w:val="009230A7"/>
    <w:rsid w:val="00923525"/>
    <w:rsid w:val="009240F7"/>
    <w:rsid w:val="0095268E"/>
    <w:rsid w:val="00953F87"/>
    <w:rsid w:val="00956AC1"/>
    <w:rsid w:val="00957AF4"/>
    <w:rsid w:val="00996A51"/>
    <w:rsid w:val="009A009A"/>
    <w:rsid w:val="009A3C6C"/>
    <w:rsid w:val="009B06D2"/>
    <w:rsid w:val="009D4653"/>
    <w:rsid w:val="009D7239"/>
    <w:rsid w:val="009E4601"/>
    <w:rsid w:val="009F414C"/>
    <w:rsid w:val="009F438B"/>
    <w:rsid w:val="00A10531"/>
    <w:rsid w:val="00A14942"/>
    <w:rsid w:val="00A21AB8"/>
    <w:rsid w:val="00A35D5E"/>
    <w:rsid w:val="00A379A9"/>
    <w:rsid w:val="00A410CD"/>
    <w:rsid w:val="00A535E9"/>
    <w:rsid w:val="00A7537D"/>
    <w:rsid w:val="00A831DA"/>
    <w:rsid w:val="00A90C21"/>
    <w:rsid w:val="00A970AF"/>
    <w:rsid w:val="00AA31CE"/>
    <w:rsid w:val="00AA6735"/>
    <w:rsid w:val="00AC3F57"/>
    <w:rsid w:val="00AD1CF7"/>
    <w:rsid w:val="00AD4857"/>
    <w:rsid w:val="00AE5EB2"/>
    <w:rsid w:val="00AE6F8E"/>
    <w:rsid w:val="00B048B1"/>
    <w:rsid w:val="00B10F72"/>
    <w:rsid w:val="00B40E30"/>
    <w:rsid w:val="00B41430"/>
    <w:rsid w:val="00B457F0"/>
    <w:rsid w:val="00B52380"/>
    <w:rsid w:val="00B73002"/>
    <w:rsid w:val="00BA35E1"/>
    <w:rsid w:val="00BA55B0"/>
    <w:rsid w:val="00BB4F1D"/>
    <w:rsid w:val="00BB6C96"/>
    <w:rsid w:val="00BC2891"/>
    <w:rsid w:val="00BC4EFB"/>
    <w:rsid w:val="00BC6985"/>
    <w:rsid w:val="00BD0E3E"/>
    <w:rsid w:val="00BD240D"/>
    <w:rsid w:val="00BF30B8"/>
    <w:rsid w:val="00C21CFB"/>
    <w:rsid w:val="00C50D1E"/>
    <w:rsid w:val="00C93F0E"/>
    <w:rsid w:val="00CA07A1"/>
    <w:rsid w:val="00CA6633"/>
    <w:rsid w:val="00CB4FC9"/>
    <w:rsid w:val="00CE2847"/>
    <w:rsid w:val="00CF7532"/>
    <w:rsid w:val="00CF7ECD"/>
    <w:rsid w:val="00D13550"/>
    <w:rsid w:val="00D3709A"/>
    <w:rsid w:val="00D37428"/>
    <w:rsid w:val="00D41EF3"/>
    <w:rsid w:val="00D52D8E"/>
    <w:rsid w:val="00D5603D"/>
    <w:rsid w:val="00D964EC"/>
    <w:rsid w:val="00D97BE2"/>
    <w:rsid w:val="00DA42C1"/>
    <w:rsid w:val="00DA4545"/>
    <w:rsid w:val="00DA6330"/>
    <w:rsid w:val="00DB07FB"/>
    <w:rsid w:val="00DB5927"/>
    <w:rsid w:val="00DB6C2B"/>
    <w:rsid w:val="00DC28DE"/>
    <w:rsid w:val="00DC4285"/>
    <w:rsid w:val="00DE25AF"/>
    <w:rsid w:val="00E05193"/>
    <w:rsid w:val="00E10111"/>
    <w:rsid w:val="00E12C12"/>
    <w:rsid w:val="00E150B7"/>
    <w:rsid w:val="00E1562C"/>
    <w:rsid w:val="00E16037"/>
    <w:rsid w:val="00E26663"/>
    <w:rsid w:val="00E31F9B"/>
    <w:rsid w:val="00E40601"/>
    <w:rsid w:val="00E54AFC"/>
    <w:rsid w:val="00E9097A"/>
    <w:rsid w:val="00EA07C2"/>
    <w:rsid w:val="00EC1B37"/>
    <w:rsid w:val="00EC6D81"/>
    <w:rsid w:val="00EC722A"/>
    <w:rsid w:val="00ED3BD1"/>
    <w:rsid w:val="00ED45C6"/>
    <w:rsid w:val="00ED6A6A"/>
    <w:rsid w:val="00EE02CA"/>
    <w:rsid w:val="00EF3E83"/>
    <w:rsid w:val="00EF447B"/>
    <w:rsid w:val="00F0044B"/>
    <w:rsid w:val="00F01742"/>
    <w:rsid w:val="00F01D71"/>
    <w:rsid w:val="00F06C60"/>
    <w:rsid w:val="00F216B8"/>
    <w:rsid w:val="00F24B93"/>
    <w:rsid w:val="00F26678"/>
    <w:rsid w:val="00F376D4"/>
    <w:rsid w:val="00F6203B"/>
    <w:rsid w:val="00F62ED2"/>
    <w:rsid w:val="00F90BB2"/>
    <w:rsid w:val="00F974C8"/>
    <w:rsid w:val="00FD37D2"/>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7A20E9-041C-434C-9D5C-1E9436369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25A"/>
    <w:rPr>
      <w:rFonts w:ascii="宋体" w:hAnsi="宋体"/>
      <w:kern w:val="2"/>
      <w:sz w:val="21"/>
    </w:rPr>
  </w:style>
  <w:style w:type="paragraph" w:styleId="1">
    <w:name w:val="heading 1"/>
    <w:basedOn w:val="a0"/>
    <w:next w:val="a"/>
    <w:link w:val="1Char"/>
    <w:uiPriority w:val="9"/>
    <w:qFormat/>
    <w:rsid w:val="000776C8"/>
    <w:pPr>
      <w:keepNext/>
      <w:keepLines/>
      <w:widowControl w:val="0"/>
      <w:numPr>
        <w:numId w:val="4"/>
      </w:numPr>
      <w:adjustRightInd w:val="0"/>
      <w:snapToGrid w:val="0"/>
      <w:spacing w:beforeLines="30" w:before="130" w:afterLines="30" w:after="130"/>
      <w:ind w:firstLineChars="0"/>
      <w:jc w:val="both"/>
      <w:outlineLvl w:val="0"/>
    </w:pPr>
    <w:rPr>
      <w:b/>
      <w:bCs/>
      <w:kern w:val="44"/>
      <w:sz w:val="24"/>
      <w:szCs w:val="44"/>
    </w:rPr>
  </w:style>
  <w:style w:type="paragraph" w:styleId="2">
    <w:name w:val="heading 2"/>
    <w:basedOn w:val="a"/>
    <w:next w:val="a"/>
    <w:link w:val="2Char"/>
    <w:uiPriority w:val="9"/>
    <w:unhideWhenUsed/>
    <w:qFormat/>
    <w:rsid w:val="000776C8"/>
    <w:pPr>
      <w:widowControl w:val="0"/>
      <w:numPr>
        <w:ilvl w:val="1"/>
        <w:numId w:val="11"/>
      </w:numPr>
      <w:adjustRightInd w:val="0"/>
      <w:snapToGrid w:val="0"/>
      <w:spacing w:beforeLines="20" w:before="87" w:afterLines="20" w:after="87"/>
      <w:jc w:val="both"/>
      <w:outlineLvl w:val="1"/>
    </w:pPr>
    <w:rPr>
      <w:rFonts w:cs="方正仿宋简体"/>
      <w:b/>
      <w:iCs/>
      <w:sz w:val="22"/>
      <w:szCs w:val="24"/>
    </w:rPr>
  </w:style>
  <w:style w:type="paragraph" w:styleId="3">
    <w:name w:val="heading 3"/>
    <w:basedOn w:val="a"/>
    <w:next w:val="a"/>
    <w:link w:val="3Char"/>
    <w:uiPriority w:val="9"/>
    <w:semiHidden/>
    <w:unhideWhenUsed/>
    <w:qFormat/>
    <w:rsid w:val="00561D0D"/>
    <w:pPr>
      <w:keepNext/>
      <w:keepLines/>
      <w:widowControl w:val="0"/>
      <w:numPr>
        <w:numId w:val="19"/>
      </w:numPr>
      <w:spacing w:before="260" w:after="260" w:line="416" w:lineRule="auto"/>
      <w:jc w:val="both"/>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脚注文本 Char"/>
    <w:link w:val="a4"/>
    <w:qFormat/>
    <w:rsid w:val="00084FBF"/>
    <w:rPr>
      <w:sz w:val="18"/>
      <w:szCs w:val="24"/>
    </w:rPr>
  </w:style>
  <w:style w:type="character" w:styleId="a5">
    <w:name w:val="annotation reference"/>
    <w:uiPriority w:val="99"/>
    <w:unhideWhenUsed/>
    <w:rsid w:val="00084FBF"/>
    <w:rPr>
      <w:sz w:val="21"/>
      <w:szCs w:val="21"/>
    </w:rPr>
  </w:style>
  <w:style w:type="character" w:styleId="a6">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7"/>
    <w:uiPriority w:val="99"/>
    <w:rsid w:val="00084FBF"/>
    <w:rPr>
      <w:rFonts w:ascii="Times New Roman" w:eastAsia="方正仿宋简体" w:hAnsi="Times New Roman"/>
      <w:sz w:val="32"/>
    </w:rPr>
  </w:style>
  <w:style w:type="paragraph" w:styleId="a4">
    <w:name w:val="footnote text"/>
    <w:basedOn w:val="a"/>
    <w:link w:val="Char"/>
    <w:unhideWhenUsed/>
    <w:qFormat/>
    <w:rsid w:val="00084FBF"/>
    <w:pPr>
      <w:snapToGrid w:val="0"/>
    </w:pPr>
    <w:rPr>
      <w:rFonts w:ascii="Calibri"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7">
    <w:name w:val="annotation text"/>
    <w:basedOn w:val="a"/>
    <w:link w:val="Char0"/>
    <w:uiPriority w:val="99"/>
    <w:unhideWhenUsed/>
    <w:rsid w:val="00084FBF"/>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8">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0">
    <w:name w:val="List Paragraph"/>
    <w:basedOn w:val="a"/>
    <w:uiPriority w:val="34"/>
    <w:qFormat/>
    <w:rsid w:val="006F366F"/>
    <w:pPr>
      <w:ind w:firstLineChars="200" w:firstLine="420"/>
    </w:pPr>
  </w:style>
  <w:style w:type="table" w:styleId="a9">
    <w:name w:val="Table Grid"/>
    <w:basedOn w:val="a2"/>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spacing w:before="100" w:beforeAutospacing="1" w:after="100" w:afterAutospacing="1"/>
    </w:pPr>
    <w:rPr>
      <w:rFonts w:cs="宋体"/>
      <w:kern w:val="0"/>
      <w:sz w:val="24"/>
      <w:szCs w:val="24"/>
    </w:rPr>
  </w:style>
  <w:style w:type="paragraph" w:styleId="ab">
    <w:name w:val="annotation subject"/>
    <w:basedOn w:val="a7"/>
    <w:next w:val="a7"/>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0776C8"/>
    <w:rPr>
      <w:rFonts w:ascii="宋体" w:hAnsi="宋体"/>
      <w:b/>
      <w:bCs/>
      <w:kern w:val="44"/>
      <w:sz w:val="24"/>
      <w:szCs w:val="44"/>
    </w:rPr>
  </w:style>
  <w:style w:type="character" w:customStyle="1" w:styleId="2Char">
    <w:name w:val="标题 2 Char"/>
    <w:link w:val="2"/>
    <w:uiPriority w:val="9"/>
    <w:rsid w:val="000776C8"/>
    <w:rPr>
      <w:rFonts w:ascii="宋体" w:hAnsi="宋体" w:cs="方正仿宋简体"/>
      <w:b/>
      <w:iCs/>
      <w:kern w:val="2"/>
      <w:sz w:val="22"/>
      <w:szCs w:val="24"/>
    </w:rPr>
  </w:style>
  <w:style w:type="paragraph" w:styleId="ae">
    <w:name w:val="No Spacing"/>
    <w:basedOn w:val="a"/>
    <w:uiPriority w:val="1"/>
    <w:qFormat/>
    <w:rsid w:val="00ED3BD1"/>
    <w:pPr>
      <w:widowControl w:val="0"/>
      <w:adjustRightInd w:val="0"/>
      <w:snapToGrid w:val="0"/>
      <w:spacing w:beforeLines="20" w:before="87" w:line="288" w:lineRule="auto"/>
      <w:contextualSpacing/>
      <w:jc w:val="both"/>
    </w:pPr>
  </w:style>
  <w:style w:type="character" w:styleId="af">
    <w:name w:val="Placeholder Text"/>
    <w:basedOn w:val="a1"/>
    <w:uiPriority w:val="99"/>
    <w:semiHidden/>
    <w:rsid w:val="005D1E03"/>
    <w:rPr>
      <w:color w:val="808080"/>
    </w:rPr>
  </w:style>
  <w:style w:type="character" w:customStyle="1" w:styleId="3Char">
    <w:name w:val="标题 3 Char"/>
    <w:basedOn w:val="a1"/>
    <w:link w:val="3"/>
    <w:uiPriority w:val="9"/>
    <w:semiHidden/>
    <w:rsid w:val="00561D0D"/>
    <w:rPr>
      <w:rFonts w:ascii="宋体" w:hAnsi="宋体"/>
      <w:b/>
      <w:bCs/>
      <w:kern w:val="2"/>
      <w:sz w:val="24"/>
      <w:szCs w:val="32"/>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0">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A.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基金产品资料概要模板_A</Template>
  <TotalTime>0</TotalTime>
  <Pages>6</Pages>
  <Words>790</Words>
  <Characters>4503</Characters>
  <Application>Microsoft Office Word</Application>
  <DocSecurity>0</DocSecurity>
  <Lines>37</Lines>
  <Paragraphs>10</Paragraphs>
  <ScaleCrop>false</ScaleCrop>
  <Company/>
  <LinksUpToDate>false</LinksUpToDate>
  <CharactersWithSpaces>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2025-01-13T08:18:00Z</dcterms:created>
  <dcterms:modified xsi:type="dcterms:W3CDTF">2025-01-13T08:18:00Z</dcterms:modified>
</cp:coreProperties>
</file>