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33E49" w:rsidRDefault="00E54FB0">
      <w:pPr>
        <w:jc w:val="center"/>
      </w:pPr>
      <w:bookmarkStart w:id="0" w:name="_Toc510201001"/>
      <w:bookmarkStart w:id="1" w:name="_Toc436040501"/>
      <w:bookmarkStart w:id="2" w:name="_Toc435537850"/>
      <w:bookmarkStart w:id="3" w:name="_Toc435537894"/>
      <w:bookmarkStart w:id="4" w:name="_Toc435538034"/>
      <w:bookmarkStart w:id="5" w:name="_Toc435538201"/>
      <w:bookmarkStart w:id="6" w:name="_Toc435716465"/>
      <w:bookmarkEnd w:id="0"/>
      <w:bookmarkEnd w:id="1"/>
      <w:bookmarkEnd w:id="2"/>
      <w:bookmarkEnd w:id="3"/>
      <w:bookmarkEnd w:id="4"/>
      <w:bookmarkEnd w:id="5"/>
      <w:bookmarkEnd w:id="6"/>
      <w:r>
        <w:rPr>
          <w:rFonts w:cs="Times New Roman" w:hint="eastAsia"/>
          <w:b/>
          <w:sz w:val="28"/>
          <w:szCs w:val="28"/>
        </w:rPr>
        <w:t>华安众利120天持有期债券型证券投资基金（华安众利120天持有债券C）</w:t>
      </w:r>
      <w:r>
        <w:rPr>
          <w:rFonts w:cs="Times New Roman" w:hint="eastAsia"/>
          <w:b/>
          <w:sz w:val="28"/>
          <w:szCs w:val="28"/>
        </w:rPr>
        <w:br/>
        <w:t>基金产品资料概要</w:t>
      </w:r>
    </w:p>
    <w:p w:rsidR="00D33E49" w:rsidRDefault="00E54FB0">
      <w:pPr>
        <w:spacing w:line="360" w:lineRule="auto"/>
        <w:ind w:firstLineChars="800" w:firstLine="1920"/>
        <w:jc w:val="right"/>
      </w:pPr>
      <w:r>
        <w:rPr>
          <w:rFonts w:hint="eastAsia"/>
          <w:bCs/>
          <w:sz w:val="24"/>
          <w:szCs w:val="30"/>
        </w:rPr>
        <w:t>编制日期：2025年1月20日</w:t>
      </w:r>
    </w:p>
    <w:p w:rsidR="00D33E49" w:rsidRDefault="00E54FB0">
      <w:pPr>
        <w:spacing w:line="360" w:lineRule="auto"/>
        <w:jc w:val="center"/>
      </w:pPr>
      <w:r>
        <w:rPr>
          <w:rFonts w:hint="eastAsia"/>
          <w:bCs/>
          <w:sz w:val="24"/>
          <w:szCs w:val="30"/>
        </w:rPr>
        <w:t>送出日期：2025年1月21日</w:t>
      </w:r>
    </w:p>
    <w:p w:rsidR="00D33E49" w:rsidRDefault="00E54FB0">
      <w:pPr>
        <w:spacing w:line="360" w:lineRule="auto"/>
        <w:jc w:val="center"/>
      </w:pPr>
      <w:r>
        <w:rPr>
          <w:rFonts w:cs="Times New Roman" w:hint="eastAsia"/>
          <w:b/>
          <w:sz w:val="24"/>
          <w:szCs w:val="24"/>
        </w:rPr>
        <w:t xml:space="preserve">本概要提供本基金的重要信息，是招募说明书的一部分。 </w:t>
      </w:r>
    </w:p>
    <w:p w:rsidR="00D33E49" w:rsidRDefault="00E54FB0">
      <w:pPr>
        <w:spacing w:line="360" w:lineRule="auto"/>
        <w:jc w:val="center"/>
      </w:pPr>
      <w:r>
        <w:rPr>
          <w:rFonts w:cs="Times New Roman" w:hint="eastAsia"/>
          <w:b/>
          <w:sz w:val="24"/>
          <w:szCs w:val="24"/>
        </w:rPr>
        <w:t xml:space="preserve">作出投资决定前，请阅读完整的招募说明书等销售文件。 </w:t>
      </w:r>
    </w:p>
    <w:p w:rsidR="00D33E49" w:rsidRDefault="00E54FB0">
      <w:pPr>
        <w:pStyle w:val="XBRLTitle1"/>
        <w:spacing w:before="156" w:line="312" w:lineRule="exact"/>
      </w:pPr>
      <w:bookmarkStart w:id="7" w:name="_Toc37433211"/>
      <w:bookmarkStart w:id="8" w:name="_Toc34758519"/>
      <w:bookmarkStart w:id="9" w:name="_Toc513295892"/>
      <w:bookmarkStart w:id="10" w:name="_Toc513295846"/>
      <w:bookmarkStart w:id="11" w:name="_Toc490050000"/>
      <w:bookmarkStart w:id="12" w:name="_Toc438646451"/>
      <w:bookmarkStart w:id="13" w:name="_Toc481075046"/>
      <w:bookmarkStart w:id="14" w:name="_Toc512519480"/>
      <w:bookmarkStart w:id="15" w:name="_Toc17897936"/>
      <w:bookmarkStart w:id="16" w:name="_Toc17898178"/>
      <w:bookmarkStart w:id="17" w:name="_Toc34841028"/>
      <w:bookmarkStart w:id="18" w:name="_Toc194311890"/>
      <w:bookmarkStart w:id="19" w:name="m01_01"/>
      <w:bookmarkStart w:id="20" w:name="m101"/>
      <w:r>
        <w:rPr>
          <w:rFonts w:hAnsi="宋体" w:hint="eastAsia"/>
        </w:rPr>
        <w:t>产品概况</w:t>
      </w:r>
      <w:bookmarkEnd w:id="7"/>
      <w:r>
        <w:rPr>
          <w:rFonts w:hAnsi="宋体" w:hint="eastAsia"/>
          <w:szCs w:val="44"/>
        </w:rPr>
        <w:t xml:space="preserve"> </w:t>
      </w:r>
    </w:p>
    <w:tbl>
      <w:tblPr>
        <w:tblW w:w="49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787"/>
        <w:gridCol w:w="2722"/>
        <w:gridCol w:w="2319"/>
        <w:gridCol w:w="2724"/>
      </w:tblGrid>
      <w:tr w:rsidR="00D33E49">
        <w:trPr>
          <w:divId w:val="753665512"/>
          <w:trHeight w:val="387"/>
        </w:trPr>
        <w:tc>
          <w:tcPr>
            <w:tcW w:w="195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bookmarkStart w:id="21" w:name="m04_01_02_tab"/>
            <w:r>
              <w:rPr>
                <w:rFonts w:hint="eastAsia"/>
                <w:b/>
                <w:szCs w:val="24"/>
              </w:rPr>
              <w:t>基金简称</w:t>
            </w:r>
            <w:r>
              <w:rPr>
                <w:rFonts w:hint="eastAsia"/>
                <w:szCs w:val="24"/>
                <w:lang w:eastAsia="zh-Hans"/>
              </w:rPr>
              <w:t xml:space="preserve"> </w:t>
            </w:r>
          </w:p>
        </w:tc>
        <w:tc>
          <w:tcPr>
            <w:tcW w:w="2987"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rPr>
              <w:t>华安众利120天持有债券</w:t>
            </w:r>
            <w:r>
              <w:rPr>
                <w:rFonts w:hint="eastAsia"/>
                <w:szCs w:val="24"/>
                <w:lang w:eastAsia="zh-Hans"/>
              </w:rPr>
              <w:t xml:space="preserve"> </w:t>
            </w:r>
          </w:p>
        </w:tc>
        <w:tc>
          <w:tcPr>
            <w:tcW w:w="2541"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rPr>
              <w:t>基金代码</w:t>
            </w:r>
            <w:r>
              <w:rPr>
                <w:rFonts w:hint="eastAsia"/>
                <w:szCs w:val="24"/>
                <w:lang w:eastAsia="zh-Hans"/>
              </w:rPr>
              <w:t xml:space="preserve"> </w:t>
            </w:r>
          </w:p>
        </w:tc>
        <w:tc>
          <w:tcPr>
            <w:tcW w:w="2989"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rPr>
              <w:t>023216</w:t>
            </w:r>
            <w:r>
              <w:rPr>
                <w:rFonts w:hint="eastAsia"/>
                <w:szCs w:val="24"/>
                <w:lang w:eastAsia="zh-Hans"/>
              </w:rPr>
              <w:t xml:space="preserve"> </w:t>
            </w:r>
          </w:p>
        </w:tc>
      </w:tr>
      <w:tr w:rsidR="00D33E49">
        <w:trPr>
          <w:divId w:val="753665512"/>
          <w:trHeight w:val="387"/>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rPr>
              <w:t>下属基金简称</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rPr>
              <w:t>华安众利120天持有债券C</w:t>
            </w:r>
            <w:r>
              <w:rPr>
                <w:rFonts w:hint="eastAsia"/>
                <w:szCs w:val="24"/>
                <w:lang w:eastAsia="zh-Hans"/>
              </w:rPr>
              <w:t xml:space="preserve"> </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rPr>
              <w:t>下属基金交易代码</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rPr>
              <w:t>023217</w:t>
            </w:r>
            <w:r>
              <w:rPr>
                <w:rFonts w:hint="eastAsia"/>
                <w:szCs w:val="24"/>
                <w:lang w:eastAsia="zh-Hans"/>
              </w:rPr>
              <w:t xml:space="preserve"> </w:t>
            </w:r>
          </w:p>
        </w:tc>
      </w:tr>
      <w:tr w:rsidR="00D33E49">
        <w:trPr>
          <w:divId w:val="753665512"/>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基金管理人</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华安基金管理有限公司</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基金托管人</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中国建设银行股份有限公司</w:t>
            </w:r>
          </w:p>
        </w:tc>
      </w:tr>
      <w:tr w:rsidR="00D33E49">
        <w:trPr>
          <w:divId w:val="753665512"/>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基金合同生效日</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上市交易所及上市日期</w:t>
            </w:r>
            <w:r>
              <w:rPr>
                <w:rFonts w:hint="eastAsia"/>
                <w:szCs w:val="24"/>
                <w:lang w:eastAsia="zh-Hans"/>
              </w:rPr>
              <w:t xml:space="preserve"> </w:t>
            </w:r>
          </w:p>
        </w:tc>
        <w:tc>
          <w:tcPr>
            <w:tcW w:w="1560"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w:t>
            </w:r>
          </w:p>
        </w:tc>
      </w:tr>
      <w:tr w:rsidR="00D33E49">
        <w:trPr>
          <w:divId w:val="753665512"/>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基金类型</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债券型</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交易币种</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人民币</w:t>
            </w:r>
          </w:p>
        </w:tc>
      </w:tr>
      <w:tr w:rsidR="00D33E49">
        <w:trPr>
          <w:divId w:val="753665512"/>
          <w:trHeight w:val="386"/>
        </w:trPr>
        <w:tc>
          <w:tcPr>
            <w:tcW w:w="195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运作方式</w:t>
            </w:r>
            <w:r>
              <w:rPr>
                <w:rFonts w:hint="eastAsia"/>
                <w:szCs w:val="24"/>
                <w:lang w:eastAsia="zh-Hans"/>
              </w:rPr>
              <w:t xml:space="preserve"> </w:t>
            </w:r>
          </w:p>
        </w:tc>
        <w:tc>
          <w:tcPr>
            <w:tcW w:w="2987"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其他开放式</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开放频率</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每个开放日可申购，每份基金份额设定120天最短持有期限。</w:t>
            </w:r>
          </w:p>
        </w:tc>
      </w:tr>
      <w:tr w:rsidR="00D33E49">
        <w:trPr>
          <w:divId w:val="753665512"/>
          <w:trHeight w:val="386"/>
        </w:trPr>
        <w:tc>
          <w:tcPr>
            <w:tcW w:w="1951" w:type="dxa"/>
            <w:vMerge w:val="restart"/>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基金经理</w:t>
            </w:r>
            <w:r>
              <w:rPr>
                <w:rFonts w:hint="eastAsia"/>
                <w:szCs w:val="24"/>
                <w:lang w:eastAsia="zh-Hans"/>
              </w:rPr>
              <w:t xml:space="preserve"> </w:t>
            </w:r>
          </w:p>
        </w:tc>
        <w:tc>
          <w:tcPr>
            <w:tcW w:w="2987" w:type="dxa"/>
            <w:vMerge w:val="restart"/>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吴文明</w:t>
            </w: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开始担任本基金基金经理的日期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w:t>
            </w:r>
          </w:p>
        </w:tc>
      </w:tr>
      <w:tr w:rsidR="00D33E49">
        <w:trPr>
          <w:divId w:val="753665512"/>
          <w:trHeight w:val="386"/>
        </w:trPr>
        <w:tc>
          <w:tcPr>
            <w:tcW w:w="1951" w:type="dxa"/>
            <w:vMerge/>
            <w:tcBorders>
              <w:top w:val="nil"/>
              <w:left w:val="nil"/>
              <w:bottom w:val="dotted" w:sz="4" w:space="0" w:color="auto"/>
              <w:right w:val="nil"/>
            </w:tcBorders>
            <w:vAlign w:val="center"/>
            <w:hideMark/>
          </w:tcPr>
          <w:p w:rsidR="00D33E49" w:rsidRDefault="00D33E49">
            <w:pPr>
              <w:widowControl/>
              <w:jc w:val="left"/>
            </w:pPr>
          </w:p>
        </w:tc>
        <w:tc>
          <w:tcPr>
            <w:tcW w:w="3467" w:type="dxa"/>
            <w:vMerge/>
            <w:tcBorders>
              <w:top w:val="nil"/>
              <w:left w:val="nil"/>
              <w:bottom w:val="dotted" w:sz="4" w:space="0" w:color="auto"/>
              <w:right w:val="nil"/>
            </w:tcBorders>
            <w:vAlign w:val="center"/>
            <w:hideMark/>
          </w:tcPr>
          <w:p w:rsidR="00D33E49" w:rsidRDefault="00D33E49">
            <w:pPr>
              <w:widowControl/>
              <w:jc w:val="left"/>
            </w:pPr>
          </w:p>
        </w:tc>
        <w:tc>
          <w:tcPr>
            <w:tcW w:w="254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证券从业日期</w:t>
            </w:r>
            <w:r>
              <w:rPr>
                <w:rFonts w:hint="eastAsia"/>
                <w:szCs w:val="24"/>
                <w:lang w:eastAsia="zh-Hans"/>
              </w:rPr>
              <w:t xml:space="preserve"> </w:t>
            </w:r>
          </w:p>
        </w:tc>
        <w:tc>
          <w:tcPr>
            <w:tcW w:w="2989"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hint="eastAsia"/>
                <w:szCs w:val="24"/>
                <w:lang w:eastAsia="zh-Hans"/>
              </w:rPr>
              <w:t>2009年7月5日</w:t>
            </w:r>
          </w:p>
        </w:tc>
      </w:tr>
    </w:tbl>
    <w:p w:rsidR="00D33E49" w:rsidRDefault="00E54FB0">
      <w:pPr>
        <w:pStyle w:val="XBRLTitle1"/>
        <w:spacing w:before="156" w:line="312" w:lineRule="exact"/>
      </w:pPr>
      <w:bookmarkStart w:id="22" w:name="_Toc37433212"/>
      <w:bookmarkStart w:id="23" w:name="_Toc34758521"/>
      <w:bookmarkStart w:id="24" w:name="_Toc34841030"/>
      <w:bookmarkStart w:id="25" w:name="_Toc17898179"/>
      <w:bookmarkStart w:id="26" w:name="_Toc17897937"/>
      <w:bookmarkStart w:id="27" w:name="_Toc512519481"/>
      <w:bookmarkStart w:id="28" w:name="_Toc481075047"/>
      <w:bookmarkStart w:id="29" w:name="_Toc438646452"/>
      <w:bookmarkStart w:id="30" w:name="_Toc490050001"/>
      <w:bookmarkStart w:id="31" w:name="_Toc513295847"/>
      <w:bookmarkStart w:id="32" w:name="_Toc513295893"/>
      <w:bookmarkStart w:id="33" w:name="m07_04_13_00"/>
      <w:bookmarkStart w:id="34" w:name="m201"/>
      <w:bookmarkStart w:id="35" w:name="m07_04_07_09_tab"/>
      <w:bookmarkStart w:id="36" w:name="m07_04_07_09"/>
      <w:bookmarkStart w:id="37" w:name="_Toc17898180"/>
      <w:bookmarkStart w:id="38" w:name="_Toc17897938"/>
      <w:bookmarkStart w:id="39" w:name="_Toc512519482"/>
      <w:bookmarkStart w:id="40" w:name="_Toc481075049"/>
      <w:bookmarkStart w:id="41" w:name="_Toc438646455"/>
      <w:bookmarkStart w:id="42" w:name="_Toc490050003"/>
      <w:bookmarkStart w:id="43" w:name="_Toc513295848"/>
      <w:bookmarkStart w:id="44" w:name="_Toc513295894"/>
      <w:bookmarkStart w:id="45" w:name="m401_tab"/>
      <w:bookmarkStart w:id="46" w:name="m401"/>
      <w:bookmarkStart w:id="47" w:name="m201_01"/>
      <w:r>
        <w:rPr>
          <w:rFonts w:hAnsi="宋体" w:hint="eastAsia"/>
        </w:rPr>
        <w:t>基金投资与净值表现</w:t>
      </w:r>
      <w:bookmarkEnd w:id="22"/>
      <w:r>
        <w:rPr>
          <w:rFonts w:hAnsi="宋体" w:hint="eastAsia"/>
        </w:rPr>
        <w:t xml:space="preserve"> </w:t>
      </w:r>
    </w:p>
    <w:p w:rsidR="00D33E49" w:rsidRDefault="00E54FB0">
      <w:pPr>
        <w:pStyle w:val="XBRLTitle2"/>
        <w:spacing w:before="156" w:line="312" w:lineRule="exact"/>
      </w:pPr>
      <w:bookmarkStart w:id="48" w:name="_Toc37433213"/>
      <w:bookmarkStart w:id="49" w:name="_Toc34758522"/>
      <w:bookmarkStart w:id="50" w:name="_Toc513295895"/>
      <w:bookmarkStart w:id="51" w:name="_Toc513295849"/>
      <w:bookmarkStart w:id="52" w:name="_Toc490050004"/>
      <w:bookmarkStart w:id="53" w:name="_Toc438646456"/>
      <w:bookmarkStart w:id="54" w:name="_Toc481075050"/>
      <w:bookmarkStart w:id="55" w:name="_Toc512519483"/>
      <w:bookmarkStart w:id="56" w:name="_Toc17897939"/>
      <w:bookmarkStart w:id="57" w:name="_Toc17898181"/>
      <w:bookmarkStart w:id="58" w:name="_Toc34841031"/>
      <w:r>
        <w:rPr>
          <w:rFonts w:hAnsi="宋体" w:hint="eastAsia"/>
          <w:sz w:val="21"/>
        </w:rPr>
        <w:t>投资目标与投资策略</w:t>
      </w:r>
      <w:bookmarkEnd w:id="48"/>
      <w:r>
        <w:rPr>
          <w:rFonts w:hAnsi="宋体" w:hint="eastAsia"/>
          <w:sz w:val="21"/>
        </w:rPr>
        <w:t xml:space="preserve"> </w:t>
      </w:r>
    </w:p>
    <w:p w:rsidR="00D33E49" w:rsidRDefault="00E54FB0">
      <w:pPr>
        <w:spacing w:line="312" w:lineRule="exact"/>
        <w:divId w:val="1431513734"/>
      </w:pPr>
      <w:bookmarkStart w:id="59" w:name="m04_02"/>
      <w:r>
        <w:rPr>
          <w:rFonts w:hint="eastAsia"/>
          <w:szCs w:val="21"/>
          <w:lang w:eastAsia="zh-Hans"/>
        </w:rPr>
        <w:t>详情请阅读《招募说明书》中“基金的投资”章节的相关内容。</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745"/>
        <w:gridCol w:w="8002"/>
      </w:tblGrid>
      <w:tr w:rsidR="00D33E49">
        <w:trPr>
          <w:divId w:val="1431513734"/>
          <w:trHeight w:val="387"/>
        </w:trPr>
        <w:tc>
          <w:tcPr>
            <w:tcW w:w="152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t>投资目标</w:t>
            </w:r>
            <w:r>
              <w:rPr>
                <w:rFonts w:hint="eastAsia"/>
                <w:szCs w:val="24"/>
                <w:lang w:eastAsia="zh-Hans"/>
              </w:rPr>
              <w:t xml:space="preserve"> </w:t>
            </w:r>
          </w:p>
        </w:tc>
        <w:tc>
          <w:tcPr>
            <w:tcW w:w="6996" w:type="dxa"/>
            <w:tcBorders>
              <w:top w:val="single" w:sz="4" w:space="0" w:color="auto"/>
              <w:left w:val="nil"/>
              <w:bottom w:val="dotted" w:sz="4" w:space="0" w:color="auto"/>
              <w:right w:val="nil"/>
            </w:tcBorders>
            <w:tcMar>
              <w:top w:w="0" w:type="dxa"/>
              <w:left w:w="108" w:type="dxa"/>
              <w:bottom w:w="0" w:type="dxa"/>
              <w:right w:w="108" w:type="dxa"/>
            </w:tcMar>
            <w:vAlign w:val="center"/>
            <w:hideMark/>
          </w:tcPr>
          <w:p w:rsidR="00D33E49" w:rsidRDefault="00E54FB0">
            <w:pPr>
              <w:spacing w:line="312" w:lineRule="exact"/>
              <w:jc w:val="left"/>
            </w:pPr>
            <w:r>
              <w:rPr>
                <w:rFonts w:hint="eastAsia"/>
                <w:szCs w:val="24"/>
              </w:rPr>
              <w:t>本基金在追求基金资产长期稳健增值的基础上，力争为基金份额持有人创造超越业绩比较基准的稳定收益。</w:t>
            </w:r>
            <w:r>
              <w:rPr>
                <w:rFonts w:hint="eastAsia"/>
                <w:szCs w:val="24"/>
                <w:lang w:eastAsia="zh-Hans"/>
              </w:rPr>
              <w:t xml:space="preserve"> </w:t>
            </w:r>
          </w:p>
        </w:tc>
      </w:tr>
      <w:tr w:rsidR="00D33E49">
        <w:trPr>
          <w:divId w:val="143151373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bookmarkStart w:id="60" w:name="m02_02_tab"/>
            <w:r>
              <w:rPr>
                <w:rFonts w:ascii="Times New Roman" w:hAnsi="Times New Roman" w:hint="eastAsia"/>
                <w:b/>
                <w:szCs w:val="21"/>
                <w:shd w:val="clear" w:color="auto" w:fill="FFFFFF"/>
              </w:rPr>
              <w:t>投资范围</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spacing w:line="312" w:lineRule="exact"/>
              <w:jc w:val="left"/>
            </w:pPr>
            <w:r>
              <w:rPr>
                <w:rFonts w:hint="eastAsia"/>
                <w:szCs w:val="24"/>
                <w:lang w:eastAsia="zh-Hans"/>
              </w:rPr>
              <w:t>本基金的投资范围为具有良好流动性的金融工具，包括国内依法发行上市的各类债券（国债、央行票据、金融债、企业债、公司债、公开发行的次级债、地方政府债、政府支持债券、政府支持机构债券、中期票据、短期融资券、超短期融资券、可转换债券（含分离交易可转债）、可交换债券等）、资产支持证券、债券回购、国债期货、银行存款、同业存单、货币市场工具以及法律法规或中国证监会允许基金投资的其他金融工具（但须符合中国证监会的相关规定）。</w:t>
            </w:r>
            <w:r>
              <w:rPr>
                <w:rFonts w:hint="eastAsia"/>
                <w:szCs w:val="24"/>
                <w:lang w:eastAsia="zh-Hans"/>
              </w:rPr>
              <w:br/>
              <w:t>本基金不直接参与股票投资，但可持有因可转换债券转股所形成的股票等，因上述原因持有的股票等资产，本基金将在其可交易之日的10个交易日内卖出。</w:t>
            </w:r>
            <w:r>
              <w:rPr>
                <w:rFonts w:hint="eastAsia"/>
                <w:szCs w:val="24"/>
                <w:lang w:eastAsia="zh-Hans"/>
              </w:rPr>
              <w:br/>
              <w:t>如法律法规或监管机构以后允许基金投资其他品种，基金管理人在履行适当程序后，可以将其纳入投资范围。</w:t>
            </w:r>
            <w:r>
              <w:rPr>
                <w:rFonts w:hint="eastAsia"/>
                <w:szCs w:val="24"/>
                <w:lang w:eastAsia="zh-Hans"/>
              </w:rPr>
              <w:br/>
              <w:t>基金的投资组合比例为：本基金投资于债券资产的比例不低于基金资产的80%。每个交易日日终在扣除国债期货合约需缴纳的交易保证金后，本基金持有现金或者到期日</w:t>
            </w:r>
            <w:bookmarkStart w:id="61" w:name="_GoBack"/>
            <w:bookmarkEnd w:id="61"/>
            <w:r>
              <w:rPr>
                <w:rFonts w:hint="eastAsia"/>
                <w:szCs w:val="24"/>
                <w:lang w:eastAsia="zh-Hans"/>
              </w:rPr>
              <w:lastRenderedPageBreak/>
              <w:t>在一年以内的政府债券不低于基金资产净值的5%，其中，现金不包括结算备付金、存出保证金、应收申购款等。</w:t>
            </w:r>
            <w:r>
              <w:rPr>
                <w:rFonts w:hint="eastAsia"/>
                <w:szCs w:val="24"/>
                <w:lang w:eastAsia="zh-Hans"/>
              </w:rPr>
              <w:br/>
              <w:t>当法律法规或监管机构的相关规定变更时，基金管理人在履行适当程序后可对上述资产配置比例进行适当调整。</w:t>
            </w:r>
          </w:p>
        </w:tc>
      </w:tr>
      <w:tr w:rsidR="00D33E49">
        <w:trPr>
          <w:divId w:val="143151373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lastRenderedPageBreak/>
              <w:t>主要投资策略</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spacing w:line="312" w:lineRule="exact"/>
              <w:jc w:val="left"/>
            </w:pPr>
            <w:r>
              <w:rPr>
                <w:rFonts w:hint="eastAsia"/>
                <w:szCs w:val="24"/>
                <w:lang w:eastAsia="zh-Hans"/>
              </w:rPr>
              <w:t>1、资产配置策略</w:t>
            </w:r>
            <w:r>
              <w:rPr>
                <w:rFonts w:hint="eastAsia"/>
                <w:szCs w:val="24"/>
                <w:lang w:eastAsia="zh-Hans"/>
              </w:rPr>
              <w:br/>
              <w:t>2、利率类品种投资策略</w:t>
            </w:r>
            <w:r>
              <w:rPr>
                <w:rFonts w:hint="eastAsia"/>
                <w:szCs w:val="24"/>
                <w:lang w:eastAsia="zh-Hans"/>
              </w:rPr>
              <w:br/>
              <w:t>3、信用债（含资产支持证券）投资策略</w:t>
            </w:r>
            <w:r>
              <w:rPr>
                <w:rFonts w:hint="eastAsia"/>
                <w:szCs w:val="24"/>
                <w:lang w:eastAsia="zh-Hans"/>
              </w:rPr>
              <w:br/>
              <w:t>4、可转换债券和可交换债券投资策略</w:t>
            </w:r>
            <w:r>
              <w:rPr>
                <w:rFonts w:hint="eastAsia"/>
                <w:szCs w:val="24"/>
                <w:lang w:eastAsia="zh-Hans"/>
              </w:rPr>
              <w:br/>
              <w:t>5、国债期货投资策略</w:t>
            </w:r>
            <w:r>
              <w:rPr>
                <w:rFonts w:hint="eastAsia"/>
                <w:szCs w:val="24"/>
              </w:rPr>
              <w:t xml:space="preserve"> </w:t>
            </w:r>
          </w:p>
        </w:tc>
      </w:tr>
      <w:tr w:rsidR="00D33E49">
        <w:trPr>
          <w:divId w:val="1431513734"/>
          <w:trHeight w:val="386"/>
        </w:trPr>
        <w:tc>
          <w:tcPr>
            <w:tcW w:w="15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t>业绩比较基准</w:t>
            </w:r>
            <w:r>
              <w:rPr>
                <w:rFonts w:hint="eastAsia"/>
                <w:szCs w:val="24"/>
                <w:lang w:eastAsia="zh-Hans"/>
              </w:rPr>
              <w:t xml:space="preserve"> </w:t>
            </w:r>
          </w:p>
        </w:tc>
        <w:tc>
          <w:tcPr>
            <w:tcW w:w="699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spacing w:line="312" w:lineRule="exact"/>
              <w:jc w:val="left"/>
            </w:pPr>
            <w:r>
              <w:rPr>
                <w:rFonts w:hint="eastAsia"/>
                <w:szCs w:val="24"/>
                <w:lang w:eastAsia="zh-Hans"/>
              </w:rPr>
              <w:t>中债综合全价指数收益率×85%+人民币活期存款利率（税后）×15%</w:t>
            </w:r>
          </w:p>
        </w:tc>
      </w:tr>
      <w:tr w:rsidR="00D33E49">
        <w:trPr>
          <w:divId w:val="1431513734"/>
          <w:trHeight w:val="386"/>
        </w:trPr>
        <w:tc>
          <w:tcPr>
            <w:tcW w:w="1526" w:type="dxa"/>
            <w:tcBorders>
              <w:top w:val="nil"/>
              <w:left w:val="nil"/>
              <w:bottom w:val="single"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风险收益特征</w:t>
            </w:r>
            <w:r>
              <w:rPr>
                <w:rFonts w:hint="eastAsia"/>
                <w:szCs w:val="24"/>
                <w:lang w:eastAsia="zh-Hans"/>
              </w:rPr>
              <w:t xml:space="preserve"> </w:t>
            </w:r>
          </w:p>
        </w:tc>
        <w:tc>
          <w:tcPr>
            <w:tcW w:w="6996" w:type="dxa"/>
            <w:tcBorders>
              <w:top w:val="nil"/>
              <w:left w:val="nil"/>
              <w:bottom w:val="single" w:sz="4" w:space="0" w:color="auto"/>
              <w:right w:val="nil"/>
            </w:tcBorders>
            <w:tcMar>
              <w:top w:w="0" w:type="dxa"/>
              <w:left w:w="108" w:type="dxa"/>
              <w:bottom w:w="0" w:type="dxa"/>
              <w:right w:w="108" w:type="dxa"/>
            </w:tcMar>
            <w:vAlign w:val="center"/>
            <w:hideMark/>
          </w:tcPr>
          <w:p w:rsidR="00D33E49" w:rsidRDefault="00E54FB0">
            <w:pPr>
              <w:spacing w:line="312" w:lineRule="exact"/>
              <w:jc w:val="left"/>
            </w:pPr>
            <w:r>
              <w:rPr>
                <w:rFonts w:hint="eastAsia"/>
                <w:szCs w:val="24"/>
                <w:lang w:eastAsia="zh-Hans"/>
              </w:rPr>
              <w:t>本基金为债券型基金，其预期的风险及预期的收益水平低于股票型基金和混合型基金，高于货币市场基金。</w:t>
            </w:r>
          </w:p>
        </w:tc>
      </w:tr>
    </w:tbl>
    <w:p w:rsidR="00D33E49" w:rsidRDefault="00E54FB0">
      <w:pPr>
        <w:pStyle w:val="XBRLTitle2"/>
        <w:spacing w:before="156" w:line="312" w:lineRule="exact"/>
      </w:pPr>
      <w:bookmarkStart w:id="62" w:name="_Toc37433214"/>
      <w:bookmarkStart w:id="63" w:name="_Toc512519484"/>
      <w:bookmarkStart w:id="64" w:name="_Toc481075051"/>
      <w:bookmarkStart w:id="65" w:name="_Toc438646457"/>
      <w:bookmarkStart w:id="66" w:name="_Toc490050005"/>
      <w:bookmarkStart w:id="67" w:name="_Toc513465658"/>
      <w:r>
        <w:rPr>
          <w:rFonts w:hAnsi="宋体" w:hint="eastAsia"/>
          <w:sz w:val="21"/>
        </w:rPr>
        <w:t>投资组合资产配置图表/区域配置图表</w:t>
      </w:r>
      <w:bookmarkEnd w:id="62"/>
      <w:r>
        <w:rPr>
          <w:rFonts w:hAnsi="宋体" w:hint="eastAsia"/>
          <w:sz w:val="21"/>
        </w:rPr>
        <w:t xml:space="preserve"> </w:t>
      </w:r>
    </w:p>
    <w:p w:rsidR="00D33E49" w:rsidRDefault="00E54FB0">
      <w:pPr>
        <w:pStyle w:val="XBRLTitle2"/>
        <w:spacing w:before="156" w:line="312" w:lineRule="exact"/>
      </w:pPr>
      <w:bookmarkStart w:id="68" w:name="_Toc37433215"/>
      <w:bookmarkStart w:id="69" w:name="m502"/>
      <w:bookmarkStart w:id="70" w:name="_Toc438646470"/>
      <w:bookmarkStart w:id="71" w:name="m504"/>
      <w:bookmarkStart w:id="72" w:name="_Toc34758531"/>
      <w:bookmarkStart w:id="73" w:name="_Toc513295913"/>
      <w:bookmarkStart w:id="74" w:name="_Toc513295861"/>
      <w:bookmarkStart w:id="75" w:name="_Toc512519501"/>
      <w:bookmarkStart w:id="76" w:name="_Toc490050022"/>
      <w:bookmarkStart w:id="77" w:name="_Toc481075069"/>
      <w:bookmarkStart w:id="78" w:name="_Toc17897952"/>
      <w:bookmarkStart w:id="79" w:name="_Toc17898200"/>
      <w:bookmarkStart w:id="80" w:name="_Toc34841040"/>
      <w:bookmarkStart w:id="81" w:name="m03_03"/>
      <w:bookmarkStart w:id="82" w:name="_Toc454983260"/>
      <w:bookmarkStart w:id="83" w:name="_Toc452398732"/>
      <w:bookmarkStart w:id="84" w:name="_Toc453852604"/>
      <w:bookmarkStart w:id="85" w:name="_Toc485300223"/>
      <w:bookmarkStart w:id="86" w:name="_Toc244948694"/>
      <w:bookmarkStart w:id="87" w:name="_Toc245003735"/>
      <w:bookmarkStart w:id="88" w:name="_Toc247616208"/>
      <w:bookmarkStart w:id="89" w:name="_Toc433036679"/>
      <w:bookmarkStart w:id="90" w:name="_Toc506208214"/>
      <w:bookmarkStart w:id="91" w:name="_Toc497398101"/>
      <w:bookmarkStart w:id="92" w:name="_Toc17897941"/>
      <w:bookmarkStart w:id="93" w:name="_Toc17898185"/>
      <w:bookmarkStart w:id="94" w:name="_Toc512519486"/>
      <w:bookmarkStart w:id="95" w:name="_Toc481075053"/>
      <w:bookmarkStart w:id="96" w:name="_Toc490050007"/>
      <w:bookmarkStart w:id="97" w:name="_Toc512519485"/>
      <w:bookmarkStart w:id="98" w:name="_Toc481075052"/>
      <w:bookmarkStart w:id="99" w:name="_Toc490050006"/>
      <w:bookmarkStart w:id="100" w:name="m501"/>
      <w:r>
        <w:rPr>
          <w:rFonts w:hAnsi="宋体" w:hint="eastAsia"/>
          <w:sz w:val="21"/>
        </w:rPr>
        <w:t>自基金合同生效以来基金每年的净值增长率及与同期业绩比较基准的比较图</w:t>
      </w:r>
      <w:bookmarkEnd w:id="68"/>
      <w:bookmarkEnd w:id="69"/>
      <w:bookmarkEnd w:id="70"/>
      <w:bookmarkEnd w:id="71"/>
      <w:bookmarkEnd w:id="72"/>
      <w:bookmarkEnd w:id="73"/>
      <w:bookmarkEnd w:id="74"/>
      <w:bookmarkEnd w:id="75"/>
      <w:bookmarkEnd w:id="76"/>
      <w:bookmarkEnd w:id="77"/>
      <w:bookmarkEnd w:id="78"/>
      <w:bookmarkEnd w:id="79"/>
      <w:bookmarkEnd w:id="80"/>
      <w:r>
        <w:rPr>
          <w:rFonts w:hAnsi="宋体" w:hint="eastAsia"/>
          <w:sz w:val="21"/>
        </w:rPr>
        <w:t xml:space="preserve"> </w:t>
      </w:r>
    </w:p>
    <w:p w:rsidR="00D33E49" w:rsidRDefault="00E54FB0">
      <w:pPr>
        <w:pStyle w:val="XBRLTitle1"/>
        <w:spacing w:before="156" w:line="312" w:lineRule="exact"/>
      </w:pPr>
      <w:bookmarkStart w:id="101" w:name="_Toc374332121"/>
      <w:r>
        <w:rPr>
          <w:rFonts w:hAnsi="宋体" w:hint="eastAsia"/>
        </w:rPr>
        <w:t>投资本基金涉及的费用</w:t>
      </w:r>
      <w:bookmarkEnd w:id="101"/>
      <w:r>
        <w:rPr>
          <w:rFonts w:hAnsi="宋体" w:hint="eastAsia"/>
        </w:rPr>
        <w:t xml:space="preserve"> </w:t>
      </w:r>
    </w:p>
    <w:p w:rsidR="00D33E49" w:rsidRDefault="00E54FB0">
      <w:pPr>
        <w:pStyle w:val="XBRLTitle2"/>
        <w:spacing w:before="156" w:line="312" w:lineRule="exact"/>
      </w:pPr>
      <w:bookmarkStart w:id="102" w:name="_Toc374332131"/>
      <w:r>
        <w:rPr>
          <w:rFonts w:hAnsi="宋体" w:hint="eastAsia"/>
          <w:sz w:val="21"/>
        </w:rPr>
        <w:t>基金销售相关费用</w:t>
      </w:r>
      <w:bookmarkEnd w:id="102"/>
      <w:r>
        <w:rPr>
          <w:rFonts w:hAnsi="宋体" w:hint="eastAsia"/>
          <w:sz w:val="21"/>
        </w:rPr>
        <w:t xml:space="preserve"> </w:t>
      </w:r>
    </w:p>
    <w:p w:rsidR="00D33E49" w:rsidRDefault="00E54FB0">
      <w:pPr>
        <w:spacing w:line="360" w:lineRule="auto"/>
        <w:jc w:val="left"/>
        <w:divId w:val="1977418528"/>
      </w:pPr>
      <w:r>
        <w:rPr>
          <w:rFonts w:hint="eastAsia"/>
          <w:b/>
          <w:color w:val="000000"/>
        </w:rPr>
        <w:t>赎回费</w:t>
      </w:r>
      <w:r>
        <w:rPr>
          <w:rFonts w:hint="eastAsia"/>
          <w:b/>
          <w:color w:val="000000"/>
          <w:sz w:val="24"/>
        </w:rPr>
        <w:t xml:space="preserve"> </w:t>
      </w:r>
    </w:p>
    <w:p w:rsidR="00D33E49" w:rsidRDefault="00E54FB0">
      <w:pPr>
        <w:spacing w:line="360" w:lineRule="auto"/>
        <w:jc w:val="left"/>
        <w:divId w:val="1977418528"/>
        <w:rPr>
          <w:kern w:val="0"/>
          <w:szCs w:val="21"/>
        </w:rPr>
      </w:pPr>
      <w:r>
        <w:rPr>
          <w:rFonts w:hint="eastAsia"/>
          <w:kern w:val="0"/>
          <w:szCs w:val="21"/>
        </w:rPr>
        <w:t xml:space="preserve">对于每份基金份额，自基金合同生效日（含）（对于认购份额而言）起或自基金份额申购确认日（含）（对于申购份额而言）起至120天后对应日（如该对应日为非工作日，则顺延至下一个工作日）之前一日止的期间为最短持有期限，最短持有期限内基金份额持有人不可办理赎回及转换转出业务。基金份额持有人在每份基金份额的最短持有期限结束日的下一工作日（含）起可办理赎回，赎回费用为0。 </w:t>
      </w:r>
    </w:p>
    <w:p w:rsidR="00D33E49" w:rsidRDefault="00E54FB0">
      <w:pPr>
        <w:pStyle w:val="XBRLTitle2"/>
        <w:spacing w:before="156" w:line="312" w:lineRule="exact"/>
      </w:pPr>
      <w:bookmarkStart w:id="103" w:name="_Toc374332141"/>
      <w:r>
        <w:rPr>
          <w:rFonts w:hAnsi="宋体" w:hint="eastAsia"/>
          <w:sz w:val="21"/>
        </w:rPr>
        <w:t>基金运作相关费用</w:t>
      </w:r>
      <w:bookmarkEnd w:id="103"/>
      <w:r>
        <w:rPr>
          <w:rFonts w:hAnsi="宋体" w:hint="eastAsia"/>
          <w:sz w:val="21"/>
        </w:rPr>
        <w:t xml:space="preserve"> </w:t>
      </w:r>
    </w:p>
    <w:p w:rsidR="00D33E49" w:rsidRDefault="00E54FB0">
      <w:pPr>
        <w:spacing w:line="312" w:lineRule="exact"/>
        <w:divId w:val="1055466104"/>
      </w:pPr>
      <w:r>
        <w:rPr>
          <w:rFonts w:hint="eastAsia"/>
          <w:szCs w:val="21"/>
        </w:rPr>
        <w:t>以下费用将从基金资产中扣除：</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2113"/>
        <w:gridCol w:w="3817"/>
        <w:gridCol w:w="3817"/>
      </w:tblGrid>
      <w:tr w:rsidR="00D33E49">
        <w:trPr>
          <w:divId w:val="1055466104"/>
          <w:trHeight w:val="387"/>
        </w:trPr>
        <w:tc>
          <w:tcPr>
            <w:tcW w:w="3726" w:type="dxa"/>
            <w:tcBorders>
              <w:top w:val="single" w:sz="4" w:space="0" w:color="auto"/>
              <w:left w:val="nil"/>
              <w:bottom w:val="dotted" w:sz="4" w:space="0" w:color="auto"/>
              <w:right w:val="nil"/>
            </w:tcBorders>
            <w:tcMar>
              <w:top w:w="0" w:type="dxa"/>
              <w:left w:w="108" w:type="dxa"/>
              <w:bottom w:w="0" w:type="dxa"/>
              <w:right w:w="108" w:type="dxa"/>
            </w:tcMar>
            <w:vAlign w:val="center"/>
            <w:hideMark/>
          </w:tcPr>
          <w:bookmarkEnd w:id="60"/>
          <w:p w:rsidR="00D33E49" w:rsidRDefault="00E54FB0">
            <w:r>
              <w:rPr>
                <w:rFonts w:ascii="Times New Roman" w:hAnsi="Times New Roman" w:hint="eastAsia"/>
                <w:b/>
              </w:rPr>
              <w:t>费用类别</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D33E49" w:rsidRDefault="00E54FB0">
            <w:pPr>
              <w:jc w:val="center"/>
            </w:pPr>
            <w:r>
              <w:rPr>
                <w:rFonts w:hint="eastAsia"/>
                <w:b/>
                <w:szCs w:val="24"/>
              </w:rPr>
              <w:t>收费方式/年费率或金额</w:t>
            </w:r>
            <w:r>
              <w:rPr>
                <w:rFonts w:hint="eastAsia"/>
                <w:b/>
                <w:szCs w:val="24"/>
                <w:lang w:eastAsia="zh-Hans"/>
              </w:rPr>
              <w:t xml:space="preserve"> </w:t>
            </w:r>
          </w:p>
        </w:tc>
        <w:tc>
          <w:tcPr>
            <w:tcW w:w="6893" w:type="dxa"/>
            <w:tcBorders>
              <w:top w:val="single" w:sz="4" w:space="0" w:color="auto"/>
              <w:left w:val="nil"/>
              <w:bottom w:val="dotted" w:sz="4" w:space="0" w:color="auto"/>
              <w:right w:val="nil"/>
            </w:tcBorders>
            <w:vAlign w:val="center"/>
            <w:hideMark/>
          </w:tcPr>
          <w:p w:rsidR="00D33E49" w:rsidRDefault="00E54FB0">
            <w:pPr>
              <w:jc w:val="center"/>
            </w:pPr>
            <w:r>
              <w:rPr>
                <w:rFonts w:hint="eastAsia"/>
                <w:b/>
                <w:szCs w:val="24"/>
              </w:rPr>
              <w:t>收取方</w:t>
            </w:r>
            <w:r>
              <w:rPr>
                <w:rFonts w:hint="eastAsia"/>
                <w:b/>
                <w:szCs w:val="24"/>
                <w:lang w:eastAsia="zh-Hans"/>
              </w:rPr>
              <w:t xml:space="preserve"> </w:t>
            </w:r>
          </w:p>
        </w:tc>
      </w:tr>
      <w:tr w:rsidR="00D33E49">
        <w:trPr>
          <w:divId w:val="1055466104"/>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t>管理费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jc w:val="center"/>
            </w:pPr>
            <w:r>
              <w:rPr>
                <w:rFonts w:hint="eastAsia"/>
                <w:szCs w:val="24"/>
                <w:lang w:eastAsia="zh-Hans"/>
              </w:rPr>
              <w:t>0.30</w:t>
            </w:r>
            <w:r>
              <w:rPr>
                <w:rFonts w:hint="eastAsia"/>
                <w:szCs w:val="21"/>
              </w:rPr>
              <w:t>%</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jc w:val="center"/>
            </w:pPr>
            <w:r>
              <w:rPr>
                <w:rFonts w:hint="eastAsia"/>
                <w:szCs w:val="24"/>
                <w:lang w:eastAsia="zh-Hans"/>
              </w:rPr>
              <w:t xml:space="preserve">基金管理人和销售机构 </w:t>
            </w:r>
          </w:p>
        </w:tc>
      </w:tr>
      <w:tr w:rsidR="00D33E49">
        <w:trPr>
          <w:divId w:val="1055466104"/>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t>托管费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jc w:val="center"/>
            </w:pPr>
            <w:r>
              <w:rPr>
                <w:rFonts w:hint="eastAsia"/>
                <w:szCs w:val="24"/>
                <w:lang w:eastAsia="zh-Hans"/>
              </w:rPr>
              <w:t>0.10</w:t>
            </w:r>
            <w:r>
              <w:rPr>
                <w:rFonts w:hint="eastAsia"/>
                <w:szCs w:val="21"/>
              </w:rPr>
              <w:t>%</w:t>
            </w:r>
            <w:r>
              <w:rPr>
                <w:rFonts w:hint="eastAsia"/>
                <w:szCs w:val="24"/>
              </w:rPr>
              <w:t xml:space="preserve"> </w:t>
            </w:r>
          </w:p>
        </w:tc>
        <w:tc>
          <w:tcPr>
            <w:tcW w:w="3482" w:type="dxa"/>
            <w:tcBorders>
              <w:top w:val="nil"/>
              <w:left w:val="nil"/>
              <w:bottom w:val="dotted" w:sz="4" w:space="0" w:color="auto"/>
              <w:right w:val="nil"/>
            </w:tcBorders>
            <w:vAlign w:val="center"/>
            <w:hideMark/>
          </w:tcPr>
          <w:p w:rsidR="00D33E49" w:rsidRDefault="00E54FB0">
            <w:pPr>
              <w:jc w:val="center"/>
            </w:pPr>
            <w:r>
              <w:rPr>
                <w:rFonts w:hint="eastAsia"/>
                <w:szCs w:val="24"/>
              </w:rPr>
              <w:t xml:space="preserve">基金托管人 </w:t>
            </w:r>
          </w:p>
        </w:tc>
      </w:tr>
      <w:tr w:rsidR="00D33E49">
        <w:trPr>
          <w:divId w:val="1055466104"/>
          <w:trHeight w:val="386"/>
        </w:trPr>
        <w:tc>
          <w:tcPr>
            <w:tcW w:w="3726"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r>
              <w:rPr>
                <w:rFonts w:ascii="Times New Roman" w:hAnsi="Times New Roman" w:hint="eastAsia"/>
                <w:b/>
              </w:rPr>
              <w:t>销售服务费</w:t>
            </w:r>
            <w:r>
              <w:rPr>
                <w:rFonts w:hint="eastAsia"/>
                <w:szCs w:val="24"/>
                <w:lang w:eastAsia="zh-Hans"/>
              </w:rPr>
              <w:t xml:space="preserve"> </w:t>
            </w:r>
          </w:p>
        </w:tc>
        <w:tc>
          <w:tcPr>
            <w:tcW w:w="3411" w:type="dxa"/>
            <w:tcBorders>
              <w:top w:val="nil"/>
              <w:left w:val="nil"/>
              <w:bottom w:val="dotted" w:sz="4" w:space="0" w:color="auto"/>
              <w:right w:val="nil"/>
            </w:tcBorders>
            <w:tcMar>
              <w:top w:w="0" w:type="dxa"/>
              <w:left w:w="108" w:type="dxa"/>
              <w:bottom w:w="0" w:type="dxa"/>
              <w:right w:w="108" w:type="dxa"/>
            </w:tcMar>
            <w:vAlign w:val="center"/>
            <w:hideMark/>
          </w:tcPr>
          <w:p w:rsidR="00D33E49" w:rsidRDefault="00E54FB0">
            <w:pPr>
              <w:jc w:val="center"/>
            </w:pPr>
            <w:r>
              <w:rPr>
                <w:rFonts w:hint="eastAsia"/>
                <w:szCs w:val="24"/>
                <w:lang w:eastAsia="zh-Hans"/>
              </w:rPr>
              <w:t>0.20</w:t>
            </w:r>
            <w:r>
              <w:rPr>
                <w:rFonts w:hint="eastAsia"/>
                <w:szCs w:val="21"/>
              </w:rPr>
              <w:t>%</w:t>
            </w:r>
            <w:r>
              <w:rPr>
                <w:rFonts w:hint="eastAsia"/>
                <w:szCs w:val="24"/>
                <w:lang w:eastAsia="zh-Hans"/>
              </w:rPr>
              <w:t xml:space="preserve"> </w:t>
            </w:r>
          </w:p>
        </w:tc>
        <w:tc>
          <w:tcPr>
            <w:tcW w:w="3482" w:type="dxa"/>
            <w:tcBorders>
              <w:top w:val="nil"/>
              <w:left w:val="nil"/>
              <w:bottom w:val="dotted" w:sz="4" w:space="0" w:color="auto"/>
              <w:right w:val="nil"/>
            </w:tcBorders>
            <w:vAlign w:val="center"/>
            <w:hideMark/>
          </w:tcPr>
          <w:p w:rsidR="00D33E49" w:rsidRDefault="00E54FB0">
            <w:pPr>
              <w:jc w:val="center"/>
            </w:pPr>
            <w:r>
              <w:rPr>
                <w:rFonts w:hint="eastAsia"/>
                <w:szCs w:val="24"/>
              </w:rPr>
              <w:t xml:space="preserve">销售机构 </w:t>
            </w:r>
          </w:p>
        </w:tc>
      </w:tr>
      <w:tr w:rsidR="00D33E49">
        <w:trPr>
          <w:divId w:val="1055466104"/>
          <w:trHeight w:val="386"/>
        </w:trPr>
        <w:tc>
          <w:tcPr>
            <w:tcW w:w="3726" w:type="dxa"/>
            <w:tcBorders>
              <w:top w:val="nil"/>
              <w:left w:val="nil"/>
              <w:bottom w:val="single" w:sz="4" w:space="0" w:color="auto"/>
              <w:right w:val="nil"/>
            </w:tcBorders>
            <w:tcMar>
              <w:top w:w="0" w:type="dxa"/>
              <w:left w:w="108" w:type="dxa"/>
              <w:bottom w:w="0" w:type="dxa"/>
              <w:right w:w="108" w:type="dxa"/>
            </w:tcMar>
            <w:vAlign w:val="center"/>
            <w:hideMark/>
          </w:tcPr>
          <w:p w:rsidR="00D33E49" w:rsidRDefault="00E54FB0">
            <w:r>
              <w:rPr>
                <w:rFonts w:hint="eastAsia"/>
                <w:b/>
                <w:szCs w:val="24"/>
                <w:lang w:eastAsia="zh-Hans"/>
              </w:rPr>
              <w:t>其他费用</w:t>
            </w:r>
            <w:r>
              <w:rPr>
                <w:rFonts w:hint="eastAsia"/>
                <w:szCs w:val="24"/>
                <w:lang w:eastAsia="zh-Hans"/>
              </w:rPr>
              <w:t xml:space="preserve"> </w:t>
            </w:r>
          </w:p>
        </w:tc>
        <w:tc>
          <w:tcPr>
            <w:tcW w:w="3482" w:type="dxa"/>
            <w:gridSpan w:val="2"/>
            <w:tcBorders>
              <w:top w:val="nil"/>
              <w:left w:val="nil"/>
              <w:bottom w:val="single" w:sz="4" w:space="0" w:color="auto"/>
              <w:right w:val="nil"/>
            </w:tcBorders>
            <w:vAlign w:val="center"/>
            <w:hideMark/>
          </w:tcPr>
          <w:p w:rsidR="00D33E49" w:rsidRDefault="00E54FB0">
            <w:pPr>
              <w:jc w:val="left"/>
            </w:pPr>
            <w:r>
              <w:rPr>
                <w:rFonts w:hint="eastAsia"/>
                <w:szCs w:val="24"/>
              </w:rPr>
              <w:t>《基金合同》生效后与基金相关的律师费、基金份额持有人大会费用、基金的证券交易费用、基金的银行汇划费用、基金的相关账户的开户费用、账户维护费用等费用，以及按照国家有关规定和《基金合同》约定，可以在基金财产中列支的其他费用。费用类别详见本基金《基金合同》及《招募说明书》或其更新。</w:t>
            </w:r>
          </w:p>
        </w:tc>
      </w:tr>
    </w:tbl>
    <w:bookmarkEnd w:id="21"/>
    <w:p w:rsidR="00D33E49" w:rsidRDefault="00E54FB0">
      <w:pPr>
        <w:spacing w:line="312" w:lineRule="exact"/>
      </w:pPr>
      <w:r>
        <w:rPr>
          <w:rFonts w:hint="eastAsia"/>
          <w:szCs w:val="21"/>
        </w:rPr>
        <w:t>注：</w:t>
      </w:r>
      <w:r>
        <w:rPr>
          <w:rFonts w:hint="eastAsia"/>
          <w:szCs w:val="21"/>
          <w:lang w:eastAsia="zh-Hans"/>
        </w:rPr>
        <w:t>本基金交易证券、基金等产生的费用和税负，按实际发生额从基金资产扣除。</w:t>
      </w:r>
      <w:bookmarkEnd w:id="59"/>
      <w:r>
        <w:rPr>
          <w:rFonts w:hint="eastAsia"/>
        </w:rPr>
        <w:t xml:space="preserve"> </w:t>
      </w:r>
    </w:p>
    <w:p w:rsidR="00D33E49" w:rsidRDefault="00E54FB0">
      <w:pPr>
        <w:pStyle w:val="XBRLTitle1"/>
        <w:spacing w:before="156" w:line="312" w:lineRule="exact"/>
        <w:divId w:val="1335886482"/>
      </w:pPr>
      <w:bookmarkStart w:id="104" w:name="_Toc374332122"/>
      <w:r>
        <w:rPr>
          <w:rFonts w:hAnsi="宋体" w:hint="eastAsia"/>
        </w:rPr>
        <w:t>风险揭示与重要提示</w:t>
      </w:r>
      <w:bookmarkEnd w:id="104"/>
      <w:bookmarkEnd w:id="23"/>
      <w:bookmarkEnd w:id="24"/>
      <w:r>
        <w:rPr>
          <w:rFonts w:hAnsi="宋体" w:hint="eastAsia"/>
        </w:rPr>
        <w:t xml:space="preserve"> </w:t>
      </w:r>
    </w:p>
    <w:p w:rsidR="00D33E49" w:rsidRDefault="00E54FB0">
      <w:pPr>
        <w:pStyle w:val="XBRLTitle2"/>
        <w:spacing w:before="156" w:line="312" w:lineRule="exact"/>
        <w:divId w:val="1759523863"/>
      </w:pPr>
      <w:bookmarkStart w:id="105" w:name="_Toc374332132"/>
      <w:r>
        <w:rPr>
          <w:rFonts w:hAnsi="宋体" w:hint="eastAsia"/>
          <w:sz w:val="21"/>
        </w:rPr>
        <w:t>风险揭示</w:t>
      </w:r>
      <w:bookmarkEnd w:id="105"/>
      <w:bookmarkEnd w:id="49"/>
      <w:bookmarkEnd w:id="50"/>
      <w:bookmarkEnd w:id="51"/>
      <w:bookmarkEnd w:id="52"/>
      <w:bookmarkEnd w:id="53"/>
      <w:bookmarkEnd w:id="54"/>
      <w:bookmarkEnd w:id="55"/>
      <w:bookmarkEnd w:id="56"/>
      <w:bookmarkEnd w:id="57"/>
      <w:bookmarkEnd w:id="58"/>
      <w:r>
        <w:rPr>
          <w:rFonts w:hAnsi="宋体" w:hint="eastAsia"/>
          <w:sz w:val="21"/>
        </w:rPr>
        <w:t xml:space="preserve"> </w:t>
      </w:r>
    </w:p>
    <w:p w:rsidR="00D33E49" w:rsidRDefault="00E54FB0">
      <w:pPr>
        <w:spacing w:line="312" w:lineRule="exact"/>
        <w:ind w:firstLineChars="200" w:firstLine="420"/>
        <w:divId w:val="1759523863"/>
      </w:pPr>
      <w:r>
        <w:rPr>
          <w:rFonts w:hint="eastAsia"/>
          <w:kern w:val="0"/>
        </w:rPr>
        <w:t>本基金不提供任何保证。投资者可能损失投资本金。投资有风险，投资者购买基金时应认真阅读本基金的《招募说明书》等销售文件。</w:t>
      </w:r>
      <w:r>
        <w:rPr>
          <w:rFonts w:hint="eastAsia"/>
          <w:kern w:val="0"/>
        </w:rPr>
        <w:br/>
        <w:t xml:space="preserve">　　本基金投资于证券市场，基金净值会因为证券市场波动等因素产生波动，投资者在投资本基金前，应全</w:t>
      </w:r>
      <w:r>
        <w:rPr>
          <w:rFonts w:hint="eastAsia"/>
          <w:kern w:val="0"/>
        </w:rPr>
        <w:lastRenderedPageBreak/>
        <w:t>面了解本基金的产品特性，理性判断市场，并承担基金投资中出现的各类风险，包括：市场风险、信用风险、本基金特有风险（包括但不限于资产配置风险、最短持有期风险、国债期货投资风险、资产支持证券投资风险）、流动性风险（包括但不限于巨额赎回风险、启用摆动定价或侧袋机制等流动性风险管理工具带来的风险等）、管理风险、合规性风险、操作风险、基金财产投资运营过程中的增值税风险、本基金法律文件风险收益特征表述与销售机构基金风险评价可能不一致的风险、其他风险等。</w:t>
      </w:r>
      <w:r>
        <w:rPr>
          <w:rFonts w:hint="eastAsia"/>
          <w:kern w:val="0"/>
        </w:rPr>
        <w:br/>
        <w:t xml:space="preserve">　　本基金特有的风险：</w:t>
      </w:r>
      <w:r>
        <w:rPr>
          <w:rFonts w:hint="eastAsia"/>
          <w:kern w:val="0"/>
        </w:rPr>
        <w:br/>
        <w:t xml:space="preserve">　　1、资产配置风险</w:t>
      </w:r>
      <w:r>
        <w:rPr>
          <w:rFonts w:hint="eastAsia"/>
          <w:kern w:val="0"/>
        </w:rPr>
        <w:br/>
        <w:t xml:space="preserve">　　本基金是债券型基金，投资于债券资产的比例不低于基金资产的80%；如果债券市场出现整体下跌，本基金的净值表现将受到影响，投资者面临无法获得收益甚至可能发生较大亏损的风险。</w:t>
      </w:r>
      <w:r>
        <w:rPr>
          <w:rFonts w:hint="eastAsia"/>
          <w:kern w:val="0"/>
        </w:rPr>
        <w:br/>
        <w:t xml:space="preserve">　　2、最短持有期风险</w:t>
      </w:r>
      <w:r>
        <w:rPr>
          <w:rFonts w:hint="eastAsia"/>
          <w:kern w:val="0"/>
        </w:rPr>
        <w:br/>
        <w:t xml:space="preserve">　　对于每份基金份额而言，本基金设置了120天最短持有期限，投资者面临在最短持有期限内无法赎回及转换转出基金份额的风险。</w:t>
      </w:r>
      <w:r>
        <w:rPr>
          <w:rFonts w:hint="eastAsia"/>
          <w:kern w:val="0"/>
        </w:rPr>
        <w:br/>
        <w:t xml:space="preserve">　　3、国债期货投资风险</w:t>
      </w:r>
      <w:r>
        <w:rPr>
          <w:rFonts w:hint="eastAsia"/>
          <w:kern w:val="0"/>
        </w:rPr>
        <w:br/>
        <w:t xml:space="preserve">　　本基金可投资国债期货，投资国债期货的风险包括但不限于杠杆风险、保证金风险、期货价格与基金投资品种价格的相关度降低带来的风险等。</w:t>
      </w:r>
      <w:r>
        <w:rPr>
          <w:rFonts w:hint="eastAsia"/>
          <w:kern w:val="0"/>
        </w:rPr>
        <w:br/>
        <w:t xml:space="preserve">　　4、资产支持证券投资风险</w:t>
      </w:r>
      <w:r>
        <w:rPr>
          <w:rFonts w:hint="eastAsia"/>
          <w:kern w:val="0"/>
        </w:rPr>
        <w:br/>
        <w:t xml:space="preserve">　　本基金可投资资产支持证券，资产支持证券在国内市场尚处发展初期，具有低流动性、高收益的特征，并存在一定的投资风险。资产支持证券的投资与基金资产密切相关，因此会受到特定原始权益人破产风险及现金流预测风险等的影响；当本基金投资的资产支持证券信用评级发生变化时，本基金将需要面对临时调整持仓的风险；此外当资产支持证券相关的发行人、管理人、托管人等出现违规违约时，本基金将面临无法收取投资收益甚至损失本金的风险。</w:t>
      </w:r>
      <w:r>
        <w:rPr>
          <w:rFonts w:hint="eastAsia"/>
          <w:lang w:eastAsia="zh-Hans"/>
        </w:rPr>
        <w:t xml:space="preserve"> </w:t>
      </w:r>
    </w:p>
    <w:p w:rsidR="00D33E49" w:rsidRDefault="00E54FB0">
      <w:pPr>
        <w:pStyle w:val="XBRLTitle2"/>
        <w:spacing w:before="156" w:line="312" w:lineRule="exact"/>
        <w:divId w:val="1663386417"/>
      </w:pPr>
      <w:bookmarkStart w:id="106" w:name="_Toc374332142"/>
      <w:r>
        <w:rPr>
          <w:rFonts w:hAnsi="宋体" w:hint="eastAsia"/>
          <w:sz w:val="21"/>
        </w:rPr>
        <w:t>重要提示</w:t>
      </w:r>
      <w:bookmarkEnd w:id="10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63"/>
      <w:bookmarkEnd w:id="64"/>
      <w:bookmarkEnd w:id="65"/>
      <w:bookmarkEnd w:id="66"/>
      <w:bookmarkEnd w:id="67"/>
      <w:r>
        <w:rPr>
          <w:rFonts w:hAnsi="宋体" w:hint="eastAsia"/>
          <w:sz w:val="21"/>
        </w:rPr>
        <w:t xml:space="preserve"> </w:t>
      </w:r>
    </w:p>
    <w:p w:rsidR="00D33E49" w:rsidRDefault="00E54FB0">
      <w:pPr>
        <w:spacing w:line="312" w:lineRule="exact"/>
        <w:ind w:firstLineChars="200" w:firstLine="422"/>
        <w:divId w:val="1663386417"/>
      </w:pPr>
      <w:r>
        <w:rPr>
          <w:rFonts w:hint="eastAsia"/>
          <w:b/>
          <w:bCs/>
          <w:kern w:val="0"/>
        </w:rPr>
        <w:t>中国证监会对本基金募集的注册，并不表明其对本基金的价值和收益做出实质性判断或保证，也不表明投资于本基金没有风险。</w:t>
      </w:r>
      <w:r>
        <w:rPr>
          <w:rFonts w:hint="eastAsia"/>
          <w:b/>
          <w:bCs/>
          <w:kern w:val="0"/>
        </w:rPr>
        <w:br/>
        <w:t xml:space="preserve">　　基金管理人依照恪尽职守、诚实守信、谨慎勤勉的原则管理和运用基金财产，但不保证基金一定盈利，也不得保证最低收益。</w:t>
      </w:r>
      <w:r>
        <w:rPr>
          <w:rFonts w:hint="eastAsia"/>
          <w:b/>
          <w:bCs/>
          <w:kern w:val="0"/>
        </w:rPr>
        <w:br/>
        <w:t xml:space="preserve">　　基金投资者自依基金合同取得基金份额，即成为基金份额持有人和基金合同的当事人。</w:t>
      </w:r>
      <w:r>
        <w:rPr>
          <w:rFonts w:hint="eastAsia"/>
          <w:b/>
          <w:bCs/>
          <w:kern w:val="0"/>
        </w:rPr>
        <w:br/>
        <w:t xml:space="preserve">　　各方当事人同意，因《基金合同》而产生的或与《基金合同》有关的一切争议，应经友好协商解决。如经友好协商未能解决的，应提交中国国际经济贸易仲裁委员会进行仲裁，仲裁地点为北京市，按照其届时有效的仲裁规则进行仲裁。仲裁裁决是终局的，对仲裁各方当事人均具有约束力，除非仲裁裁决另有决定，仲裁费由败诉方承担。</w:t>
      </w:r>
      <w:r>
        <w:rPr>
          <w:rFonts w:hint="eastAsia"/>
          <w:b/>
          <w:bCs/>
          <w:kern w:val="0"/>
        </w:rPr>
        <w:br/>
        <w:t xml:space="preserve">　　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r>
        <w:rPr>
          <w:rFonts w:hint="eastAsia"/>
          <w:lang w:eastAsia="zh-Hans"/>
        </w:rPr>
        <w:t xml:space="preserve"> </w:t>
      </w:r>
    </w:p>
    <w:p w:rsidR="00D33E49" w:rsidRDefault="00E54FB0">
      <w:pPr>
        <w:pStyle w:val="XBRLTitle1"/>
        <w:spacing w:before="156" w:line="312" w:lineRule="exact"/>
        <w:divId w:val="482502374"/>
      </w:pPr>
      <w:bookmarkStart w:id="107" w:name="_Toc374332111"/>
      <w:bookmarkEnd w:id="100"/>
      <w:r>
        <w:rPr>
          <w:rFonts w:hAnsi="宋体" w:hint="eastAsia"/>
        </w:rPr>
        <w:t>其他资料查询方式</w:t>
      </w:r>
      <w:bookmarkEnd w:id="107"/>
      <w:r>
        <w:rPr>
          <w:rFonts w:hAnsi="宋体" w:hint="eastAsia"/>
          <w:szCs w:val="44"/>
        </w:rPr>
        <w:t xml:space="preserve"> </w:t>
      </w:r>
      <w:bookmarkEnd w:id="8"/>
      <w:bookmarkEnd w:id="9"/>
      <w:bookmarkEnd w:id="10"/>
      <w:bookmarkEnd w:id="11"/>
      <w:bookmarkEnd w:id="12"/>
      <w:bookmarkEnd w:id="13"/>
      <w:bookmarkEnd w:id="14"/>
      <w:bookmarkEnd w:id="15"/>
      <w:bookmarkEnd w:id="16"/>
      <w:bookmarkEnd w:id="17"/>
    </w:p>
    <w:p w:rsidR="00D33E49" w:rsidRDefault="00E54FB0">
      <w:pPr>
        <w:spacing w:line="312" w:lineRule="exact"/>
        <w:ind w:firstLineChars="200" w:firstLine="420"/>
        <w:divId w:val="482502374"/>
      </w:pPr>
      <w:r>
        <w:rPr>
          <w:rFonts w:hint="eastAsia"/>
          <w:kern w:val="0"/>
        </w:rPr>
        <w:t xml:space="preserve">以下资料详见基金管理人网站：www.huaan.com.cn；客户服务电话：40088-50099 </w:t>
      </w:r>
      <w:r>
        <w:rPr>
          <w:rFonts w:hint="eastAsia"/>
          <w:kern w:val="0"/>
        </w:rPr>
        <w:br/>
        <w:t>（一）基金合同、托管协议、招募说明书</w:t>
      </w:r>
      <w:r>
        <w:rPr>
          <w:rFonts w:hint="eastAsia"/>
          <w:kern w:val="0"/>
        </w:rPr>
        <w:br/>
        <w:t>（二）定期报告、包括基金季度报告、中期报告、年度报告</w:t>
      </w:r>
      <w:r>
        <w:rPr>
          <w:rFonts w:hint="eastAsia"/>
          <w:kern w:val="0"/>
        </w:rPr>
        <w:br/>
        <w:t>（三）基金份额净值</w:t>
      </w:r>
      <w:r>
        <w:rPr>
          <w:rFonts w:hint="eastAsia"/>
          <w:kern w:val="0"/>
        </w:rPr>
        <w:br/>
        <w:t>（四）基金销售机构及联系方式</w:t>
      </w:r>
      <w:r>
        <w:rPr>
          <w:rFonts w:hint="eastAsia"/>
          <w:kern w:val="0"/>
        </w:rPr>
        <w:br/>
        <w:t>（五）其他重要资料</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18"/>
      <w:bookmarkEnd w:id="19"/>
      <w:bookmarkEnd w:id="20"/>
      <w:r>
        <w:rPr>
          <w:rFonts w:hint="eastAsia"/>
          <w:lang w:eastAsia="zh-Hans"/>
        </w:rPr>
        <w:t xml:space="preserve"> </w:t>
      </w:r>
    </w:p>
    <w:sectPr w:rsidR="00D33E49">
      <w:headerReference w:type="default" r:id="rId8"/>
      <w:footerReference w:type="default" r:id="rId9"/>
      <w:headerReference w:type="first" r:id="rId10"/>
      <w:footerReference w:type="first" r:id="rId11"/>
      <w:pgSz w:w="11907" w:h="16839"/>
      <w:pgMar w:top="1440" w:right="1080" w:bottom="1440" w:left="108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E49" w:rsidRDefault="00E54FB0">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endnote>
  <w:endnote w:type="continuationSeparator" w:id="0">
    <w:p w:rsidR="00D33E49" w:rsidRDefault="00E54FB0">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E49" w:rsidRDefault="00E54FB0">
    <w:pPr>
      <w:jc w:val="cente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rFonts w:hint="eastAsia"/>
        <w:sz w:val="18"/>
        <w:szCs w:val="18"/>
      </w:rPr>
      <w:fldChar w:fldCharType="separate"/>
    </w:r>
    <w:r w:rsidR="00EC6A44">
      <w:rPr>
        <w:noProof/>
        <w:sz w:val="18"/>
        <w:szCs w:val="18"/>
      </w:rPr>
      <w:t>3</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rFonts w:hint="eastAsia"/>
        <w:sz w:val="18"/>
        <w:szCs w:val="18"/>
      </w:rPr>
      <w:fldChar w:fldCharType="separate"/>
    </w:r>
    <w:r w:rsidR="00EC6A44">
      <w:rPr>
        <w:noProof/>
        <w:sz w:val="18"/>
        <w:szCs w:val="18"/>
      </w:rPr>
      <w:t>3</w:t>
    </w:r>
    <w:r>
      <w:rPr>
        <w:rFonts w:hint="eastAsia"/>
        <w:sz w:val="18"/>
        <w:szCs w:val="18"/>
      </w:rPr>
      <w:fldChar w:fldCharType="end"/>
    </w:r>
    <w:r>
      <w:rPr>
        <w:rFonts w:hint="eastAsia"/>
        <w:sz w:val="18"/>
        <w:szCs w:val="18"/>
      </w:rPr>
      <w:t>页</w:t>
    </w:r>
    <w:r>
      <w:rPr>
        <w:rFonts w:hint="eastAsia"/>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E49" w:rsidRDefault="00E54FB0">
    <w:pPr>
      <w:jc w:val="cente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rFonts w:hint="eastAsia"/>
        <w:sz w:val="18"/>
        <w:szCs w:val="18"/>
      </w:rPr>
      <w:fldChar w:fldCharType="separate"/>
    </w:r>
    <w:r w:rsidR="00EC6A44">
      <w:rPr>
        <w:noProof/>
        <w:sz w:val="18"/>
        <w:szCs w:val="18"/>
      </w:rPr>
      <w:t>1</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rFonts w:hint="eastAsia"/>
        <w:sz w:val="18"/>
        <w:szCs w:val="18"/>
      </w:rPr>
      <w:fldChar w:fldCharType="separate"/>
    </w:r>
    <w:r w:rsidR="00EC6A44">
      <w:rPr>
        <w:noProof/>
        <w:sz w:val="18"/>
        <w:szCs w:val="18"/>
      </w:rPr>
      <w:t>3</w:t>
    </w:r>
    <w:r>
      <w:rPr>
        <w:rFonts w:hint="eastAsia"/>
        <w:sz w:val="18"/>
        <w:szCs w:val="18"/>
      </w:rPr>
      <w:fldChar w:fldCharType="end"/>
    </w:r>
    <w:r>
      <w:rPr>
        <w:rFonts w:hint="eastAsia"/>
        <w:sz w:val="18"/>
        <w:szCs w:val="18"/>
      </w:rPr>
      <w:t>页</w:t>
    </w:r>
    <w:r>
      <w:rPr>
        <w:rFonts w:hint="eastAsi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E49" w:rsidRDefault="00E54FB0">
      <w:pPr>
        <w:rPr>
          <w:rFonts w:ascii="Times New Roman" w:hAnsi="Times New Roman" w:cs="Times New Roman"/>
          <w:szCs w:val="21"/>
        </w:rPr>
      </w:pPr>
      <w:r>
        <w:rPr>
          <w:rFonts w:ascii="Times New Roman" w:hAnsi="Times New Roman" w:cs="Times New Roman"/>
          <w:szCs w:val="21"/>
        </w:rPr>
        <w:separator/>
      </w:r>
      <w:r>
        <w:rPr>
          <w:rFonts w:ascii="Times New Roman" w:hAnsi="Times New Roman" w:cs="Times New Roman"/>
          <w:szCs w:val="21"/>
        </w:rPr>
        <w:t xml:space="preserve"> </w:t>
      </w:r>
    </w:p>
  </w:footnote>
  <w:footnote w:type="continuationSeparator" w:id="0">
    <w:p w:rsidR="00D33E49" w:rsidRDefault="00E54FB0">
      <w:pPr>
        <w:rPr>
          <w:rFonts w:ascii="Times New Roman" w:hAnsi="Times New Roman" w:cs="Times New Roman"/>
          <w:szCs w:val="21"/>
        </w:rPr>
      </w:pPr>
      <w:r>
        <w:rPr>
          <w:rFonts w:ascii="Times New Roman" w:hAnsi="Times New Roman" w:cs="Times New Roman"/>
          <w:szCs w:val="21"/>
        </w:rPr>
        <w:continuationSeparator/>
      </w:r>
      <w:r>
        <w:rPr>
          <w:rFonts w:ascii="Times New Roman" w:hAnsi="Times New Roman" w:cs="Times New Roman"/>
          <w:szCs w:val="21"/>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E49" w:rsidRDefault="00E54FB0">
    <w:pPr>
      <w:pStyle w:val="a8"/>
      <w:jc w:val="right"/>
    </w:pPr>
    <w:r>
      <w:rPr>
        <w:rFonts w:hint="eastAsia"/>
      </w:rPr>
      <w:t>华安众利120天持有期债券型证券投资基金（华安众利120天持有债券C）基金产品资料概要</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E49" w:rsidRDefault="00E54FB0">
    <w:pPr>
      <w:pStyle w:val="a8"/>
      <w:jc w:val="right"/>
    </w:pPr>
    <w:r>
      <w:rPr>
        <w:rFonts w:hint="eastAsia"/>
      </w:rPr>
      <w:t>华安众利120天持有期债券型证券投资基金（华安众利120天持有债券C）基金产品资料概要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D73EE"/>
    <w:multiLevelType w:val="multilevel"/>
    <w:tmpl w:val="606430B2"/>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pStyle w:val="XBRLTitle4"/>
      <w:suff w:val="space"/>
      <w:lvlText w:val="%1.%2.%3.%4"/>
      <w:lvlJc w:val="left"/>
      <w:pPr>
        <w:ind w:left="794" w:hanging="794"/>
      </w:pPr>
    </w:lvl>
    <w:lvl w:ilvl="4">
      <w:start w:val="1"/>
      <w:numFmt w:val="decimal"/>
      <w:pStyle w:val="XBRLTitle5"/>
      <w:suff w:val="space"/>
      <w:lvlText w:val="%1.%2.%3.%4.%5"/>
      <w:lvlJc w:val="left"/>
      <w:pPr>
        <w:ind w:left="1021" w:hanging="1021"/>
      </w:pPr>
    </w:lvl>
    <w:lvl w:ilvl="5">
      <w:start w:val="1"/>
      <w:numFmt w:val="decimal"/>
      <w:pStyle w:val="XBRLTitle6"/>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9937"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B0"/>
    <w:rsid w:val="00D33E49"/>
    <w:rsid w:val="00E54FB0"/>
    <w:rsid w:val="00EC6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64254F5E-FD92-4994-AEF3-99A49CFC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宋体"/>
      <w:kern w:val="2"/>
      <w:sz w:val="21"/>
    </w:rPr>
  </w:style>
  <w:style w:type="paragraph" w:styleId="1">
    <w:name w:val="heading 1"/>
    <w:basedOn w:val="a"/>
    <w:next w:val="a"/>
    <w:link w:val="11"/>
    <w:uiPriority w:val="9"/>
    <w:qFormat/>
    <w:pPr>
      <w:keepNext/>
      <w:keepLines/>
      <w:spacing w:before="340" w:after="330" w:line="576" w:lineRule="auto"/>
      <w:outlineLvl w:val="0"/>
    </w:pPr>
    <w:rPr>
      <w:b/>
      <w:bCs/>
      <w:kern w:val="44"/>
      <w:sz w:val="44"/>
      <w:szCs w:val="44"/>
      <w:lang w:val="x-none" w:eastAsia="x-none"/>
    </w:rPr>
  </w:style>
  <w:style w:type="paragraph" w:styleId="2">
    <w:name w:val="heading 2"/>
    <w:basedOn w:val="a"/>
    <w:next w:val="a"/>
    <w:link w:val="21"/>
    <w:uiPriority w:val="9"/>
    <w:qFormat/>
    <w:pPr>
      <w:keepNext/>
      <w:keepLines/>
      <w:spacing w:before="260" w:after="260" w:line="408" w:lineRule="auto"/>
      <w:outlineLvl w:val="1"/>
    </w:pPr>
    <w:rPr>
      <w:rFonts w:ascii="Cambria" w:hAnsi="Cambria"/>
      <w:b/>
      <w:bCs/>
      <w:kern w:val="0"/>
      <w:sz w:val="32"/>
      <w:szCs w:val="32"/>
      <w:lang w:val="x-none" w:eastAsia="x-none"/>
    </w:rPr>
  </w:style>
  <w:style w:type="paragraph" w:styleId="3">
    <w:name w:val="heading 3"/>
    <w:basedOn w:val="a"/>
    <w:next w:val="a"/>
    <w:link w:val="31"/>
    <w:uiPriority w:val="9"/>
    <w:qFormat/>
    <w:pPr>
      <w:keepNext/>
      <w:keepLines/>
      <w:spacing w:before="260" w:after="260" w:line="408" w:lineRule="auto"/>
      <w:outlineLvl w:val="2"/>
    </w:pPr>
    <w:rPr>
      <w:b/>
      <w:bCs/>
      <w:kern w:val="0"/>
      <w:sz w:val="32"/>
      <w:szCs w:val="32"/>
      <w:lang w:val="x-none" w:eastAsia="x-none"/>
    </w:rPr>
  </w:style>
  <w:style w:type="paragraph" w:styleId="4">
    <w:name w:val="heading 4"/>
    <w:basedOn w:val="a"/>
    <w:next w:val="a"/>
    <w:link w:val="41"/>
    <w:qFormat/>
    <w:pPr>
      <w:keepNext/>
      <w:keepLines/>
      <w:spacing w:before="240" w:after="290" w:line="372" w:lineRule="auto"/>
      <w:outlineLvl w:val="3"/>
    </w:pPr>
    <w:rPr>
      <w:rFonts w:ascii="Cambria" w:hAnsi="Cambria"/>
      <w:b/>
      <w:bCs/>
      <w:kern w:val="0"/>
      <w:sz w:val="24"/>
      <w:szCs w:val="24"/>
      <w:lang w:val="x-none" w:eastAsia="x-none"/>
    </w:rPr>
  </w:style>
  <w:style w:type="paragraph" w:styleId="5">
    <w:name w:val="heading 5"/>
    <w:basedOn w:val="a"/>
    <w:next w:val="a"/>
    <w:link w:val="51"/>
    <w:uiPriority w:val="9"/>
    <w:semiHidden/>
    <w:unhideWhenUsed/>
    <w:qFormat/>
    <w:pPr>
      <w:keepNext/>
      <w:keepLines/>
      <w:spacing w:before="240" w:after="290" w:line="372" w:lineRule="auto"/>
      <w:outlineLvl w:val="4"/>
    </w:pPr>
    <w:rPr>
      <w:b/>
      <w:bCs/>
      <w:sz w:val="24"/>
      <w:szCs w:val="24"/>
    </w:rPr>
  </w:style>
  <w:style w:type="paragraph" w:styleId="6">
    <w:name w:val="heading 6"/>
    <w:basedOn w:val="a"/>
    <w:next w:val="a"/>
    <w:link w:val="61"/>
    <w:uiPriority w:val="9"/>
    <w:semiHidden/>
    <w:unhideWhenUsed/>
    <w:qFormat/>
    <w:pPr>
      <w:keepNext/>
      <w:keepLines/>
      <w:spacing w:before="240" w:after="64" w:line="312"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character" w:customStyle="1" w:styleId="10">
    <w:name w:val="标题 1 字符"/>
    <w:basedOn w:val="a0"/>
    <w:uiPriority w:val="9"/>
    <w:locked/>
    <w:rPr>
      <w:b/>
      <w:bCs/>
      <w:kern w:val="44"/>
      <w:sz w:val="44"/>
      <w:szCs w:val="44"/>
    </w:rPr>
  </w:style>
  <w:style w:type="character" w:customStyle="1" w:styleId="20">
    <w:name w:val="标题 2 字符"/>
    <w:basedOn w:val="a0"/>
    <w:uiPriority w:val="9"/>
    <w:locked/>
    <w:rPr>
      <w:rFonts w:asciiTheme="majorHAnsi" w:eastAsiaTheme="majorEastAsia" w:hAnsiTheme="majorHAnsi" w:cstheme="majorBidi" w:hint="default"/>
      <w:b/>
      <w:bCs/>
      <w:kern w:val="2"/>
      <w:sz w:val="32"/>
      <w:szCs w:val="32"/>
    </w:rPr>
  </w:style>
  <w:style w:type="character" w:customStyle="1" w:styleId="30">
    <w:name w:val="标题 3 字符"/>
    <w:basedOn w:val="a0"/>
    <w:uiPriority w:val="9"/>
    <w:locked/>
    <w:rPr>
      <w:b/>
      <w:bCs/>
      <w:kern w:val="2"/>
      <w:sz w:val="32"/>
      <w:szCs w:val="32"/>
    </w:rPr>
  </w:style>
  <w:style w:type="character" w:customStyle="1" w:styleId="40">
    <w:name w:val="标题 4 字符"/>
    <w:basedOn w:val="a0"/>
    <w:locked/>
    <w:rPr>
      <w:rFonts w:asciiTheme="majorHAnsi" w:eastAsiaTheme="majorEastAsia" w:hAnsiTheme="majorHAnsi" w:cstheme="majorBidi" w:hint="default"/>
      <w:b/>
      <w:bCs/>
      <w:kern w:val="2"/>
      <w:sz w:val="24"/>
      <w:szCs w:val="24"/>
    </w:rPr>
  </w:style>
  <w:style w:type="character" w:customStyle="1" w:styleId="50">
    <w:name w:val="标题 5 字符"/>
    <w:basedOn w:val="a0"/>
    <w:uiPriority w:val="9"/>
    <w:semiHidden/>
    <w:rPr>
      <w:rFonts w:cs="宋体"/>
      <w:b/>
      <w:bCs/>
      <w:kern w:val="2"/>
      <w:sz w:val="28"/>
      <w:szCs w:val="28"/>
    </w:rPr>
  </w:style>
  <w:style w:type="character" w:customStyle="1" w:styleId="60">
    <w:name w:val="标题 6 字符"/>
    <w:basedOn w:val="a0"/>
    <w:uiPriority w:val="9"/>
    <w:semiHidden/>
    <w:rPr>
      <w:rFonts w:asciiTheme="majorHAnsi" w:eastAsiaTheme="majorEastAsia" w:hAnsiTheme="majorHAnsi" w:cstheme="majorBidi"/>
      <w:b/>
      <w:bCs/>
      <w:kern w:val="2"/>
      <w:sz w:val="24"/>
      <w:szCs w:val="24"/>
    </w:rPr>
  </w:style>
  <w:style w:type="paragraph" w:customStyle="1" w:styleId="msonormal0">
    <w:name w:val="msonormal"/>
    <w:basedOn w:val="a"/>
    <w:pPr>
      <w:widowControl/>
      <w:spacing w:before="100" w:beforeAutospacing="1" w:after="100" w:afterAutospacing="1"/>
      <w:jc w:val="left"/>
    </w:pPr>
    <w:rPr>
      <w:kern w:val="0"/>
      <w:sz w:val="24"/>
    </w:rPr>
  </w:style>
  <w:style w:type="paragraph" w:styleId="a5">
    <w:name w:val="Normal (Web)"/>
    <w:basedOn w:val="a"/>
    <w:pPr>
      <w:widowControl/>
      <w:spacing w:before="100" w:beforeAutospacing="1" w:after="100" w:afterAutospacing="1"/>
      <w:jc w:val="left"/>
    </w:pPr>
    <w:rPr>
      <w:kern w:val="0"/>
      <w:sz w:val="24"/>
    </w:rPr>
  </w:style>
  <w:style w:type="paragraph" w:styleId="12">
    <w:name w:val="toc 1"/>
    <w:basedOn w:val="a"/>
    <w:next w:val="a"/>
    <w:autoRedefine/>
    <w:uiPriority w:val="39"/>
    <w:semiHidden/>
    <w:unhideWhenUsed/>
    <w:pPr>
      <w:tabs>
        <w:tab w:val="right" w:leader="dot" w:pos="8835"/>
      </w:tabs>
    </w:pPr>
    <w:rPr>
      <w:noProof/>
    </w:rPr>
  </w:style>
  <w:style w:type="paragraph" w:styleId="22">
    <w:name w:val="toc 2"/>
    <w:basedOn w:val="a"/>
    <w:next w:val="a"/>
    <w:autoRedefine/>
    <w:uiPriority w:val="39"/>
    <w:semiHidden/>
    <w:unhideWhenUsed/>
    <w:qFormat/>
    <w:pPr>
      <w:tabs>
        <w:tab w:val="right" w:leader="dot" w:pos="8834"/>
      </w:tabs>
      <w:ind w:left="210"/>
      <w:jc w:val="left"/>
    </w:pPr>
    <w:rPr>
      <w:rFonts w:asciiTheme="minorEastAsia" w:eastAsiaTheme="minorEastAsia" w:hAnsiTheme="minorEastAsia" w:cs="Times New Roman"/>
      <w:noProof/>
      <w:szCs w:val="21"/>
      <w:lang w:val="x-none" w:eastAsia="x-none"/>
    </w:rPr>
  </w:style>
  <w:style w:type="paragraph" w:styleId="32">
    <w:name w:val="toc 3"/>
    <w:basedOn w:val="a"/>
    <w:next w:val="a"/>
    <w:autoRedefine/>
    <w:uiPriority w:val="39"/>
    <w:semiHidden/>
    <w:unhideWhenUsed/>
  </w:style>
  <w:style w:type="paragraph" w:styleId="a6">
    <w:name w:val="footnote text"/>
    <w:basedOn w:val="a"/>
    <w:link w:val="13"/>
    <w:pPr>
      <w:snapToGrid w:val="0"/>
      <w:jc w:val="left"/>
    </w:pPr>
    <w:rPr>
      <w:sz w:val="18"/>
      <w:szCs w:val="18"/>
    </w:rPr>
  </w:style>
  <w:style w:type="character" w:customStyle="1" w:styleId="a7">
    <w:name w:val="脚注文本 字符"/>
    <w:basedOn w:val="a0"/>
    <w:locked/>
    <w:rPr>
      <w:kern w:val="2"/>
      <w:sz w:val="18"/>
      <w:szCs w:val="18"/>
    </w:rPr>
  </w:style>
  <w:style w:type="paragraph" w:styleId="a8">
    <w:name w:val="header"/>
    <w:basedOn w:val="a"/>
    <w:link w:val="23"/>
    <w:uiPriority w:val="99"/>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uiPriority w:val="99"/>
    <w:locked/>
    <w:rPr>
      <w:kern w:val="2"/>
      <w:sz w:val="18"/>
      <w:szCs w:val="18"/>
    </w:rPr>
  </w:style>
  <w:style w:type="paragraph" w:styleId="aa">
    <w:name w:val="footer"/>
    <w:basedOn w:val="a"/>
    <w:link w:val="14"/>
    <w:uiPriority w:val="99"/>
    <w:pPr>
      <w:tabs>
        <w:tab w:val="center" w:pos="4153"/>
        <w:tab w:val="right" w:pos="8306"/>
      </w:tabs>
      <w:snapToGrid w:val="0"/>
      <w:jc w:val="left"/>
    </w:pPr>
    <w:rPr>
      <w:sz w:val="18"/>
      <w:szCs w:val="18"/>
    </w:rPr>
  </w:style>
  <w:style w:type="character" w:customStyle="1" w:styleId="ab">
    <w:name w:val="页脚 字符"/>
    <w:basedOn w:val="a0"/>
    <w:uiPriority w:val="99"/>
    <w:locked/>
    <w:rPr>
      <w:kern w:val="2"/>
      <w:sz w:val="18"/>
      <w:szCs w:val="18"/>
    </w:rPr>
  </w:style>
  <w:style w:type="paragraph" w:styleId="ac">
    <w:name w:val="Title"/>
    <w:basedOn w:val="1"/>
    <w:next w:val="2"/>
    <w:link w:val="15"/>
    <w:uiPriority w:val="10"/>
    <w:qFormat/>
    <w:pPr>
      <w:keepNext w:val="0"/>
      <w:keepLines w:val="0"/>
      <w:spacing w:before="240" w:after="60" w:line="240" w:lineRule="auto"/>
      <w:jc w:val="center"/>
    </w:pPr>
    <w:rPr>
      <w:rFonts w:ascii="Cambria" w:hAnsi="Cambria"/>
      <w:kern w:val="0"/>
      <w:sz w:val="32"/>
      <w:szCs w:val="32"/>
    </w:rPr>
  </w:style>
  <w:style w:type="character" w:customStyle="1" w:styleId="ad">
    <w:name w:val="标题 字符"/>
    <w:basedOn w:val="a0"/>
    <w:uiPriority w:val="10"/>
    <w:locked/>
    <w:rPr>
      <w:rFonts w:asciiTheme="majorHAnsi" w:eastAsiaTheme="majorEastAsia" w:hAnsiTheme="majorHAnsi" w:cstheme="majorBidi" w:hint="default"/>
      <w:b/>
      <w:bCs/>
      <w:kern w:val="2"/>
      <w:sz w:val="32"/>
      <w:szCs w:val="32"/>
    </w:rPr>
  </w:style>
  <w:style w:type="paragraph" w:styleId="ae">
    <w:name w:val="Subtitle"/>
    <w:basedOn w:val="2"/>
    <w:next w:val="3"/>
    <w:link w:val="16"/>
    <w:qFormat/>
    <w:pPr>
      <w:spacing w:before="240" w:after="60" w:line="312" w:lineRule="auto"/>
      <w:jc w:val="left"/>
    </w:pPr>
    <w:rPr>
      <w:bCs w:val="0"/>
      <w:kern w:val="24"/>
      <w:sz w:val="24"/>
    </w:rPr>
  </w:style>
  <w:style w:type="character" w:customStyle="1" w:styleId="af">
    <w:name w:val="副标题 字符"/>
    <w:basedOn w:val="a0"/>
    <w:locked/>
    <w:rPr>
      <w:rFonts w:asciiTheme="minorHAnsi" w:eastAsiaTheme="minorEastAsia" w:hAnsiTheme="minorHAnsi" w:cstheme="minorBidi" w:hint="default"/>
      <w:b/>
      <w:bCs/>
      <w:kern w:val="24"/>
      <w:sz w:val="32"/>
      <w:szCs w:val="32"/>
    </w:rPr>
  </w:style>
  <w:style w:type="paragraph" w:styleId="af0">
    <w:name w:val="Date"/>
    <w:basedOn w:val="a"/>
    <w:next w:val="a"/>
    <w:link w:val="17"/>
    <w:rPr>
      <w:sz w:val="32"/>
      <w:lang w:val="x-none" w:eastAsia="x-none"/>
    </w:rPr>
  </w:style>
  <w:style w:type="character" w:customStyle="1" w:styleId="af1">
    <w:name w:val="日期 字符"/>
    <w:basedOn w:val="a0"/>
    <w:locked/>
    <w:rPr>
      <w:kern w:val="2"/>
      <w:sz w:val="21"/>
    </w:rPr>
  </w:style>
  <w:style w:type="paragraph" w:styleId="af2">
    <w:name w:val="Document Map"/>
    <w:basedOn w:val="a"/>
    <w:link w:val="18"/>
    <w:pPr>
      <w:shd w:val="clear" w:color="auto" w:fill="000080"/>
    </w:pPr>
  </w:style>
  <w:style w:type="character" w:customStyle="1" w:styleId="af3">
    <w:name w:val="文档结构图 字符"/>
    <w:basedOn w:val="a0"/>
    <w:locked/>
    <w:rPr>
      <w:rFonts w:ascii="Microsoft YaHei UI" w:eastAsia="Microsoft YaHei UI" w:hAnsi="Microsoft YaHei UI" w:hint="eastAsia"/>
      <w:kern w:val="2"/>
      <w:sz w:val="18"/>
      <w:szCs w:val="18"/>
    </w:rPr>
  </w:style>
  <w:style w:type="paragraph" w:styleId="af4">
    <w:name w:val="Balloon Text"/>
    <w:basedOn w:val="a"/>
    <w:link w:val="19"/>
    <w:uiPriority w:val="99"/>
    <w:semiHidden/>
    <w:unhideWhenUsed/>
    <w:rPr>
      <w:sz w:val="18"/>
      <w:szCs w:val="18"/>
    </w:rPr>
  </w:style>
  <w:style w:type="character" w:customStyle="1" w:styleId="af5">
    <w:name w:val="批注框文本 字符"/>
    <w:basedOn w:val="a0"/>
    <w:uiPriority w:val="99"/>
    <w:semiHidden/>
    <w:locked/>
    <w:rPr>
      <w:kern w:val="2"/>
      <w:sz w:val="18"/>
      <w:szCs w:val="18"/>
    </w:rPr>
  </w:style>
  <w:style w:type="paragraph" w:styleId="TOC">
    <w:name w:val="TOC Heading"/>
    <w:basedOn w:val="1"/>
    <w:next w:val="a"/>
    <w:uiPriority w:val="39"/>
    <w:semiHidden/>
    <w:unhideWhenUsed/>
    <w:qFormat/>
    <w:pPr>
      <w:widowControl/>
      <w:spacing w:before="480" w:after="0" w:line="276" w:lineRule="auto"/>
      <w:jc w:val="left"/>
      <w:outlineLvl w:val="9"/>
    </w:pPr>
    <w:rPr>
      <w:rFonts w:ascii="Cambria" w:hAnsi="Cambria"/>
      <w:color w:val="365F91"/>
      <w:kern w:val="0"/>
      <w:sz w:val="24"/>
      <w:szCs w:val="24"/>
      <w:lang w:val="en-US" w:eastAsia="zh-CN"/>
    </w:rPr>
  </w:style>
  <w:style w:type="paragraph" w:customStyle="1" w:styleId="XBRLTitle6">
    <w:name w:val="XBRLTitle6"/>
    <w:basedOn w:val="ae"/>
    <w:next w:val="4"/>
    <w:qFormat/>
    <w:pPr>
      <w:numPr>
        <w:ilvl w:val="5"/>
        <w:numId w:val="2"/>
      </w:numPr>
      <w:spacing w:beforeLines="50" w:before="0" w:after="0" w:line="240" w:lineRule="auto"/>
      <w:outlineLvl w:val="9"/>
    </w:pPr>
    <w:rPr>
      <w:bCs/>
    </w:rPr>
  </w:style>
  <w:style w:type="paragraph" w:customStyle="1" w:styleId="af6">
    <w:name w:val="次标题"/>
    <w:basedOn w:val="3"/>
    <w:next w:val="a"/>
    <w:pPr>
      <w:spacing w:before="120" w:after="120"/>
      <w:jc w:val="left"/>
    </w:pPr>
    <w:rPr>
      <w:sz w:val="21"/>
    </w:rPr>
  </w:style>
  <w:style w:type="paragraph" w:customStyle="1" w:styleId="XBRL6">
    <w:name w:val="XBRL标题6"/>
    <w:basedOn w:val="ae"/>
    <w:next w:val="4"/>
    <w:qFormat/>
    <w:pPr>
      <w:spacing w:beforeLines="50" w:before="0" w:after="0" w:line="240" w:lineRule="auto"/>
      <w:outlineLvl w:val="9"/>
    </w:pPr>
    <w:rPr>
      <w:bCs/>
    </w:rPr>
  </w:style>
  <w:style w:type="paragraph" w:customStyle="1" w:styleId="XBRL2">
    <w:name w:val="XBRL标题2"/>
    <w:basedOn w:val="ae"/>
    <w:next w:val="4"/>
    <w:qFormat/>
    <w:pPr>
      <w:spacing w:beforeLines="50" w:before="0" w:after="0" w:line="240" w:lineRule="auto"/>
    </w:pPr>
    <w:rPr>
      <w:bCs/>
    </w:rPr>
  </w:style>
  <w:style w:type="paragraph" w:customStyle="1" w:styleId="XBRL3">
    <w:name w:val="XBRL标题3"/>
    <w:basedOn w:val="ae"/>
    <w:next w:val="4"/>
    <w:qFormat/>
    <w:pPr>
      <w:spacing w:beforeLines="50" w:before="0" w:after="0" w:line="240" w:lineRule="auto"/>
      <w:outlineLvl w:val="9"/>
    </w:pPr>
    <w:rPr>
      <w:bCs/>
    </w:rPr>
  </w:style>
  <w:style w:type="paragraph" w:customStyle="1" w:styleId="XBRLTitle1">
    <w:name w:val="XBRLTitle1"/>
    <w:basedOn w:val="1"/>
    <w:next w:val="2"/>
    <w:qFormat/>
    <w:pPr>
      <w:keepNext w:val="0"/>
      <w:keepLines w:val="0"/>
      <w:numPr>
        <w:numId w:val="2"/>
      </w:numPr>
      <w:spacing w:beforeLines="50" w:before="0" w:after="0" w:line="240" w:lineRule="auto"/>
      <w:jc w:val="left"/>
    </w:pPr>
    <w:rPr>
      <w:rFonts w:hAnsi="Cambria"/>
      <w:sz w:val="21"/>
      <w:szCs w:val="32"/>
    </w:rPr>
  </w:style>
  <w:style w:type="paragraph" w:customStyle="1" w:styleId="XBRLTitle2">
    <w:name w:val="XBRLTitle2"/>
    <w:basedOn w:val="ae"/>
    <w:next w:val="4"/>
    <w:qFormat/>
    <w:pPr>
      <w:keepNext w:val="0"/>
      <w:keepLines w:val="0"/>
      <w:numPr>
        <w:ilvl w:val="1"/>
        <w:numId w:val="2"/>
      </w:numPr>
      <w:spacing w:beforeLines="50" w:before="0" w:after="0" w:line="240" w:lineRule="auto"/>
    </w:pPr>
    <w:rPr>
      <w:rFonts w:ascii="宋体"/>
      <w:bCs/>
    </w:rPr>
  </w:style>
  <w:style w:type="paragraph" w:customStyle="1" w:styleId="XBRLTitle5">
    <w:name w:val="XBRLTitle5"/>
    <w:basedOn w:val="ae"/>
    <w:next w:val="4"/>
    <w:qFormat/>
    <w:pPr>
      <w:numPr>
        <w:ilvl w:val="4"/>
        <w:numId w:val="2"/>
      </w:numPr>
      <w:spacing w:beforeLines="50" w:before="0" w:after="0" w:line="240" w:lineRule="auto"/>
      <w:outlineLvl w:val="9"/>
    </w:pPr>
    <w:rPr>
      <w:bCs/>
    </w:rPr>
  </w:style>
  <w:style w:type="paragraph" w:customStyle="1" w:styleId="Char">
    <w:name w:val="Char"/>
    <w:basedOn w:val="a"/>
  </w:style>
  <w:style w:type="paragraph" w:customStyle="1" w:styleId="CharCharCharCharCharChar1CharCharChar">
    <w:name w:val="Char Char Char Char Char Char1 Char Char Char"/>
    <w:basedOn w:val="a"/>
    <w:pPr>
      <w:autoSpaceDE w:val="0"/>
      <w:autoSpaceDN w:val="0"/>
      <w:adjustRightInd w:val="0"/>
      <w:jc w:val="left"/>
    </w:pPr>
  </w:style>
  <w:style w:type="paragraph" w:customStyle="1" w:styleId="XBRL1">
    <w:name w:val="XBRL标题1"/>
    <w:basedOn w:val="1"/>
    <w:next w:val="2"/>
    <w:qFormat/>
    <w:pPr>
      <w:spacing w:beforeLines="50" w:before="0" w:after="0" w:line="240" w:lineRule="auto"/>
      <w:jc w:val="center"/>
    </w:pPr>
    <w:rPr>
      <w:rFonts w:ascii="Cambria" w:hAnsi="Cambria"/>
      <w:sz w:val="24"/>
    </w:rPr>
  </w:style>
  <w:style w:type="paragraph" w:customStyle="1" w:styleId="XBRL5">
    <w:name w:val="XBRL标题5"/>
    <w:basedOn w:val="ae"/>
    <w:next w:val="4"/>
    <w:qFormat/>
    <w:pPr>
      <w:spacing w:beforeLines="50" w:before="0" w:after="0" w:line="240" w:lineRule="auto"/>
      <w:outlineLvl w:val="9"/>
    </w:pPr>
    <w:rPr>
      <w:bCs/>
    </w:rPr>
  </w:style>
  <w:style w:type="paragraph" w:customStyle="1" w:styleId="XBRL4">
    <w:name w:val="XBRL标题4"/>
    <w:basedOn w:val="ae"/>
    <w:next w:val="4"/>
    <w:qFormat/>
    <w:pPr>
      <w:spacing w:beforeLines="50" w:before="0" w:after="0" w:line="240" w:lineRule="auto"/>
      <w:outlineLvl w:val="9"/>
    </w:pPr>
    <w:rPr>
      <w:bCs/>
    </w:rPr>
  </w:style>
  <w:style w:type="paragraph" w:customStyle="1" w:styleId="XBRLTitle4">
    <w:name w:val="XBRLTitle4"/>
    <w:basedOn w:val="ae"/>
    <w:next w:val="4"/>
    <w:qFormat/>
    <w:pPr>
      <w:numPr>
        <w:ilvl w:val="3"/>
        <w:numId w:val="2"/>
      </w:numPr>
      <w:spacing w:beforeLines="50" w:before="0" w:after="0" w:line="240" w:lineRule="auto"/>
      <w:outlineLvl w:val="9"/>
    </w:pPr>
    <w:rPr>
      <w:bCs/>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kern w:val="0"/>
      <w:sz w:val="24"/>
    </w:rPr>
  </w:style>
  <w:style w:type="paragraph" w:customStyle="1" w:styleId="XBRLTitle3">
    <w:name w:val="XBRLTitle3"/>
    <w:basedOn w:val="ae"/>
    <w:next w:val="4"/>
    <w:autoRedefine/>
    <w:qFormat/>
    <w:pPr>
      <w:keepNext w:val="0"/>
      <w:keepLines w:val="0"/>
      <w:numPr>
        <w:ilvl w:val="2"/>
        <w:numId w:val="2"/>
      </w:numPr>
      <w:spacing w:beforeLines="50" w:before="0" w:after="0" w:line="360" w:lineRule="auto"/>
      <w:ind w:left="0" w:firstLine="0"/>
      <w:outlineLvl w:val="9"/>
    </w:pPr>
    <w:rPr>
      <w:rFonts w:ascii="宋体"/>
      <w:bCs/>
    </w:rPr>
  </w:style>
  <w:style w:type="paragraph" w:customStyle="1" w:styleId="Default">
    <w:name w:val="Default"/>
    <w:basedOn w:val="a"/>
    <w:pPr>
      <w:autoSpaceDE w:val="0"/>
      <w:autoSpaceDN w:val="0"/>
      <w:adjustRightInd w:val="0"/>
      <w:jc w:val="left"/>
    </w:pPr>
    <w:rPr>
      <w:rFonts w:ascii="仿宋" w:eastAsia="仿宋" w:hAnsi="仿宋"/>
      <w:color w:val="000000"/>
      <w:kern w:val="0"/>
      <w:sz w:val="24"/>
      <w:szCs w:val="24"/>
    </w:rPr>
  </w:style>
  <w:style w:type="character" w:styleId="af7">
    <w:name w:val="footnote reference"/>
    <w:rPr>
      <w:vertAlign w:val="superscript"/>
    </w:rPr>
  </w:style>
  <w:style w:type="character" w:customStyle="1" w:styleId="1Char">
    <w:name w:val="标题 1 Char"/>
    <w:basedOn w:val="a0"/>
    <w:uiPriority w:val="9"/>
    <w:locked/>
    <w:rPr>
      <w:b/>
      <w:bCs/>
      <w:kern w:val="44"/>
      <w:sz w:val="44"/>
      <w:szCs w:val="44"/>
    </w:rPr>
  </w:style>
  <w:style w:type="character" w:customStyle="1" w:styleId="2Char">
    <w:name w:val="标题 2 Char"/>
    <w:basedOn w:val="a0"/>
    <w:uiPriority w:val="9"/>
    <w:locked/>
    <w:rPr>
      <w:rFonts w:asciiTheme="majorHAnsi" w:eastAsiaTheme="majorEastAsia" w:hAnsiTheme="majorHAnsi" w:cstheme="majorBidi" w:hint="default"/>
      <w:b/>
      <w:bCs/>
      <w:kern w:val="2"/>
      <w:sz w:val="32"/>
      <w:szCs w:val="32"/>
    </w:rPr>
  </w:style>
  <w:style w:type="character" w:customStyle="1" w:styleId="3Char">
    <w:name w:val="标题 3 Char"/>
    <w:basedOn w:val="a0"/>
    <w:uiPriority w:val="9"/>
    <w:locked/>
    <w:rPr>
      <w:b/>
      <w:bCs/>
      <w:kern w:val="2"/>
      <w:sz w:val="32"/>
      <w:szCs w:val="32"/>
    </w:rPr>
  </w:style>
  <w:style w:type="character" w:customStyle="1" w:styleId="4Char">
    <w:name w:val="标题 4 Char"/>
    <w:basedOn w:val="a0"/>
    <w:locked/>
    <w:rPr>
      <w:rFonts w:asciiTheme="majorHAnsi" w:eastAsiaTheme="majorEastAsia" w:hAnsiTheme="majorHAnsi" w:cstheme="majorBidi" w:hint="default"/>
      <w:b/>
      <w:bCs/>
      <w:kern w:val="2"/>
      <w:sz w:val="24"/>
      <w:szCs w:val="24"/>
    </w:rPr>
  </w:style>
  <w:style w:type="character" w:customStyle="1" w:styleId="5Char">
    <w:name w:val="标题 5 Char"/>
    <w:basedOn w:val="a0"/>
    <w:uiPriority w:val="9"/>
    <w:semiHidden/>
    <w:locked/>
    <w:rPr>
      <w:b/>
      <w:bCs/>
      <w:kern w:val="2"/>
      <w:sz w:val="24"/>
      <w:szCs w:val="24"/>
    </w:rPr>
  </w:style>
  <w:style w:type="character" w:customStyle="1" w:styleId="6Char">
    <w:name w:val="标题 6 Char"/>
    <w:basedOn w:val="a0"/>
    <w:uiPriority w:val="9"/>
    <w:semiHidden/>
    <w:locked/>
    <w:rPr>
      <w:rFonts w:asciiTheme="majorHAnsi" w:eastAsiaTheme="majorEastAsia" w:hAnsiTheme="majorHAnsi" w:cstheme="majorBidi" w:hint="default"/>
      <w:b/>
      <w:bCs/>
      <w:kern w:val="2"/>
      <w:sz w:val="24"/>
      <w:szCs w:val="24"/>
    </w:rPr>
  </w:style>
  <w:style w:type="character" w:customStyle="1" w:styleId="Char0">
    <w:name w:val="脚注文本 Char"/>
    <w:basedOn w:val="a0"/>
    <w:locked/>
    <w:rPr>
      <w:kern w:val="2"/>
      <w:sz w:val="18"/>
      <w:szCs w:val="18"/>
    </w:rPr>
  </w:style>
  <w:style w:type="character" w:customStyle="1" w:styleId="Char1">
    <w:name w:val="页眉 Char"/>
    <w:basedOn w:val="a0"/>
    <w:uiPriority w:val="99"/>
    <w:locked/>
    <w:rPr>
      <w:kern w:val="2"/>
      <w:sz w:val="18"/>
      <w:szCs w:val="18"/>
    </w:rPr>
  </w:style>
  <w:style w:type="character" w:customStyle="1" w:styleId="Char2">
    <w:name w:val="页脚 Char"/>
    <w:basedOn w:val="a0"/>
    <w:uiPriority w:val="99"/>
    <w:locked/>
    <w:rPr>
      <w:kern w:val="2"/>
      <w:sz w:val="18"/>
      <w:szCs w:val="18"/>
    </w:rPr>
  </w:style>
  <w:style w:type="character" w:customStyle="1" w:styleId="Char3">
    <w:name w:val="标题 Char"/>
    <w:basedOn w:val="a0"/>
    <w:uiPriority w:val="10"/>
    <w:locked/>
    <w:rPr>
      <w:rFonts w:asciiTheme="majorHAnsi" w:hAnsiTheme="majorHAnsi" w:cstheme="majorBidi" w:hint="default"/>
      <w:b/>
      <w:bCs/>
      <w:kern w:val="2"/>
      <w:sz w:val="32"/>
      <w:szCs w:val="32"/>
    </w:rPr>
  </w:style>
  <w:style w:type="character" w:customStyle="1" w:styleId="Char4">
    <w:name w:val="副标题 Char"/>
    <w:basedOn w:val="a0"/>
    <w:locked/>
    <w:rPr>
      <w:rFonts w:asciiTheme="majorHAnsi" w:hAnsiTheme="majorHAnsi" w:cstheme="majorBidi" w:hint="default"/>
      <w:b/>
      <w:bCs/>
      <w:kern w:val="24"/>
      <w:sz w:val="32"/>
      <w:szCs w:val="32"/>
    </w:rPr>
  </w:style>
  <w:style w:type="character" w:customStyle="1" w:styleId="Char5">
    <w:name w:val="日期 Char"/>
    <w:basedOn w:val="a0"/>
    <w:locked/>
    <w:rPr>
      <w:kern w:val="2"/>
      <w:sz w:val="21"/>
    </w:rPr>
  </w:style>
  <w:style w:type="character" w:customStyle="1" w:styleId="Char6">
    <w:name w:val="文档结构图 Char"/>
    <w:basedOn w:val="a0"/>
    <w:locked/>
    <w:rPr>
      <w:rFonts w:ascii="宋体" w:eastAsia="宋体" w:hAnsi="宋体" w:hint="eastAsia"/>
      <w:kern w:val="2"/>
      <w:sz w:val="18"/>
      <w:szCs w:val="18"/>
    </w:rPr>
  </w:style>
  <w:style w:type="character" w:customStyle="1" w:styleId="Char7">
    <w:name w:val="批注框文本 Char"/>
    <w:basedOn w:val="a0"/>
    <w:uiPriority w:val="99"/>
    <w:semiHidden/>
    <w:locked/>
    <w:rPr>
      <w:kern w:val="2"/>
      <w:sz w:val="18"/>
      <w:szCs w:val="18"/>
    </w:rPr>
  </w:style>
  <w:style w:type="character" w:customStyle="1" w:styleId="11">
    <w:name w:val="标题 1 字符1"/>
    <w:link w:val="1"/>
    <w:uiPriority w:val="9"/>
    <w:locked/>
    <w:rPr>
      <w:b/>
      <w:bCs/>
      <w:kern w:val="44"/>
      <w:sz w:val="44"/>
      <w:szCs w:val="44"/>
    </w:rPr>
  </w:style>
  <w:style w:type="character" w:customStyle="1" w:styleId="21">
    <w:name w:val="标题 2 字符1"/>
    <w:link w:val="2"/>
    <w:uiPriority w:val="9"/>
    <w:locked/>
    <w:rPr>
      <w:rFonts w:ascii="Cambria" w:eastAsia="宋体" w:hAnsi="Cambria" w:cs="宋体" w:hint="default"/>
      <w:b/>
      <w:bCs/>
      <w:sz w:val="32"/>
      <w:szCs w:val="32"/>
    </w:rPr>
  </w:style>
  <w:style w:type="character" w:customStyle="1" w:styleId="31">
    <w:name w:val="标题 3 字符1"/>
    <w:link w:val="3"/>
    <w:uiPriority w:val="9"/>
    <w:locked/>
    <w:rPr>
      <w:b/>
      <w:bCs/>
      <w:sz w:val="32"/>
      <w:szCs w:val="32"/>
    </w:rPr>
  </w:style>
  <w:style w:type="character" w:customStyle="1" w:styleId="41">
    <w:name w:val="标题 4 字符1"/>
    <w:link w:val="4"/>
    <w:semiHidden/>
    <w:locked/>
    <w:rPr>
      <w:rFonts w:ascii="Cambria" w:eastAsia="宋体" w:hAnsi="Cambria" w:cs="宋体" w:hint="default"/>
      <w:b/>
      <w:bCs/>
      <w:sz w:val="24"/>
      <w:szCs w:val="24"/>
    </w:rPr>
  </w:style>
  <w:style w:type="character" w:customStyle="1" w:styleId="13">
    <w:name w:val="脚注文本 字符1"/>
    <w:basedOn w:val="a0"/>
    <w:link w:val="a6"/>
    <w:locked/>
    <w:rPr>
      <w:kern w:val="2"/>
      <w:sz w:val="18"/>
      <w:szCs w:val="18"/>
    </w:rPr>
  </w:style>
  <w:style w:type="character" w:customStyle="1" w:styleId="23">
    <w:name w:val="页眉 字符2"/>
    <w:basedOn w:val="a0"/>
    <w:link w:val="a8"/>
    <w:locked/>
    <w:rPr>
      <w:kern w:val="2"/>
      <w:sz w:val="18"/>
      <w:szCs w:val="18"/>
    </w:rPr>
  </w:style>
  <w:style w:type="character" w:customStyle="1" w:styleId="14">
    <w:name w:val="页脚 字符1"/>
    <w:basedOn w:val="a0"/>
    <w:link w:val="aa"/>
    <w:uiPriority w:val="99"/>
    <w:locked/>
    <w:rPr>
      <w:kern w:val="2"/>
      <w:sz w:val="18"/>
      <w:szCs w:val="18"/>
    </w:rPr>
  </w:style>
  <w:style w:type="character" w:customStyle="1" w:styleId="15">
    <w:name w:val="标题 字符1"/>
    <w:link w:val="ac"/>
    <w:uiPriority w:val="10"/>
    <w:locked/>
    <w:rPr>
      <w:rFonts w:ascii="Cambria" w:hAnsi="Cambria" w:cs="宋体" w:hint="default"/>
      <w:b/>
      <w:bCs/>
      <w:sz w:val="32"/>
      <w:szCs w:val="32"/>
    </w:rPr>
  </w:style>
  <w:style w:type="character" w:customStyle="1" w:styleId="16">
    <w:name w:val="副标题 字符1"/>
    <w:link w:val="ae"/>
    <w:locked/>
    <w:rPr>
      <w:rFonts w:ascii="Cambria" w:eastAsia="宋体" w:hAnsi="Cambria" w:cs="宋体" w:hint="default"/>
      <w:b/>
      <w:bCs w:val="0"/>
      <w:kern w:val="24"/>
      <w:sz w:val="24"/>
      <w:szCs w:val="32"/>
    </w:rPr>
  </w:style>
  <w:style w:type="character" w:customStyle="1" w:styleId="17">
    <w:name w:val="日期 字符1"/>
    <w:link w:val="af0"/>
    <w:locked/>
    <w:rPr>
      <w:rFonts w:ascii="宋体" w:eastAsia="宋体" w:hAnsi="宋体" w:hint="eastAsia"/>
      <w:kern w:val="2"/>
      <w:sz w:val="32"/>
    </w:rPr>
  </w:style>
  <w:style w:type="character" w:customStyle="1" w:styleId="18">
    <w:name w:val="文档结构图 字符1"/>
    <w:basedOn w:val="a0"/>
    <w:link w:val="af2"/>
    <w:locked/>
    <w:rPr>
      <w:rFonts w:ascii="宋体" w:eastAsia="宋体" w:hAnsi="宋体" w:hint="eastAsia"/>
      <w:kern w:val="2"/>
      <w:sz w:val="18"/>
      <w:szCs w:val="18"/>
    </w:rPr>
  </w:style>
  <w:style w:type="character" w:customStyle="1" w:styleId="19">
    <w:name w:val="批注框文本 字符1"/>
    <w:basedOn w:val="a0"/>
    <w:link w:val="af4"/>
    <w:uiPriority w:val="99"/>
    <w:semiHidden/>
    <w:locked/>
    <w:rPr>
      <w:kern w:val="2"/>
      <w:sz w:val="18"/>
      <w:szCs w:val="18"/>
    </w:rPr>
  </w:style>
  <w:style w:type="character" w:customStyle="1" w:styleId="51">
    <w:name w:val="标题 5 字符1"/>
    <w:basedOn w:val="a0"/>
    <w:link w:val="5"/>
    <w:uiPriority w:val="9"/>
    <w:semiHidden/>
    <w:locked/>
    <w:rPr>
      <w:b/>
      <w:bCs/>
      <w:kern w:val="2"/>
      <w:sz w:val="24"/>
      <w:szCs w:val="24"/>
    </w:rPr>
  </w:style>
  <w:style w:type="character" w:customStyle="1" w:styleId="61">
    <w:name w:val="标题 6 字符1"/>
    <w:basedOn w:val="a0"/>
    <w:link w:val="6"/>
    <w:uiPriority w:val="9"/>
    <w:semiHidden/>
    <w:locked/>
    <w:rPr>
      <w:rFonts w:asciiTheme="majorHAnsi" w:eastAsiaTheme="majorEastAsia" w:hAnsiTheme="majorHAnsi" w:cstheme="majorBidi" w:hint="default"/>
      <w:b/>
      <w:bCs/>
      <w:kern w:val="2"/>
      <w:sz w:val="24"/>
      <w:szCs w:val="24"/>
    </w:rPr>
  </w:style>
  <w:style w:type="character" w:customStyle="1" w:styleId="1a">
    <w:name w:val="页眉 字符1"/>
    <w:basedOn w:val="a0"/>
    <w:locked/>
    <w:rPr>
      <w:kern w:val="2"/>
      <w:sz w:val="18"/>
      <w:szCs w:val="18"/>
    </w:rPr>
  </w:style>
  <w:style w:type="table" w:styleId="af8">
    <w:name w:val="Table Grid"/>
    <w:basedOn w:val="a1"/>
    <w:uiPriority w:val="59"/>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movednode">
    <w:name w:val="removednode"/>
    <w:basedOn w:val="a"/>
    <w:pPr>
      <w:widowControl/>
      <w:spacing w:before="100" w:beforeAutospacing="1" w:after="100" w:afterAutospacing="1"/>
      <w:jc w:val="left"/>
    </w:pPr>
    <w:rPr>
      <w:kern w:val="0"/>
      <w:sz w:val="24"/>
    </w:rPr>
  </w:style>
  <w:style w:type="character" w:customStyle="1" w:styleId="Char10">
    <w:name w:val="页眉 Char1"/>
    <w:basedOn w:val="a0"/>
    <w:lock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02374">
      <w:marLeft w:val="0"/>
      <w:marRight w:val="0"/>
      <w:marTop w:val="0"/>
      <w:marBottom w:val="0"/>
      <w:divBdr>
        <w:top w:val="none" w:sz="0" w:space="0" w:color="auto"/>
        <w:left w:val="none" w:sz="0" w:space="0" w:color="auto"/>
        <w:bottom w:val="none" w:sz="0" w:space="0" w:color="auto"/>
        <w:right w:val="none" w:sz="0" w:space="0" w:color="auto"/>
      </w:divBdr>
    </w:div>
    <w:div w:id="753665512">
      <w:marLeft w:val="0"/>
      <w:marRight w:val="0"/>
      <w:marTop w:val="0"/>
      <w:marBottom w:val="0"/>
      <w:divBdr>
        <w:top w:val="none" w:sz="0" w:space="0" w:color="auto"/>
        <w:left w:val="none" w:sz="0" w:space="0" w:color="auto"/>
        <w:bottom w:val="none" w:sz="0" w:space="0" w:color="auto"/>
        <w:right w:val="none" w:sz="0" w:space="0" w:color="auto"/>
      </w:divBdr>
    </w:div>
    <w:div w:id="1055466104">
      <w:marLeft w:val="0"/>
      <w:marRight w:val="0"/>
      <w:marTop w:val="0"/>
      <w:marBottom w:val="0"/>
      <w:divBdr>
        <w:top w:val="none" w:sz="0" w:space="0" w:color="auto"/>
        <w:left w:val="none" w:sz="0" w:space="0" w:color="auto"/>
        <w:bottom w:val="none" w:sz="0" w:space="0" w:color="auto"/>
        <w:right w:val="none" w:sz="0" w:space="0" w:color="auto"/>
      </w:divBdr>
    </w:div>
    <w:div w:id="1335886482">
      <w:marLeft w:val="0"/>
      <w:marRight w:val="0"/>
      <w:marTop w:val="0"/>
      <w:marBottom w:val="0"/>
      <w:divBdr>
        <w:top w:val="none" w:sz="0" w:space="0" w:color="auto"/>
        <w:left w:val="none" w:sz="0" w:space="0" w:color="auto"/>
        <w:bottom w:val="none" w:sz="0" w:space="0" w:color="auto"/>
        <w:right w:val="none" w:sz="0" w:space="0" w:color="auto"/>
      </w:divBdr>
      <w:divsChild>
        <w:div w:id="1759523863">
          <w:marLeft w:val="0"/>
          <w:marRight w:val="0"/>
          <w:marTop w:val="0"/>
          <w:marBottom w:val="0"/>
          <w:divBdr>
            <w:top w:val="none" w:sz="0" w:space="0" w:color="auto"/>
            <w:left w:val="none" w:sz="0" w:space="0" w:color="auto"/>
            <w:bottom w:val="none" w:sz="0" w:space="0" w:color="auto"/>
            <w:right w:val="none" w:sz="0" w:space="0" w:color="auto"/>
          </w:divBdr>
        </w:div>
        <w:div w:id="1663386417">
          <w:marLeft w:val="0"/>
          <w:marRight w:val="0"/>
          <w:marTop w:val="0"/>
          <w:marBottom w:val="0"/>
          <w:divBdr>
            <w:top w:val="none" w:sz="0" w:space="0" w:color="auto"/>
            <w:left w:val="none" w:sz="0" w:space="0" w:color="auto"/>
            <w:bottom w:val="none" w:sz="0" w:space="0" w:color="auto"/>
            <w:right w:val="none" w:sz="0" w:space="0" w:color="auto"/>
          </w:divBdr>
        </w:div>
      </w:divsChild>
    </w:div>
    <w:div w:id="1431513734">
      <w:marLeft w:val="0"/>
      <w:marRight w:val="0"/>
      <w:marTop w:val="0"/>
      <w:marBottom w:val="0"/>
      <w:divBdr>
        <w:top w:val="none" w:sz="0" w:space="0" w:color="auto"/>
        <w:left w:val="none" w:sz="0" w:space="0" w:color="auto"/>
        <w:bottom w:val="none" w:sz="0" w:space="0" w:color="auto"/>
        <w:right w:val="none" w:sz="0" w:space="0" w:color="auto"/>
      </w:divBdr>
    </w:div>
    <w:div w:id="197741852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8D5D2-E6DB-465C-BA1C-C6B63E51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yss</dc:creator>
  <cp:keywords/>
  <dc:description/>
  <cp:lastModifiedBy>周佳玉</cp:lastModifiedBy>
  <cp:revision>3</cp:revision>
  <cp:lastPrinted>2025-01-20T05:33:00Z</cp:lastPrinted>
  <dcterms:created xsi:type="dcterms:W3CDTF">2025-01-20T02:34:00Z</dcterms:created>
  <dcterms:modified xsi:type="dcterms:W3CDTF">2025-01-20T05:33:00Z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