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1 -->
  <w:body>
    <w:p w:rsidR="00E46E4E" w:rsidP="00A94F46" w14:paraId="79F36DA9" w14:textId="17E925FD">
      <w:pPr>
        <w:jc w:val="center"/>
        <w:rPr>
          <w:rFonts w:ascii="宋体" w:eastAsia="宋体" w:hAnsi="宋体"/>
          <w:b/>
          <w:sz w:val="28"/>
          <w:szCs w:val="28"/>
        </w:rPr>
      </w:pPr>
      <w:r>
        <w:rPr>
          <w:rFonts w:ascii="宋体" w:eastAsia="宋体" w:hAnsi="宋体"/>
          <w:b/>
          <w:sz w:val="28"/>
          <w:szCs w:val="28"/>
        </w:rPr>
        <w:t>关于汇添富鑫裕一年定期开放债券型发起式证券投资基金第二次开放期开放申购、赎回业务的公告</w:t>
      </w:r>
    </w:p>
    <w:p w:rsidR="00DC1B66" w:rsidRPr="00DC1B66" w:rsidP="00A94F46" w14:paraId="13D44DBD" w14:textId="77777777">
      <w:pPr>
        <w:jc w:val="center"/>
        <w:rPr>
          <w:rFonts w:ascii="宋体" w:eastAsia="宋体" w:hAnsi="宋体"/>
          <w:b/>
          <w:sz w:val="28"/>
          <w:szCs w:val="28"/>
        </w:rPr>
      </w:pPr>
    </w:p>
    <w:p w:rsidR="00344C8C" w:rsidRPr="00DC1B66" w:rsidP="00DC1B66" w14:paraId="536F591E" w14:textId="642FC119">
      <w:pPr>
        <w:spacing w:line="360" w:lineRule="auto"/>
        <w:jc w:val="center"/>
        <w:rPr>
          <w:rFonts w:ascii="宋体" w:eastAsia="宋体" w:hAnsi="宋体" w:cs="宋体"/>
          <w:b/>
          <w:color w:val="000000"/>
          <w:kern w:val="0"/>
          <w:sz w:val="24"/>
          <w:szCs w:val="20"/>
        </w:rPr>
      </w:pPr>
      <w:r w:rsidRPr="00DC1B66">
        <w:rPr>
          <w:rFonts w:ascii="宋体" w:eastAsia="宋体" w:hAnsi="宋体" w:hint="eastAsia"/>
          <w:b/>
          <w:sz w:val="24"/>
        </w:rPr>
        <w:t>公告送出日期：</w:t>
      </w:r>
      <w:r w:rsidRPr="00DC1B66">
        <w:rPr>
          <w:rFonts w:ascii="宋体" w:eastAsia="宋体" w:hAnsi="宋体" w:cs="宋体"/>
          <w:b/>
          <w:color w:val="000000"/>
          <w:kern w:val="0"/>
          <w:sz w:val="24"/>
          <w:szCs w:val="20"/>
        </w:rPr>
        <w:t>2024年07月23日</w:t>
      </w:r>
    </w:p>
    <w:p w:rsidR="00A94F46" w:rsidRPr="00344C8C" w:rsidP="00A94F46" w14:paraId="361C12DB" w14:textId="2CED8081">
      <w:pPr>
        <w:jc w:val="center"/>
        <w:rPr>
          <w:rFonts w:ascii="宋体" w:eastAsia="宋体" w:hAnsi="宋体"/>
          <w:b/>
          <w:bCs/>
          <w:sz w:val="24"/>
        </w:rPr>
      </w:pPr>
    </w:p>
    <w:p w:rsidR="006A3B78" w:rsidRPr="00F73CFF" w14:paraId="5C0BB3FC" w14:textId="77777777">
      <w:pPr>
        <w:rPr>
          <w:rFonts w:ascii="宋体" w:eastAsia="宋体" w:hAnsi="宋体"/>
        </w:rPr>
        <w:sectPr>
          <w:pgSz w:w="11906" w:h="16838"/>
          <w:pgMar w:top="1440" w:right="1800" w:bottom="1440" w:left="1800" w:header="851" w:footer="992" w:gutter="0"/>
          <w:cols w:space="425"/>
          <w:docGrid w:type="lines" w:linePitch="312"/>
        </w:sectPr>
      </w:pPr>
    </w:p>
    <w:bookmarkStart w:id="0" w:name="t_2_1_table"/>
    <w:bookmarkEnd w:id="0"/>
    <w:p w:rsidR="000266E8" w:rsidRPr="00095BBA" w:rsidP="000266E8" w14:paraId="3467A274" w14:textId="6F78B1B2">
      <w:pPr>
        <w:keepNext/>
        <w:keepLines/>
        <w:spacing w:before="156" w:beforeLines="50" w:after="156" w:afterLines="50"/>
        <w:jc w:val="left"/>
        <w:outlineLvl w:val="1"/>
        <w:rPr>
          <w:rFonts w:ascii="宋体" w:eastAsia="宋体" w:hAnsi="宋体" w:cs="Times New Roman"/>
          <w:b/>
          <w:bCs/>
          <w:sz w:val="24"/>
          <w:szCs w:val="24"/>
        </w:rPr>
      </w:pPr>
      <w:r w:rsidRPr="00095BBA">
        <w:rPr>
          <w:rFonts w:ascii="宋体" w:eastAsia="宋体" w:hAnsi="宋体" w:cs="Times New Roman"/>
          <w:b/>
          <w:bCs/>
          <w:sz w:val="24"/>
          <w:szCs w:val="24"/>
        </w:rPr>
        <w:t>1</w:t>
      </w:r>
      <w:r w:rsidRPr="00095BBA">
        <w:rPr>
          <w:rFonts w:ascii="宋体" w:eastAsia="宋体" w:hAnsi="宋体" w:cs="Times New Roman"/>
          <w:b/>
          <w:bCs/>
          <w:sz w:val="24"/>
          <w:szCs w:val="24"/>
        </w:rPr>
        <w:t>公告基本信息</w:t>
      </w:r>
    </w:p>
    <w:p w:rsidR="00AF0701" w14:paraId="48455A52" w14:textId="77777777">
      <w:pPr>
        <w:rPr>
          <w:rFonts w:ascii="宋体" w:eastAsia="宋体" w:hAnsi="宋体"/>
          <w:bCs/>
          <w:sz w:val="24"/>
          <w:szCs w:val="24"/>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520"/>
        <w:gridCol w:w="2940"/>
        <w:gridCol w:w="294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c>
          <w:tcPr>
            <w:tcW w:w="2520" w:type="dxa"/>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基金名称</w:t>
            </w:r>
          </w:p>
        </w:tc>
        <w:tc>
          <w:tcPr>
            <w:tcW w:w="5880" w:type="dxa"/>
            <w:gridSpan w:val="2"/>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汇添富鑫裕一年定期开放债券型发起式证券投资基金</w:t>
            </w:r>
          </w:p>
        </w:tc>
      </w:tr>
      <w:tr>
        <w:tblPrEx>
          <w:tblW w:w="0" w:type="auto"/>
          <w:tblLayout w:type="fixed"/>
          <w:tblCellMar>
            <w:left w:w="108" w:type="dxa"/>
            <w:right w:w="108" w:type="dxa"/>
          </w:tblCellMar>
        </w:tblPrEx>
        <w:tc>
          <w:tcPr>
            <w:tcW w:w="2520" w:type="dxa"/>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基金简称</w:t>
            </w:r>
          </w:p>
        </w:tc>
        <w:tc>
          <w:tcPr>
            <w:tcW w:w="5880" w:type="dxa"/>
            <w:gridSpan w:val="2"/>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汇添富鑫裕一年定开债发起式</w:t>
            </w:r>
          </w:p>
        </w:tc>
      </w:tr>
      <w:tr>
        <w:tblPrEx>
          <w:tblW w:w="0" w:type="auto"/>
          <w:tblLayout w:type="fixed"/>
          <w:tblCellMar>
            <w:left w:w="108" w:type="dxa"/>
            <w:right w:w="108" w:type="dxa"/>
          </w:tblCellMar>
        </w:tblPrEx>
        <w:tc>
          <w:tcPr>
            <w:tcW w:w="2520" w:type="dxa"/>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基金主代码</w:t>
            </w:r>
          </w:p>
        </w:tc>
        <w:tc>
          <w:tcPr>
            <w:tcW w:w="5880" w:type="dxa"/>
            <w:gridSpan w:val="2"/>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015362</w:t>
            </w:r>
          </w:p>
        </w:tc>
      </w:tr>
      <w:tr>
        <w:tblPrEx>
          <w:tblW w:w="0" w:type="auto"/>
          <w:tblLayout w:type="fixed"/>
          <w:tblCellMar>
            <w:left w:w="108" w:type="dxa"/>
            <w:right w:w="108" w:type="dxa"/>
          </w:tblCellMar>
        </w:tblPrEx>
        <w:tc>
          <w:tcPr>
            <w:tcW w:w="2520" w:type="dxa"/>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基金运作方式</w:t>
            </w:r>
          </w:p>
        </w:tc>
        <w:tc>
          <w:tcPr>
            <w:tcW w:w="5880" w:type="dxa"/>
            <w:gridSpan w:val="2"/>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契约型定期开放式</w:t>
            </w:r>
          </w:p>
        </w:tc>
      </w:tr>
      <w:tr>
        <w:tblPrEx>
          <w:tblW w:w="0" w:type="auto"/>
          <w:tblLayout w:type="fixed"/>
          <w:tblCellMar>
            <w:left w:w="108" w:type="dxa"/>
            <w:right w:w="108" w:type="dxa"/>
          </w:tblCellMar>
        </w:tblPrEx>
        <w:tc>
          <w:tcPr>
            <w:tcW w:w="2520" w:type="dxa"/>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基金合同生效日</w:t>
            </w:r>
          </w:p>
        </w:tc>
        <w:tc>
          <w:tcPr>
            <w:tcW w:w="5880" w:type="dxa"/>
            <w:gridSpan w:val="2"/>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2022年06月27日</w:t>
            </w:r>
          </w:p>
        </w:tc>
      </w:tr>
      <w:tr>
        <w:tblPrEx>
          <w:tblW w:w="0" w:type="auto"/>
          <w:tblLayout w:type="fixed"/>
          <w:tblCellMar>
            <w:left w:w="108" w:type="dxa"/>
            <w:right w:w="108" w:type="dxa"/>
          </w:tblCellMar>
        </w:tblPrEx>
        <w:tc>
          <w:tcPr>
            <w:tcW w:w="2520" w:type="dxa"/>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基金管理人名称</w:t>
            </w:r>
          </w:p>
        </w:tc>
        <w:tc>
          <w:tcPr>
            <w:tcW w:w="5880" w:type="dxa"/>
            <w:gridSpan w:val="2"/>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汇添富基金管理股份有限公司</w:t>
            </w:r>
          </w:p>
        </w:tc>
      </w:tr>
      <w:tr>
        <w:tblPrEx>
          <w:tblW w:w="0" w:type="auto"/>
          <w:tblLayout w:type="fixed"/>
          <w:tblCellMar>
            <w:left w:w="108" w:type="dxa"/>
            <w:right w:w="108" w:type="dxa"/>
          </w:tblCellMar>
        </w:tblPrEx>
        <w:tc>
          <w:tcPr>
            <w:tcW w:w="2520" w:type="dxa"/>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基金托管人名称</w:t>
            </w:r>
          </w:p>
        </w:tc>
        <w:tc>
          <w:tcPr>
            <w:tcW w:w="5880" w:type="dxa"/>
            <w:gridSpan w:val="2"/>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平安银行股份有限公司</w:t>
            </w:r>
          </w:p>
        </w:tc>
      </w:tr>
      <w:tr>
        <w:tblPrEx>
          <w:tblW w:w="0" w:type="auto"/>
          <w:tblLayout w:type="fixed"/>
          <w:tblCellMar>
            <w:left w:w="108" w:type="dxa"/>
            <w:right w:w="108" w:type="dxa"/>
          </w:tblCellMar>
        </w:tblPrEx>
        <w:tc>
          <w:tcPr>
            <w:tcW w:w="2520" w:type="dxa"/>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基金注册登记机构名称</w:t>
            </w:r>
          </w:p>
        </w:tc>
        <w:tc>
          <w:tcPr>
            <w:tcW w:w="5880" w:type="dxa"/>
            <w:gridSpan w:val="2"/>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汇添富基金管理股份有限公司</w:t>
            </w:r>
          </w:p>
        </w:tc>
      </w:tr>
      <w:tr>
        <w:tblPrEx>
          <w:tblW w:w="0" w:type="auto"/>
          <w:tblLayout w:type="fixed"/>
          <w:tblCellMar>
            <w:left w:w="108" w:type="dxa"/>
            <w:right w:w="108" w:type="dxa"/>
          </w:tblCellMar>
        </w:tblPrEx>
        <w:tc>
          <w:tcPr>
            <w:tcW w:w="2520" w:type="dxa"/>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公告依据</w:t>
            </w:r>
          </w:p>
        </w:tc>
        <w:tc>
          <w:tcPr>
            <w:tcW w:w="5880" w:type="dxa"/>
            <w:gridSpan w:val="2"/>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根据《中华人民共和国证券投资基金法》及其配套法规和《汇添富鑫裕一年定期开放债券型发起式证券投资基金基金合同》的有关规定。</w:t>
            </w:r>
          </w:p>
        </w:tc>
      </w:tr>
      <w:tr>
        <w:tblPrEx>
          <w:tblW w:w="0" w:type="auto"/>
          <w:tblLayout w:type="fixed"/>
          <w:tblCellMar>
            <w:left w:w="108" w:type="dxa"/>
            <w:right w:w="108" w:type="dxa"/>
          </w:tblCellMar>
        </w:tblPrEx>
        <w:tc>
          <w:tcPr>
            <w:tcW w:w="2520" w:type="dxa"/>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申购起始日</w:t>
            </w:r>
          </w:p>
        </w:tc>
        <w:tc>
          <w:tcPr>
            <w:tcW w:w="5880" w:type="dxa"/>
            <w:gridSpan w:val="2"/>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2024年07月25日</w:t>
            </w:r>
          </w:p>
        </w:tc>
      </w:tr>
      <w:tr>
        <w:tblPrEx>
          <w:tblW w:w="0" w:type="auto"/>
          <w:tblLayout w:type="fixed"/>
          <w:tblCellMar>
            <w:left w:w="108" w:type="dxa"/>
            <w:right w:w="108" w:type="dxa"/>
          </w:tblCellMar>
        </w:tblPrEx>
        <w:tc>
          <w:tcPr>
            <w:tcW w:w="2520" w:type="dxa"/>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赎回起始日</w:t>
            </w:r>
          </w:p>
        </w:tc>
        <w:tc>
          <w:tcPr>
            <w:tcW w:w="5880" w:type="dxa"/>
            <w:gridSpan w:val="2"/>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2024年07月25日</w:t>
            </w:r>
          </w:p>
        </w:tc>
      </w:tr>
      <w:tr>
        <w:tblPrEx>
          <w:tblW w:w="0" w:type="auto"/>
          <w:tblLayout w:type="fixed"/>
          <w:tblCellMar>
            <w:left w:w="108" w:type="dxa"/>
            <w:right w:w="108" w:type="dxa"/>
          </w:tblCellMar>
        </w:tblPrEx>
        <w:tc>
          <w:tcPr>
            <w:tcW w:w="2520" w:type="dxa"/>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下属基金份额的基金简称</w:t>
            </w:r>
          </w:p>
        </w:tc>
        <w:tc>
          <w:tcPr>
            <w:tcW w:w="2940" w:type="dxa"/>
            <w:shd w:val="clear" w:color="auto" w:fill="FFFFFF"/>
            <w:vAlign w:val="center"/>
          </w:tcPr>
          <w:p w:rsidR="00AF0701">
            <w:pPr>
              <w:jc w:val="center"/>
              <w:rPr>
                <w:rFonts w:ascii="宋体" w:eastAsia="宋体" w:hAnsi="宋体" w:cs="宋体"/>
                <w:bCs/>
                <w:color w:val="000000"/>
                <w:sz w:val="24"/>
                <w:szCs w:val="24"/>
              </w:rPr>
            </w:pPr>
            <w:r>
              <w:rPr>
                <w:rFonts w:ascii="宋体" w:eastAsia="宋体" w:hAnsi="宋体" w:cs="宋体"/>
                <w:bCs/>
                <w:color w:val="000000"/>
                <w:sz w:val="24"/>
                <w:szCs w:val="24"/>
              </w:rPr>
              <w:t>汇添富鑫裕一年定开债发起式A</w:t>
            </w:r>
          </w:p>
        </w:tc>
        <w:tc>
          <w:tcPr>
            <w:tcW w:w="2940" w:type="dxa"/>
            <w:shd w:val="clear" w:color="auto" w:fill="FFFFFF"/>
            <w:vAlign w:val="center"/>
          </w:tcPr>
          <w:p w:rsidR="00AF0701">
            <w:pPr>
              <w:jc w:val="center"/>
              <w:rPr>
                <w:rFonts w:ascii="宋体" w:eastAsia="宋体" w:hAnsi="宋体" w:cs="宋体"/>
                <w:bCs/>
                <w:color w:val="000000"/>
                <w:sz w:val="24"/>
                <w:szCs w:val="24"/>
              </w:rPr>
            </w:pPr>
            <w:r>
              <w:rPr>
                <w:rFonts w:ascii="宋体" w:eastAsia="宋体" w:hAnsi="宋体" w:cs="宋体"/>
                <w:bCs/>
                <w:color w:val="000000"/>
                <w:sz w:val="24"/>
                <w:szCs w:val="24"/>
              </w:rPr>
              <w:t>汇添富鑫裕一年定开债发起式C</w:t>
            </w:r>
          </w:p>
        </w:tc>
      </w:tr>
      <w:tr>
        <w:tblPrEx>
          <w:tblW w:w="0" w:type="auto"/>
          <w:tblLayout w:type="fixed"/>
          <w:tblCellMar>
            <w:left w:w="108" w:type="dxa"/>
            <w:right w:w="108" w:type="dxa"/>
          </w:tblCellMar>
        </w:tblPrEx>
        <w:tc>
          <w:tcPr>
            <w:tcW w:w="2520" w:type="dxa"/>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下属基金份额的交易代码</w:t>
            </w:r>
          </w:p>
        </w:tc>
        <w:tc>
          <w:tcPr>
            <w:tcW w:w="2940" w:type="dxa"/>
            <w:shd w:val="clear" w:color="auto" w:fill="FFFFFF"/>
            <w:vAlign w:val="center"/>
          </w:tcPr>
          <w:p w:rsidR="00AF0701">
            <w:pPr>
              <w:jc w:val="center"/>
              <w:rPr>
                <w:rFonts w:ascii="宋体" w:eastAsia="宋体" w:hAnsi="宋体" w:cs="宋体"/>
                <w:bCs/>
                <w:color w:val="000000"/>
                <w:sz w:val="24"/>
                <w:szCs w:val="24"/>
              </w:rPr>
            </w:pPr>
            <w:r>
              <w:rPr>
                <w:rFonts w:ascii="宋体" w:eastAsia="宋体" w:hAnsi="宋体" w:cs="宋体"/>
                <w:bCs/>
                <w:color w:val="000000"/>
                <w:sz w:val="24"/>
                <w:szCs w:val="24"/>
              </w:rPr>
              <w:t>015362</w:t>
            </w:r>
          </w:p>
        </w:tc>
        <w:tc>
          <w:tcPr>
            <w:tcW w:w="2940" w:type="dxa"/>
            <w:shd w:val="clear" w:color="auto" w:fill="FFFFFF"/>
            <w:vAlign w:val="center"/>
          </w:tcPr>
          <w:p w:rsidR="00AF0701">
            <w:pPr>
              <w:jc w:val="center"/>
              <w:rPr>
                <w:rFonts w:ascii="宋体" w:eastAsia="宋体" w:hAnsi="宋体" w:cs="宋体"/>
                <w:bCs/>
                <w:color w:val="000000"/>
                <w:sz w:val="24"/>
                <w:szCs w:val="24"/>
              </w:rPr>
            </w:pPr>
            <w:r>
              <w:rPr>
                <w:rFonts w:ascii="宋体" w:eastAsia="宋体" w:hAnsi="宋体" w:cs="宋体"/>
                <w:bCs/>
                <w:color w:val="000000"/>
                <w:sz w:val="24"/>
                <w:szCs w:val="24"/>
              </w:rPr>
              <w:t>015363</w:t>
            </w:r>
          </w:p>
        </w:tc>
      </w:tr>
      <w:tr>
        <w:tblPrEx>
          <w:tblW w:w="0" w:type="auto"/>
          <w:tblLayout w:type="fixed"/>
          <w:tblCellMar>
            <w:left w:w="108" w:type="dxa"/>
            <w:right w:w="108" w:type="dxa"/>
          </w:tblCellMar>
        </w:tblPrEx>
        <w:tc>
          <w:tcPr>
            <w:tcW w:w="2520" w:type="dxa"/>
            <w:shd w:val="clear" w:color="auto" w:fill="FFFFFF"/>
            <w:vAlign w:val="center"/>
          </w:tcPr>
          <w:p w:rsidR="00AF0701">
            <w:pPr>
              <w:jc w:val="left"/>
              <w:rPr>
                <w:rFonts w:ascii="宋体" w:eastAsia="宋体" w:hAnsi="宋体" w:cs="宋体"/>
                <w:bCs/>
                <w:color w:val="000000"/>
                <w:sz w:val="24"/>
                <w:szCs w:val="24"/>
              </w:rPr>
            </w:pPr>
            <w:r>
              <w:rPr>
                <w:rFonts w:ascii="宋体" w:eastAsia="宋体" w:hAnsi="宋体" w:cs="宋体"/>
                <w:bCs/>
                <w:color w:val="000000"/>
                <w:sz w:val="24"/>
                <w:szCs w:val="24"/>
              </w:rPr>
              <w:t>该基金份额是否开放申购、赎回等业务</w:t>
            </w:r>
          </w:p>
        </w:tc>
        <w:tc>
          <w:tcPr>
            <w:tcW w:w="2940" w:type="dxa"/>
            <w:shd w:val="clear" w:color="auto" w:fill="FFFFFF"/>
            <w:vAlign w:val="center"/>
          </w:tcPr>
          <w:p w:rsidR="00AF0701">
            <w:pPr>
              <w:jc w:val="center"/>
              <w:rPr>
                <w:rFonts w:ascii="宋体" w:eastAsia="宋体" w:hAnsi="宋体" w:cs="宋体"/>
                <w:bCs/>
                <w:color w:val="000000"/>
                <w:sz w:val="24"/>
                <w:szCs w:val="24"/>
              </w:rPr>
            </w:pPr>
            <w:r>
              <w:rPr>
                <w:rFonts w:ascii="宋体" w:eastAsia="宋体" w:hAnsi="宋体" w:cs="宋体"/>
                <w:bCs/>
                <w:color w:val="000000"/>
                <w:sz w:val="24"/>
                <w:szCs w:val="24"/>
              </w:rPr>
              <w:t>是</w:t>
            </w:r>
          </w:p>
        </w:tc>
        <w:tc>
          <w:tcPr>
            <w:tcW w:w="2940" w:type="dxa"/>
            <w:shd w:val="clear" w:color="auto" w:fill="FFFFFF"/>
            <w:vAlign w:val="center"/>
          </w:tcPr>
          <w:p w:rsidR="00AF0701">
            <w:pPr>
              <w:jc w:val="center"/>
              <w:rPr>
                <w:rFonts w:ascii="宋体" w:eastAsia="宋体" w:hAnsi="宋体" w:cs="宋体"/>
                <w:bCs/>
                <w:color w:val="000000"/>
                <w:sz w:val="24"/>
                <w:szCs w:val="24"/>
              </w:rPr>
            </w:pPr>
            <w:r>
              <w:rPr>
                <w:rFonts w:ascii="宋体" w:eastAsia="宋体" w:hAnsi="宋体" w:cs="宋体"/>
                <w:bCs/>
                <w:color w:val="000000"/>
                <w:sz w:val="24"/>
                <w:szCs w:val="24"/>
              </w:rPr>
              <w:t>是</w:t>
            </w:r>
          </w:p>
        </w:tc>
      </w:tr>
    </w:tbl>
    <w:p w:rsidR="00AF0701">
      <w:pPr>
        <w:rPr>
          <w:rFonts w:ascii="宋体" w:eastAsia="宋体" w:hAnsi="宋体"/>
          <w:bCs/>
          <w:sz w:val="24"/>
          <w:szCs w:val="24"/>
        </w:rPr>
      </w:pPr>
    </w:p>
    <w:bookmarkStart w:id="1" w:name="_GoBack"/>
    <w:p w:rsidR="00000AF7" w:rsidRPr="0029151A" w14:paraId="31191C72" w14:textId="27A6D435">
      <w:pPr>
        <w:rPr>
          <w:rFonts w:ascii="宋体" w:eastAsia="宋体" w:hAnsi="宋体"/>
          <w:bCs/>
          <w:szCs w:val="21"/>
        </w:rPr>
        <w:sectPr>
          <w:type w:val="continuous"/>
          <w:pgSz w:w="11906" w:h="16838"/>
          <w:pgMar w:top="1440" w:right="1800" w:bottom="1440" w:left="1800" w:header="851" w:footer="992" w:gutter="0"/>
          <w:cols w:space="425"/>
          <w:docGrid w:type="lines" w:linePitch="312"/>
        </w:sectPr>
      </w:pPr>
      <w:bookmarkEnd w:id="1"/>
    </w:p>
    <w:bookmarkStart w:id="2" w:name="t_2_1_table_0"/>
    <w:bookmarkEnd w:id="2"/>
    <w:p w:rsidR="00674C46" w:rsidRPr="008E59B3" w:rsidP="008E59B3" w14:paraId="5B9757D5" w14:textId="079C5D4D">
      <w:pPr>
        <w:pStyle w:val="Heading2"/>
        <w:spacing w:before="31" w:beforeLines="10" w:after="31" w:afterLines="10" w:line="240" w:lineRule="auto"/>
        <w:rPr>
          <w:rFonts w:ascii="宋体" w:eastAsia="宋体" w:hAnsi="宋体" w:cs="宋体"/>
          <w:color w:val="FF0000"/>
          <w:kern w:val="0"/>
          <w:sz w:val="24"/>
          <w:szCs w:val="24"/>
        </w:rPr>
        <w:sectPr>
          <w:type w:val="continuous"/>
          <w:pgSz w:w="11906" w:h="16838"/>
          <w:pgMar w:top="1440" w:right="1800" w:bottom="1440" w:left="1800" w:header="851" w:footer="992" w:gutter="0"/>
          <w:cols w:space="425"/>
          <w:docGrid w:type="lines" w:linePitch="312"/>
        </w:sectPr>
      </w:pPr>
      <w:r w:rsidRPr="008E59B3" w:rsidR="008A6FA8">
        <w:rPr>
          <w:rFonts w:ascii="宋体" w:eastAsia="宋体" w:hAnsi="宋体" w:hint="eastAsia"/>
          <w:sz w:val="24"/>
          <w:szCs w:val="24"/>
        </w:rPr>
        <w:t>2</w:t>
      </w:r>
      <w:r w:rsidRPr="008E59B3" w:rsidR="008A6FA8">
        <w:rPr>
          <w:rFonts w:ascii="宋体" w:eastAsia="宋体" w:hAnsi="宋体" w:hint="eastAsia"/>
          <w:sz w:val="24"/>
          <w:szCs w:val="24"/>
        </w:rPr>
        <w:t>日常</w:t>
      </w:r>
      <w:r w:rsidRPr="008E59B3" w:rsidR="008A6FA8">
        <w:rPr>
          <w:rFonts w:ascii="宋体" w:eastAsia="宋体" w:hAnsi="宋体"/>
          <w:sz w:val="24"/>
          <w:szCs w:val="24"/>
        </w:rPr>
        <w:t>申购、赎回</w:t>
      </w:r>
      <w:r w:rsidRPr="008E59B3" w:rsidR="008A6FA8">
        <w:rPr>
          <w:rFonts w:ascii="宋体" w:eastAsia="宋体" w:hAnsi="宋体"/>
          <w:sz w:val="24"/>
          <w:szCs w:val="24"/>
        </w:rPr>
        <w:t>业务的办理时间</w:t>
      </w:r>
    </w:p>
    <w:p w:rsidR="00000000" w:rsidRPr="007D44ED" w:rsidP="007D44ED" w14:paraId="72096A3A" w14:textId="12BDF798">
      <w:pPr>
        <w:widowControl/>
        <w:spacing w:line="360" w:lineRule="auto"/>
        <w:ind w:firstLine="480" w:firstLineChars="200"/>
        <w:outlineLvl w:val="1"/>
        <w:rPr>
          <w:rFonts w:ascii="宋体" w:eastAsia="宋体" w:hAnsi="宋体" w:cs="Times New Roman"/>
          <w:bCs/>
          <w:sz w:val="24"/>
          <w:szCs w:val="24"/>
        </w:rPr>
      </w:pPr>
      <w:r w:rsidRPr="007D44ED">
        <w:rPr>
          <w:rFonts w:ascii="宋体" w:eastAsia="宋体" w:hAnsi="宋体" w:cs="Times New Roman"/>
          <w:bCs/>
          <w:sz w:val="24"/>
          <w:szCs w:val="24"/>
        </w:rPr>
        <w:t>1、申购、赎回开始日及业务办理时间</w:t>
      </w:r>
    </w:p>
    <w:p w:rsidR="00000000" w:rsidRPr="007D44ED" w:rsidP="007D44ED">
      <w:pPr>
        <w:widowControl/>
        <w:spacing w:line="360" w:lineRule="auto"/>
        <w:ind w:firstLine="480" w:firstLineChars="200"/>
        <w:outlineLvl w:val="1"/>
        <w:rPr>
          <w:rFonts w:ascii="宋体" w:eastAsia="宋体" w:hAnsi="宋体" w:cs="Times New Roman"/>
          <w:bCs/>
          <w:sz w:val="24"/>
          <w:szCs w:val="24"/>
        </w:rPr>
      </w:pPr>
      <w:r w:rsidRPr="007D44ED">
        <w:rPr>
          <w:rFonts w:ascii="宋体" w:eastAsia="宋体" w:hAnsi="宋体" w:cs="Times New Roman"/>
          <w:bCs/>
          <w:sz w:val="24"/>
          <w:szCs w:val="24"/>
        </w:rPr>
        <w:t>本基金以定期开放的方式运作，即本基金以封闭期和开放期相结合的方式运作。</w:t>
      </w:r>
    </w:p>
    <w:p w:rsidR="00000000" w:rsidRPr="007D44ED" w:rsidP="007D44ED">
      <w:pPr>
        <w:widowControl/>
        <w:spacing w:line="360" w:lineRule="auto"/>
        <w:ind w:firstLine="480" w:firstLineChars="200"/>
        <w:outlineLvl w:val="1"/>
        <w:rPr>
          <w:rFonts w:ascii="宋体" w:eastAsia="宋体" w:hAnsi="宋体" w:cs="Times New Roman"/>
          <w:bCs/>
          <w:sz w:val="24"/>
          <w:szCs w:val="24"/>
        </w:rPr>
      </w:pPr>
      <w:r w:rsidRPr="007D44ED">
        <w:rPr>
          <w:rFonts w:ascii="宋体" w:eastAsia="宋体" w:hAnsi="宋体" w:cs="Times New Roman"/>
          <w:bCs/>
          <w:sz w:val="24"/>
          <w:szCs w:val="24"/>
        </w:rPr>
        <w:t>本基金以1年为一个封闭期，在封闭期内，本基金不接受基金份额的申购和赎回。每个封闭期为自基金合同生效日（包括基金合同生效日）或每个开放期结束之日次日起（包括该日）至1年后的年度对日的前一日止。</w:t>
      </w:r>
    </w:p>
    <w:p w:rsidR="00000000" w:rsidRPr="007D44ED" w:rsidP="007D44ED">
      <w:pPr>
        <w:widowControl/>
        <w:spacing w:line="360" w:lineRule="auto"/>
        <w:ind w:firstLine="480" w:firstLineChars="200"/>
        <w:outlineLvl w:val="1"/>
        <w:rPr>
          <w:rFonts w:ascii="宋体" w:eastAsia="宋体" w:hAnsi="宋体" w:cs="Times New Roman"/>
          <w:bCs/>
          <w:sz w:val="24"/>
          <w:szCs w:val="24"/>
        </w:rPr>
      </w:pPr>
      <w:r w:rsidRPr="007D44ED">
        <w:rPr>
          <w:rFonts w:ascii="宋体" w:eastAsia="宋体" w:hAnsi="宋体" w:cs="Times New Roman"/>
          <w:bCs/>
          <w:sz w:val="24"/>
          <w:szCs w:val="24"/>
        </w:rPr>
        <w:t>2024年07月25日至2024年08月21日为本基金开始运作以来的第二个开放期。本基金将于2024年07月25日至2024年08月21日办理日常申购、赎回等业务（本基金管理人公告暂停申购时除外）。对于具体办理时间，由于各销售机构系统及业务安排等原因，投资者应以各销售机构的规定为准。自2024年08月22日起，本基金将进入下一个封闭期，封闭期内不接受申购、赎回申请。</w:t>
      </w:r>
    </w:p>
    <w:p w:rsidR="00000000" w:rsidRPr="007D44ED" w:rsidP="007D44ED">
      <w:pPr>
        <w:widowControl/>
        <w:spacing w:line="360" w:lineRule="auto"/>
        <w:ind w:firstLine="480" w:firstLineChars="200"/>
        <w:outlineLvl w:val="1"/>
        <w:rPr>
          <w:rFonts w:ascii="宋体" w:eastAsia="宋体" w:hAnsi="宋体" w:cs="Times New Roman"/>
          <w:bCs/>
          <w:sz w:val="24"/>
          <w:szCs w:val="24"/>
        </w:rPr>
      </w:pPr>
      <w:r w:rsidRPr="007D44ED">
        <w:rPr>
          <w:rFonts w:ascii="宋体" w:eastAsia="宋体" w:hAnsi="宋体" w:cs="Times New Roman"/>
          <w:bCs/>
          <w:sz w:val="24"/>
          <w:szCs w:val="24"/>
        </w:rPr>
        <w:t>除法律法规另有规定或基金合同另有约定外，自每个封闭期结束之后第一个工作日起（含该日），本基金进入开放期，开始办理申购和赎回等业务。每个开放期不少于5个工作日，不超过20个工作日，具体期间由基金管理人在上一个封闭期结束前公告说明。</w:t>
      </w:r>
    </w:p>
    <w:p w:rsidR="00000000" w:rsidRPr="007D44ED" w:rsidP="007D44ED">
      <w:pPr>
        <w:widowControl/>
        <w:spacing w:line="360" w:lineRule="auto"/>
        <w:ind w:firstLine="480" w:firstLineChars="200"/>
        <w:outlineLvl w:val="1"/>
        <w:rPr>
          <w:rFonts w:ascii="宋体" w:eastAsia="宋体" w:hAnsi="宋体" w:cs="Times New Roman"/>
          <w:bCs/>
          <w:sz w:val="24"/>
          <w:szCs w:val="24"/>
        </w:rPr>
      </w:pPr>
      <w:r w:rsidRPr="007D44ED">
        <w:rPr>
          <w:rFonts w:ascii="宋体" w:eastAsia="宋体" w:hAnsi="宋体" w:cs="Times New Roman"/>
          <w:bCs/>
          <w:sz w:val="24"/>
          <w:szCs w:val="24"/>
        </w:rPr>
        <w:t>如封闭期结束之日后第一个工作日因不可抗力或其他情形致使基金无法按时开放申购与赎回业务的，开放期自不可抗力或其他情形的影响因素消除之日起的下一个工作日开始。开放期内因发生不可抗力或其他情形而发生基金暂停申购与赎回业务的，开放期将按因不可抗力或其他情形而暂停申购与赎回的期间相应延长。</w:t>
      </w:r>
    </w:p>
    <w:p w:rsidR="00000000" w:rsidRPr="007D44ED" w:rsidP="007D44ED">
      <w:pPr>
        <w:widowControl/>
        <w:spacing w:line="360" w:lineRule="auto"/>
        <w:ind w:firstLine="480" w:firstLineChars="200"/>
        <w:outlineLvl w:val="1"/>
        <w:rPr>
          <w:rFonts w:ascii="宋体" w:eastAsia="宋体" w:hAnsi="宋体" w:cs="Times New Roman"/>
          <w:bCs/>
          <w:sz w:val="24"/>
          <w:szCs w:val="24"/>
        </w:rPr>
      </w:pPr>
      <w:r w:rsidRPr="007D44ED">
        <w:rPr>
          <w:rFonts w:ascii="宋体" w:eastAsia="宋体" w:hAnsi="宋体" w:cs="Times New Roman"/>
          <w:bCs/>
          <w:sz w:val="24"/>
          <w:szCs w:val="24"/>
        </w:rPr>
        <w:t>开放期间本基金采取开放运作模式，投资人可办理基金份额申购、赎回或其他业务。</w:t>
      </w:r>
    </w:p>
    <w:p w:rsidR="00000000" w:rsidRPr="007D44ED" w:rsidP="007D44ED">
      <w:pPr>
        <w:widowControl/>
        <w:spacing w:line="360" w:lineRule="auto"/>
        <w:ind w:firstLine="480" w:firstLineChars="200"/>
        <w:outlineLvl w:val="1"/>
        <w:rPr>
          <w:rFonts w:ascii="宋体" w:eastAsia="宋体" w:hAnsi="宋体" w:cs="Times New Roman"/>
          <w:bCs/>
          <w:sz w:val="24"/>
          <w:szCs w:val="24"/>
        </w:rPr>
      </w:pPr>
      <w:r w:rsidRPr="007D44ED">
        <w:rPr>
          <w:rFonts w:ascii="宋体" w:eastAsia="宋体" w:hAnsi="宋体" w:cs="Times New Roman"/>
          <w:bCs/>
          <w:sz w:val="24"/>
          <w:szCs w:val="24"/>
        </w:rPr>
        <w:t>基金管理人不得在基金合同约定之外的日期或者时间办理基金份额的申购、赎回或者转换。在开放期内，投资人在基金合同约定之外的日期和时间提出申购、赎回或转换申请且登记机构确认接受的，其基金份额申购、赎回价格为下一开放日相应类别的基金份额申购、赎回的价格。但若投资人在开放期最后一日业务办理时间结束之后提出申购、赎回或者转换申请的，视为无效申请。</w:t>
      </w:r>
    </w:p>
    <w:p w:rsidR="00000000" w:rsidRPr="007D44ED" w:rsidP="007D44ED">
      <w:pPr>
        <w:widowControl/>
        <w:spacing w:line="360" w:lineRule="auto"/>
        <w:ind w:firstLine="480" w:firstLineChars="200"/>
        <w:outlineLvl w:val="1"/>
        <w:rPr>
          <w:rFonts w:ascii="宋体" w:eastAsia="宋体" w:hAnsi="宋体" w:cs="Times New Roman"/>
          <w:bCs/>
          <w:sz w:val="24"/>
          <w:szCs w:val="24"/>
        </w:rPr>
      </w:pPr>
      <w:r w:rsidRPr="007D44ED">
        <w:rPr>
          <w:rFonts w:ascii="宋体" w:eastAsia="宋体" w:hAnsi="宋体" w:cs="Times New Roman"/>
          <w:bCs/>
          <w:sz w:val="24"/>
          <w:szCs w:val="24"/>
        </w:rPr>
        <w:t>2、开放日及开放时间</w:t>
      </w:r>
    </w:p>
    <w:p w:rsidR="00000000" w:rsidRPr="007D44ED" w:rsidP="007D44ED">
      <w:pPr>
        <w:widowControl/>
        <w:spacing w:line="360" w:lineRule="auto"/>
        <w:ind w:firstLine="480" w:firstLineChars="200"/>
        <w:outlineLvl w:val="1"/>
        <w:rPr>
          <w:rFonts w:ascii="宋体" w:eastAsia="宋体" w:hAnsi="宋体" w:cs="Times New Roman"/>
          <w:bCs/>
          <w:sz w:val="24"/>
          <w:szCs w:val="24"/>
        </w:rPr>
      </w:pPr>
      <w:r w:rsidRPr="007D44ED">
        <w:rPr>
          <w:rFonts w:ascii="宋体" w:eastAsia="宋体" w:hAnsi="宋体" w:cs="Times New Roman"/>
          <w:bCs/>
          <w:sz w:val="24"/>
          <w:szCs w:val="24"/>
        </w:rPr>
        <w:t>投资人在开放日办理基金份额的申购和赎回，具体办理时间为开放期内上海证券交易所、深圳证券交易所的正常交易日的交易时间，但基金管理人根据法律法规、中国证监会的要求或基金合同的规定公告暂停申购、赎回时除外。</w:t>
      </w:r>
    </w:p>
    <w:p w:rsidR="00000000" w:rsidRPr="007D44ED" w:rsidP="007D44ED">
      <w:pPr>
        <w:widowControl/>
        <w:spacing w:line="360" w:lineRule="auto"/>
        <w:ind w:firstLine="480" w:firstLineChars="200"/>
        <w:outlineLvl w:val="1"/>
        <w:rPr>
          <w:rFonts w:ascii="宋体" w:eastAsia="宋体" w:hAnsi="宋体" w:cs="Times New Roman"/>
          <w:bCs/>
          <w:sz w:val="24"/>
          <w:szCs w:val="24"/>
        </w:rPr>
        <w:sectPr>
          <w:type w:val="continuous"/>
          <w:pgSz w:w="11906" w:h="16838"/>
          <w:pgMar w:top="1440" w:right="1800" w:bottom="1440" w:left="1800" w:header="851" w:footer="992" w:gutter="0"/>
          <w:cols w:space="425"/>
          <w:docGrid w:type="lines" w:linePitch="312"/>
        </w:sectPr>
      </w:pPr>
      <w:r w:rsidRPr="007D44ED">
        <w:rPr>
          <w:rFonts w:ascii="宋体" w:eastAsia="宋体" w:hAnsi="宋体" w:cs="Times New Roman"/>
          <w:bCs/>
          <w:sz w:val="24"/>
          <w:szCs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bookmarkStart w:id="3" w:name="t_2_1_table_1"/>
    <w:bookmarkEnd w:id="3"/>
    <w:p w:rsidR="00000AF7" w:rsidRPr="00A438AD" w:rsidP="00A438AD" w14:textId="63B7D991">
      <w:pPr>
        <w:pStyle w:val="Heading2"/>
        <w:spacing w:before="156" w:beforeLines="50" w:after="156" w:afterLines="50" w:line="240" w:lineRule="auto"/>
        <w:jc w:val="left"/>
        <w:rPr>
          <w:rFonts w:ascii="宋体" w:eastAsia="宋体" w:hAnsi="宋体"/>
          <w:bCs/>
          <w:sz w:val="24"/>
          <w:szCs w:val="24"/>
        </w:rPr>
        <w:sectPr>
          <w:type w:val="continuous"/>
          <w:pgSz w:w="11906" w:h="16838"/>
          <w:pgMar w:top="1440" w:right="1800" w:bottom="1440" w:left="1800" w:header="851" w:footer="992" w:gutter="0"/>
          <w:cols w:space="425"/>
          <w:docGrid w:type="lines" w:linePitch="312"/>
        </w:sectPr>
      </w:pPr>
      <w:r w:rsidRPr="00A438AD" w:rsidR="00D5630A">
        <w:rPr>
          <w:rFonts w:ascii="宋体" w:eastAsia="宋体" w:hAnsi="宋体" w:hint="eastAsia"/>
          <w:bCs/>
          <w:sz w:val="24"/>
          <w:szCs w:val="24"/>
        </w:rPr>
        <w:t>3</w:t>
      </w:r>
      <w:r w:rsidRPr="00A438AD" w:rsidR="00D5630A">
        <w:rPr>
          <w:rFonts w:ascii="宋体" w:eastAsia="宋体" w:hAnsi="宋体" w:hint="eastAsia"/>
          <w:bCs/>
          <w:sz w:val="24"/>
          <w:szCs w:val="24"/>
        </w:rPr>
        <w:t>日常申购</w:t>
      </w:r>
      <w:r w:rsidRPr="00A438AD" w:rsidR="005532ED">
        <w:rPr>
          <w:rFonts w:ascii="宋体" w:eastAsia="宋体" w:hAnsi="宋体" w:hint="eastAsia"/>
          <w:bCs/>
          <w:sz w:val="24"/>
          <w:szCs w:val="24"/>
        </w:rPr>
        <w:t>业务</w:t>
      </w:r>
    </w:p>
    <w:bookmarkStart w:id="4" w:name="t_2_1_table_2"/>
    <w:bookmarkEnd w:id="4"/>
    <w:p w:rsidR="00B63AB7" w:rsidRPr="005538A2" w:rsidP="00B63AB7">
      <w:pPr>
        <w:keepNext/>
        <w:keepLines/>
        <w:spacing w:before="156" w:beforeLines="50" w:after="156" w:afterLines="50"/>
        <w:jc w:val="left"/>
        <w:outlineLvl w:val="1"/>
        <w:rPr>
          <w:rFonts w:ascii="宋体" w:eastAsia="宋体" w:hAnsi="宋体" w:cs="Times New Roman"/>
          <w:b/>
          <w:bCs/>
          <w:sz w:val="24"/>
          <w:szCs w:val="20"/>
        </w:rPr>
      </w:pPr>
      <w:r w:rsidRPr="005538A2">
        <w:rPr>
          <w:rFonts w:ascii="宋体" w:eastAsia="宋体" w:hAnsi="宋体" w:cs="Times New Roman" w:hint="eastAsia"/>
          <w:b/>
          <w:bCs/>
          <w:sz w:val="24"/>
          <w:szCs w:val="20"/>
        </w:rPr>
        <w:t>3.1</w:t>
      </w:r>
      <w:r w:rsidRPr="005538A2">
        <w:rPr>
          <w:rFonts w:ascii="宋体" w:eastAsia="宋体" w:hAnsi="宋体" w:cs="Times New Roman" w:hint="eastAsia"/>
          <w:b/>
          <w:bCs/>
          <w:sz w:val="24"/>
          <w:szCs w:val="20"/>
        </w:rPr>
        <w:t>申购金额限制</w:t>
      </w:r>
    </w:p>
    <w:p w:rsidR="001F2AEF" w:rsidRPr="00B63AB7" w:rsidP="00B63AB7">
      <w:pPr>
        <w:spacing w:line="360" w:lineRule="auto"/>
        <w:ind w:firstLine="480" w:firstLineChars="200"/>
        <w:rPr>
          <w:rFonts w:ascii="宋体" w:eastAsia="宋体" w:hAnsi="宋体"/>
          <w:sz w:val="24"/>
        </w:rPr>
      </w:pPr>
      <w:r w:rsidRPr="00B63AB7">
        <w:rPr>
          <w:rFonts w:ascii="宋体" w:eastAsia="宋体" w:hAnsi="宋体"/>
          <w:sz w:val="24"/>
        </w:rPr>
        <w:t>1、投资者通过基金管理人直销中心首次申购本基金基金份额的最低金额为人民币50,000元（含申购费）；通过基金管理人线上直销系统申购本基金基金份额单笔最低金额为人民币1元（含申购费）；通过其他销售机构的销售网点申购本基金基金份额单笔最低金额为人民币1元（含申购费）。超过最低申购金额的部分不设金额级差。各销售机构对本基金最低申购金额及交易级差有其他规定的，以各销售机构的业务规定为准。</w:t>
      </w:r>
    </w:p>
    <w:p w:rsidR="001F2AEF" w:rsidRPr="00B63AB7" w:rsidP="00B63AB7">
      <w:pPr>
        <w:spacing w:line="360" w:lineRule="auto"/>
        <w:ind w:firstLine="480" w:firstLineChars="200"/>
        <w:rPr>
          <w:rFonts w:ascii="宋体" w:eastAsia="宋体" w:hAnsi="宋体"/>
          <w:sz w:val="24"/>
        </w:rPr>
      </w:pPr>
      <w:r w:rsidRPr="00B63AB7">
        <w:rPr>
          <w:rFonts w:ascii="宋体" w:eastAsia="宋体" w:hAnsi="宋体"/>
          <w:sz w:val="24"/>
        </w:rPr>
        <w:t>2、投资者将当期分配的基金收益转为相应类别的基金份额时，不受最低申购金额的限制。</w:t>
      </w:r>
    </w:p>
    <w:p w:rsidR="001F2AEF" w:rsidRPr="00B63AB7" w:rsidP="00B63AB7">
      <w:pPr>
        <w:spacing w:line="360" w:lineRule="auto"/>
        <w:ind w:firstLine="480" w:firstLineChars="200"/>
        <w:rPr>
          <w:rFonts w:ascii="宋体" w:eastAsia="宋体" w:hAnsi="宋体"/>
          <w:sz w:val="24"/>
        </w:rPr>
      </w:pPr>
      <w:r w:rsidRPr="00B63AB7">
        <w:rPr>
          <w:rFonts w:ascii="宋体" w:eastAsia="宋体" w:hAnsi="宋体"/>
          <w:sz w:val="24"/>
        </w:rPr>
        <w:t>3、投资者可多次申购，对单个投资者累计持有基金份额的比例或数量不设上限限制。对单个投资者申购金额上限、基金规模上限或基金单日净申购比例不设上限。</w:t>
      </w:r>
    </w:p>
    <w:p w:rsidR="001F2AEF" w:rsidRPr="00B63AB7" w:rsidP="00B63AB7">
      <w:pPr>
        <w:spacing w:line="360" w:lineRule="auto"/>
        <w:ind w:firstLine="480" w:firstLineChars="200"/>
        <w:rPr>
          <w:rFonts w:ascii="宋体" w:eastAsia="宋体" w:hAnsi="宋体"/>
          <w:sz w:val="24"/>
        </w:rPr>
      </w:pPr>
      <w:r w:rsidRPr="00B63AB7">
        <w:rPr>
          <w:rFonts w:ascii="宋体" w:eastAsia="宋体" w:hAnsi="宋体"/>
          <w:sz w:val="24"/>
        </w:rPr>
        <w:t>4、当接受申购申请对存量基金份额持有人利益构成潜在重大不利影响时，基金管理人应当采取设定单一投资者申购金额上限、基金规模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1F2AEF" w:rsidRPr="00B63AB7" w:rsidP="00B63AB7">
      <w:pPr>
        <w:spacing w:line="360" w:lineRule="auto"/>
        <w:ind w:firstLine="480" w:firstLineChars="200"/>
        <w:rPr>
          <w:rFonts w:ascii="宋体" w:eastAsia="宋体" w:hAnsi="宋体"/>
          <w:sz w:val="24"/>
        </w:rPr>
        <w:sectPr>
          <w:type w:val="continuous"/>
          <w:pgSz w:w="11906" w:h="16838"/>
          <w:pgMar w:top="1440" w:right="1800" w:bottom="1440" w:left="1800" w:header="851" w:footer="992" w:gutter="0"/>
          <w:cols w:space="425"/>
          <w:docGrid w:type="lines" w:linePitch="312"/>
        </w:sectPr>
      </w:pPr>
      <w:r w:rsidRPr="00B63AB7">
        <w:rPr>
          <w:rFonts w:ascii="宋体" w:eastAsia="宋体" w:hAnsi="宋体"/>
          <w:sz w:val="24"/>
        </w:rPr>
        <w:t>5、基金管理人可在法律法规允许的情况下，调整上述规定申购金额的数量限制。基金管理人必须在调整前依照《信息披露办法》的有关规定在规定媒介上公告。</w:t>
      </w:r>
    </w:p>
    <w:bookmarkStart w:id="5" w:name="t_2_1_table_3"/>
    <w:bookmarkEnd w:id="5"/>
    <w:p w:rsidR="00497F7B" w:rsidP="00497F7B" w14:paraId="02F9E52B" w14:textId="77777777">
      <w:pPr>
        <w:pStyle w:val="Heading2"/>
        <w:spacing w:before="0" w:after="0" w:line="360" w:lineRule="auto"/>
        <w:jc w:val="left"/>
        <w:rPr>
          <w:rFonts w:ascii="宋体" w:eastAsia="宋体" w:hAnsi="宋体"/>
          <w:sz w:val="24"/>
        </w:rPr>
      </w:pPr>
      <w:r w:rsidRPr="00497F7B" w:rsidR="00DB30D5">
        <w:rPr>
          <w:rFonts w:ascii="宋体" w:eastAsia="宋体" w:hAnsi="宋体" w:hint="eastAsia"/>
          <w:sz w:val="24"/>
        </w:rPr>
        <w:t>3.2</w:t>
      </w:r>
      <w:r w:rsidRPr="00497F7B" w:rsidR="00DB30D5">
        <w:rPr>
          <w:rFonts w:ascii="宋体" w:eastAsia="宋体" w:hAnsi="宋体" w:hint="eastAsia"/>
          <w:sz w:val="24"/>
        </w:rPr>
        <w:t>申购</w:t>
      </w:r>
      <w:r w:rsidRPr="00497F7B" w:rsidR="0009055E">
        <w:rPr>
          <w:rFonts w:ascii="宋体" w:eastAsia="宋体" w:hAnsi="宋体" w:hint="eastAsia"/>
          <w:sz w:val="24"/>
        </w:rPr>
        <w:t>费率</w:t>
      </w:r>
    </w:p>
    <w:p w:rsidR="007A4518" w:rsidRPr="007A4518" w:rsidP="007A4518" w14:paraId="7B3CE4F2" w14:textId="2B39365C">
      <w:pPr>
        <w:spacing w:line="360" w:lineRule="auto"/>
        <w:ind w:firstLine="480" w:firstLineChars="200"/>
        <w:rPr>
          <w:rFonts w:ascii="宋体" w:eastAsia="宋体" w:hAnsi="宋体"/>
          <w:sz w:val="24"/>
          <w:szCs w:val="24"/>
        </w:rPr>
        <w:sectPr>
          <w:type w:val="continuous"/>
          <w:pgSz w:w="11906" w:h="16838"/>
          <w:pgMar w:top="1440" w:right="1800" w:bottom="1440" w:left="1800" w:header="851" w:footer="992" w:gutter="0"/>
          <w:cols w:space="425"/>
          <w:docGrid w:type="lines" w:linePitch="312"/>
        </w:sectPr>
      </w:pPr>
    </w:p>
    <w:p w:rsidR="00DC4EB5" w:rsidP="00DC4EB5">
      <w:pPr>
        <w:keepNext/>
        <w:keepLines/>
        <w:spacing w:line="360" w:lineRule="auto"/>
        <w:outlineLvl w:val="2"/>
        <w:rPr>
          <w:rFonts w:ascii="宋体" w:eastAsia="宋体" w:hAnsi="宋体" w:cs="Times New Roman"/>
          <w:b/>
          <w:bCs/>
          <w:sz w:val="24"/>
          <w:szCs w:val="24"/>
        </w:rPr>
      </w:pPr>
      <w:r w:rsidRPr="00047058">
        <w:rPr>
          <w:rFonts w:ascii="宋体" w:eastAsia="宋体" w:hAnsi="宋体" w:cs="Times New Roman" w:hint="eastAsia"/>
          <w:b/>
          <w:bCs/>
          <w:sz w:val="24"/>
          <w:szCs w:val="24"/>
        </w:rPr>
        <w:t>3.2.1</w:t>
      </w:r>
      <w:r w:rsidRPr="00047058">
        <w:rPr>
          <w:rFonts w:ascii="宋体" w:eastAsia="宋体" w:hAnsi="宋体" w:cs="Times New Roman" w:hint="eastAsia"/>
          <w:b/>
          <w:bCs/>
          <w:sz w:val="24"/>
          <w:szCs w:val="24"/>
        </w:rPr>
        <w:t>前端收费</w:t>
      </w:r>
    </w:p>
    <w:p w:rsidR="00DC4EB5" w:rsidP="00DC4EB5">
      <w:pPr>
        <w:rPr>
          <w:rFonts w:ascii="宋体" w:eastAsia="宋体" w:hAnsi="宋体" w:cs="Times New Roman"/>
          <w:sz w:val="24"/>
          <w:szCs w:val="24"/>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860"/>
        <w:gridCol w:w="2260"/>
        <w:gridCol w:w="226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c>
          <w:tcPr>
            <w:tcW w:w="8380" w:type="dxa"/>
            <w:gridSpan w:val="3"/>
            <w:shd w:val="clear" w:color="auto" w:fill="D9D9D9"/>
            <w:vAlign w:val="center"/>
          </w:tcPr>
          <w:p w:rsidR="00DC4EB5" w:rsidP="00DC4EB5">
            <w:pPr>
              <w:jc w:val="center"/>
              <w:rPr>
                <w:rFonts w:ascii="宋体" w:eastAsia="宋体" w:hAnsi="宋体" w:cs="宋体"/>
                <w:color w:val="000000"/>
                <w:sz w:val="24"/>
                <w:szCs w:val="24"/>
              </w:rPr>
            </w:pPr>
            <w:r>
              <w:rPr>
                <w:rFonts w:ascii="宋体" w:eastAsia="宋体" w:hAnsi="宋体" w:cs="宋体"/>
                <w:color w:val="000000"/>
                <w:sz w:val="24"/>
                <w:szCs w:val="24"/>
              </w:rPr>
              <w:t>汇添富鑫裕一年定开债发起式A</w:t>
            </w:r>
          </w:p>
        </w:tc>
      </w:tr>
      <w:tr>
        <w:tblPrEx>
          <w:tblW w:w="0" w:type="auto"/>
          <w:tblLayout w:type="fixed"/>
          <w:tblCellMar>
            <w:left w:w="108" w:type="dxa"/>
            <w:right w:w="108" w:type="dxa"/>
          </w:tblCellMar>
        </w:tblPrEx>
        <w:tc>
          <w:tcPr>
            <w:tcW w:w="3860" w:type="dxa"/>
            <w:shd w:val="clear" w:color="auto" w:fill="FFFFFF"/>
            <w:vAlign w:val="center"/>
          </w:tcPr>
          <w:p w:rsidR="00DC4EB5" w:rsidP="00DC4EB5">
            <w:pPr>
              <w:jc w:val="center"/>
              <w:rPr>
                <w:rFonts w:ascii="宋体" w:eastAsia="宋体" w:hAnsi="宋体" w:cs="宋体"/>
                <w:color w:val="000000"/>
                <w:sz w:val="24"/>
                <w:szCs w:val="24"/>
              </w:rPr>
            </w:pPr>
            <w:r>
              <w:rPr>
                <w:rFonts w:ascii="宋体" w:eastAsia="宋体" w:hAnsi="宋体" w:cs="宋体"/>
                <w:color w:val="000000"/>
                <w:sz w:val="24"/>
                <w:szCs w:val="24"/>
              </w:rPr>
              <w:t>申购金额（M）</w:t>
            </w:r>
          </w:p>
        </w:tc>
        <w:tc>
          <w:tcPr>
            <w:tcW w:w="2260" w:type="dxa"/>
            <w:shd w:val="clear" w:color="auto" w:fill="FFFFFF"/>
            <w:vAlign w:val="center"/>
          </w:tcPr>
          <w:p w:rsidR="00DC4EB5" w:rsidP="00DC4EB5">
            <w:pPr>
              <w:jc w:val="center"/>
              <w:rPr>
                <w:rFonts w:ascii="宋体" w:eastAsia="宋体" w:hAnsi="宋体" w:cs="宋体"/>
                <w:color w:val="000000"/>
                <w:sz w:val="24"/>
                <w:szCs w:val="24"/>
              </w:rPr>
            </w:pPr>
            <w:r>
              <w:rPr>
                <w:rFonts w:ascii="宋体" w:eastAsia="宋体" w:hAnsi="宋体" w:cs="宋体"/>
                <w:color w:val="000000"/>
                <w:sz w:val="24"/>
                <w:szCs w:val="24"/>
              </w:rPr>
              <w:t>费率/收费方式</w:t>
            </w:r>
          </w:p>
        </w:tc>
        <w:tc>
          <w:tcPr>
            <w:tcW w:w="2260" w:type="dxa"/>
            <w:shd w:val="clear" w:color="auto" w:fill="FFFFFF"/>
            <w:vAlign w:val="center"/>
          </w:tcPr>
          <w:p w:rsidR="00DC4EB5" w:rsidP="00DC4EB5">
            <w:pPr>
              <w:jc w:val="center"/>
              <w:rPr>
                <w:rFonts w:ascii="宋体" w:eastAsia="宋体" w:hAnsi="宋体" w:cs="宋体"/>
                <w:color w:val="000000"/>
                <w:sz w:val="24"/>
                <w:szCs w:val="24"/>
              </w:rPr>
            </w:pPr>
            <w:r>
              <w:rPr>
                <w:rFonts w:ascii="宋体" w:eastAsia="宋体" w:hAnsi="宋体" w:cs="宋体"/>
                <w:color w:val="000000"/>
                <w:sz w:val="24"/>
                <w:szCs w:val="24"/>
              </w:rPr>
              <w:t>备注</w:t>
            </w:r>
          </w:p>
        </w:tc>
      </w:tr>
      <w:tr>
        <w:tblPrEx>
          <w:tblW w:w="0" w:type="auto"/>
          <w:tblLayout w:type="fixed"/>
          <w:tblCellMar>
            <w:left w:w="108" w:type="dxa"/>
            <w:right w:w="108" w:type="dxa"/>
          </w:tblCellMar>
        </w:tblPrEx>
        <w:tc>
          <w:tcPr>
            <w:tcW w:w="3860" w:type="dxa"/>
            <w:shd w:val="clear" w:color="auto" w:fill="FFFFFF"/>
            <w:vAlign w:val="center"/>
          </w:tcPr>
          <w:p w:rsidR="00DC4EB5" w:rsidP="00DC4EB5">
            <w:pPr>
              <w:jc w:val="left"/>
              <w:rPr>
                <w:rFonts w:ascii="宋体" w:eastAsia="宋体" w:hAnsi="宋体" w:cs="宋体"/>
                <w:color w:val="000000"/>
                <w:sz w:val="24"/>
                <w:szCs w:val="24"/>
              </w:rPr>
            </w:pPr>
            <w:r>
              <w:rPr>
                <w:rFonts w:ascii="宋体" w:eastAsia="宋体" w:hAnsi="宋体" w:cs="宋体"/>
                <w:color w:val="000000"/>
                <w:sz w:val="24"/>
                <w:szCs w:val="24"/>
              </w:rPr>
              <w:t>M&lt;100万元</w:t>
            </w:r>
          </w:p>
        </w:tc>
        <w:tc>
          <w:tcPr>
            <w:tcW w:w="2260" w:type="dxa"/>
            <w:shd w:val="clear" w:color="auto" w:fill="FFFFFF"/>
            <w:vAlign w:val="center"/>
          </w:tcPr>
          <w:p w:rsidR="00DC4EB5" w:rsidP="00DC4EB5">
            <w:pPr>
              <w:jc w:val="left"/>
              <w:rPr>
                <w:rFonts w:ascii="宋体" w:eastAsia="宋体" w:hAnsi="宋体" w:cs="宋体"/>
                <w:color w:val="000000"/>
                <w:sz w:val="24"/>
                <w:szCs w:val="24"/>
              </w:rPr>
            </w:pPr>
            <w:r>
              <w:rPr>
                <w:rFonts w:ascii="宋体" w:eastAsia="宋体" w:hAnsi="宋体" w:cs="宋体"/>
                <w:color w:val="000000"/>
                <w:sz w:val="24"/>
                <w:szCs w:val="24"/>
              </w:rPr>
              <w:t>0.60%</w:t>
            </w:r>
          </w:p>
        </w:tc>
        <w:tc>
          <w:tcPr>
            <w:tcW w:w="2260" w:type="dxa"/>
            <w:shd w:val="clear" w:color="auto" w:fill="FFFFFF"/>
            <w:vAlign w:val="center"/>
          </w:tcPr>
          <w:p w:rsidR="00DC4EB5" w:rsidP="00DC4EB5">
            <w:pPr>
              <w:jc w:val="left"/>
              <w:rPr>
                <w:rFonts w:ascii="宋体" w:eastAsia="宋体" w:hAnsi="宋体" w:cs="宋体"/>
                <w:color w:val="000000"/>
                <w:sz w:val="24"/>
                <w:szCs w:val="24"/>
              </w:rPr>
            </w:pPr>
            <w:r>
              <w:rPr>
                <w:rFonts w:ascii="宋体" w:eastAsia="宋体" w:hAnsi="宋体" w:cs="宋体"/>
                <w:color w:val="000000"/>
                <w:sz w:val="24"/>
                <w:szCs w:val="24"/>
              </w:rPr>
              <w:t>-</w:t>
            </w:r>
          </w:p>
        </w:tc>
      </w:tr>
      <w:tr>
        <w:tblPrEx>
          <w:tblW w:w="0" w:type="auto"/>
          <w:tblLayout w:type="fixed"/>
          <w:tblCellMar>
            <w:left w:w="108" w:type="dxa"/>
            <w:right w:w="108" w:type="dxa"/>
          </w:tblCellMar>
        </w:tblPrEx>
        <w:tc>
          <w:tcPr>
            <w:tcW w:w="3860" w:type="dxa"/>
            <w:shd w:val="clear" w:color="auto" w:fill="FFFFFF"/>
            <w:vAlign w:val="center"/>
          </w:tcPr>
          <w:p w:rsidR="00DC4EB5" w:rsidP="00DC4EB5">
            <w:pPr>
              <w:jc w:val="left"/>
              <w:rPr>
                <w:rFonts w:ascii="宋体" w:eastAsia="宋体" w:hAnsi="宋体" w:cs="宋体"/>
                <w:color w:val="000000"/>
                <w:sz w:val="24"/>
                <w:szCs w:val="24"/>
              </w:rPr>
            </w:pPr>
            <w:r>
              <w:rPr>
                <w:rFonts w:ascii="宋体" w:eastAsia="宋体" w:hAnsi="宋体" w:cs="宋体"/>
                <w:color w:val="000000"/>
                <w:sz w:val="24"/>
                <w:szCs w:val="24"/>
              </w:rPr>
              <w:t>100万元≤M&lt;500万元</w:t>
            </w:r>
          </w:p>
        </w:tc>
        <w:tc>
          <w:tcPr>
            <w:tcW w:w="2260" w:type="dxa"/>
            <w:shd w:val="clear" w:color="auto" w:fill="FFFFFF"/>
            <w:vAlign w:val="center"/>
          </w:tcPr>
          <w:p w:rsidR="00DC4EB5" w:rsidP="00DC4EB5">
            <w:pPr>
              <w:jc w:val="left"/>
              <w:rPr>
                <w:rFonts w:ascii="宋体" w:eastAsia="宋体" w:hAnsi="宋体" w:cs="宋体"/>
                <w:color w:val="000000"/>
                <w:sz w:val="24"/>
                <w:szCs w:val="24"/>
              </w:rPr>
            </w:pPr>
            <w:r>
              <w:rPr>
                <w:rFonts w:ascii="宋体" w:eastAsia="宋体" w:hAnsi="宋体" w:cs="宋体"/>
                <w:color w:val="000000"/>
                <w:sz w:val="24"/>
                <w:szCs w:val="24"/>
              </w:rPr>
              <w:t>0.30%</w:t>
            </w:r>
          </w:p>
        </w:tc>
        <w:tc>
          <w:tcPr>
            <w:tcW w:w="2260" w:type="dxa"/>
            <w:shd w:val="clear" w:color="auto" w:fill="FFFFFF"/>
            <w:vAlign w:val="center"/>
          </w:tcPr>
          <w:p w:rsidR="00DC4EB5" w:rsidP="00DC4EB5">
            <w:pPr>
              <w:jc w:val="left"/>
              <w:rPr>
                <w:rFonts w:ascii="宋体" w:eastAsia="宋体" w:hAnsi="宋体" w:cs="宋体"/>
                <w:color w:val="000000"/>
                <w:sz w:val="24"/>
                <w:szCs w:val="24"/>
              </w:rPr>
            </w:pPr>
            <w:r>
              <w:rPr>
                <w:rFonts w:ascii="宋体" w:eastAsia="宋体" w:hAnsi="宋体" w:cs="宋体"/>
                <w:color w:val="000000"/>
                <w:sz w:val="24"/>
                <w:szCs w:val="24"/>
              </w:rPr>
              <w:t>-</w:t>
            </w:r>
          </w:p>
        </w:tc>
      </w:tr>
      <w:tr>
        <w:tblPrEx>
          <w:tblW w:w="0" w:type="auto"/>
          <w:tblLayout w:type="fixed"/>
          <w:tblCellMar>
            <w:left w:w="108" w:type="dxa"/>
            <w:right w:w="108" w:type="dxa"/>
          </w:tblCellMar>
        </w:tblPrEx>
        <w:tc>
          <w:tcPr>
            <w:tcW w:w="3860" w:type="dxa"/>
            <w:shd w:val="clear" w:color="auto" w:fill="FFFFFF"/>
            <w:vAlign w:val="center"/>
          </w:tcPr>
          <w:p w:rsidR="00DC4EB5" w:rsidP="00DC4EB5">
            <w:pPr>
              <w:jc w:val="left"/>
              <w:rPr>
                <w:rFonts w:ascii="宋体" w:eastAsia="宋体" w:hAnsi="宋体" w:cs="宋体"/>
                <w:color w:val="000000"/>
                <w:sz w:val="24"/>
                <w:szCs w:val="24"/>
              </w:rPr>
            </w:pPr>
            <w:r>
              <w:rPr>
                <w:rFonts w:ascii="宋体" w:eastAsia="宋体" w:hAnsi="宋体" w:cs="宋体"/>
                <w:color w:val="000000"/>
                <w:sz w:val="24"/>
                <w:szCs w:val="24"/>
              </w:rPr>
              <w:t>M≥500万元</w:t>
            </w:r>
          </w:p>
        </w:tc>
        <w:tc>
          <w:tcPr>
            <w:tcW w:w="2260" w:type="dxa"/>
            <w:shd w:val="clear" w:color="auto" w:fill="FFFFFF"/>
            <w:vAlign w:val="center"/>
          </w:tcPr>
          <w:p w:rsidR="00DC4EB5" w:rsidP="00DC4EB5">
            <w:pPr>
              <w:jc w:val="left"/>
              <w:rPr>
                <w:rFonts w:ascii="宋体" w:eastAsia="宋体" w:hAnsi="宋体" w:cs="宋体"/>
                <w:color w:val="000000"/>
                <w:sz w:val="24"/>
                <w:szCs w:val="24"/>
              </w:rPr>
            </w:pPr>
            <w:r>
              <w:rPr>
                <w:rFonts w:ascii="宋体" w:eastAsia="宋体" w:hAnsi="宋体" w:cs="宋体"/>
                <w:color w:val="000000"/>
                <w:sz w:val="24"/>
                <w:szCs w:val="24"/>
              </w:rPr>
              <w:t>每笔1000元</w:t>
            </w:r>
          </w:p>
        </w:tc>
        <w:tc>
          <w:tcPr>
            <w:tcW w:w="2260" w:type="dxa"/>
            <w:shd w:val="clear" w:color="auto" w:fill="FFFFFF"/>
            <w:vAlign w:val="center"/>
          </w:tcPr>
          <w:p w:rsidR="00DC4EB5" w:rsidP="00DC4EB5">
            <w:pPr>
              <w:jc w:val="left"/>
              <w:rPr>
                <w:rFonts w:ascii="宋体" w:eastAsia="宋体" w:hAnsi="宋体" w:cs="宋体"/>
                <w:color w:val="000000"/>
                <w:sz w:val="24"/>
                <w:szCs w:val="24"/>
              </w:rPr>
            </w:pPr>
            <w:r>
              <w:rPr>
                <w:rFonts w:ascii="宋体" w:eastAsia="宋体" w:hAnsi="宋体" w:cs="宋体"/>
                <w:color w:val="000000"/>
                <w:sz w:val="24"/>
                <w:szCs w:val="24"/>
              </w:rPr>
              <w:t>-</w:t>
            </w:r>
          </w:p>
        </w:tc>
      </w:tr>
    </w:tbl>
    <w:p w:rsidR="00DC4EB5" w:rsidP="00DC4EB5">
      <w:pPr>
        <w:rPr>
          <w:rFonts w:ascii="宋体" w:eastAsia="宋体" w:hAnsi="宋体" w:cs="Times New Roman"/>
          <w:sz w:val="24"/>
          <w:szCs w:val="24"/>
        </w:rPr>
      </w:pPr>
    </w:p>
    <w:p w:rsidR="0043068F" w:rsidRPr="00DC4EB5" w:rsidP="00DC4EB5">
      <w:pPr>
        <w:spacing w:line="360" w:lineRule="auto"/>
        <w:rPr>
          <w:rFonts w:ascii="宋体" w:eastAsia="宋体" w:hAnsi="宋体" w:cs="Times New Roman"/>
          <w:sz w:val="24"/>
          <w:szCs w:val="24"/>
        </w:rPr>
        <w:sectPr>
          <w:type w:val="continuous"/>
          <w:pgSz w:w="11906" w:h="16838"/>
          <w:pgMar w:top="1440" w:right="1800" w:bottom="1440" w:left="1800" w:header="851" w:footer="992" w:gutter="0"/>
          <w:cols w:space="425"/>
          <w:docGrid w:type="lines" w:linePitch="312"/>
        </w:sectPr>
      </w:pPr>
      <w:r w:rsidRPr="00DC4EB5">
        <w:rPr>
          <w:rFonts w:ascii="宋体" w:eastAsia="宋体" w:hAnsi="宋体" w:cs="Times New Roman"/>
          <w:sz w:val="24"/>
          <w:szCs w:val="24"/>
        </w:rPr>
        <w:t>本基金C类份额不收取申购费用。</w:t>
      </w:r>
    </w:p>
    <w:p w:rsidR="00000AF7" w:rsidRPr="00CC44D8" w:rsidP="00D5630A" w14:textId="776E141E">
      <w:pPr>
        <w:pStyle w:val="Heading2"/>
        <w:spacing w:before="156" w:beforeLines="50" w:after="156" w:afterLines="50" w:line="240" w:lineRule="auto"/>
        <w:jc w:val="left"/>
        <w:rPr>
          <w:rFonts w:ascii="宋体" w:eastAsia="宋体" w:hAnsi="宋体"/>
          <w:bCs/>
          <w:sz w:val="24"/>
        </w:rPr>
      </w:pPr>
      <w:r w:rsidRPr="00CC44D8" w:rsidR="006A31E9">
        <w:rPr>
          <w:rFonts w:ascii="宋体" w:eastAsia="宋体" w:hAnsi="宋体" w:hint="eastAsia"/>
          <w:bCs/>
          <w:sz w:val="24"/>
        </w:rPr>
        <w:t>3.3</w:t>
      </w:r>
      <w:r w:rsidRPr="00CC44D8" w:rsidR="006A31E9">
        <w:rPr>
          <w:rFonts w:ascii="宋体" w:eastAsia="宋体" w:hAnsi="宋体" w:hint="eastAsia"/>
          <w:bCs/>
          <w:sz w:val="24"/>
        </w:rPr>
        <w:t>其他与</w:t>
      </w:r>
      <w:r w:rsidRPr="00CC44D8" w:rsidR="00DB30D5">
        <w:rPr>
          <w:rFonts w:ascii="宋体" w:eastAsia="宋体" w:hAnsi="宋体" w:hint="eastAsia"/>
          <w:bCs/>
          <w:sz w:val="24"/>
        </w:rPr>
        <w:t>申购</w:t>
      </w:r>
      <w:r w:rsidRPr="00CC44D8" w:rsidR="006A31E9">
        <w:rPr>
          <w:rFonts w:ascii="宋体" w:eastAsia="宋体" w:hAnsi="宋体" w:hint="eastAsia"/>
          <w:bCs/>
          <w:sz w:val="24"/>
        </w:rPr>
        <w:t>相关的事项</w:t>
      </w:r>
    </w:p>
    <w:p w:rsidR="00ED649C" w:rsidRPr="00696DC1" w:rsidP="0057575C" w14:paraId="670A8DB4" w14:textId="473630D6">
      <w:pPr>
        <w:spacing w:line="360" w:lineRule="auto"/>
        <w:ind w:firstLine="420" w:firstLineChars="200"/>
        <w:rPr>
          <w:rFonts w:ascii="宋体" w:eastAsia="宋体" w:hAnsi="宋体"/>
        </w:rPr>
        <w:sectPr>
          <w:type w:val="continuous"/>
          <w:pgSz w:w="11906" w:h="16838"/>
          <w:pgMar w:top="1440" w:right="1800" w:bottom="1440" w:left="1800" w:header="851" w:footer="992" w:gutter="0"/>
          <w:cols w:space="425"/>
          <w:docGrid w:type="lines" w:linePitch="312"/>
        </w:sectPr>
      </w:pPr>
      <w:r w:rsidRPr="00696DC1">
        <w:rPr>
          <w:rFonts w:ascii="宋体" w:eastAsia="宋体" w:hAnsi="宋体"/>
        </w:rPr>
        <w:t>无</w:t>
      </w:r>
    </w:p>
    <w:bookmarkStart w:id="6" w:name="t_2_1_table_4"/>
    <w:bookmarkEnd w:id="6"/>
    <w:p w:rsidR="00000AF7" w:rsidRPr="00BE3868" w:rsidP="00BE3868" w14:textId="61D722EC">
      <w:pPr>
        <w:pStyle w:val="Heading2"/>
        <w:spacing w:before="156" w:beforeLines="50" w:after="156" w:afterLines="50" w:line="240" w:lineRule="auto"/>
        <w:jc w:val="left"/>
        <w:rPr>
          <w:rFonts w:ascii="宋体" w:eastAsia="宋体" w:hAnsi="宋体"/>
          <w:bCs/>
          <w:sz w:val="24"/>
          <w:szCs w:val="24"/>
        </w:rPr>
        <w:sectPr>
          <w:type w:val="continuous"/>
          <w:pgSz w:w="11906" w:h="16838"/>
          <w:pgMar w:top="1440" w:right="1800" w:bottom="1440" w:left="1800" w:header="851" w:footer="992" w:gutter="0"/>
          <w:cols w:space="425"/>
          <w:docGrid w:type="lines" w:linePitch="312"/>
        </w:sectPr>
      </w:pPr>
      <w:r w:rsidRPr="00BE3868" w:rsidR="00D5630A">
        <w:rPr>
          <w:rFonts w:ascii="宋体" w:eastAsia="宋体" w:hAnsi="宋体" w:hint="eastAsia"/>
          <w:bCs/>
          <w:sz w:val="24"/>
          <w:szCs w:val="24"/>
        </w:rPr>
        <w:t>4</w:t>
      </w:r>
      <w:r w:rsidRPr="00BE3868" w:rsidR="00D5630A">
        <w:rPr>
          <w:rFonts w:ascii="宋体" w:eastAsia="宋体" w:hAnsi="宋体" w:hint="eastAsia"/>
          <w:bCs/>
          <w:sz w:val="24"/>
          <w:szCs w:val="24"/>
        </w:rPr>
        <w:t>日常</w:t>
      </w:r>
      <w:r w:rsidRPr="00BE3868" w:rsidR="0015196A">
        <w:rPr>
          <w:rFonts w:ascii="宋体" w:eastAsia="宋体" w:hAnsi="宋体" w:hint="eastAsia"/>
          <w:bCs/>
          <w:sz w:val="24"/>
          <w:szCs w:val="24"/>
        </w:rPr>
        <w:t>赎回</w:t>
      </w:r>
      <w:r w:rsidRPr="00BE3868" w:rsidR="005532ED">
        <w:rPr>
          <w:rFonts w:ascii="宋体" w:eastAsia="宋体" w:hAnsi="宋体" w:hint="eastAsia"/>
          <w:bCs/>
          <w:sz w:val="24"/>
          <w:szCs w:val="24"/>
        </w:rPr>
        <w:t>业务</w:t>
      </w:r>
    </w:p>
    <w:bookmarkStart w:id="7" w:name="t_2_1_table_5"/>
    <w:bookmarkEnd w:id="7"/>
    <w:p w:rsidR="00D66870" w:rsidRPr="00FC5B6A" w:rsidP="00D66870">
      <w:pPr>
        <w:keepNext/>
        <w:keepLines/>
        <w:spacing w:before="156" w:beforeLines="50" w:after="156" w:afterLines="50"/>
        <w:jc w:val="left"/>
        <w:outlineLvl w:val="1"/>
        <w:rPr>
          <w:rFonts w:ascii="宋体" w:eastAsia="宋体" w:hAnsi="宋体" w:cs="Times New Roman"/>
          <w:b/>
          <w:bCs/>
          <w:sz w:val="24"/>
          <w:szCs w:val="20"/>
        </w:rPr>
      </w:pPr>
      <w:r w:rsidRPr="00FC5B6A">
        <w:rPr>
          <w:rFonts w:ascii="宋体" w:eastAsia="宋体" w:hAnsi="宋体" w:cs="Times New Roman" w:hint="eastAsia"/>
          <w:b/>
          <w:bCs/>
          <w:sz w:val="24"/>
          <w:szCs w:val="20"/>
        </w:rPr>
        <w:t>4.1</w:t>
      </w:r>
      <w:r w:rsidRPr="00FC5B6A">
        <w:rPr>
          <w:rFonts w:ascii="宋体" w:eastAsia="宋体" w:hAnsi="宋体" w:cs="Times New Roman" w:hint="eastAsia"/>
          <w:b/>
          <w:bCs/>
          <w:sz w:val="24"/>
          <w:szCs w:val="20"/>
        </w:rPr>
        <w:t>赎回份额限制</w:t>
      </w:r>
    </w:p>
    <w:p w:rsidR="001F2AEF" w:rsidRPr="00D66870" w:rsidP="00D66870">
      <w:pPr>
        <w:spacing w:line="360" w:lineRule="auto"/>
        <w:ind w:firstLine="480" w:firstLineChars="200"/>
        <w:rPr>
          <w:rFonts w:ascii="宋体" w:eastAsia="宋体" w:hAnsi="宋体"/>
          <w:bCs/>
          <w:sz w:val="24"/>
        </w:rPr>
      </w:pPr>
      <w:r w:rsidRPr="00D66870">
        <w:rPr>
          <w:rFonts w:ascii="宋体" w:eastAsia="宋体" w:hAnsi="宋体"/>
          <w:bCs/>
          <w:sz w:val="24"/>
        </w:rPr>
        <w:t>1、投资者可将其全部或部分基金份额赎回，赎回最低份额0.1份，基金份额持有人在销售机构保留的基金份额不足0.1份的，登记系统有权将全部剩余份额自动赎回。</w:t>
      </w:r>
    </w:p>
    <w:p w:rsidR="001F2AEF" w:rsidRPr="00D66870" w:rsidP="00D66870">
      <w:pPr>
        <w:spacing w:line="360" w:lineRule="auto"/>
        <w:ind w:firstLine="480" w:firstLineChars="200"/>
        <w:rPr>
          <w:rFonts w:ascii="宋体" w:eastAsia="宋体" w:hAnsi="宋体"/>
          <w:bCs/>
          <w:sz w:val="24"/>
        </w:rPr>
        <w:sectPr>
          <w:type w:val="continuous"/>
          <w:pgSz w:w="11906" w:h="16838"/>
          <w:pgMar w:top="1440" w:right="1800" w:bottom="1440" w:left="1800" w:header="851" w:footer="992" w:gutter="0"/>
          <w:cols w:space="425"/>
          <w:docGrid w:type="lines" w:linePitch="312"/>
        </w:sectPr>
      </w:pPr>
      <w:r w:rsidRPr="00D66870">
        <w:rPr>
          <w:rFonts w:ascii="宋体" w:eastAsia="宋体" w:hAnsi="宋体"/>
          <w:bCs/>
          <w:sz w:val="24"/>
        </w:rPr>
        <w:t>2、基金管理人可在法律法规允许的情况下，调整上述规定赎回份额的数量限制。基金管理人必须在调整前依照《信息披露办法》的有关规定在规定媒介上公告。</w:t>
      </w:r>
    </w:p>
    <w:p w:rsidR="00BF5B51" w:rsidP="00BF5B51">
      <w:pPr>
        <w:keepNext/>
        <w:keepLines/>
        <w:spacing w:line="360" w:lineRule="auto"/>
        <w:outlineLvl w:val="1"/>
        <w:rPr>
          <w:rFonts w:ascii="宋体" w:eastAsia="宋体" w:hAnsi="宋体" w:cs="Times New Roman"/>
          <w:b/>
          <w:bCs/>
          <w:sz w:val="24"/>
          <w:szCs w:val="24"/>
        </w:rPr>
      </w:pPr>
      <w:r>
        <w:rPr>
          <w:rFonts w:ascii="宋体" w:eastAsia="宋体" w:hAnsi="宋体" w:cs="Times New Roman" w:hint="eastAsia"/>
          <w:b/>
          <w:bCs/>
          <w:sz w:val="24"/>
          <w:szCs w:val="24"/>
        </w:rPr>
        <w:t>4.2</w:t>
      </w:r>
      <w:r>
        <w:rPr>
          <w:rFonts w:ascii="宋体" w:eastAsia="宋体" w:hAnsi="宋体" w:cs="Times New Roman" w:hint="eastAsia"/>
          <w:b/>
          <w:bCs/>
          <w:sz w:val="24"/>
          <w:szCs w:val="24"/>
        </w:rPr>
        <w:t>赎回费率</w:t>
      </w:r>
    </w:p>
    <w:p w:rsidR="00BF5B51" w:rsidRPr="00BF5B51" w:rsidP="00257852">
      <w:pPr>
        <w:spacing w:line="360" w:lineRule="auto"/>
        <w:ind w:firstLine="480" w:firstLineChars="200"/>
        <w:rPr>
          <w:rFonts w:ascii="宋体" w:eastAsia="宋体" w:hAnsi="宋体" w:cs="Times New Roman"/>
          <w:sz w:val="24"/>
          <w:szCs w:val="24"/>
        </w:rPr>
      </w:pPr>
    </w:p>
    <w:p w:rsidR="00BF5B51" w:rsidRPr="00BF5B51">
      <w:pPr>
        <w:rPr>
          <w:rFonts w:ascii="宋体" w:eastAsia="宋体" w:hAnsi="宋体" w:cs="Times New Roman"/>
          <w:sz w:val="24"/>
          <w:szCs w:val="24"/>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880"/>
        <w:gridCol w:w="352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c>
          <w:tcPr>
            <w:tcW w:w="8400" w:type="dxa"/>
            <w:gridSpan w:val="2"/>
            <w:shd w:val="clear" w:color="auto" w:fill="D9D9D9"/>
            <w:vAlign w:val="center"/>
          </w:tcPr>
          <w:p w:rsidR="00BF5B51" w:rsidRPr="00BF5B51">
            <w:pPr>
              <w:jc w:val="center"/>
              <w:rPr>
                <w:rFonts w:ascii="宋体" w:eastAsia="宋体" w:hAnsi="宋体" w:cs="宋体"/>
                <w:color w:val="000000"/>
                <w:sz w:val="24"/>
                <w:szCs w:val="24"/>
              </w:rPr>
            </w:pPr>
            <w:r w:rsidRPr="00BF5B51">
              <w:rPr>
                <w:rFonts w:ascii="宋体" w:eastAsia="宋体" w:hAnsi="宋体" w:cs="宋体"/>
                <w:color w:val="000000"/>
                <w:sz w:val="24"/>
                <w:szCs w:val="24"/>
              </w:rPr>
              <w:t>汇添富鑫裕一年定开债发起式A</w:t>
            </w:r>
          </w:p>
        </w:tc>
      </w:tr>
      <w:tr>
        <w:tblPrEx>
          <w:tblW w:w="0" w:type="auto"/>
          <w:tblLayout w:type="fixed"/>
          <w:tblCellMar>
            <w:left w:w="108" w:type="dxa"/>
            <w:right w:w="108" w:type="dxa"/>
          </w:tblCellMar>
        </w:tblPrEx>
        <w:tc>
          <w:tcPr>
            <w:tcW w:w="4880" w:type="dxa"/>
            <w:shd w:val="clear" w:color="auto" w:fill="FFFFFF"/>
            <w:vAlign w:val="center"/>
          </w:tcPr>
          <w:p w:rsidR="00BF5B51" w:rsidRPr="00BF5B51">
            <w:pPr>
              <w:jc w:val="center"/>
              <w:rPr>
                <w:rFonts w:ascii="宋体" w:eastAsia="宋体" w:hAnsi="宋体" w:cs="宋体"/>
                <w:color w:val="000000"/>
                <w:sz w:val="24"/>
                <w:szCs w:val="24"/>
              </w:rPr>
            </w:pPr>
            <w:r w:rsidRPr="00BF5B51">
              <w:rPr>
                <w:rFonts w:ascii="宋体" w:eastAsia="宋体" w:hAnsi="宋体" w:cs="宋体"/>
                <w:color w:val="000000"/>
                <w:sz w:val="24"/>
                <w:szCs w:val="24"/>
              </w:rPr>
              <w:t>持有期限（N）</w:t>
            </w:r>
          </w:p>
        </w:tc>
        <w:tc>
          <w:tcPr>
            <w:tcW w:w="3520" w:type="dxa"/>
            <w:shd w:val="clear" w:color="auto" w:fill="FFFFFF"/>
            <w:vAlign w:val="center"/>
          </w:tcPr>
          <w:p w:rsidR="00BF5B51" w:rsidRPr="00BF5B51">
            <w:pPr>
              <w:jc w:val="center"/>
              <w:rPr>
                <w:rFonts w:ascii="宋体" w:eastAsia="宋体" w:hAnsi="宋体" w:cs="宋体"/>
                <w:color w:val="000000"/>
                <w:sz w:val="24"/>
                <w:szCs w:val="24"/>
              </w:rPr>
            </w:pPr>
            <w:r w:rsidRPr="00BF5B51">
              <w:rPr>
                <w:rFonts w:ascii="宋体" w:eastAsia="宋体" w:hAnsi="宋体" w:cs="宋体"/>
                <w:color w:val="000000"/>
                <w:sz w:val="24"/>
                <w:szCs w:val="24"/>
              </w:rPr>
              <w:t>费率/收费方式</w:t>
            </w:r>
          </w:p>
        </w:tc>
      </w:tr>
      <w:tr>
        <w:tblPrEx>
          <w:tblW w:w="0" w:type="auto"/>
          <w:tblLayout w:type="fixed"/>
          <w:tblCellMar>
            <w:left w:w="108" w:type="dxa"/>
            <w:right w:w="108" w:type="dxa"/>
          </w:tblCellMar>
        </w:tblPrEx>
        <w:tc>
          <w:tcPr>
            <w:tcW w:w="4880" w:type="dxa"/>
            <w:shd w:val="clear" w:color="auto" w:fill="FFFFFF"/>
            <w:vAlign w:val="center"/>
          </w:tcPr>
          <w:p w:rsidR="00BF5B51" w:rsidRPr="00BF5B51">
            <w:pPr>
              <w:jc w:val="left"/>
              <w:rPr>
                <w:rFonts w:ascii="宋体" w:eastAsia="宋体" w:hAnsi="宋体" w:cs="宋体"/>
                <w:color w:val="000000"/>
                <w:sz w:val="24"/>
                <w:szCs w:val="24"/>
              </w:rPr>
            </w:pPr>
            <w:r w:rsidRPr="00BF5B51">
              <w:rPr>
                <w:rFonts w:ascii="宋体" w:eastAsia="宋体" w:hAnsi="宋体" w:cs="宋体"/>
                <w:color w:val="000000"/>
                <w:sz w:val="24"/>
                <w:szCs w:val="24"/>
              </w:rPr>
              <w:t>0天≤N&lt;7天</w:t>
            </w:r>
          </w:p>
        </w:tc>
        <w:tc>
          <w:tcPr>
            <w:tcW w:w="3520" w:type="dxa"/>
            <w:shd w:val="clear" w:color="auto" w:fill="FFFFFF"/>
            <w:vAlign w:val="center"/>
          </w:tcPr>
          <w:p w:rsidR="00BF5B51" w:rsidRPr="00BF5B51">
            <w:pPr>
              <w:jc w:val="left"/>
              <w:rPr>
                <w:rFonts w:ascii="宋体" w:eastAsia="宋体" w:hAnsi="宋体" w:cs="宋体"/>
                <w:color w:val="000000"/>
                <w:sz w:val="24"/>
                <w:szCs w:val="24"/>
              </w:rPr>
            </w:pPr>
            <w:r w:rsidRPr="00BF5B51">
              <w:rPr>
                <w:rFonts w:ascii="宋体" w:eastAsia="宋体" w:hAnsi="宋体" w:cs="宋体"/>
                <w:color w:val="000000"/>
                <w:sz w:val="24"/>
                <w:szCs w:val="24"/>
              </w:rPr>
              <w:t>1.50%</w:t>
            </w:r>
          </w:p>
        </w:tc>
      </w:tr>
      <w:tr>
        <w:tblPrEx>
          <w:tblW w:w="0" w:type="auto"/>
          <w:tblLayout w:type="fixed"/>
          <w:tblCellMar>
            <w:left w:w="108" w:type="dxa"/>
            <w:right w:w="108" w:type="dxa"/>
          </w:tblCellMar>
        </w:tblPrEx>
        <w:tc>
          <w:tcPr>
            <w:tcW w:w="4880" w:type="dxa"/>
            <w:shd w:val="clear" w:color="auto" w:fill="FFFFFF"/>
            <w:vAlign w:val="center"/>
          </w:tcPr>
          <w:p w:rsidR="00BF5B51" w:rsidRPr="00BF5B51">
            <w:pPr>
              <w:jc w:val="left"/>
              <w:rPr>
                <w:rFonts w:ascii="宋体" w:eastAsia="宋体" w:hAnsi="宋体" w:cs="宋体"/>
                <w:color w:val="000000"/>
                <w:sz w:val="24"/>
                <w:szCs w:val="24"/>
              </w:rPr>
            </w:pPr>
            <w:r w:rsidRPr="00BF5B51">
              <w:rPr>
                <w:rFonts w:ascii="宋体" w:eastAsia="宋体" w:hAnsi="宋体" w:cs="宋体"/>
                <w:color w:val="000000"/>
                <w:sz w:val="24"/>
                <w:szCs w:val="24"/>
              </w:rPr>
              <w:t>N≥7天</w:t>
            </w:r>
          </w:p>
        </w:tc>
        <w:tc>
          <w:tcPr>
            <w:tcW w:w="3520" w:type="dxa"/>
            <w:shd w:val="clear" w:color="auto" w:fill="FFFFFF"/>
            <w:vAlign w:val="center"/>
          </w:tcPr>
          <w:p w:rsidR="00BF5B51" w:rsidRPr="00BF5B51">
            <w:pPr>
              <w:jc w:val="left"/>
              <w:rPr>
                <w:rFonts w:ascii="宋体" w:eastAsia="宋体" w:hAnsi="宋体" w:cs="宋体"/>
                <w:color w:val="000000"/>
                <w:sz w:val="24"/>
                <w:szCs w:val="24"/>
              </w:rPr>
            </w:pPr>
            <w:r w:rsidRPr="00BF5B51">
              <w:rPr>
                <w:rFonts w:ascii="宋体" w:eastAsia="宋体" w:hAnsi="宋体" w:cs="宋体"/>
                <w:color w:val="000000"/>
                <w:sz w:val="24"/>
                <w:szCs w:val="24"/>
              </w:rPr>
              <w:t>0.00%</w:t>
            </w:r>
          </w:p>
        </w:tc>
      </w:tr>
      <w:tr>
        <w:tblPrEx>
          <w:tblW w:w="0" w:type="auto"/>
          <w:tblLayout w:type="fixed"/>
          <w:tblCellMar>
            <w:left w:w="108" w:type="dxa"/>
            <w:right w:w="108" w:type="dxa"/>
          </w:tblCellMar>
        </w:tblPrEx>
        <w:tc>
          <w:tcPr>
            <w:tcW w:w="8400" w:type="dxa"/>
            <w:gridSpan w:val="2"/>
            <w:shd w:val="clear" w:color="auto" w:fill="D9D9D9"/>
            <w:vAlign w:val="center"/>
          </w:tcPr>
          <w:p w:rsidR="00BF5B51" w:rsidRPr="00BF5B51">
            <w:pPr>
              <w:jc w:val="center"/>
              <w:rPr>
                <w:rFonts w:ascii="宋体" w:eastAsia="宋体" w:hAnsi="宋体" w:cs="宋体"/>
                <w:color w:val="000000"/>
                <w:sz w:val="24"/>
                <w:szCs w:val="24"/>
              </w:rPr>
            </w:pPr>
            <w:r w:rsidRPr="00BF5B51">
              <w:rPr>
                <w:rFonts w:ascii="宋体" w:eastAsia="宋体" w:hAnsi="宋体" w:cs="宋体"/>
                <w:color w:val="000000"/>
                <w:sz w:val="24"/>
                <w:szCs w:val="24"/>
              </w:rPr>
              <w:t>汇添富鑫裕一年定开债发起式C</w:t>
            </w:r>
          </w:p>
        </w:tc>
      </w:tr>
      <w:tr>
        <w:tblPrEx>
          <w:tblW w:w="0" w:type="auto"/>
          <w:tblLayout w:type="fixed"/>
          <w:tblCellMar>
            <w:left w:w="108" w:type="dxa"/>
            <w:right w:w="108" w:type="dxa"/>
          </w:tblCellMar>
        </w:tblPrEx>
        <w:tc>
          <w:tcPr>
            <w:tcW w:w="4880" w:type="dxa"/>
            <w:shd w:val="clear" w:color="auto" w:fill="FFFFFF"/>
            <w:vAlign w:val="center"/>
          </w:tcPr>
          <w:p w:rsidR="00BF5B51" w:rsidRPr="00BF5B51">
            <w:pPr>
              <w:jc w:val="center"/>
              <w:rPr>
                <w:rFonts w:ascii="宋体" w:eastAsia="宋体" w:hAnsi="宋体" w:cs="宋体"/>
                <w:color w:val="000000"/>
                <w:sz w:val="24"/>
                <w:szCs w:val="24"/>
              </w:rPr>
            </w:pPr>
            <w:r w:rsidRPr="00BF5B51">
              <w:rPr>
                <w:rFonts w:ascii="宋体" w:eastAsia="宋体" w:hAnsi="宋体" w:cs="宋体"/>
                <w:color w:val="000000"/>
                <w:sz w:val="24"/>
                <w:szCs w:val="24"/>
              </w:rPr>
              <w:t>持有期限（N）</w:t>
            </w:r>
          </w:p>
        </w:tc>
        <w:tc>
          <w:tcPr>
            <w:tcW w:w="3520" w:type="dxa"/>
            <w:shd w:val="clear" w:color="auto" w:fill="FFFFFF"/>
            <w:vAlign w:val="center"/>
          </w:tcPr>
          <w:p w:rsidR="00BF5B51" w:rsidRPr="00BF5B51">
            <w:pPr>
              <w:jc w:val="center"/>
              <w:rPr>
                <w:rFonts w:ascii="宋体" w:eastAsia="宋体" w:hAnsi="宋体" w:cs="宋体"/>
                <w:color w:val="000000"/>
                <w:sz w:val="24"/>
                <w:szCs w:val="24"/>
              </w:rPr>
            </w:pPr>
            <w:r w:rsidRPr="00BF5B51">
              <w:rPr>
                <w:rFonts w:ascii="宋体" w:eastAsia="宋体" w:hAnsi="宋体" w:cs="宋体"/>
                <w:color w:val="000000"/>
                <w:sz w:val="24"/>
                <w:szCs w:val="24"/>
              </w:rPr>
              <w:t>费率/收费方式</w:t>
            </w:r>
          </w:p>
        </w:tc>
      </w:tr>
      <w:tr>
        <w:tblPrEx>
          <w:tblW w:w="0" w:type="auto"/>
          <w:tblLayout w:type="fixed"/>
          <w:tblCellMar>
            <w:left w:w="108" w:type="dxa"/>
            <w:right w:w="108" w:type="dxa"/>
          </w:tblCellMar>
        </w:tblPrEx>
        <w:tc>
          <w:tcPr>
            <w:tcW w:w="4880" w:type="dxa"/>
            <w:shd w:val="clear" w:color="auto" w:fill="FFFFFF"/>
            <w:vAlign w:val="center"/>
          </w:tcPr>
          <w:p w:rsidR="00BF5B51" w:rsidRPr="00BF5B51">
            <w:pPr>
              <w:jc w:val="left"/>
              <w:rPr>
                <w:rFonts w:ascii="宋体" w:eastAsia="宋体" w:hAnsi="宋体" w:cs="宋体"/>
                <w:color w:val="000000"/>
                <w:sz w:val="24"/>
                <w:szCs w:val="24"/>
              </w:rPr>
            </w:pPr>
            <w:r w:rsidRPr="00BF5B51">
              <w:rPr>
                <w:rFonts w:ascii="宋体" w:eastAsia="宋体" w:hAnsi="宋体" w:cs="宋体"/>
                <w:color w:val="000000"/>
                <w:sz w:val="24"/>
                <w:szCs w:val="24"/>
              </w:rPr>
              <w:t>0天≤N&lt;7天</w:t>
            </w:r>
          </w:p>
        </w:tc>
        <w:tc>
          <w:tcPr>
            <w:tcW w:w="3520" w:type="dxa"/>
            <w:shd w:val="clear" w:color="auto" w:fill="FFFFFF"/>
            <w:vAlign w:val="center"/>
          </w:tcPr>
          <w:p w:rsidR="00BF5B51" w:rsidRPr="00BF5B51">
            <w:pPr>
              <w:jc w:val="left"/>
              <w:rPr>
                <w:rFonts w:ascii="宋体" w:eastAsia="宋体" w:hAnsi="宋体" w:cs="宋体"/>
                <w:color w:val="000000"/>
                <w:sz w:val="24"/>
                <w:szCs w:val="24"/>
              </w:rPr>
            </w:pPr>
            <w:r w:rsidRPr="00BF5B51">
              <w:rPr>
                <w:rFonts w:ascii="宋体" w:eastAsia="宋体" w:hAnsi="宋体" w:cs="宋体"/>
                <w:color w:val="000000"/>
                <w:sz w:val="24"/>
                <w:szCs w:val="24"/>
              </w:rPr>
              <w:t>1.50%</w:t>
            </w:r>
          </w:p>
        </w:tc>
      </w:tr>
      <w:tr>
        <w:tblPrEx>
          <w:tblW w:w="0" w:type="auto"/>
          <w:tblLayout w:type="fixed"/>
          <w:tblCellMar>
            <w:left w:w="108" w:type="dxa"/>
            <w:right w:w="108" w:type="dxa"/>
          </w:tblCellMar>
        </w:tblPrEx>
        <w:tc>
          <w:tcPr>
            <w:tcW w:w="4880" w:type="dxa"/>
            <w:shd w:val="clear" w:color="auto" w:fill="FFFFFF"/>
            <w:vAlign w:val="center"/>
          </w:tcPr>
          <w:p w:rsidR="00BF5B51" w:rsidRPr="00BF5B51">
            <w:pPr>
              <w:jc w:val="left"/>
              <w:rPr>
                <w:rFonts w:ascii="宋体" w:eastAsia="宋体" w:hAnsi="宋体" w:cs="宋体"/>
                <w:color w:val="000000"/>
                <w:sz w:val="24"/>
                <w:szCs w:val="24"/>
              </w:rPr>
            </w:pPr>
            <w:r w:rsidRPr="00BF5B51">
              <w:rPr>
                <w:rFonts w:ascii="宋体" w:eastAsia="宋体" w:hAnsi="宋体" w:cs="宋体"/>
                <w:color w:val="000000"/>
                <w:sz w:val="24"/>
                <w:szCs w:val="24"/>
              </w:rPr>
              <w:t>N≥7天</w:t>
            </w:r>
          </w:p>
        </w:tc>
        <w:tc>
          <w:tcPr>
            <w:tcW w:w="3520" w:type="dxa"/>
            <w:shd w:val="clear" w:color="auto" w:fill="FFFFFF"/>
            <w:vAlign w:val="center"/>
          </w:tcPr>
          <w:p w:rsidR="00BF5B51" w:rsidRPr="00BF5B51">
            <w:pPr>
              <w:jc w:val="left"/>
              <w:rPr>
                <w:rFonts w:ascii="宋体" w:eastAsia="宋体" w:hAnsi="宋体" w:cs="宋体"/>
                <w:color w:val="000000"/>
                <w:sz w:val="24"/>
                <w:szCs w:val="24"/>
              </w:rPr>
            </w:pPr>
            <w:r w:rsidRPr="00BF5B51">
              <w:rPr>
                <w:rFonts w:ascii="宋体" w:eastAsia="宋体" w:hAnsi="宋体" w:cs="宋体"/>
                <w:color w:val="000000"/>
                <w:sz w:val="24"/>
                <w:szCs w:val="24"/>
              </w:rPr>
              <w:t>0.00%</w:t>
            </w:r>
          </w:p>
        </w:tc>
      </w:tr>
    </w:tbl>
    <w:p w:rsidR="00BF5B51" w:rsidRPr="00BF5B51">
      <w:pPr>
        <w:rPr>
          <w:rFonts w:ascii="宋体" w:eastAsia="宋体" w:hAnsi="宋体" w:cs="Times New Roman"/>
          <w:sz w:val="24"/>
          <w:szCs w:val="24"/>
        </w:rPr>
      </w:pPr>
    </w:p>
    <w:p w:rsidR="00BF5B51" w:rsidRPr="00BF5B51" w:rsidP="00BD0E4D">
      <w:pPr>
        <w:spacing w:line="360" w:lineRule="auto"/>
        <w:rPr>
          <w:rFonts w:ascii="宋体" w:eastAsia="宋体" w:hAnsi="宋体" w:cs="Times New Roman"/>
          <w:sz w:val="24"/>
          <w:szCs w:val="24"/>
        </w:rPr>
        <w:sectPr>
          <w:type w:val="continuous"/>
          <w:pgSz w:w="11906" w:h="16838"/>
          <w:pgMar w:top="1440" w:right="1800" w:bottom="1440" w:left="1800" w:header="851" w:footer="992" w:gutter="0"/>
          <w:cols w:space="425"/>
          <w:docGrid w:type="lines" w:linePitch="312"/>
        </w:sectPr>
      </w:pPr>
    </w:p>
    <w:bookmarkStart w:id="8" w:name="t_2_1_table_6"/>
    <w:bookmarkEnd w:id="8"/>
    <w:p w:rsidR="0092144E" w:rsidRPr="005A1630" w:rsidP="0092144E" w14:paraId="26B4E33F" w14:textId="7575245A">
      <w:pPr>
        <w:pStyle w:val="Heading2"/>
        <w:spacing w:before="156" w:beforeLines="50" w:after="156" w:afterLines="50" w:line="240" w:lineRule="auto"/>
        <w:jc w:val="left"/>
        <w:rPr>
          <w:rFonts w:ascii="宋体" w:eastAsia="宋体" w:hAnsi="宋体"/>
          <w:bCs/>
          <w:sz w:val="24"/>
        </w:rPr>
      </w:pPr>
      <w:r w:rsidRPr="005A1630" w:rsidR="00AC6636">
        <w:rPr>
          <w:rFonts w:ascii="宋体" w:eastAsia="宋体" w:hAnsi="宋体" w:hint="eastAsia"/>
          <w:bCs/>
          <w:sz w:val="24"/>
        </w:rPr>
        <w:t>4.3</w:t>
      </w:r>
      <w:r w:rsidRPr="005A1630" w:rsidR="00AC6636">
        <w:rPr>
          <w:rFonts w:ascii="宋体" w:eastAsia="宋体" w:hAnsi="宋体" w:hint="eastAsia"/>
          <w:bCs/>
          <w:sz w:val="24"/>
        </w:rPr>
        <w:t>其他与</w:t>
      </w:r>
      <w:r w:rsidRPr="005A1630" w:rsidR="00B46437">
        <w:rPr>
          <w:rFonts w:ascii="宋体" w:eastAsia="宋体" w:hAnsi="宋体" w:hint="eastAsia"/>
          <w:bCs/>
          <w:sz w:val="24"/>
        </w:rPr>
        <w:t>赎回</w:t>
      </w:r>
      <w:r w:rsidRPr="005A1630" w:rsidR="00AC6636">
        <w:rPr>
          <w:rFonts w:ascii="宋体" w:eastAsia="宋体" w:hAnsi="宋体" w:hint="eastAsia"/>
          <w:bCs/>
          <w:sz w:val="24"/>
        </w:rPr>
        <w:t>相关的事项</w:t>
      </w:r>
    </w:p>
    <w:p w:rsidR="00D5607E" w:rsidRPr="006237DE" w:rsidP="006237DE" w14:paraId="6BD731FF" w14:textId="6B5E05D5">
      <w:pPr>
        <w:spacing w:line="360" w:lineRule="auto"/>
        <w:ind w:firstLine="480" w:firstLineChars="200"/>
        <w:jc w:val="left"/>
        <w:rPr>
          <w:rFonts w:ascii="宋体" w:eastAsia="宋体" w:hAnsi="宋体"/>
          <w:sz w:val="24"/>
          <w:szCs w:val="24"/>
        </w:rPr>
        <w:sectPr>
          <w:type w:val="continuous"/>
          <w:pgSz w:w="11906" w:h="16838"/>
          <w:pgMar w:top="1440" w:right="1800" w:bottom="1440" w:left="1800" w:header="851" w:footer="992" w:gutter="0"/>
          <w:cols w:space="425"/>
          <w:docGrid w:type="lines" w:linePitch="312"/>
        </w:sectPr>
      </w:pPr>
      <w:r w:rsidRPr="006237DE">
        <w:rPr>
          <w:rFonts w:ascii="宋体" w:eastAsia="宋体" w:hAnsi="宋体"/>
          <w:sz w:val="24"/>
          <w:szCs w:val="24"/>
        </w:rPr>
        <w:t>无</w:t>
      </w:r>
    </w:p>
    <w:bookmarkStart w:id="9" w:name="t_2_1_table_7"/>
    <w:bookmarkEnd w:id="9"/>
    <w:p w:rsidR="00000AF7" w:rsidRPr="00917680" w:rsidP="00917680" w14:textId="3DDC9A86">
      <w:pPr>
        <w:pStyle w:val="Heading2"/>
        <w:spacing w:before="156" w:beforeLines="50" w:after="156" w:afterLines="50" w:line="240" w:lineRule="auto"/>
        <w:jc w:val="left"/>
        <w:rPr>
          <w:rFonts w:ascii="宋体" w:eastAsia="宋体" w:hAnsi="宋体"/>
          <w:bCs/>
          <w:sz w:val="24"/>
          <w:szCs w:val="24"/>
        </w:rPr>
        <w:sectPr>
          <w:type w:val="continuous"/>
          <w:pgSz w:w="11906" w:h="16838"/>
          <w:pgMar w:top="1440" w:right="1800" w:bottom="1440" w:left="1800" w:header="851" w:footer="992" w:gutter="0"/>
          <w:cols w:space="425"/>
          <w:docGrid w:type="lines" w:linePitch="312"/>
        </w:sectPr>
      </w:pPr>
      <w:r w:rsidRPr="00917680" w:rsidR="00730BC9">
        <w:rPr>
          <w:rFonts w:ascii="宋体" w:eastAsia="宋体" w:hAnsi="宋体" w:hint="eastAsia"/>
          <w:bCs/>
          <w:sz w:val="24"/>
          <w:szCs w:val="24"/>
        </w:rPr>
        <w:t>5</w:t>
      </w:r>
      <w:r w:rsidRPr="00917680" w:rsidR="00730BC9">
        <w:rPr>
          <w:rFonts w:ascii="宋体" w:eastAsia="宋体" w:hAnsi="宋体" w:hint="eastAsia"/>
          <w:bCs/>
          <w:sz w:val="24"/>
          <w:szCs w:val="24"/>
        </w:rPr>
        <w:t>基金销售机构</w:t>
      </w:r>
    </w:p>
    <w:bookmarkStart w:id="10" w:name="t_2_1_table_8"/>
    <w:bookmarkEnd w:id="10"/>
    <w:p w:rsidR="00000AF7" w:rsidRPr="00C53A47" w:rsidP="00D5630A" w14:textId="22ADB5BB">
      <w:pPr>
        <w:pStyle w:val="Heading2"/>
        <w:spacing w:before="156" w:beforeLines="50" w:after="156" w:afterLines="50" w:line="240" w:lineRule="auto"/>
        <w:jc w:val="left"/>
        <w:rPr>
          <w:rFonts w:ascii="宋体" w:eastAsia="宋体" w:hAnsi="宋体"/>
          <w:bCs/>
          <w:sz w:val="24"/>
          <w:szCs w:val="24"/>
        </w:rPr>
        <w:sectPr>
          <w:type w:val="continuous"/>
          <w:pgSz w:w="11906" w:h="16838"/>
          <w:pgMar w:top="1440" w:right="1800" w:bottom="1440" w:left="1800" w:header="851" w:footer="992" w:gutter="0"/>
          <w:cols w:space="425"/>
          <w:docGrid w:type="lines" w:linePitch="312"/>
        </w:sectPr>
      </w:pPr>
      <w:r w:rsidRPr="00C53A47" w:rsidR="00857BBC">
        <w:rPr>
          <w:rFonts w:ascii="宋体" w:eastAsia="宋体" w:hAnsi="宋体" w:hint="eastAsia"/>
          <w:bCs/>
          <w:sz w:val="24"/>
          <w:szCs w:val="24"/>
        </w:rPr>
        <w:t>5.1</w:t>
      </w:r>
      <w:r w:rsidRPr="00C53A47" w:rsidR="00857BBC">
        <w:rPr>
          <w:rFonts w:ascii="宋体" w:eastAsia="宋体" w:hAnsi="宋体" w:hint="eastAsia"/>
          <w:bCs/>
          <w:sz w:val="24"/>
          <w:szCs w:val="24"/>
        </w:rPr>
        <w:t>场外</w:t>
      </w:r>
      <w:r w:rsidRPr="00C53A47" w:rsidR="00730BC9">
        <w:rPr>
          <w:rFonts w:ascii="宋体" w:eastAsia="宋体" w:hAnsi="宋体" w:hint="eastAsia"/>
          <w:bCs/>
          <w:sz w:val="24"/>
          <w:szCs w:val="24"/>
        </w:rPr>
        <w:t>销售机构</w:t>
      </w:r>
    </w:p>
    <w:bookmarkStart w:id="11" w:name="t_2_1_table_9"/>
    <w:bookmarkEnd w:id="11"/>
    <w:p w:rsidR="00000AF7" w:rsidRPr="006A0EC3" w:rsidP="00D5630A" w14:textId="38EB2252">
      <w:pPr>
        <w:pStyle w:val="Heading2"/>
        <w:spacing w:before="156" w:beforeLines="50" w:after="156" w:afterLines="50" w:line="240" w:lineRule="auto"/>
        <w:jc w:val="left"/>
        <w:rPr>
          <w:rFonts w:ascii="宋体" w:eastAsia="宋体" w:hAnsi="宋体"/>
          <w:bCs/>
          <w:sz w:val="24"/>
          <w:szCs w:val="24"/>
        </w:rPr>
      </w:pPr>
      <w:r w:rsidRPr="006A0EC3" w:rsidR="006A6324">
        <w:rPr>
          <w:rFonts w:ascii="宋体" w:eastAsia="宋体" w:hAnsi="宋体" w:hint="eastAsia"/>
          <w:bCs/>
          <w:sz w:val="24"/>
          <w:szCs w:val="24"/>
        </w:rPr>
        <w:t>5.1.1</w:t>
      </w:r>
      <w:r w:rsidRPr="006A0EC3" w:rsidR="006A6324">
        <w:rPr>
          <w:rFonts w:ascii="宋体" w:eastAsia="宋体" w:hAnsi="宋体" w:hint="eastAsia"/>
          <w:bCs/>
          <w:sz w:val="24"/>
          <w:szCs w:val="24"/>
        </w:rPr>
        <w:t>直销</w:t>
      </w:r>
      <w:r w:rsidRPr="006A0EC3" w:rsidR="00730BC9">
        <w:rPr>
          <w:rFonts w:ascii="宋体" w:eastAsia="宋体" w:hAnsi="宋体" w:hint="eastAsia"/>
          <w:bCs/>
          <w:sz w:val="24"/>
          <w:szCs w:val="24"/>
        </w:rPr>
        <w:t>机构</w:t>
      </w:r>
    </w:p>
    <w:tbl>
      <w:tblPr>
        <w:tblStyle w:val="TableGrid"/>
        <w:tblW w:w="0" w:type="auto"/>
        <w:tblLook w:val="04A0"/>
      </w:tblPr>
      <w:tblGrid>
        <w:gridCol w:w="4390"/>
        <w:gridCol w:w="1417"/>
        <w:gridCol w:w="1276"/>
        <w:gridCol w:w="1213"/>
      </w:tblGrid>
      <w:tr w14:paraId="49C8C74A" w14:textId="77777777" w:rsidTr="006A0EC3">
        <w:tblPrEx>
          <w:tblW w:w="0" w:type="auto"/>
          <w:tblLook w:val="04A0"/>
        </w:tblPrEx>
        <w:tc>
          <w:tcPr>
            <w:tcW w:w="4390" w:type="dxa"/>
            <w:tcBorders>
              <w:tl2br w:val="single" w:sz="4" w:space="0" w:color="auto"/>
            </w:tcBorders>
            <w:vAlign w:val="center"/>
          </w:tcPr>
          <w:p w:rsidR="00584804" w:rsidRPr="006A0EC3" w:rsidP="004A1AFB" w14:paraId="347FEB0A" w14:textId="72097E80">
            <w:pPr>
              <w:jc w:val="left"/>
              <w:rPr>
                <w:rFonts w:ascii="宋体" w:eastAsia="宋体" w:hAnsi="宋体"/>
                <w:b/>
                <w:sz w:val="24"/>
                <w:szCs w:val="24"/>
              </w:rPr>
            </w:pPr>
            <w:r>
              <w:rPr>
                <w:rFonts w:ascii="宋体" w:eastAsia="宋体" w:hAnsi="宋体" w:hint="eastAsia"/>
                <w:b/>
                <w:sz w:val="24"/>
                <w:szCs w:val="24"/>
              </w:rPr>
              <w:t xml:space="preserve">                      </w:t>
            </w:r>
            <w:r w:rsidRPr="006A0EC3" w:rsidR="004A1AFB">
              <w:rPr>
                <w:rFonts w:ascii="宋体" w:eastAsia="宋体" w:hAnsi="宋体" w:hint="eastAsia"/>
                <w:b/>
                <w:sz w:val="24"/>
                <w:szCs w:val="24"/>
              </w:rPr>
              <w:t>办理业务</w:t>
            </w:r>
            <w:r w:rsidR="004A1AFB">
              <w:rPr>
                <w:rFonts w:ascii="宋体" w:eastAsia="宋体" w:hAnsi="宋体" w:hint="eastAsia"/>
                <w:b/>
                <w:sz w:val="24"/>
                <w:szCs w:val="24"/>
              </w:rPr>
              <w:t>类型</w:t>
            </w:r>
            <w:r w:rsidRPr="006A0EC3" w:rsidR="00BD69B4">
              <w:rPr>
                <w:rFonts w:ascii="宋体" w:eastAsia="宋体" w:hAnsi="宋体" w:hint="eastAsia"/>
                <w:b/>
                <w:sz w:val="24"/>
                <w:szCs w:val="24"/>
              </w:rPr>
              <w:t xml:space="preserve">                     </w:t>
            </w:r>
            <w:r w:rsidRPr="006A0EC3" w:rsidR="004A1AFB">
              <w:rPr>
                <w:rFonts w:ascii="宋体" w:eastAsia="宋体" w:hAnsi="宋体" w:hint="eastAsia"/>
                <w:b/>
                <w:sz w:val="24"/>
                <w:szCs w:val="24"/>
              </w:rPr>
              <w:t>直销机构</w:t>
            </w:r>
            <w:r w:rsidRPr="006A0EC3" w:rsidR="004A1AFB">
              <w:rPr>
                <w:rFonts w:ascii="宋体" w:eastAsia="宋体" w:hAnsi="宋体"/>
                <w:b/>
                <w:sz w:val="24"/>
                <w:szCs w:val="24"/>
              </w:rPr>
              <w:t>类型</w:t>
            </w:r>
          </w:p>
        </w:tc>
        <w:tc>
          <w:tcPr>
            <w:tcW w:w="1417" w:type="dxa"/>
            <w:vAlign w:val="center"/>
          </w:tcPr>
          <w:p w:rsidR="00584804" w:rsidRPr="006A0EC3" w:rsidP="00D42404" w14:paraId="2A68BBEC" w14:textId="77777777">
            <w:pPr>
              <w:jc w:val="center"/>
              <w:rPr>
                <w:rFonts w:ascii="宋体" w:eastAsia="宋体" w:hAnsi="宋体"/>
                <w:b/>
                <w:sz w:val="24"/>
                <w:szCs w:val="24"/>
              </w:rPr>
            </w:pPr>
            <w:r w:rsidRPr="006A0EC3">
              <w:rPr>
                <w:rFonts w:ascii="宋体" w:eastAsia="宋体" w:hAnsi="宋体" w:hint="eastAsia"/>
                <w:b/>
                <w:sz w:val="24"/>
                <w:szCs w:val="24"/>
              </w:rPr>
              <w:t>是否</w:t>
            </w:r>
            <w:r w:rsidRPr="006A0EC3">
              <w:rPr>
                <w:rFonts w:ascii="宋体" w:eastAsia="宋体" w:hAnsi="宋体"/>
                <w:b/>
                <w:sz w:val="24"/>
                <w:szCs w:val="24"/>
              </w:rPr>
              <w:t>办理申购</w:t>
            </w:r>
          </w:p>
        </w:tc>
        <w:tc>
          <w:tcPr>
            <w:tcW w:w="1276" w:type="dxa"/>
            <w:vAlign w:val="center"/>
          </w:tcPr>
          <w:p w:rsidR="00584804" w:rsidRPr="006A0EC3" w:rsidP="00D42404" w14:paraId="0EFE05AF" w14:textId="77777777">
            <w:pPr>
              <w:jc w:val="center"/>
              <w:rPr>
                <w:rFonts w:ascii="宋体" w:eastAsia="宋体" w:hAnsi="宋体"/>
                <w:b/>
                <w:sz w:val="24"/>
                <w:szCs w:val="24"/>
              </w:rPr>
            </w:pPr>
            <w:r w:rsidRPr="006A0EC3">
              <w:rPr>
                <w:rFonts w:ascii="宋体" w:eastAsia="宋体" w:hAnsi="宋体" w:hint="eastAsia"/>
                <w:b/>
                <w:sz w:val="24"/>
                <w:szCs w:val="24"/>
              </w:rPr>
              <w:t>是否</w:t>
            </w:r>
            <w:r w:rsidRPr="006A0EC3">
              <w:rPr>
                <w:rFonts w:ascii="宋体" w:eastAsia="宋体" w:hAnsi="宋体"/>
                <w:b/>
                <w:sz w:val="24"/>
                <w:szCs w:val="24"/>
              </w:rPr>
              <w:t>办理</w:t>
            </w:r>
            <w:r w:rsidRPr="006A0EC3">
              <w:rPr>
                <w:rFonts w:ascii="宋体" w:eastAsia="宋体" w:hAnsi="宋体" w:hint="eastAsia"/>
                <w:b/>
                <w:sz w:val="24"/>
                <w:szCs w:val="24"/>
              </w:rPr>
              <w:t>赎回</w:t>
            </w:r>
          </w:p>
        </w:tc>
        <w:tc>
          <w:tcPr>
            <w:tcW w:w="1213" w:type="dxa"/>
            <w:vAlign w:val="center"/>
          </w:tcPr>
          <w:p w:rsidR="00584804" w:rsidRPr="006A0EC3" w:rsidP="00D42404" w14:paraId="422CBFD9" w14:textId="77777777">
            <w:pPr>
              <w:jc w:val="center"/>
              <w:rPr>
                <w:rFonts w:ascii="宋体" w:eastAsia="宋体" w:hAnsi="宋体"/>
                <w:b/>
                <w:sz w:val="24"/>
                <w:szCs w:val="24"/>
              </w:rPr>
            </w:pPr>
            <w:r w:rsidRPr="006A0EC3">
              <w:rPr>
                <w:rFonts w:ascii="宋体" w:eastAsia="宋体" w:hAnsi="宋体" w:hint="eastAsia"/>
                <w:b/>
                <w:sz w:val="24"/>
                <w:szCs w:val="24"/>
              </w:rPr>
              <w:t>是否</w:t>
            </w:r>
            <w:r w:rsidRPr="006A0EC3">
              <w:rPr>
                <w:rFonts w:ascii="宋体" w:eastAsia="宋体" w:hAnsi="宋体"/>
                <w:b/>
                <w:sz w:val="24"/>
                <w:szCs w:val="24"/>
              </w:rPr>
              <w:t>办理</w:t>
            </w:r>
            <w:r w:rsidRPr="006A0EC3">
              <w:rPr>
                <w:rFonts w:ascii="宋体" w:eastAsia="宋体" w:hAnsi="宋体" w:hint="eastAsia"/>
                <w:b/>
                <w:sz w:val="24"/>
                <w:szCs w:val="24"/>
              </w:rPr>
              <w:t>转换</w:t>
            </w:r>
          </w:p>
        </w:tc>
      </w:tr>
      <w:tr w14:paraId="1F4F2B39" w14:textId="77777777" w:rsidTr="006A0EC3">
        <w:tblPrEx>
          <w:tblW w:w="0" w:type="auto"/>
          <w:tblLook w:val="04A0"/>
        </w:tblPrEx>
        <w:tc>
          <w:tcPr>
            <w:tcW w:w="4390" w:type="dxa"/>
            <w:vAlign w:val="center"/>
          </w:tcPr>
          <w:p w:rsidR="00584804" w:rsidRPr="006A0EC3" w:rsidP="00D42404" w14:paraId="36924B75" w14:textId="77777777">
            <w:pPr>
              <w:rPr>
                <w:rFonts w:ascii="宋体" w:eastAsia="宋体" w:hAnsi="宋体"/>
                <w:sz w:val="24"/>
                <w:szCs w:val="24"/>
              </w:rPr>
            </w:pPr>
            <w:r w:rsidRPr="006A0EC3">
              <w:rPr>
                <w:rFonts w:ascii="宋体" w:eastAsia="宋体" w:hAnsi="宋体" w:hint="eastAsia"/>
                <w:sz w:val="24"/>
                <w:szCs w:val="24"/>
              </w:rPr>
              <w:t>汇添富基金</w:t>
            </w:r>
            <w:r w:rsidRPr="006A0EC3">
              <w:rPr>
                <w:rFonts w:ascii="宋体" w:eastAsia="宋体" w:hAnsi="宋体"/>
                <w:sz w:val="24"/>
                <w:szCs w:val="24"/>
              </w:rPr>
              <w:t>管理股份有限公司直销中心</w:t>
            </w:r>
          </w:p>
        </w:tc>
        <w:tc>
          <w:tcPr>
            <w:tcW w:w="1417" w:type="dxa"/>
            <w:vAlign w:val="center"/>
          </w:tcPr>
          <w:p w:rsidR="00584804" w:rsidRPr="006A0EC3" w:rsidP="00D42404" w14:paraId="25659EB9" w14:textId="77777777">
            <w:pPr>
              <w:jc w:val="center"/>
              <w:rPr>
                <w:rFonts w:ascii="宋体" w:eastAsia="宋体" w:hAnsi="宋体"/>
                <w:sz w:val="24"/>
                <w:szCs w:val="24"/>
              </w:rPr>
            </w:pPr>
            <w:r w:rsidRPr="006A0EC3">
              <w:rPr>
                <w:rFonts w:ascii="宋体" w:eastAsia="宋体" w:hAnsi="宋体"/>
                <w:sz w:val="24"/>
                <w:szCs w:val="24"/>
              </w:rPr>
              <w:t>是</w:t>
            </w:r>
          </w:p>
        </w:tc>
        <w:tc>
          <w:tcPr>
            <w:tcW w:w="1276" w:type="dxa"/>
            <w:vAlign w:val="center"/>
          </w:tcPr>
          <w:p w:rsidR="00584804" w:rsidRPr="006A0EC3" w:rsidP="00D42404" w14:paraId="4686E32B" w14:textId="77777777">
            <w:pPr>
              <w:jc w:val="center"/>
              <w:rPr>
                <w:rFonts w:ascii="宋体" w:eastAsia="宋体" w:hAnsi="宋体"/>
                <w:sz w:val="24"/>
                <w:szCs w:val="24"/>
              </w:rPr>
            </w:pPr>
            <w:r w:rsidRPr="006A0EC3">
              <w:rPr>
                <w:rFonts w:ascii="宋体" w:eastAsia="宋体" w:hAnsi="宋体"/>
                <w:sz w:val="24"/>
                <w:szCs w:val="24"/>
              </w:rPr>
              <w:t>是</w:t>
            </w:r>
          </w:p>
        </w:tc>
        <w:tc>
          <w:tcPr>
            <w:tcW w:w="1213" w:type="dxa"/>
            <w:vAlign w:val="center"/>
          </w:tcPr>
          <w:p w:rsidR="00584804" w:rsidRPr="006A0EC3" w:rsidP="00D42404" w14:paraId="3FC5B8CB" w14:textId="77777777">
            <w:pPr>
              <w:jc w:val="center"/>
              <w:rPr>
                <w:rFonts w:ascii="宋体" w:eastAsia="宋体" w:hAnsi="宋体"/>
                <w:sz w:val="24"/>
                <w:szCs w:val="24"/>
              </w:rPr>
            </w:pPr>
            <w:r w:rsidRPr="006A0EC3">
              <w:rPr>
                <w:rFonts w:ascii="宋体" w:eastAsia="宋体" w:hAnsi="宋体"/>
                <w:sz w:val="24"/>
                <w:szCs w:val="24"/>
              </w:rPr>
              <w:t>否</w:t>
            </w:r>
          </w:p>
        </w:tc>
      </w:tr>
      <w:tr w14:paraId="1DFC11D9" w14:textId="77777777" w:rsidTr="006A0EC3">
        <w:tblPrEx>
          <w:tblW w:w="0" w:type="auto"/>
          <w:tblLook w:val="04A0"/>
        </w:tblPrEx>
        <w:tc>
          <w:tcPr>
            <w:tcW w:w="4390" w:type="dxa"/>
            <w:vAlign w:val="center"/>
          </w:tcPr>
          <w:p w:rsidR="00584804" w:rsidRPr="006A0EC3" w:rsidP="0096392E" w14:paraId="3B39FDA1" w14:textId="5701BE46">
            <w:pPr>
              <w:rPr>
                <w:rFonts w:ascii="宋体" w:eastAsia="宋体" w:hAnsi="宋体"/>
                <w:sz w:val="24"/>
                <w:szCs w:val="24"/>
              </w:rPr>
            </w:pPr>
            <w:r w:rsidRPr="006A0EC3">
              <w:rPr>
                <w:rFonts w:ascii="宋体" w:eastAsia="宋体" w:hAnsi="宋体" w:hint="eastAsia"/>
                <w:sz w:val="24"/>
                <w:szCs w:val="24"/>
              </w:rPr>
              <w:t>汇添富基金</w:t>
            </w:r>
            <w:r w:rsidRPr="006A0EC3">
              <w:rPr>
                <w:rFonts w:ascii="宋体" w:eastAsia="宋体" w:hAnsi="宋体"/>
                <w:sz w:val="24"/>
                <w:szCs w:val="24"/>
              </w:rPr>
              <w:t>管理股份有限公司</w:t>
            </w:r>
            <w:r w:rsidR="0096392E">
              <w:rPr>
                <w:rFonts w:ascii="宋体" w:eastAsia="宋体" w:hAnsi="宋体" w:hint="eastAsia"/>
                <w:sz w:val="24"/>
                <w:szCs w:val="24"/>
              </w:rPr>
              <w:t>线上</w:t>
            </w:r>
            <w:r w:rsidRPr="006A0EC3">
              <w:rPr>
                <w:rFonts w:ascii="宋体" w:eastAsia="宋体" w:hAnsi="宋体"/>
                <w:sz w:val="24"/>
                <w:szCs w:val="24"/>
              </w:rPr>
              <w:t>直销系统</w:t>
            </w:r>
          </w:p>
        </w:tc>
        <w:tc>
          <w:tcPr>
            <w:tcW w:w="1417" w:type="dxa"/>
            <w:vAlign w:val="center"/>
          </w:tcPr>
          <w:p w:rsidR="00584804" w:rsidRPr="006A0EC3" w:rsidP="00D42404" w14:paraId="3AC3CDC0" w14:textId="77777777">
            <w:pPr>
              <w:jc w:val="center"/>
              <w:rPr>
                <w:rFonts w:ascii="宋体" w:eastAsia="宋体" w:hAnsi="宋体"/>
                <w:sz w:val="24"/>
                <w:szCs w:val="24"/>
              </w:rPr>
            </w:pPr>
            <w:r w:rsidRPr="006A0EC3">
              <w:rPr>
                <w:rFonts w:ascii="宋体" w:eastAsia="宋体" w:hAnsi="宋体"/>
                <w:sz w:val="24"/>
                <w:szCs w:val="24"/>
              </w:rPr>
              <w:t>否</w:t>
            </w:r>
          </w:p>
        </w:tc>
        <w:tc>
          <w:tcPr>
            <w:tcW w:w="1276" w:type="dxa"/>
            <w:vAlign w:val="center"/>
          </w:tcPr>
          <w:p w:rsidR="00584804" w:rsidRPr="006A0EC3" w:rsidP="00D42404" w14:paraId="04B90470" w14:textId="77777777">
            <w:pPr>
              <w:jc w:val="center"/>
              <w:rPr>
                <w:rFonts w:ascii="宋体" w:eastAsia="宋体" w:hAnsi="宋体"/>
                <w:sz w:val="24"/>
                <w:szCs w:val="24"/>
              </w:rPr>
            </w:pPr>
            <w:r w:rsidRPr="006A0EC3">
              <w:rPr>
                <w:rFonts w:ascii="宋体" w:eastAsia="宋体" w:hAnsi="宋体"/>
                <w:sz w:val="24"/>
                <w:szCs w:val="24"/>
              </w:rPr>
              <w:t>是</w:t>
            </w:r>
          </w:p>
        </w:tc>
        <w:tc>
          <w:tcPr>
            <w:tcW w:w="1213" w:type="dxa"/>
            <w:vAlign w:val="center"/>
          </w:tcPr>
          <w:p w:rsidR="00584804" w:rsidRPr="006A0EC3" w:rsidP="00D42404" w14:paraId="48EBED51" w14:textId="77777777">
            <w:pPr>
              <w:jc w:val="center"/>
              <w:rPr>
                <w:rFonts w:ascii="宋体" w:eastAsia="宋体" w:hAnsi="宋体"/>
                <w:sz w:val="24"/>
                <w:szCs w:val="24"/>
              </w:rPr>
            </w:pPr>
            <w:r w:rsidRPr="006A0EC3">
              <w:rPr>
                <w:rFonts w:ascii="宋体" w:eastAsia="宋体" w:hAnsi="宋体"/>
                <w:sz w:val="24"/>
                <w:szCs w:val="24"/>
              </w:rPr>
              <w:t>否</w:t>
            </w:r>
          </w:p>
        </w:tc>
      </w:tr>
    </w:tbl>
    <w:p w:rsidR="006A6324" w:rsidRPr="006A0EC3" w:rsidP="00584804" w14:paraId="4744DB6F" w14:textId="22305D81">
      <w:pPr>
        <w:spacing w:line="360" w:lineRule="auto"/>
        <w:rPr>
          <w:rFonts w:ascii="宋体" w:eastAsia="宋体" w:hAnsi="宋体"/>
          <w:sz w:val="24"/>
          <w:szCs w:val="24"/>
        </w:rPr>
        <w:sectPr>
          <w:type w:val="continuous"/>
          <w:pgSz w:w="11906" w:h="16838"/>
          <w:pgMar w:top="1440" w:right="1800" w:bottom="1440" w:left="1800" w:header="851" w:footer="992" w:gutter="0"/>
          <w:cols w:space="425"/>
          <w:docGrid w:type="lines" w:linePitch="312"/>
        </w:sectPr>
      </w:pPr>
    </w:p>
    <w:bookmarkStart w:id="12" w:name="t_2_1_table_10"/>
    <w:bookmarkEnd w:id="12"/>
    <w:p w:rsidR="006A6324" w:rsidP="00730164" w14:textId="3CCD614C">
      <w:pPr>
        <w:pStyle w:val="Heading2"/>
        <w:spacing w:before="156" w:beforeLines="50" w:after="156" w:afterLines="50" w:line="240" w:lineRule="auto"/>
        <w:jc w:val="left"/>
        <w:rPr>
          <w:rFonts w:ascii="宋体" w:eastAsia="宋体" w:hAnsi="宋体"/>
          <w:bCs/>
          <w:sz w:val="24"/>
          <w:szCs w:val="24"/>
        </w:rPr>
      </w:pPr>
      <w:r w:rsidRPr="00730164" w:rsidR="00472BFB">
        <w:rPr>
          <w:rFonts w:ascii="宋体" w:eastAsia="宋体" w:hAnsi="宋体" w:hint="eastAsia"/>
          <w:bCs/>
          <w:sz w:val="24"/>
          <w:szCs w:val="24"/>
        </w:rPr>
        <w:t>5.1.2</w:t>
      </w:r>
      <w:r w:rsidRPr="00730164" w:rsidR="00472BFB">
        <w:rPr>
          <w:rFonts w:ascii="宋体" w:eastAsia="宋体" w:hAnsi="宋体" w:hint="eastAsia"/>
          <w:bCs/>
          <w:sz w:val="24"/>
          <w:szCs w:val="24"/>
        </w:rPr>
        <w:t>场外代销</w:t>
      </w:r>
      <w:r w:rsidRPr="00730164" w:rsidR="00730BC9">
        <w:rPr>
          <w:rFonts w:ascii="宋体" w:eastAsia="宋体" w:hAnsi="宋体" w:hint="eastAsia"/>
          <w:bCs/>
          <w:sz w:val="24"/>
          <w:szCs w:val="24"/>
        </w:rPr>
        <w:t>机构</w:t>
      </w:r>
    </w:p>
    <w:p w:rsidR="009E4AD8" w:rsidRPr="009E4AD8" w:rsidP="00EC76A7" w14:paraId="5ABFA2E4" w14:textId="07E08ECF">
      <w:pPr>
        <w:ind w:firstLine="480" w:firstLineChars="200"/>
        <w:rPr>
          <w:rFonts w:ascii="宋体" w:eastAsia="宋体" w:hAnsi="宋体"/>
          <w:bCs/>
          <w:sz w:val="24"/>
        </w:rPr>
        <w:sectPr>
          <w:type w:val="continuous"/>
          <w:pgSz w:w="11906" w:h="16838"/>
          <w:pgMar w:top="1440" w:right="1800" w:bottom="1440" w:left="1800" w:header="851" w:footer="992" w:gutter="0"/>
          <w:cols w:space="425"/>
          <w:docGrid w:type="lines" w:linePitch="312"/>
        </w:sectPr>
      </w:pPr>
      <w:r w:rsidRPr="009E4AD8">
        <w:rPr>
          <w:rFonts w:ascii="宋体" w:eastAsia="宋体" w:hAnsi="宋体"/>
          <w:bCs/>
          <w:sz w:val="24"/>
        </w:rPr>
        <w:t>兴业银行  平安银行</w:t>
      </w:r>
    </w:p>
    <w:bookmarkStart w:id="13" w:name="t_2_1_table_11"/>
    <w:bookmarkEnd w:id="13"/>
    <w:p w:rsidR="00B55B3A" w:rsidRPr="00BE7EEB" w:rsidP="00B55B3A">
      <w:pPr>
        <w:keepNext/>
        <w:keepLines/>
        <w:spacing w:before="156" w:beforeLines="50" w:after="156" w:afterLines="50"/>
        <w:jc w:val="left"/>
        <w:outlineLvl w:val="1"/>
        <w:rPr>
          <w:rFonts w:ascii="宋体" w:eastAsia="宋体" w:hAnsi="宋体" w:cs="Times New Roman"/>
          <w:b/>
          <w:bCs/>
          <w:sz w:val="24"/>
          <w:szCs w:val="24"/>
        </w:rPr>
      </w:pPr>
      <w:r w:rsidRPr="00BE7EEB">
        <w:rPr>
          <w:rFonts w:ascii="宋体" w:eastAsia="宋体" w:hAnsi="宋体" w:cs="Times New Roman" w:hint="eastAsia"/>
          <w:b/>
          <w:bCs/>
          <w:sz w:val="24"/>
          <w:szCs w:val="24"/>
        </w:rPr>
        <w:t>6</w:t>
      </w:r>
      <w:r w:rsidRPr="00BE7EEB">
        <w:rPr>
          <w:rFonts w:ascii="宋体" w:eastAsia="宋体" w:hAnsi="宋体" w:cs="Times New Roman" w:hint="eastAsia"/>
          <w:b/>
          <w:bCs/>
          <w:sz w:val="24"/>
          <w:szCs w:val="24"/>
        </w:rPr>
        <w:t>基金份额净值公告披露安排</w:t>
      </w:r>
    </w:p>
    <w:p w:rsidR="001F2AEF" w:rsidRPr="00B55B3A" w:rsidP="00B55B3A">
      <w:pPr>
        <w:spacing w:line="360" w:lineRule="auto"/>
        <w:ind w:firstLine="480" w:firstLineChars="200"/>
        <w:rPr>
          <w:rFonts w:ascii="宋体" w:eastAsia="宋体" w:hAnsi="宋体"/>
          <w:sz w:val="24"/>
          <w:szCs w:val="24"/>
        </w:rPr>
      </w:pPr>
      <w:r w:rsidRPr="00B55B3A">
        <w:rPr>
          <w:rFonts w:ascii="宋体" w:eastAsia="宋体" w:hAnsi="宋体"/>
          <w:sz w:val="24"/>
          <w:szCs w:val="24"/>
        </w:rPr>
        <w:t>在开始办理基金份额申购或者赎回后，基金管理人应当在不晚于每个工作日的次日，通过规定网站、基金销售机构网站或者营业网点，披露工作日的各类基金份额净值和基金份额累计净值。</w:t>
      </w:r>
    </w:p>
    <w:p w:rsidR="001F2AEF" w:rsidRPr="00B55B3A" w:rsidP="00B55B3A">
      <w:pPr>
        <w:spacing w:line="360" w:lineRule="auto"/>
        <w:ind w:firstLine="480" w:firstLineChars="200"/>
        <w:rPr>
          <w:rFonts w:ascii="宋体" w:eastAsia="宋体" w:hAnsi="宋体"/>
          <w:sz w:val="24"/>
          <w:szCs w:val="24"/>
        </w:rPr>
        <w:sectPr>
          <w:type w:val="continuous"/>
          <w:pgSz w:w="11906" w:h="16838"/>
          <w:pgMar w:top="1440" w:right="1800" w:bottom="1440" w:left="1800" w:header="851" w:footer="992" w:gutter="0"/>
          <w:cols w:space="425"/>
          <w:docGrid w:type="lines" w:linePitch="312"/>
        </w:sectPr>
      </w:pPr>
      <w:r w:rsidRPr="00B55B3A">
        <w:rPr>
          <w:rFonts w:ascii="宋体" w:eastAsia="宋体" w:hAnsi="宋体"/>
          <w:sz w:val="24"/>
          <w:szCs w:val="24"/>
        </w:rPr>
        <w:t>基金管理人应当在不晚于半年度和年度最后一日的次日，在规定网站披露半年度和年度最后一日的各类基金份额净值和基金份额累计净值。</w:t>
      </w:r>
    </w:p>
    <w:bookmarkStart w:id="14" w:name="t_2_1_table_12"/>
    <w:bookmarkEnd w:id="14"/>
    <w:p w:rsidR="002227FC" w:rsidRPr="00284184" w:rsidP="002227FC">
      <w:pPr>
        <w:keepNext/>
        <w:keepLines/>
        <w:spacing w:before="156" w:beforeLines="50" w:after="156" w:afterLines="50"/>
        <w:jc w:val="left"/>
        <w:outlineLvl w:val="1"/>
        <w:rPr>
          <w:rFonts w:ascii="宋体" w:eastAsia="宋体" w:hAnsi="宋体" w:cs="Times New Roman"/>
          <w:b/>
          <w:bCs/>
          <w:sz w:val="24"/>
          <w:szCs w:val="24"/>
        </w:rPr>
      </w:pPr>
      <w:r w:rsidRPr="00284184">
        <w:rPr>
          <w:rFonts w:ascii="宋体" w:eastAsia="宋体" w:hAnsi="宋体" w:cs="Times New Roman" w:hint="eastAsia"/>
          <w:b/>
          <w:bCs/>
          <w:sz w:val="24"/>
          <w:szCs w:val="24"/>
        </w:rPr>
        <w:t>7</w:t>
      </w:r>
      <w:r w:rsidRPr="00284184">
        <w:rPr>
          <w:rFonts w:ascii="宋体" w:eastAsia="宋体" w:hAnsi="宋体" w:cs="Times New Roman" w:hint="eastAsia"/>
          <w:b/>
          <w:bCs/>
          <w:sz w:val="24"/>
          <w:szCs w:val="24"/>
        </w:rPr>
        <w:t>其他需要提示的事项</w:t>
      </w:r>
    </w:p>
    <w:p w:rsidR="002227FC" w:rsidP="002227FC">
      <w:pPr>
        <w:spacing w:line="360" w:lineRule="auto"/>
        <w:ind w:firstLine="480" w:firstLineChars="200"/>
        <w:rPr>
          <w:rFonts w:ascii="宋体" w:eastAsia="宋体" w:hAnsi="宋体"/>
          <w:bCs/>
          <w:sz w:val="24"/>
        </w:rPr>
      </w:pPr>
      <w:r>
        <w:rPr>
          <w:rFonts w:ascii="宋体" w:eastAsia="宋体" w:hAnsi="宋体" w:hint="eastAsia"/>
          <w:bCs/>
          <w:sz w:val="24"/>
        </w:rPr>
        <w:t>1、本公告仅对本基金本次开放期开放申购、赎回等业务的有关事项予以说明。投资者欲了解本基金的详细情况，请仔细阅读刊登于本公司网站(www.99fund.com)的本基金《基金合同》和《招募说明书》等法律文件，还可拨打本公司客户服务热线（400-888-9918）咨询相关信息。</w:t>
      </w:r>
    </w:p>
    <w:p w:rsidP="002227FC">
      <w:pPr>
        <w:spacing w:line="360" w:lineRule="auto"/>
        <w:ind w:firstLine="480" w:firstLineChars="200"/>
        <w:rPr>
          <w:rFonts w:ascii="宋体" w:eastAsia="宋体" w:hAnsi="宋体" w:hint="eastAsia"/>
          <w:bCs/>
          <w:sz w:val="24"/>
        </w:rPr>
      </w:pPr>
      <w:r>
        <w:rPr>
          <w:rFonts w:ascii="宋体" w:eastAsia="宋体" w:hAnsi="宋体" w:hint="eastAsia"/>
          <w:bCs/>
          <w:sz w:val="24"/>
        </w:rPr>
        <w:t>2、投资者在本基金销售机构办理基金事务，具体办理规则及程序请遵循各销售机构的规定。</w:t>
      </w:r>
    </w:p>
    <w:p w:rsidP="002227FC">
      <w:pPr>
        <w:spacing w:line="360" w:lineRule="auto"/>
        <w:ind w:firstLine="480" w:firstLineChars="200"/>
        <w:rPr>
          <w:rFonts w:ascii="宋体" w:eastAsia="宋体" w:hAnsi="宋体" w:hint="eastAsia"/>
          <w:bCs/>
          <w:sz w:val="24"/>
        </w:rPr>
      </w:pPr>
      <w:r>
        <w:rPr>
          <w:rFonts w:ascii="宋体" w:eastAsia="宋体" w:hAnsi="宋体" w:hint="eastAsia"/>
          <w:bCs/>
          <w:sz w:val="24"/>
        </w:rPr>
        <w:t>汇添富基金高度重视投资者服务和投资者教育，特此提醒投资者需正确认知基金投资的风险和长期收益，做理性的基金投资人、做明白的基金投资人，享受长期投资的快乐！</w:t>
      </w:r>
    </w:p>
    <w:p w:rsidP="002227FC">
      <w:pPr>
        <w:spacing w:line="360" w:lineRule="auto"/>
        <w:ind w:firstLine="480" w:firstLineChars="200"/>
        <w:rPr>
          <w:rFonts w:ascii="宋体" w:eastAsia="宋体" w:hAnsi="宋体" w:hint="eastAsia"/>
          <w:bCs/>
          <w:sz w:val="24"/>
        </w:rPr>
      </w:pPr>
      <w:r>
        <w:rPr>
          <w:rFonts w:ascii="宋体" w:eastAsia="宋体" w:hAnsi="宋体" w:hint="eastAsia"/>
          <w:bCs/>
          <w:sz w:val="24"/>
        </w:rPr>
        <w:t>特此公告。</w:t>
      </w:r>
      <w:bookmarkStart w:id="15" w:name="t_2_9_2646_a1_fm1"/>
      <w:bookmarkEnd w:id="15"/>
    </w:p>
    <w:p w:rsidR="002227FC" w:rsidP="002227FC">
      <w:pPr>
        <w:spacing w:line="360" w:lineRule="auto"/>
        <w:ind w:firstLine="480" w:firstLineChars="200"/>
        <w:rPr>
          <w:rFonts w:ascii="宋体" w:eastAsia="宋体" w:hAnsi="宋体"/>
          <w:bCs/>
          <w:sz w:val="24"/>
        </w:rPr>
      </w:pPr>
    </w:p>
    <w:p w:rsidR="002227FC" w:rsidP="002227FC">
      <w:pPr>
        <w:spacing w:line="360" w:lineRule="auto"/>
        <w:ind w:firstLine="480" w:firstLineChars="200"/>
        <w:rPr>
          <w:rFonts w:ascii="宋体" w:eastAsia="宋体" w:hAnsi="宋体"/>
          <w:bCs/>
          <w:sz w:val="24"/>
        </w:rPr>
      </w:pPr>
    </w:p>
    <w:p w:rsidR="002227FC" w:rsidP="002227FC">
      <w:pPr>
        <w:spacing w:line="360" w:lineRule="auto"/>
        <w:ind w:firstLine="480" w:firstLineChars="200"/>
        <w:rPr>
          <w:rFonts w:ascii="宋体" w:eastAsia="宋体" w:hAnsi="宋体"/>
          <w:sz w:val="24"/>
          <w:szCs w:val="24"/>
        </w:rPr>
      </w:pPr>
    </w:p>
    <w:p w:rsidR="002227FC" w:rsidP="002227FC">
      <w:pPr>
        <w:spacing w:line="360" w:lineRule="auto"/>
        <w:ind w:right="-197" w:rightChars="-94"/>
        <w:jc w:val="right"/>
        <w:rPr>
          <w:rFonts w:ascii="宋体" w:eastAsia="宋体" w:hAnsi="宋体"/>
          <w:sz w:val="24"/>
          <w:szCs w:val="24"/>
        </w:rPr>
      </w:pPr>
      <w:r>
        <w:rPr>
          <w:rFonts w:ascii="宋体" w:eastAsia="宋体" w:hAnsi="宋体" w:hint="eastAsia"/>
          <w:sz w:val="24"/>
          <w:szCs w:val="24"/>
        </w:rPr>
        <w:t>汇添富基金管理股份有限公司</w:t>
      </w:r>
    </w:p>
    <w:p w:rsidR="001F2AEF" w:rsidP="00CD1D80">
      <w:pPr>
        <w:spacing w:line="360" w:lineRule="auto"/>
        <w:ind w:right="-197" w:rightChars="-94"/>
        <w:jc w:val="right"/>
        <w:rPr>
          <w:rFonts w:ascii="宋体" w:eastAsia="宋体" w:hAnsi="宋体"/>
          <w:bCs/>
          <w:sz w:val="24"/>
        </w:rPr>
      </w:pPr>
      <w:r>
        <w:rPr>
          <w:rFonts w:ascii="宋体" w:eastAsia="宋体" w:hAnsi="宋体"/>
          <w:bCs/>
          <w:sz w:val="24"/>
        </w:rPr>
        <w:t>2024年07月23日</w:t>
      </w:r>
    </w:p>
    <w:p w:rsidR="00CD1D80" w:rsidRPr="002227FC" w:rsidP="00CD1D80">
      <w:pPr>
        <w:spacing w:line="360" w:lineRule="auto"/>
        <w:ind w:right="281"/>
        <w:jc w:val="right"/>
        <w:rPr>
          <w:rFonts w:ascii="宋体" w:eastAsia="宋体" w:hAnsi="宋体"/>
          <w:sz w:val="24"/>
        </w:rPr>
      </w:pPr>
    </w:p>
    <w:sectPr>
      <w:type w:val="continuous"/>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宋体"/>
    <w:panose1 w:val="00000000000000000000"/>
    <w:charset w:val="86"/>
    <w:family w:val="roman"/>
    <w:notTrueType/>
    <w:pitch w:val="variable"/>
    <w:sig w:usb0="00000000" w:usb1="0000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comments="1" w:formatting="1" w:inkAnnotations="1" w:insDel="1"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94"/>
    <w:rsid w:val="00000AF7"/>
    <w:rsid w:val="000266E8"/>
    <w:rsid w:val="00047058"/>
    <w:rsid w:val="00047794"/>
    <w:rsid w:val="00060148"/>
    <w:rsid w:val="0009055E"/>
    <w:rsid w:val="00095BBA"/>
    <w:rsid w:val="000D15F7"/>
    <w:rsid w:val="0015196A"/>
    <w:rsid w:val="001F2AEF"/>
    <w:rsid w:val="002227FC"/>
    <w:rsid w:val="00257852"/>
    <w:rsid w:val="002650E8"/>
    <w:rsid w:val="00284184"/>
    <w:rsid w:val="0029151A"/>
    <w:rsid w:val="00344C8C"/>
    <w:rsid w:val="0043068F"/>
    <w:rsid w:val="00472BFB"/>
    <w:rsid w:val="00497F7B"/>
    <w:rsid w:val="004A0529"/>
    <w:rsid w:val="004A1AFB"/>
    <w:rsid w:val="004F618F"/>
    <w:rsid w:val="0050255D"/>
    <w:rsid w:val="005532ED"/>
    <w:rsid w:val="005538A2"/>
    <w:rsid w:val="0057575C"/>
    <w:rsid w:val="00584804"/>
    <w:rsid w:val="005A1630"/>
    <w:rsid w:val="005A46FE"/>
    <w:rsid w:val="006237DE"/>
    <w:rsid w:val="00653603"/>
    <w:rsid w:val="00674C46"/>
    <w:rsid w:val="00696DC1"/>
    <w:rsid w:val="006A0EC3"/>
    <w:rsid w:val="006A31E9"/>
    <w:rsid w:val="006A3B78"/>
    <w:rsid w:val="006A6324"/>
    <w:rsid w:val="006C493E"/>
    <w:rsid w:val="00730164"/>
    <w:rsid w:val="00730BC9"/>
    <w:rsid w:val="007A4518"/>
    <w:rsid w:val="007D44ED"/>
    <w:rsid w:val="0082402E"/>
    <w:rsid w:val="00857BBC"/>
    <w:rsid w:val="008A6FA8"/>
    <w:rsid w:val="008E59B3"/>
    <w:rsid w:val="00917680"/>
    <w:rsid w:val="0092144E"/>
    <w:rsid w:val="0096392E"/>
    <w:rsid w:val="009D0557"/>
    <w:rsid w:val="009E4AD8"/>
    <w:rsid w:val="00A438AD"/>
    <w:rsid w:val="00A864EC"/>
    <w:rsid w:val="00A94F46"/>
    <w:rsid w:val="00AC6636"/>
    <w:rsid w:val="00AF0701"/>
    <w:rsid w:val="00B25E70"/>
    <w:rsid w:val="00B46437"/>
    <w:rsid w:val="00B55B3A"/>
    <w:rsid w:val="00B63AB7"/>
    <w:rsid w:val="00BA00C7"/>
    <w:rsid w:val="00BD0E4D"/>
    <w:rsid w:val="00BD69B4"/>
    <w:rsid w:val="00BE3868"/>
    <w:rsid w:val="00BE7EEB"/>
    <w:rsid w:val="00BF5B51"/>
    <w:rsid w:val="00C53A47"/>
    <w:rsid w:val="00CC44D8"/>
    <w:rsid w:val="00CD1D80"/>
    <w:rsid w:val="00D42404"/>
    <w:rsid w:val="00D5607E"/>
    <w:rsid w:val="00D5630A"/>
    <w:rsid w:val="00D66870"/>
    <w:rsid w:val="00DB30D5"/>
    <w:rsid w:val="00DC1B66"/>
    <w:rsid w:val="00DC4EB5"/>
    <w:rsid w:val="00E46E4E"/>
    <w:rsid w:val="00EC1D08"/>
    <w:rsid w:val="00EC76A7"/>
    <w:rsid w:val="00ED649C"/>
    <w:rsid w:val="00F54DE9"/>
    <w:rsid w:val="00F66655"/>
    <w:rsid w:val="00F73CFF"/>
    <w:rsid w:val="00FC5B6A"/>
    <w:rsid w:val="00FD72A1"/>
  </w:rsids>
  <w:docVars>
    <w:docVar w:name="KGWebUrl" w:val="http://rms.htffund.com/RepTemplateManager//OfficeServer.aspx"/>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BBB9C29E-7F4A-408B-A9FC-447E5D72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F46"/>
    <w:pPr>
      <w:widowControl w:val="0"/>
      <w:jc w:val="both"/>
    </w:pPr>
  </w:style>
  <w:style w:type="paragraph" w:styleId="Heading2">
    <w:name w:val="heading 2"/>
    <w:basedOn w:val="Normal"/>
    <w:next w:val="Normal"/>
    <w:link w:val="2Char"/>
    <w:qFormat/>
    <w:rsid w:val="000266E8"/>
    <w:pPr>
      <w:keepNext/>
      <w:keepLines/>
      <w:spacing w:before="260" w:after="260" w:line="413" w:lineRule="auto"/>
      <w:outlineLvl w:val="1"/>
    </w:pPr>
    <w:rPr>
      <w:rFonts w:ascii="Arial" w:eastAsia="黑体" w:hAnsi="Arial" w:cs="Times New Roman"/>
      <w:b/>
      <w:sz w:val="32"/>
      <w:szCs w:val="20"/>
    </w:rPr>
  </w:style>
  <w:style w:type="paragraph" w:styleId="Heading3">
    <w:name w:val="heading 3"/>
    <w:basedOn w:val="Normal"/>
    <w:next w:val="Normal"/>
    <w:link w:val="3Char"/>
    <w:uiPriority w:val="9"/>
    <w:unhideWhenUsed/>
    <w:qFormat/>
    <w:rsid w:val="00047058"/>
    <w:pPr>
      <w:keepNext/>
      <w:keepLines/>
      <w:spacing w:before="260" w:after="260" w:line="416" w:lineRule="auto"/>
      <w:outlineLvl w:val="2"/>
    </w:pPr>
    <w:rPr>
      <w:rFonts w:ascii="Calibri" w:eastAsia="宋体" w:hAnsi="Calibri"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Char">
    <w:name w:val="标题 2 Char"/>
    <w:link w:val="Heading2"/>
    <w:locked/>
    <w:rsid w:val="000266E8"/>
    <w:rPr>
      <w:rFonts w:ascii="Arial" w:eastAsia="黑体" w:hAnsi="Arial" w:cs="Times New Roman"/>
      <w:b/>
      <w:sz w:val="32"/>
      <w:szCs w:val="20"/>
    </w:rPr>
  </w:style>
  <w:style w:type="character" w:customStyle="1" w:styleId="3Char">
    <w:name w:val="标题 3 Char"/>
    <w:basedOn w:val="DefaultParagraphFont"/>
    <w:link w:val="Heading3"/>
    <w:uiPriority w:val="9"/>
    <w:rsid w:val="00047058"/>
    <w:rPr>
      <w:rFonts w:ascii="Calibri" w:eastAsia="宋体" w:hAnsi="Calibri" w:cs="Times New Roman"/>
      <w:b/>
      <w:bCs/>
      <w:sz w:val="32"/>
      <w:szCs w:val="32"/>
    </w:rPr>
  </w:style>
  <w:style w:type="table" w:styleId="TableGrid">
    <w:name w:val="Table Grid"/>
    <w:basedOn w:val="TableNormal"/>
    <w:uiPriority w:val="39"/>
    <w:rsid w:val="00584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F0391-ED80-4617-A063-0BEA125C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Words>
  <Characters>35</Characters>
  <Application>Microsoft Office Word</Application>
  <DocSecurity>0</DocSecurity>
  <Lines>1</Lines>
  <Paragraphs>1</Paragraphs>
  <ScaleCrop>false</ScaleCrop>
  <Company/>
  <LinksUpToDate>false</LinksUpToDate>
  <CharactersWithSpaces>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13162526516@163.com</dc:creator>
  <cp:lastModifiedBy>45</cp:lastModifiedBy>
  <cp:revision>2</cp:revision>
  <dcterms:created xsi:type="dcterms:W3CDTF">2020-09-09T02:31:00Z</dcterms:created>
  <dcterms:modified xsi:type="dcterms:W3CDTF">2020-09-09T02:31:00Z</dcterms:modified>
</cp:coreProperties>
</file>