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313CBA" w:rsidRPr="00760D38" w:rsidP="00760D38">
      <w:pPr>
        <w:spacing w:line="360" w:lineRule="auto"/>
        <w:jc w:val="center"/>
        <w:rPr>
          <w:rFonts w:ascii="宋体" w:eastAsia="宋体" w:hAnsi="宋体" w:cs="宋体"/>
          <w:b/>
          <w:color w:val="000000"/>
          <w:sz w:val="24"/>
          <w:szCs w:val="28"/>
        </w:rPr>
      </w:pPr>
      <w:r w:rsidRPr="00760D38">
        <w:rPr>
          <w:rFonts w:ascii="宋体" w:eastAsia="宋体" w:hAnsi="宋体" w:cs="宋体"/>
          <w:b/>
          <w:color w:val="000000"/>
          <w:sz w:val="24"/>
          <w:szCs w:val="28"/>
        </w:rPr>
        <w:t>汇添富纯债债券型证券投资基金（LOF）收益分配公告</w:t>
      </w:r>
    </w:p>
    <w:p w:rsidR="00760D38" w:rsidRPr="00760D38" w:rsidP="00760D38">
      <w:pPr>
        <w:spacing w:line="360" w:lineRule="auto"/>
        <w:jc w:val="center"/>
        <w:rPr>
          <w:rFonts w:ascii="宋体" w:eastAsia="宋体" w:hAnsi="宋体" w:cs="宋体"/>
          <w:b/>
          <w:color w:val="000000"/>
          <w:sz w:val="24"/>
          <w:szCs w:val="24"/>
        </w:rPr>
      </w:pPr>
      <w:r w:rsidRPr="00760D38">
        <w:rPr>
          <w:rFonts w:asciiTheme="minorEastAsia" w:hAnsiTheme="minorEastAsia" w:hint="eastAsia"/>
          <w:b/>
          <w:sz w:val="24"/>
          <w:szCs w:val="24"/>
        </w:rPr>
        <w:t>公告</w:t>
      </w:r>
      <w:r w:rsidRPr="00760D38">
        <w:rPr>
          <w:rFonts w:asciiTheme="minorEastAsia" w:hAnsiTheme="minorEastAsia"/>
          <w:b/>
          <w:sz w:val="24"/>
          <w:szCs w:val="24"/>
        </w:rPr>
        <w:t>送出日期：</w:t>
      </w:r>
      <w:r w:rsidRPr="00760D38">
        <w:rPr>
          <w:rFonts w:ascii="宋体" w:eastAsia="宋体" w:hAnsi="宋体" w:cs="宋体"/>
          <w:b/>
          <w:color w:val="000000"/>
          <w:sz w:val="24"/>
          <w:szCs w:val="24"/>
        </w:rPr>
        <w:t>2024年07月23日</w:t>
      </w:r>
    </w:p>
    <w:p w:rsidR="00760D38" w:rsidRPr="00760D38" w:rsidP="00760D38">
      <w:pPr>
        <w:spacing w:line="360" w:lineRule="auto"/>
        <w:rPr>
          <w:rFonts w:asciiTheme="minorEastAsia" w:hAnsiTheme="minorEastAsia"/>
          <w:b/>
          <w:sz w:val="24"/>
          <w:szCs w:val="24"/>
        </w:rPr>
      </w:pPr>
      <w:r w:rsidRPr="00760D38">
        <w:rPr>
          <w:rFonts w:asciiTheme="minorEastAsia" w:hAnsiTheme="minorEastAsia" w:hint="eastAsia"/>
          <w:b/>
          <w:sz w:val="24"/>
          <w:szCs w:val="24"/>
        </w:rPr>
        <w:t>1 公告</w:t>
      </w:r>
      <w:r w:rsidRPr="00760D38">
        <w:rPr>
          <w:rFonts w:asciiTheme="minorEastAsia" w:hAnsiTheme="minorEastAsia"/>
          <w:b/>
          <w:sz w:val="24"/>
          <w:szCs w:val="24"/>
        </w:rPr>
        <w:t>基本信息</w:t>
      </w:r>
    </w:p>
    <w:p w:rsidR="00760D38" w:rsidP="00760D38">
      <w:pP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320"/>
        <w:gridCol w:w="2680"/>
        <w:gridCol w:w="40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基金名称</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汇添富纯债债券型证券投资基金（LOF）</w:t>
            </w:r>
          </w:p>
        </w:tc>
      </w:tr>
      <w:tr>
        <w:tblPrEx>
          <w:tblW w:w="0" w:type="auto"/>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基金简称</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汇添富纯债(LOF)</w:t>
            </w:r>
          </w:p>
        </w:tc>
      </w:tr>
      <w:tr>
        <w:tblPrEx>
          <w:tblW w:w="0" w:type="auto"/>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基金主代码</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164703</w:t>
            </w:r>
          </w:p>
        </w:tc>
      </w:tr>
      <w:tr>
        <w:tblPrEx>
          <w:tblW w:w="0" w:type="auto"/>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基金合同生效日</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2016年11月07日</w:t>
            </w:r>
          </w:p>
        </w:tc>
      </w:tr>
      <w:tr>
        <w:tblPrEx>
          <w:tblW w:w="0" w:type="auto"/>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基金管理人名称</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汇添富基金管理股份有限公司</w:t>
            </w:r>
          </w:p>
        </w:tc>
      </w:tr>
      <w:tr>
        <w:tblPrEx>
          <w:tblW w:w="0" w:type="auto"/>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基金托管人名称</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中国工商银行股份有限公司</w:t>
            </w:r>
          </w:p>
        </w:tc>
      </w:tr>
      <w:tr>
        <w:tblPrEx>
          <w:tblW w:w="0" w:type="auto"/>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公告依据</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根据相关法律法规的规定及《汇添富纯债债券型证券投资基金（LOF）基金合同》的约定。</w:t>
            </w:r>
          </w:p>
        </w:tc>
      </w:tr>
      <w:tr>
        <w:tblPrEx>
          <w:tblW w:w="0" w:type="auto"/>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收益分配基准日</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2024年07月16日</w:t>
            </w:r>
          </w:p>
        </w:tc>
      </w:tr>
      <w:tr>
        <w:tblPrEx>
          <w:tblW w:w="0" w:type="auto"/>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有关年度分红次数的说明</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本次分红为本基金2024年度第1次分红</w:t>
            </w:r>
          </w:p>
        </w:tc>
      </w:tr>
      <w:tr>
        <w:tblPrEx>
          <w:tblW w:w="0" w:type="auto"/>
          <w:tblLayout w:type="fixed"/>
          <w:tblCellMar>
            <w:left w:w="108" w:type="dxa"/>
            <w:right w:w="108" w:type="dxa"/>
          </w:tblCellMar>
        </w:tblPrEx>
        <w:tc>
          <w:tcPr>
            <w:tcW w:w="1320" w:type="dxa"/>
            <w:vMerge w:val="restart"/>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截止收益分配基准日的相关指标</w:t>
            </w:r>
          </w:p>
        </w:tc>
        <w:tc>
          <w:tcPr>
            <w:tcW w:w="268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基准日基金份额净值（单位：人民币元）</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0.8483</w:t>
            </w:r>
          </w:p>
        </w:tc>
      </w:tr>
      <w:tr>
        <w:tblPrEx>
          <w:tblW w:w="0" w:type="auto"/>
          <w:tblLayout w:type="fixed"/>
          <w:tblCellMar>
            <w:left w:w="108" w:type="dxa"/>
            <w:right w:w="108" w:type="dxa"/>
          </w:tblCellMar>
        </w:tblPrEx>
        <w:tc>
          <w:tcPr>
            <w:tcW w:w="1320" w:type="dxa"/>
            <w:vMerge/>
            <w:shd w:val="clear" w:color="auto" w:fill="FFFFFF"/>
            <w:vAlign w:val="center"/>
          </w:tcPr>
          <w:p w:rsidR="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基准日基金可供分配利润（单位：人民币元）</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305696702.69</w:t>
            </w:r>
          </w:p>
        </w:tc>
      </w:tr>
      <w:tr>
        <w:tblPrEx>
          <w:tblW w:w="0" w:type="auto"/>
          <w:tblLayout w:type="fixed"/>
          <w:tblCellMar>
            <w:left w:w="108" w:type="dxa"/>
            <w:right w:w="108" w:type="dxa"/>
          </w:tblCellMar>
        </w:tblPrEx>
        <w:tc>
          <w:tcPr>
            <w:tcW w:w="1320" w:type="dxa"/>
            <w:vMerge/>
            <w:shd w:val="clear" w:color="auto" w:fill="FFFFFF"/>
            <w:vAlign w:val="center"/>
          </w:tcPr>
          <w:p w:rsidR="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截止基准日按照基金合同约定的分红比例计算的应分配金额（单位：人民币元）</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61139340.538</w:t>
            </w:r>
          </w:p>
        </w:tc>
      </w:tr>
      <w:tr>
        <w:tblPrEx>
          <w:tblW w:w="0" w:type="auto"/>
          <w:tblLayout w:type="fixed"/>
          <w:tblCellMar>
            <w:left w:w="108" w:type="dxa"/>
            <w:right w:w="108" w:type="dxa"/>
          </w:tblCellMar>
        </w:tblPrEx>
        <w:tc>
          <w:tcPr>
            <w:tcW w:w="4000" w:type="dxa"/>
            <w:gridSpan w:val="2"/>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本次分红方案（单位：元/10份基金份额）</w:t>
            </w:r>
          </w:p>
        </w:tc>
        <w:tc>
          <w:tcPr>
            <w:tcW w:w="4000" w:type="dxa"/>
            <w:shd w:val="clear" w:color="auto" w:fill="FFFFFF"/>
            <w:vAlign w:val="center"/>
          </w:tcPr>
          <w:p w:rsidR="00760D38" w:rsidP="00760D38">
            <w:pPr>
              <w:jc w:val="left"/>
              <w:rPr>
                <w:rFonts w:ascii="宋体" w:eastAsia="宋体" w:hAnsi="宋体" w:cs="宋体"/>
                <w:color w:val="000000"/>
                <w:sz w:val="24"/>
                <w:szCs w:val="24"/>
              </w:rPr>
            </w:pPr>
            <w:r>
              <w:rPr>
                <w:rFonts w:ascii="宋体" w:eastAsia="宋体" w:hAnsi="宋体" w:cs="宋体"/>
                <w:color w:val="000000"/>
                <w:sz w:val="24"/>
                <w:szCs w:val="24"/>
              </w:rPr>
              <w:t>0.35</w:t>
            </w:r>
          </w:p>
        </w:tc>
      </w:tr>
    </w:tbl>
    <w:p w:rsidR="00760D38" w:rsidP="00760D38">
      <w:pPr>
        <w:rPr>
          <w:rFonts w:asciiTheme="minorEastAsia" w:hAnsiTheme="minorEastAsia"/>
          <w:sz w:val="24"/>
          <w:szCs w:val="24"/>
        </w:rPr>
      </w:pPr>
    </w:p>
    <w:p w:rsidR="00A94D46" w:rsidRPr="00760D38" w:rsidP="00760D38">
      <w:pPr>
        <w:rPr>
          <w:rFonts w:ascii="宋体" w:eastAsia="宋体" w:hAnsi="宋体" w:cs="宋体"/>
          <w:color w:val="000000"/>
          <w:sz w:val="24"/>
          <w:szCs w:val="24"/>
        </w:rPr>
      </w:pPr>
      <w:r w:rsidRPr="00760D38">
        <w:rPr>
          <w:rFonts w:ascii="宋体" w:eastAsia="宋体" w:hAnsi="宋体" w:cs="宋体"/>
          <w:color w:val="000000"/>
          <w:sz w:val="24"/>
          <w:szCs w:val="24"/>
        </w:rPr>
        <w:t>注：1、本基金场内简称为汇添富纯债LOF。</w:t>
      </w:r>
    </w:p>
    <w:p w:rsidR="00A94D46" w:rsidRPr="00760D38" w:rsidP="00760D38">
      <w:pPr>
        <w:rPr>
          <w:rFonts w:ascii="宋体" w:eastAsia="宋体" w:hAnsi="宋体" w:cs="宋体"/>
          <w:color w:val="000000"/>
          <w:sz w:val="24"/>
          <w:szCs w:val="24"/>
        </w:rPr>
      </w:pPr>
      <w:r w:rsidRPr="00760D38">
        <w:rPr>
          <w:rFonts w:ascii="宋体" w:eastAsia="宋体" w:hAnsi="宋体" w:cs="宋体"/>
          <w:color w:val="000000"/>
          <w:sz w:val="24"/>
          <w:szCs w:val="24"/>
        </w:rPr>
        <w:t>2、本基金基金合同约定，在符合有关基金分红条件的前提下，本基金每年收益分配次数最多为12次，每次收益分配比例不得低于该次收益分配基准日（即可供分配利润计算截止日）每份基金份额可供分配利润的20%，若基金合同生效不满3个月可不进行收益分配。</w:t>
      </w:r>
    </w:p>
    <w:p w:rsidR="00760D38" w:rsidRPr="00760D38" w:rsidP="00760D38">
      <w:pPr>
        <w:spacing w:line="360" w:lineRule="auto"/>
        <w:rPr>
          <w:rFonts w:asciiTheme="minorEastAsia" w:hAnsiTheme="minorEastAsia"/>
          <w:b/>
          <w:bCs/>
          <w:sz w:val="24"/>
          <w:szCs w:val="24"/>
        </w:rPr>
      </w:pPr>
      <w:r w:rsidRPr="00760D38">
        <w:rPr>
          <w:rFonts w:asciiTheme="minorEastAsia" w:hAnsiTheme="minorEastAsia"/>
          <w:b/>
          <w:sz w:val="24"/>
          <w:szCs w:val="24"/>
        </w:rPr>
        <w:t xml:space="preserve">2 </w:t>
      </w:r>
      <w:r w:rsidRPr="00760D38">
        <w:rPr>
          <w:rFonts w:asciiTheme="minorEastAsia" w:hAnsiTheme="minorEastAsia" w:hint="eastAsia"/>
          <w:b/>
          <w:bCs/>
          <w:sz w:val="24"/>
          <w:szCs w:val="24"/>
        </w:rPr>
        <w:t>与分红相关的其他信息</w:t>
      </w:r>
    </w:p>
    <w:p w:rsidR="00760D38" w:rsidP="00760D38">
      <w:pPr>
        <w:rPr>
          <w:rFonts w:asciiTheme="minorEastAsia" w:hAnsiTheme="minorEastAsia"/>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667"/>
        <w:gridCol w:w="533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2667"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w:t>
            </w:r>
          </w:p>
        </w:tc>
        <w:tc>
          <w:tcPr>
            <w:tcW w:w="5333"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2024年07月25日</w:t>
            </w:r>
          </w:p>
        </w:tc>
      </w:tr>
      <w:tr>
        <w:tblPrEx>
          <w:tblW w:w="0" w:type="auto"/>
          <w:tblLayout w:type="fixed"/>
          <w:tblCellMar>
            <w:left w:w="108" w:type="dxa"/>
            <w:right w:w="108" w:type="dxa"/>
          </w:tblCellMar>
        </w:tblPrEx>
        <w:tc>
          <w:tcPr>
            <w:tcW w:w="2667"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场外除息日</w:t>
            </w:r>
          </w:p>
        </w:tc>
        <w:tc>
          <w:tcPr>
            <w:tcW w:w="5333"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2024年07月25日</w:t>
            </w:r>
          </w:p>
        </w:tc>
      </w:tr>
      <w:tr>
        <w:tblPrEx>
          <w:tblW w:w="0" w:type="auto"/>
          <w:tblLayout w:type="fixed"/>
          <w:tblCellMar>
            <w:left w:w="108" w:type="dxa"/>
            <w:right w:w="108" w:type="dxa"/>
          </w:tblCellMar>
        </w:tblPrEx>
        <w:tc>
          <w:tcPr>
            <w:tcW w:w="2667"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场内除息日</w:t>
            </w:r>
          </w:p>
        </w:tc>
        <w:tc>
          <w:tcPr>
            <w:tcW w:w="5333"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2024年07月26日</w:t>
            </w:r>
          </w:p>
        </w:tc>
      </w:tr>
      <w:tr>
        <w:tblPrEx>
          <w:tblW w:w="0" w:type="auto"/>
          <w:tblLayout w:type="fixed"/>
          <w:tblCellMar>
            <w:left w:w="108" w:type="dxa"/>
            <w:right w:w="108" w:type="dxa"/>
          </w:tblCellMar>
        </w:tblPrEx>
        <w:tc>
          <w:tcPr>
            <w:tcW w:w="2667"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场外现金红利发放日</w:t>
            </w:r>
          </w:p>
        </w:tc>
        <w:tc>
          <w:tcPr>
            <w:tcW w:w="5333"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2024年07月29日</w:t>
            </w:r>
          </w:p>
        </w:tc>
      </w:tr>
      <w:tr>
        <w:tblPrEx>
          <w:tblW w:w="0" w:type="auto"/>
          <w:tblLayout w:type="fixed"/>
          <w:tblCellMar>
            <w:left w:w="108" w:type="dxa"/>
            <w:right w:w="108" w:type="dxa"/>
          </w:tblCellMar>
        </w:tblPrEx>
        <w:tc>
          <w:tcPr>
            <w:tcW w:w="2667"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场内现金红利发放日</w:t>
            </w:r>
          </w:p>
        </w:tc>
        <w:tc>
          <w:tcPr>
            <w:tcW w:w="5333"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2024年07月30日</w:t>
            </w:r>
          </w:p>
        </w:tc>
      </w:tr>
      <w:tr>
        <w:tblPrEx>
          <w:tblW w:w="0" w:type="auto"/>
          <w:tblLayout w:type="fixed"/>
          <w:tblCellMar>
            <w:left w:w="108" w:type="dxa"/>
            <w:right w:w="108" w:type="dxa"/>
          </w:tblCellMar>
        </w:tblPrEx>
        <w:tc>
          <w:tcPr>
            <w:tcW w:w="2667"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分红对象</w:t>
            </w:r>
          </w:p>
        </w:tc>
        <w:tc>
          <w:tcPr>
            <w:tcW w:w="5333"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权益登记日，本基金注册登记人登记在册的本基金全体份额持有人。</w:t>
            </w:r>
          </w:p>
        </w:tc>
      </w:tr>
      <w:tr>
        <w:tblPrEx>
          <w:tblW w:w="0" w:type="auto"/>
          <w:tblLayout w:type="fixed"/>
          <w:tblCellMar>
            <w:left w:w="108" w:type="dxa"/>
            <w:right w:w="108" w:type="dxa"/>
          </w:tblCellMar>
        </w:tblPrEx>
        <w:tc>
          <w:tcPr>
            <w:tcW w:w="2667"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红利再投资相关事项的说明</w:t>
            </w:r>
          </w:p>
        </w:tc>
        <w:tc>
          <w:tcPr>
            <w:tcW w:w="5333"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选择红利再投资的投资者，其红利将按2024年07月25日除息后的基金份额净值折算成基金份额，并于2024年07月26日直接计入其基金账户，2024年07月29日起，投资者可以查询红利再投资的基金份额，并于本基金的开放日办理赎回等业务。</w:t>
            </w:r>
          </w:p>
        </w:tc>
      </w:tr>
      <w:tr>
        <w:tblPrEx>
          <w:tblW w:w="0" w:type="auto"/>
          <w:tblLayout w:type="fixed"/>
          <w:tblCellMar>
            <w:left w:w="108" w:type="dxa"/>
            <w:right w:w="108" w:type="dxa"/>
          </w:tblCellMar>
        </w:tblPrEx>
        <w:tc>
          <w:tcPr>
            <w:tcW w:w="2667"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税收相关事项的说明</w:t>
            </w:r>
          </w:p>
        </w:tc>
        <w:tc>
          <w:tcPr>
            <w:tcW w:w="5333"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根据财政部、国家税务总局的财税字[2002]128号《财政部、国家税务总局关于开放式证券投资基金有关税收问题的通知》，基金向投资者分配的基金收益，暂免征收所得税。</w:t>
            </w:r>
          </w:p>
        </w:tc>
      </w:tr>
      <w:tr>
        <w:tblPrEx>
          <w:tblW w:w="0" w:type="auto"/>
          <w:tblLayout w:type="fixed"/>
          <w:tblCellMar>
            <w:left w:w="108" w:type="dxa"/>
            <w:right w:w="108" w:type="dxa"/>
          </w:tblCellMar>
        </w:tblPrEx>
        <w:tc>
          <w:tcPr>
            <w:tcW w:w="2667"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费用相关事项的说明</w:t>
            </w:r>
          </w:p>
        </w:tc>
        <w:tc>
          <w:tcPr>
            <w:tcW w:w="5333" w:type="dxa"/>
            <w:shd w:val="clear" w:color="auto" w:fill="FFFFFF"/>
            <w:vAlign w:val="center"/>
          </w:tcPr>
          <w:p w:rsidR="00760D38" w:rsidP="00760D38">
            <w:pPr>
              <w:jc w:val="left"/>
              <w:rPr>
                <w:rFonts w:ascii="宋体" w:eastAsia="宋体" w:hAnsi="宋体" w:cs="宋体"/>
                <w:bCs/>
                <w:color w:val="000000"/>
                <w:sz w:val="24"/>
                <w:szCs w:val="24"/>
              </w:rPr>
            </w:pPr>
            <w:r>
              <w:rPr>
                <w:rFonts w:ascii="宋体" w:eastAsia="宋体" w:hAnsi="宋体" w:cs="宋体"/>
                <w:bCs/>
                <w:color w:val="000000"/>
                <w:sz w:val="24"/>
                <w:szCs w:val="24"/>
              </w:rPr>
              <w:t>本基金本次分红免收分红手续费。选择红利再投资方式的投资者其红利再投资所得的基金份额免收申购费用。</w:t>
            </w:r>
          </w:p>
        </w:tc>
      </w:tr>
    </w:tbl>
    <w:p w:rsidR="00760D38" w:rsidP="00760D38">
      <w:pPr>
        <w:rPr>
          <w:rFonts w:asciiTheme="minorEastAsia" w:hAnsiTheme="minorEastAsia"/>
          <w:bCs/>
          <w:sz w:val="24"/>
          <w:szCs w:val="24"/>
        </w:rPr>
      </w:pPr>
    </w:p>
    <w:p w:rsidR="00A94D46" w:rsidRPr="00760D38" w:rsidP="00760D38">
      <w:pPr>
        <w:rPr>
          <w:rFonts w:ascii="宋体" w:eastAsia="宋体" w:hAnsi="宋体" w:cs="宋体"/>
          <w:bCs/>
          <w:color w:val="000000"/>
          <w:sz w:val="24"/>
          <w:szCs w:val="24"/>
        </w:rPr>
      </w:pPr>
    </w:p>
    <w:p w:rsidR="00760D38" w:rsidRPr="0004374C" w:rsidP="00760D38">
      <w:pPr>
        <w:spacing w:line="360" w:lineRule="auto"/>
        <w:rPr>
          <w:rFonts w:asciiTheme="minorEastAsia" w:hAnsiTheme="minorEastAsia"/>
          <w:b/>
          <w:bCs/>
          <w:sz w:val="24"/>
          <w:szCs w:val="24"/>
        </w:rPr>
      </w:pPr>
      <w:r w:rsidRPr="00760D38">
        <w:rPr>
          <w:rFonts w:asciiTheme="minorEastAsia" w:hAnsiTheme="minorEastAsia" w:hint="eastAsia"/>
          <w:b/>
          <w:bCs/>
          <w:sz w:val="24"/>
          <w:szCs w:val="24"/>
        </w:rPr>
        <w:t xml:space="preserve">3 </w:t>
      </w:r>
      <w:r w:rsidRPr="0004374C">
        <w:rPr>
          <w:rFonts w:asciiTheme="minorEastAsia" w:hAnsiTheme="minorEastAsia" w:hint="eastAsia"/>
          <w:b/>
          <w:bCs/>
          <w:sz w:val="24"/>
          <w:szCs w:val="24"/>
        </w:rPr>
        <w:t>其他需要提示的事项</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1、本基金合同约定：场外基金份额的收益分配方式分两种：现金分红与红利再投资，投资者可选择现金红利或将现金红利自动转为基金份额进行再投资；若投资者不选择，本基金默认的收益分配方式是现金分红；场内基金份额的收益分配方式只能为现金分红，投资人不能选择其他的分红方式，具体权益分配程序等有关事项遵循深圳证券交易所和登记机构的相关规定。</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2、投资者可以在基金开放日的交易时间内到本基金销售网点修改分红方式（仅限场外基金份额）。本次分红方式将按照投资者在权益登记日之前最后一次选择的分红方式为准。投资者可以到销售网点或通过本公司确认分红方式是否正确，如不正确或希望修改分红方式的请务必于权益登记日之前（不含当日），在本基金开放日的交易时间内到销售网点更改分红方式。</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注册登记机构在权益登记日可以受理分红方式变更申请，但该申请仅对以后的收益分配有效，而对本次收益分配无效。</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一只基金可以在不同的销售机构设置不同的分红方式。投资者若在多个销售机构持有本基金，其在某个销售机构修改的分红方式不会改变在其他销售机构设置的分红方式。</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投资者若在汇添富直销中心通过多个交易账号持有本基金，不同的交易账号可设置不同的分红方式，修改某个交易账号的分红方式不会改变其他交易账号的分红方式。</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3、权益登记日当天通过场内交易买入的基金份额享有本次分红权益，而权益登记日当天通过场内交易卖出的基金份额不享有本次分红权益。权益登记日当天通过场内申请申购的基金份额不享有本次分红权益，权益登记日当天通过场内申请赎回的基金份额享有本次分红权益。权益登记日当天通过场外申请申购、定期定额投资的基金份额不享有本次分红权益，权益登记日当天通过场内和场外申请赎回的基金份额享有本次分红权益。</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4、本基金将于2024年7月23日至2024年7月25日暂停跨系统转托管业务。自2024年7月26日起，本基金恢复办理跨系统转托管业务，届时不再另行公告。</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5、本基金将于2024年7月23日开市至10：30停牌一小时，并于当日10:30恢复正常交易。</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6、基金收益分配并不改变本基金的风险收益特征，也不会因此降低基金投资风险或提高基金投资收益。本基金分红后，受市场波动等因素的影响，有可能出现基金净值低于初始面值的风险。</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7、咨询办法</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（1）汇添富基金管理股份有限公司网站：www.99fund.com。</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（2）汇添富基金管理股份有限公司客户服务电话：400-888-9918。</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（3）汇添富基金管理股份有限公司直销网点及本基金各代销机构的相关网点（详见公司官网《汇添富基金管理股份有限公司旗下基金销售机构信息表》）。</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汇添富基金高度重视投资者服务和投资者教育，特此提醒投资者需正确认知基金投资的风险和长期收益，做理性的基金投资人，做明白的基金投资人，享受长期投资的快乐！</w:t>
      </w:r>
    </w:p>
    <w:p w:rsidR="00760D38" w:rsidP="00760D38">
      <w:pPr>
        <w:spacing w:line="360" w:lineRule="auto"/>
        <w:ind w:firstLine="480" w:firstLineChars="200"/>
        <w:rPr>
          <w:rFonts w:ascii="宋体" w:eastAsia="宋体" w:hAnsi="宋体" w:cs="宋体"/>
          <w:bCs/>
          <w:color w:val="000000"/>
          <w:sz w:val="24"/>
          <w:szCs w:val="24"/>
        </w:rPr>
      </w:pPr>
      <w:r>
        <w:rPr>
          <w:rFonts w:ascii="宋体" w:eastAsia="宋体" w:hAnsi="宋体" w:cs="宋体"/>
          <w:bCs/>
          <w:color w:val="000000"/>
          <w:sz w:val="24"/>
          <w:szCs w:val="24"/>
        </w:rPr>
        <w:t>特此公告。</w:t>
      </w:r>
    </w:p>
    <w:p w:rsidR="00760D38" w:rsidP="00760D38">
      <w:pPr>
        <w:spacing w:line="360" w:lineRule="auto"/>
        <w:rPr>
          <w:rFonts w:asciiTheme="minorEastAsia" w:hAnsiTheme="minorEastAsia"/>
          <w:bCs/>
          <w:sz w:val="24"/>
          <w:szCs w:val="24"/>
        </w:rPr>
      </w:pPr>
    </w:p>
    <w:p w:rsidR="00760D38" w:rsidRPr="00760D38" w:rsidP="00760D38">
      <w:pPr>
        <w:spacing w:line="360" w:lineRule="auto"/>
        <w:rPr>
          <w:rFonts w:asciiTheme="minorEastAsia" w:hAnsiTheme="minorEastAsia"/>
          <w:bCs/>
          <w:sz w:val="24"/>
          <w:szCs w:val="24"/>
        </w:rPr>
      </w:pPr>
    </w:p>
    <w:p w:rsidR="00760D38" w:rsidRPr="00760D38" w:rsidP="00760D38">
      <w:pPr>
        <w:spacing w:line="360" w:lineRule="auto"/>
        <w:jc w:val="right"/>
        <w:rPr>
          <w:rFonts w:asciiTheme="minorEastAsia" w:hAnsiTheme="minorEastAsia"/>
          <w:bCs/>
          <w:sz w:val="24"/>
          <w:szCs w:val="24"/>
        </w:rPr>
      </w:pPr>
      <w:r w:rsidRPr="00760D38">
        <w:rPr>
          <w:rFonts w:asciiTheme="minorEastAsia" w:hAnsiTheme="minorEastAsia" w:hint="eastAsia"/>
          <w:bCs/>
          <w:sz w:val="24"/>
          <w:szCs w:val="24"/>
        </w:rPr>
        <w:t>汇添富</w:t>
      </w:r>
      <w:r w:rsidRPr="00760D38">
        <w:rPr>
          <w:rFonts w:asciiTheme="minorEastAsia" w:hAnsiTheme="minorEastAsia"/>
          <w:bCs/>
          <w:sz w:val="24"/>
          <w:szCs w:val="24"/>
        </w:rPr>
        <w:t>基金</w:t>
      </w:r>
      <w:r w:rsidRPr="00760D38">
        <w:rPr>
          <w:rFonts w:asciiTheme="minorEastAsia" w:hAnsiTheme="minorEastAsia"/>
          <w:bCs/>
          <w:sz w:val="24"/>
          <w:szCs w:val="24"/>
        </w:rPr>
        <w:t>管理股份有限公司</w:t>
      </w:r>
    </w:p>
    <w:p w:rsidR="00D06EB5" w:rsidRPr="0004374C" w:rsidP="0004374C">
      <w:pPr>
        <w:spacing w:line="360" w:lineRule="auto"/>
        <w:jc w:val="right"/>
        <w:rPr>
          <w:rFonts w:ascii="宋体" w:eastAsia="宋体" w:hAnsi="宋体" w:cs="宋体" w:hint="eastAsia"/>
          <w:bCs/>
          <w:color w:val="000000"/>
          <w:sz w:val="24"/>
          <w:szCs w:val="24"/>
        </w:rPr>
      </w:pPr>
      <w:r w:rsidRPr="0004374C">
        <w:rPr>
          <w:rFonts w:ascii="宋体" w:eastAsia="宋体" w:hAnsi="宋体" w:cs="宋体" w:hint="eastAsia"/>
          <w:bCs/>
          <w:color w:val="000000"/>
          <w:sz w:val="24"/>
          <w:szCs w:val="24"/>
        </w:rPr>
        <w:t>2024年07月23日</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comments="1" w:formatting="1" w:inkAnnotations="1" w:insDel="1"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38"/>
    <w:rsid w:val="0004374C"/>
    <w:rsid w:val="00313CBA"/>
    <w:rsid w:val="004831CD"/>
    <w:rsid w:val="00556C0A"/>
    <w:rsid w:val="00760D38"/>
    <w:rsid w:val="00A94D46"/>
    <w:rsid w:val="00BA729B"/>
    <w:rsid w:val="00D06EB5"/>
    <w:rsid w:val="00DB1D62"/>
    <w:rsid w:val="00EB743E"/>
    <w:rsid w:val="00F31ACA"/>
    <w:rsid w:val="00FA34CA"/>
    <w:rsid w:val="00FF0163"/>
  </w:rsids>
  <w:docVars>
    <w:docVar w:name="KGWebUrl" w:val="http://www.htfrmssit.com:8080/RepTemplateManager//OfficeServer.aspx"/>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714BC647-2D8C-4554-92C3-4B6250BD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D3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dc:creator>
  <cp:lastModifiedBy>84</cp:lastModifiedBy>
  <cp:revision>2</cp:revision>
  <dcterms:created xsi:type="dcterms:W3CDTF">2021-06-09T03:05:00Z</dcterms:created>
  <dcterms:modified xsi:type="dcterms:W3CDTF">2021-06-09T03:05:00Z</dcterms:modified>
</cp:coreProperties>
</file>