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070317" w:rsidRPr="002A51E8"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易方达裕兴3个月定期开放债券型证券投资基金基金经理变更公告</w:t>
      </w:r>
    </w:p>
    <w:p w:rsidR="00070317" w:rsidRPr="00801D63" w:rsidP="00801D63">
      <w:pPr>
        <w:jc w:val="center"/>
        <w:rPr>
          <w:rFonts w:asciiTheme="minorEastAsia" w:eastAsiaTheme="minorEastAsia" w:hAnsiTheme="minorEastAsia"/>
          <w:b/>
          <w:color w:val="000000"/>
          <w:sz w:val="24"/>
          <w:szCs w:val="24"/>
        </w:rPr>
      </w:pPr>
      <w:r w:rsidRPr="00801D63">
        <w:rPr>
          <w:rFonts w:asciiTheme="minorEastAsia" w:eastAsiaTheme="minorEastAsia" w:hAnsiTheme="minorEastAsia"/>
          <w:b/>
          <w:color w:val="000000"/>
          <w:sz w:val="24"/>
          <w:szCs w:val="24"/>
        </w:rPr>
        <w:t>公告送出日期：2024年7月20日</w:t>
      </w:r>
    </w:p>
    <w:p w:rsidR="00070317" w:rsidRPr="0000418A" w:rsidP="00070317">
      <w:pPr>
        <w:spacing w:line="560" w:lineRule="exact"/>
        <w:jc w:val="center"/>
        <w:rPr>
          <w:rFonts w:asciiTheme="minorEastAsia" w:eastAsiaTheme="minorEastAsia" w:hAnsiTheme="minorEastAsia"/>
          <w:color w:val="000000"/>
          <w:sz w:val="24"/>
          <w:szCs w:val="24"/>
        </w:rPr>
      </w:pPr>
    </w:p>
    <w:p w:rsidR="00C6080C" w:rsidRPr="0000418A" w:rsidP="00C6080C">
      <w:pPr>
        <w:pStyle w:val="Heading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1</w:t>
      </w:r>
      <w:r w:rsidRPr="0000418A">
        <w:rPr>
          <w:rFonts w:asciiTheme="minorEastAsia" w:eastAsiaTheme="minorEastAsia" w:hAnsiTheme="minorEastAsia"/>
          <w:bCs w:val="0"/>
          <w:color w:val="000000"/>
          <w:sz w:val="24"/>
          <w:szCs w:val="24"/>
        </w:rPr>
        <w:t>公告基本信息</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Tr="004D144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4353" w:type="dxa"/>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基金名称</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易方达裕兴</w:t>
            </w:r>
            <w:r w:rsidRPr="009E69A9">
              <w:rPr>
                <w:rFonts w:eastAsiaTheme="minorEastAsia" w:hAnsiTheme="minorEastAsia"/>
                <w:sz w:val="24"/>
                <w:szCs w:val="24"/>
              </w:rPr>
              <w:t>3</w:t>
            </w:r>
            <w:r w:rsidRPr="009E69A9">
              <w:rPr>
                <w:rFonts w:eastAsiaTheme="minorEastAsia" w:hAnsiTheme="minorEastAsia"/>
                <w:sz w:val="24"/>
                <w:szCs w:val="24"/>
              </w:rPr>
              <w:t>个月定期开放债券型证券投资基金</w:t>
            </w:r>
          </w:p>
        </w:tc>
      </w:tr>
      <w:tr w:rsidTr="004D1446">
        <w:tblPrEx>
          <w:tblW w:w="9639" w:type="dxa"/>
          <w:jc w:val="center"/>
          <w:tblLayout w:type="fixed"/>
          <w:tblLook w:val="01E0"/>
        </w:tblPrEx>
        <w:trPr>
          <w:jc w:val="center"/>
        </w:trPr>
        <w:tc>
          <w:tcPr>
            <w:tcW w:w="4353" w:type="dxa"/>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基金简称</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易方达裕兴</w:t>
            </w:r>
            <w:r w:rsidRPr="009E69A9">
              <w:rPr>
                <w:rFonts w:eastAsiaTheme="minorEastAsia" w:hAnsiTheme="minorEastAsia"/>
                <w:sz w:val="24"/>
                <w:szCs w:val="24"/>
              </w:rPr>
              <w:t>3</w:t>
            </w:r>
            <w:r w:rsidRPr="009E69A9">
              <w:rPr>
                <w:rFonts w:eastAsiaTheme="minorEastAsia" w:hAnsiTheme="minorEastAsia"/>
                <w:sz w:val="24"/>
                <w:szCs w:val="24"/>
              </w:rPr>
              <w:t>个月定开债券</w:t>
            </w:r>
          </w:p>
        </w:tc>
      </w:tr>
      <w:tr w:rsidTr="004D1446">
        <w:tblPrEx>
          <w:tblW w:w="9639" w:type="dxa"/>
          <w:jc w:val="center"/>
          <w:tblLayout w:type="fixed"/>
          <w:tblLook w:val="01E0"/>
        </w:tblPrEx>
        <w:trPr>
          <w:jc w:val="center"/>
        </w:trPr>
        <w:tc>
          <w:tcPr>
            <w:tcW w:w="4353"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基金主代码</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012795</w:t>
            </w:r>
          </w:p>
        </w:tc>
      </w:tr>
      <w:tr w:rsidTr="004D1446">
        <w:tblPrEx>
          <w:tblW w:w="9639" w:type="dxa"/>
          <w:jc w:val="center"/>
          <w:tblLayout w:type="fixed"/>
          <w:tblLook w:val="01E0"/>
        </w:tblPrEx>
        <w:trPr>
          <w:jc w:val="center"/>
        </w:trPr>
        <w:tc>
          <w:tcPr>
            <w:tcW w:w="4353" w:type="dxa"/>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基金管理人名称</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易方达基金管理有限公司</w:t>
            </w:r>
          </w:p>
        </w:tc>
      </w:tr>
      <w:tr w:rsidTr="004D1446">
        <w:tblPrEx>
          <w:tblW w:w="9639" w:type="dxa"/>
          <w:jc w:val="center"/>
          <w:tblLayout w:type="fixed"/>
          <w:tblLook w:val="01E0"/>
        </w:tblPrEx>
        <w:trPr>
          <w:jc w:val="center"/>
        </w:trPr>
        <w:tc>
          <w:tcPr>
            <w:tcW w:w="4353" w:type="dxa"/>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公告依据</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《公开募集证券投资基金信息披露管理办法》《基金管理公司投资管理人员管理指导意见》《易方达裕兴</w:t>
            </w:r>
            <w:r w:rsidRPr="009E69A9">
              <w:rPr>
                <w:rFonts w:eastAsiaTheme="minorEastAsia" w:hAnsiTheme="minorEastAsia"/>
                <w:sz w:val="24"/>
                <w:szCs w:val="24"/>
              </w:rPr>
              <w:t>3</w:t>
            </w:r>
            <w:r w:rsidRPr="009E69A9">
              <w:rPr>
                <w:rFonts w:eastAsiaTheme="minorEastAsia" w:hAnsiTheme="minorEastAsia"/>
                <w:sz w:val="24"/>
                <w:szCs w:val="24"/>
              </w:rPr>
              <w:t>个月定期开放债券型证券投资基金基金合同》</w:t>
            </w:r>
          </w:p>
        </w:tc>
      </w:tr>
      <w:tr w:rsidTr="004D1446">
        <w:tblPrEx>
          <w:tblW w:w="9639" w:type="dxa"/>
          <w:jc w:val="center"/>
          <w:tblLayout w:type="fixed"/>
          <w:tblLook w:val="01E0"/>
        </w:tblPrEx>
        <w:trPr>
          <w:jc w:val="center"/>
        </w:trPr>
        <w:tc>
          <w:tcPr>
            <w:tcW w:w="4353" w:type="dxa"/>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基金经理变更类型</w:t>
            </w:r>
          </w:p>
        </w:tc>
        <w:tc>
          <w:tcPr>
            <w:tcW w:w="5286" w:type="dxa"/>
            <w:vAlign w:val="center"/>
          </w:tcPr>
          <w:p w:rsidR="00C6080C" w:rsidRPr="009E69A9" w:rsidP="009E69A9">
            <w:pPr>
              <w:rPr>
                <w:rFonts w:eastAsiaTheme="minorEastAsia" w:hAnsiTheme="minorEastAsia"/>
                <w:sz w:val="24"/>
                <w:szCs w:val="24"/>
              </w:rPr>
            </w:pPr>
            <w:r w:rsidRPr="009E69A9">
              <w:rPr>
                <w:rFonts w:eastAsiaTheme="minorEastAsia" w:hAnsiTheme="minorEastAsia"/>
                <w:sz w:val="24"/>
                <w:szCs w:val="24"/>
              </w:rPr>
              <w:t>增聘基金经理、解聘基金经理</w:t>
            </w:r>
          </w:p>
        </w:tc>
      </w:tr>
      <w:tr>
        <w:tblPrEx>
          <w:tblW w:w="9639" w:type="dxa"/>
          <w:jc w:val="center"/>
          <w:tblLayout w:type="fixed"/>
          <w:tblLook w:val="01E0"/>
        </w:tblPrEx>
        <w:trPr>
          <w:trHeight w:val="624"/>
          <w:jc w:val="center"/>
        </w:trPr>
        <w:tc>
          <w:tcPr>
            <w:tcW w:w="4353" w:type="dxa"/>
            <w:vMerge w:val="restart"/>
            <w:vAlign w:val="center"/>
          </w:tcPr>
          <w:p w:rsidR="006A0DAE">
            <w:pPr>
              <w:jc w:val="left"/>
            </w:pPr>
            <w:r>
              <w:rPr>
                <w:rFonts w:eastAsiaTheme="minorEastAsia"/>
                <w:sz w:val="24"/>
                <w:szCs w:val="24"/>
              </w:rPr>
              <w:t>新任基金经理姓名</w:t>
            </w:r>
          </w:p>
        </w:tc>
        <w:tc>
          <w:tcPr>
            <w:tcW w:w="5286" w:type="dxa"/>
            <w:vAlign w:val="center"/>
          </w:tcPr>
          <w:p w:rsidR="006A0DAE">
            <w:pPr>
              <w:jc w:val="left"/>
            </w:pPr>
            <w:r>
              <w:rPr>
                <w:rFonts w:eastAsiaTheme="minorEastAsia"/>
                <w:sz w:val="24"/>
                <w:szCs w:val="24"/>
              </w:rPr>
              <w:t>藏海涛</w:t>
            </w:r>
          </w:p>
        </w:tc>
      </w:tr>
      <w:tr>
        <w:tblPrEx>
          <w:tblW w:w="9639" w:type="dxa"/>
          <w:jc w:val="center"/>
          <w:tblLayout w:type="fixed"/>
          <w:tblLook w:val="01E0"/>
        </w:tblPrEx>
        <w:trPr>
          <w:jc w:val="center"/>
        </w:trPr>
        <w:tc>
          <w:tcPr>
            <w:tcW w:w="4353" w:type="dxa"/>
            <w:vMerge w:val="restart"/>
            <w:vAlign w:val="center"/>
          </w:tcPr>
          <w:p w:rsidR="006A0DAE">
            <w:pPr>
              <w:jc w:val="left"/>
            </w:pPr>
            <w:r>
              <w:rPr>
                <w:rFonts w:eastAsiaTheme="minorEastAsia"/>
                <w:sz w:val="24"/>
                <w:szCs w:val="24"/>
              </w:rPr>
              <w:t>离任基金经理姓名</w:t>
            </w:r>
          </w:p>
        </w:tc>
        <w:tc>
          <w:tcPr>
            <w:tcW w:w="5286" w:type="dxa"/>
            <w:vAlign w:val="center"/>
          </w:tcPr>
          <w:p w:rsidR="006A0DAE">
            <w:pPr>
              <w:jc w:val="left"/>
            </w:pPr>
            <w:r>
              <w:rPr>
                <w:rFonts w:eastAsiaTheme="minorEastAsia"/>
                <w:sz w:val="24"/>
                <w:szCs w:val="24"/>
              </w:rPr>
              <w:t>纪玲云</w:t>
            </w:r>
          </w:p>
        </w:tc>
      </w:tr>
      <w:tr>
        <w:tblPrEx>
          <w:tblW w:w="9639" w:type="dxa"/>
          <w:jc w:val="center"/>
          <w:tblLayout w:type="fixed"/>
          <w:tblLook w:val="01E0"/>
        </w:tblPrEx>
        <w:trPr>
          <w:jc w:val="center"/>
        </w:trPr>
        <w:tc>
          <w:tcPr>
            <w:tcW w:w="4353" w:type="dxa"/>
            <w:vMerge/>
          </w:tcPr>
          <w:p w:rsidR="006A0DAE"/>
        </w:tc>
        <w:tc>
          <w:tcPr>
            <w:tcW w:w="5286" w:type="dxa"/>
            <w:vAlign w:val="center"/>
          </w:tcPr>
          <w:p w:rsidR="006A0DAE">
            <w:pPr>
              <w:jc w:val="left"/>
            </w:pPr>
            <w:r>
              <w:rPr>
                <w:rFonts w:eastAsiaTheme="minorEastAsia"/>
                <w:sz w:val="24"/>
                <w:szCs w:val="24"/>
              </w:rPr>
              <w:t>杨真</w:t>
            </w:r>
          </w:p>
        </w:tc>
      </w:tr>
    </w:tbl>
    <w:p w:rsidR="00070317" w:rsidRPr="0000418A" w:rsidP="00070317">
      <w:pPr>
        <w:spacing w:line="560" w:lineRule="exact"/>
        <w:rPr>
          <w:rFonts w:asciiTheme="minorEastAsia" w:eastAsiaTheme="minorEastAsia" w:hAnsiTheme="minorEastAsia"/>
          <w:color w:val="000000"/>
          <w:sz w:val="24"/>
          <w:szCs w:val="24"/>
        </w:rPr>
      </w:pPr>
    </w:p>
    <w:p w:rsidR="00070317" w:rsidP="00070317">
      <w:pPr>
        <w:pStyle w:val="Heading2"/>
        <w:spacing w:line="560" w:lineRule="exact"/>
        <w:rPr>
          <w:rFonts w:asciiTheme="minorEastAsia" w:eastAsiaTheme="minorEastAsia" w:hAnsiTheme="minorEastAsia"/>
          <w:bCs w:val="0"/>
          <w:color w:val="000000"/>
          <w:sz w:val="24"/>
          <w:szCs w:val="24"/>
        </w:rPr>
      </w:pPr>
      <w:bookmarkStart w:id="0" w:name="_Toc275961409"/>
      <w:r w:rsidRPr="0000418A">
        <w:rPr>
          <w:rFonts w:asciiTheme="minorEastAsia" w:eastAsiaTheme="minorEastAsia" w:hAnsiTheme="minorEastAsia" w:hint="eastAsia"/>
          <w:bCs w:val="0"/>
          <w:color w:val="000000"/>
          <w:sz w:val="24"/>
          <w:szCs w:val="24"/>
        </w:rPr>
        <w:t>2</w:t>
      </w:r>
      <w:r w:rsidRPr="0000418A">
        <w:rPr>
          <w:rFonts w:asciiTheme="minorEastAsia" w:eastAsiaTheme="minorEastAsia" w:hAnsiTheme="minorEastAsia"/>
          <w:bCs w:val="0"/>
          <w:color w:val="000000"/>
          <w:sz w:val="24"/>
          <w:szCs w:val="24"/>
        </w:rPr>
        <w:t xml:space="preserve"> 新任基金经理的相关信息</w:t>
      </w:r>
      <w:bookmarkEnd w:id="0"/>
    </w:p>
    <w:tbl>
      <w:tblPr>
        <w:tblW w:w="968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82"/>
        <w:gridCol w:w="1309"/>
        <w:gridCol w:w="3836"/>
        <w:gridCol w:w="1330"/>
        <w:gridCol w:w="1324"/>
      </w:tblGrid>
      <w:tr w:rsidTr="000E6F9C">
        <w:tblPrEx>
          <w:tblW w:w="968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新任基金经理姓名</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藏海涛</w:t>
            </w:r>
          </w:p>
        </w:tc>
      </w:tr>
      <w:tr w:rsidTr="000E6F9C">
        <w:tblPrEx>
          <w:tblW w:w="9681" w:type="dxa"/>
          <w:jc w:val="center"/>
          <w:tblLook w:val="04A0"/>
        </w:tblPrEx>
        <w:trPr>
          <w:jc w:val="center"/>
        </w:trPr>
        <w:tc>
          <w:tcPr>
            <w:tcW w:w="2673"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任职日期</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2024</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w:t>
            </w:r>
            <w:r w:rsidRPr="00404B1E">
              <w:rPr>
                <w:rFonts w:eastAsiaTheme="minorEastAsia" w:hAnsiTheme="minorEastAsia"/>
                <w:sz w:val="24"/>
                <w:szCs w:val="24"/>
              </w:rPr>
              <w:t>20</w:t>
            </w:r>
            <w:r w:rsidRPr="00404B1E">
              <w:rPr>
                <w:rFonts w:eastAsiaTheme="minorEastAsia" w:hAnsiTheme="minorEastAsia"/>
                <w:sz w:val="24"/>
                <w:szCs w:val="24"/>
              </w:rPr>
              <w:t>日</w:t>
            </w:r>
          </w:p>
        </w:tc>
      </w:tr>
      <w:tr w:rsidTr="000E6F9C">
        <w:tblPrEx>
          <w:tblW w:w="9681" w:type="dxa"/>
          <w:jc w:val="center"/>
          <w:tblLook w:val="04A0"/>
        </w:tblPrEx>
        <w:trPr>
          <w:jc w:val="center"/>
        </w:trPr>
        <w:tc>
          <w:tcPr>
            <w:tcW w:w="2673"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证券从业年限</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19</w:t>
            </w:r>
            <w:r w:rsidRPr="00404B1E">
              <w:rPr>
                <w:rFonts w:eastAsiaTheme="minorEastAsia" w:hAnsiTheme="minorEastAsia"/>
                <w:sz w:val="24"/>
                <w:szCs w:val="24"/>
              </w:rPr>
              <w:t>年</w:t>
            </w:r>
          </w:p>
        </w:tc>
      </w:tr>
      <w:tr w:rsidTr="000E6F9C">
        <w:tblPrEx>
          <w:tblW w:w="9681" w:type="dxa"/>
          <w:jc w:val="center"/>
          <w:tblLook w:val="04A0"/>
        </w:tblPrEx>
        <w:trPr>
          <w:jc w:val="center"/>
        </w:trPr>
        <w:tc>
          <w:tcPr>
            <w:tcW w:w="2673"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证券投资管理从业年限</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19</w:t>
            </w:r>
            <w:r w:rsidRPr="00404B1E">
              <w:rPr>
                <w:rFonts w:eastAsiaTheme="minorEastAsia" w:hAnsiTheme="minorEastAsia"/>
                <w:sz w:val="24"/>
                <w:szCs w:val="24"/>
              </w:rPr>
              <w:t>年</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过往从业经历</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2005</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月至</w:t>
            </w:r>
            <w:r w:rsidRPr="00404B1E">
              <w:rPr>
                <w:rFonts w:eastAsiaTheme="minorEastAsia" w:hAnsiTheme="minorEastAsia"/>
                <w:sz w:val="24"/>
                <w:szCs w:val="24"/>
              </w:rPr>
              <w:t>2011</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月任中央外汇业务中心投资部投资经理，</w:t>
            </w:r>
            <w:r w:rsidRPr="00404B1E">
              <w:rPr>
                <w:rFonts w:eastAsiaTheme="minorEastAsia" w:hAnsiTheme="minorEastAsia"/>
                <w:sz w:val="24"/>
                <w:szCs w:val="24"/>
              </w:rPr>
              <w:t>2011</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月至</w:t>
            </w:r>
            <w:r w:rsidRPr="00404B1E">
              <w:rPr>
                <w:rFonts w:eastAsiaTheme="minorEastAsia" w:hAnsiTheme="minorEastAsia"/>
                <w:sz w:val="24"/>
                <w:szCs w:val="24"/>
              </w:rPr>
              <w:t>2013</w:t>
            </w:r>
            <w:r w:rsidRPr="00404B1E">
              <w:rPr>
                <w:rFonts w:eastAsiaTheme="minorEastAsia" w:hAnsiTheme="minorEastAsia"/>
                <w:sz w:val="24"/>
                <w:szCs w:val="24"/>
              </w:rPr>
              <w:t>年</w:t>
            </w:r>
            <w:r w:rsidRPr="00404B1E">
              <w:rPr>
                <w:rFonts w:eastAsiaTheme="minorEastAsia" w:hAnsiTheme="minorEastAsia"/>
                <w:sz w:val="24"/>
                <w:szCs w:val="24"/>
              </w:rPr>
              <w:t>4</w:t>
            </w:r>
            <w:r w:rsidRPr="00404B1E">
              <w:rPr>
                <w:rFonts w:eastAsiaTheme="minorEastAsia" w:hAnsiTheme="minorEastAsia"/>
                <w:sz w:val="24"/>
                <w:szCs w:val="24"/>
              </w:rPr>
              <w:t>月任泰康资产管理有限责任公司固定收益部投资经理，</w:t>
            </w:r>
            <w:r w:rsidRPr="00404B1E">
              <w:rPr>
                <w:rFonts w:eastAsiaTheme="minorEastAsia" w:hAnsiTheme="minorEastAsia"/>
                <w:sz w:val="24"/>
                <w:szCs w:val="24"/>
              </w:rPr>
              <w:t>2013</w:t>
            </w:r>
            <w:r w:rsidRPr="00404B1E">
              <w:rPr>
                <w:rFonts w:eastAsiaTheme="minorEastAsia" w:hAnsiTheme="minorEastAsia"/>
                <w:sz w:val="24"/>
                <w:szCs w:val="24"/>
              </w:rPr>
              <w:t>年</w:t>
            </w:r>
            <w:r w:rsidRPr="00404B1E">
              <w:rPr>
                <w:rFonts w:eastAsiaTheme="minorEastAsia" w:hAnsiTheme="minorEastAsia"/>
                <w:sz w:val="24"/>
                <w:szCs w:val="24"/>
              </w:rPr>
              <w:t>4</w:t>
            </w:r>
            <w:r w:rsidRPr="00404B1E">
              <w:rPr>
                <w:rFonts w:eastAsiaTheme="minorEastAsia" w:hAnsiTheme="minorEastAsia"/>
                <w:sz w:val="24"/>
                <w:szCs w:val="24"/>
              </w:rPr>
              <w:t>月至</w:t>
            </w:r>
            <w:r w:rsidRPr="00404B1E">
              <w:rPr>
                <w:rFonts w:eastAsiaTheme="minorEastAsia" w:hAnsiTheme="minorEastAsia"/>
                <w:sz w:val="24"/>
                <w:szCs w:val="24"/>
              </w:rPr>
              <w:t>2014</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月任天安财产保险股份有限公司投资部固定收益负责人，</w:t>
            </w:r>
            <w:r w:rsidRPr="00404B1E">
              <w:rPr>
                <w:rFonts w:eastAsiaTheme="minorEastAsia" w:hAnsiTheme="minorEastAsia"/>
                <w:sz w:val="24"/>
                <w:szCs w:val="24"/>
              </w:rPr>
              <w:t>2014</w:t>
            </w:r>
            <w:r w:rsidRPr="00404B1E">
              <w:rPr>
                <w:rFonts w:eastAsiaTheme="minorEastAsia" w:hAnsiTheme="minorEastAsia"/>
                <w:sz w:val="24"/>
                <w:szCs w:val="24"/>
              </w:rPr>
              <w:t>年</w:t>
            </w:r>
            <w:r w:rsidRPr="00404B1E">
              <w:rPr>
                <w:rFonts w:eastAsiaTheme="minorEastAsia" w:hAnsiTheme="minorEastAsia"/>
                <w:sz w:val="24"/>
                <w:szCs w:val="24"/>
              </w:rPr>
              <w:t>7</w:t>
            </w:r>
            <w:r w:rsidRPr="00404B1E">
              <w:rPr>
                <w:rFonts w:eastAsiaTheme="minorEastAsia" w:hAnsiTheme="minorEastAsia"/>
                <w:sz w:val="24"/>
                <w:szCs w:val="24"/>
              </w:rPr>
              <w:t>月加入易方达基金管理有限公司，曾任固定收益投资部总经理助理、投资经理，现任固定收益全策略投资部副总经理、基金经理。</w:t>
            </w:r>
          </w:p>
        </w:tc>
      </w:tr>
      <w:tr w:rsidTr="000E6F9C">
        <w:tblPrEx>
          <w:tblW w:w="9681" w:type="dxa"/>
          <w:jc w:val="center"/>
          <w:tblLook w:val="04A0"/>
        </w:tblPrEx>
        <w:trPr>
          <w:jc w:val="center"/>
        </w:trPr>
        <w:tc>
          <w:tcPr>
            <w:tcW w:w="2673" w:type="dxa"/>
            <w:vMerge w:val="restart"/>
          </w:tcPr>
          <w:p w:rsidR="000E6F9C" w:rsidRPr="00404B1E" w:rsidP="00BA1FDD">
            <w:pPr>
              <w:rPr>
                <w:rFonts w:eastAsiaTheme="minorEastAsia"/>
                <w:sz w:val="24"/>
                <w:szCs w:val="24"/>
              </w:rPr>
            </w:pPr>
            <w:r w:rsidRPr="002C06BE">
              <w:rPr>
                <w:rFonts w:eastAsiaTheme="minorEastAsia" w:hAnsiTheme="minorEastAsia"/>
                <w:sz w:val="24"/>
                <w:szCs w:val="24"/>
              </w:rPr>
              <w:t>其中：管理过公募基金的名称及期间</w:t>
            </w:r>
          </w:p>
        </w:tc>
        <w:tc>
          <w:tcPr>
            <w:tcW w:w="1559" w:type="dxa"/>
            <w:vAlign w:val="center"/>
          </w:tcPr>
          <w:p w:rsidR="000E6F9C" w:rsidRPr="00404B1E" w:rsidP="000E6F9C">
            <w:pPr>
              <w:jc w:val="center"/>
              <w:rPr>
                <w:rFonts w:eastAsiaTheme="minorEastAsia" w:hAnsiTheme="minorEastAsia"/>
                <w:sz w:val="24"/>
                <w:szCs w:val="24"/>
              </w:rPr>
            </w:pPr>
            <w:r w:rsidRPr="002C06BE">
              <w:rPr>
                <w:rFonts w:eastAsiaTheme="minorEastAsia" w:hAnsiTheme="minorEastAsia"/>
                <w:sz w:val="24"/>
                <w:szCs w:val="24"/>
              </w:rPr>
              <w:t>基金</w:t>
            </w:r>
          </w:p>
          <w:p w:rsidR="000E6F9C" w:rsidRPr="00404B1E" w:rsidP="000E6F9C">
            <w:pPr>
              <w:ind w:firstLine="360" w:firstLineChars="150"/>
              <w:rPr>
                <w:rFonts w:eastAsiaTheme="minorEastAsia"/>
                <w:sz w:val="24"/>
                <w:szCs w:val="24"/>
              </w:rPr>
            </w:pPr>
            <w:r w:rsidRPr="002C06BE">
              <w:rPr>
                <w:rFonts w:eastAsiaTheme="minorEastAsia" w:hAnsiTheme="minorEastAsia"/>
                <w:sz w:val="24"/>
                <w:szCs w:val="24"/>
              </w:rPr>
              <w:t>主代码</w:t>
            </w:r>
          </w:p>
        </w:tc>
        <w:tc>
          <w:tcPr>
            <w:tcW w:w="1843"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基金名称</w:t>
            </w:r>
          </w:p>
        </w:tc>
        <w:tc>
          <w:tcPr>
            <w:tcW w:w="1701"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任职日期</w:t>
            </w:r>
          </w:p>
        </w:tc>
        <w:tc>
          <w:tcPr>
            <w:tcW w:w="1905" w:type="dxa"/>
            <w:vAlign w:val="center"/>
          </w:tcPr>
          <w:p w:rsidR="000E6F9C" w:rsidRPr="00404B1E" w:rsidP="00BA1FDD">
            <w:pPr>
              <w:rPr>
                <w:rFonts w:eastAsiaTheme="minorEastAsia"/>
                <w:sz w:val="24"/>
                <w:szCs w:val="24"/>
              </w:rPr>
            </w:pPr>
            <w:r w:rsidRPr="002C06BE">
              <w:rPr>
                <w:rFonts w:eastAsiaTheme="minorEastAsia" w:hAnsiTheme="minorEastAsia"/>
                <w:sz w:val="24"/>
                <w:szCs w:val="24"/>
              </w:rPr>
              <w:t>离任日期</w:t>
            </w:r>
          </w:p>
        </w:tc>
      </w:tr>
      <w:tr>
        <w:tblPrEx>
          <w:tblW w:w="9681" w:type="dxa"/>
          <w:jc w:val="center"/>
          <w:tblLook w:val="04A0"/>
        </w:tblPrEx>
        <w:trPr>
          <w:jc w:val="center"/>
        </w:trPr>
        <w:tc>
          <w:tcPr>
            <w:tcW w:w="0" w:type="auto"/>
            <w:vMerge/>
          </w:tcPr>
          <w:p w:rsidR="006A0DAE"/>
        </w:tc>
        <w:tc>
          <w:tcPr>
            <w:tcW w:w="0" w:type="auto"/>
            <w:vAlign w:val="center"/>
          </w:tcPr>
          <w:p w:rsidR="006A0DAE">
            <w:pPr>
              <w:jc w:val="center"/>
            </w:pPr>
            <w:r>
              <w:rPr>
                <w:rFonts w:eastAsiaTheme="minorEastAsia" w:hAnsiTheme="minorEastAsia"/>
                <w:sz w:val="24"/>
                <w:szCs w:val="24"/>
              </w:rPr>
              <w:t>000265</w:t>
            </w:r>
          </w:p>
        </w:tc>
        <w:tc>
          <w:tcPr>
            <w:tcW w:w="0" w:type="auto"/>
            <w:vAlign w:val="center"/>
          </w:tcPr>
          <w:p w:rsidR="006A0DAE">
            <w:pPr>
              <w:jc w:val="center"/>
            </w:pPr>
            <w:r>
              <w:rPr>
                <w:rFonts w:eastAsiaTheme="minorEastAsia" w:hAnsiTheme="minorEastAsia"/>
                <w:sz w:val="24"/>
                <w:szCs w:val="24"/>
              </w:rPr>
              <w:t>易方达恒久添利</w:t>
            </w:r>
            <w:r>
              <w:rPr>
                <w:rFonts w:eastAsiaTheme="minorEastAsia" w:hAnsiTheme="minorEastAsia"/>
                <w:sz w:val="24"/>
                <w:szCs w:val="24"/>
              </w:rPr>
              <w:t>1</w:t>
            </w:r>
            <w:r>
              <w:rPr>
                <w:rFonts w:eastAsiaTheme="minorEastAsia" w:hAnsiTheme="minorEastAsia"/>
                <w:sz w:val="24"/>
                <w:szCs w:val="24"/>
              </w:rPr>
              <w:t>年定期开放债券</w:t>
            </w:r>
            <w:r>
              <w:rPr>
                <w:rFonts w:eastAsiaTheme="minorEastAsia" w:hAnsiTheme="minorEastAsia"/>
                <w:sz w:val="24"/>
                <w:szCs w:val="24"/>
              </w:rPr>
              <w:t>型证券投资基金</w:t>
            </w:r>
          </w:p>
        </w:tc>
        <w:tc>
          <w:tcPr>
            <w:tcW w:w="0" w:type="auto"/>
            <w:vAlign w:val="center"/>
          </w:tcPr>
          <w:p w:rsidR="006A0DAE">
            <w:pPr>
              <w:jc w:val="center"/>
            </w:pPr>
            <w:r>
              <w:rPr>
                <w:rFonts w:eastAsiaTheme="minorEastAsia" w:hAnsiTheme="minorEastAsia"/>
                <w:sz w:val="24"/>
                <w:szCs w:val="24"/>
              </w:rPr>
              <w:t>2020-02-</w:t>
            </w:r>
            <w:r>
              <w:rPr>
                <w:rFonts w:eastAsiaTheme="minorEastAsia" w:hAnsiTheme="minorEastAsia"/>
                <w:sz w:val="24"/>
                <w:szCs w:val="24"/>
              </w:rPr>
              <w:t>29</w:t>
            </w:r>
          </w:p>
        </w:tc>
        <w:tc>
          <w:tcPr>
            <w:tcW w:w="0" w:type="auto"/>
            <w:vAlign w:val="center"/>
          </w:tcPr>
          <w:p w:rsidR="006A0DAE">
            <w:pPr>
              <w:jc w:val="center"/>
            </w:pPr>
            <w:r>
              <w:rPr>
                <w:rFonts w:eastAsiaTheme="minorEastAsia" w:hAnsiTheme="minorEastAsia"/>
                <w:sz w:val="24"/>
                <w:szCs w:val="24"/>
              </w:rPr>
              <w:t>-</w:t>
            </w:r>
          </w:p>
        </w:tc>
      </w:tr>
      <w:tr>
        <w:tblPrEx>
          <w:tblW w:w="9681" w:type="dxa"/>
          <w:jc w:val="center"/>
          <w:tblLook w:val="04A0"/>
        </w:tblPrEx>
        <w:trPr>
          <w:jc w:val="center"/>
        </w:trPr>
        <w:tc>
          <w:tcPr>
            <w:tcW w:w="0" w:type="auto"/>
            <w:vMerge/>
          </w:tcPr>
          <w:p w:rsidR="006A0DAE"/>
        </w:tc>
        <w:tc>
          <w:tcPr>
            <w:tcW w:w="0" w:type="auto"/>
            <w:vAlign w:val="center"/>
          </w:tcPr>
          <w:p w:rsidR="006A0DAE">
            <w:pPr>
              <w:jc w:val="center"/>
            </w:pPr>
            <w:r>
              <w:rPr>
                <w:rFonts w:eastAsiaTheme="minorEastAsia" w:hAnsiTheme="minorEastAsia"/>
                <w:sz w:val="24"/>
                <w:szCs w:val="24"/>
              </w:rPr>
              <w:t>009212</w:t>
            </w:r>
          </w:p>
        </w:tc>
        <w:tc>
          <w:tcPr>
            <w:tcW w:w="0" w:type="auto"/>
            <w:vAlign w:val="center"/>
          </w:tcPr>
          <w:p w:rsidR="006A0DAE">
            <w:pPr>
              <w:jc w:val="center"/>
            </w:pPr>
            <w:r>
              <w:rPr>
                <w:rFonts w:eastAsiaTheme="minorEastAsia" w:hAnsiTheme="minorEastAsia"/>
                <w:sz w:val="24"/>
                <w:szCs w:val="24"/>
              </w:rPr>
              <w:t>易方达恒茂</w:t>
            </w:r>
            <w:r>
              <w:rPr>
                <w:rFonts w:eastAsiaTheme="minorEastAsia" w:hAnsiTheme="minorEastAsia"/>
                <w:sz w:val="24"/>
                <w:szCs w:val="24"/>
              </w:rPr>
              <w:t>39</w:t>
            </w:r>
            <w:r>
              <w:rPr>
                <w:rFonts w:eastAsiaTheme="minorEastAsia" w:hAnsiTheme="minorEastAsia"/>
                <w:sz w:val="24"/>
                <w:szCs w:val="24"/>
              </w:rPr>
              <w:t>个月定期开放债券型发起式证券投资基金</w:t>
            </w:r>
          </w:p>
        </w:tc>
        <w:tc>
          <w:tcPr>
            <w:tcW w:w="0" w:type="auto"/>
            <w:vAlign w:val="center"/>
          </w:tcPr>
          <w:p w:rsidR="006A0DAE">
            <w:pPr>
              <w:jc w:val="center"/>
            </w:pPr>
            <w:r>
              <w:rPr>
                <w:rFonts w:eastAsiaTheme="minorEastAsia" w:hAnsiTheme="minorEastAsia"/>
                <w:sz w:val="24"/>
                <w:szCs w:val="24"/>
              </w:rPr>
              <w:t>2020-07-16</w:t>
            </w:r>
          </w:p>
        </w:tc>
        <w:tc>
          <w:tcPr>
            <w:tcW w:w="0" w:type="auto"/>
            <w:vAlign w:val="center"/>
          </w:tcPr>
          <w:p w:rsidR="006A0DAE">
            <w:pPr>
              <w:jc w:val="center"/>
            </w:pPr>
            <w:r>
              <w:rPr>
                <w:rFonts w:eastAsiaTheme="minorEastAsia" w:hAnsiTheme="minorEastAsia"/>
                <w:sz w:val="24"/>
                <w:szCs w:val="24"/>
              </w:rPr>
              <w:t>-</w:t>
            </w:r>
          </w:p>
        </w:tc>
      </w:tr>
      <w:tr>
        <w:tblPrEx>
          <w:tblW w:w="9681" w:type="dxa"/>
          <w:jc w:val="center"/>
          <w:tblLook w:val="04A0"/>
        </w:tblPrEx>
        <w:trPr>
          <w:jc w:val="center"/>
        </w:trPr>
        <w:tc>
          <w:tcPr>
            <w:tcW w:w="0" w:type="auto"/>
            <w:vMerge/>
          </w:tcPr>
          <w:p w:rsidR="006A0DAE"/>
        </w:tc>
        <w:tc>
          <w:tcPr>
            <w:tcW w:w="0" w:type="auto"/>
            <w:vAlign w:val="center"/>
          </w:tcPr>
          <w:p w:rsidR="006A0DAE">
            <w:pPr>
              <w:jc w:val="center"/>
            </w:pPr>
            <w:r>
              <w:rPr>
                <w:rFonts w:eastAsiaTheme="minorEastAsia" w:hAnsiTheme="minorEastAsia"/>
                <w:sz w:val="24"/>
                <w:szCs w:val="24"/>
              </w:rPr>
              <w:t>009809</w:t>
            </w:r>
          </w:p>
        </w:tc>
        <w:tc>
          <w:tcPr>
            <w:tcW w:w="0" w:type="auto"/>
            <w:vAlign w:val="center"/>
          </w:tcPr>
          <w:p w:rsidR="006A0DAE">
            <w:pPr>
              <w:jc w:val="center"/>
            </w:pPr>
            <w:r>
              <w:rPr>
                <w:rFonts w:eastAsiaTheme="minorEastAsia" w:hAnsiTheme="minorEastAsia"/>
                <w:sz w:val="24"/>
                <w:szCs w:val="24"/>
              </w:rPr>
              <w:t>易方达恒智</w:t>
            </w:r>
            <w:r>
              <w:rPr>
                <w:rFonts w:eastAsiaTheme="minorEastAsia" w:hAnsiTheme="minorEastAsia"/>
                <w:sz w:val="24"/>
                <w:szCs w:val="24"/>
              </w:rPr>
              <w:t>63</w:t>
            </w:r>
            <w:r>
              <w:rPr>
                <w:rFonts w:eastAsiaTheme="minorEastAsia" w:hAnsiTheme="minorEastAsia"/>
                <w:sz w:val="24"/>
                <w:szCs w:val="24"/>
              </w:rPr>
              <w:t>个月定期开放债券型发起式证券投资基金</w:t>
            </w:r>
          </w:p>
        </w:tc>
        <w:tc>
          <w:tcPr>
            <w:tcW w:w="0" w:type="auto"/>
            <w:vAlign w:val="center"/>
          </w:tcPr>
          <w:p w:rsidR="006A0DAE">
            <w:pPr>
              <w:jc w:val="center"/>
            </w:pPr>
            <w:r>
              <w:rPr>
                <w:rFonts w:eastAsiaTheme="minorEastAsia" w:hAnsiTheme="minorEastAsia"/>
                <w:sz w:val="24"/>
                <w:szCs w:val="24"/>
              </w:rPr>
              <w:t>2020-07-24</w:t>
            </w:r>
          </w:p>
        </w:tc>
        <w:tc>
          <w:tcPr>
            <w:tcW w:w="0" w:type="auto"/>
            <w:vAlign w:val="center"/>
          </w:tcPr>
          <w:p w:rsidR="006A0DAE">
            <w:pPr>
              <w:jc w:val="center"/>
            </w:pPr>
            <w:r>
              <w:rPr>
                <w:rFonts w:eastAsiaTheme="minorEastAsia" w:hAnsiTheme="minorEastAsia"/>
                <w:sz w:val="24"/>
                <w:szCs w:val="24"/>
              </w:rPr>
              <w:t>-</w:t>
            </w:r>
          </w:p>
        </w:tc>
      </w:tr>
      <w:tr>
        <w:tblPrEx>
          <w:tblW w:w="9681" w:type="dxa"/>
          <w:jc w:val="center"/>
          <w:tblLook w:val="04A0"/>
        </w:tblPrEx>
        <w:trPr>
          <w:jc w:val="center"/>
        </w:trPr>
        <w:tc>
          <w:tcPr>
            <w:tcW w:w="0" w:type="auto"/>
            <w:vMerge/>
          </w:tcPr>
          <w:p w:rsidR="006A0DAE"/>
        </w:tc>
        <w:tc>
          <w:tcPr>
            <w:tcW w:w="0" w:type="auto"/>
            <w:vAlign w:val="center"/>
          </w:tcPr>
          <w:p w:rsidR="006A0DAE">
            <w:pPr>
              <w:jc w:val="center"/>
            </w:pPr>
            <w:r>
              <w:rPr>
                <w:rFonts w:eastAsiaTheme="minorEastAsia" w:hAnsiTheme="minorEastAsia"/>
                <w:sz w:val="24"/>
                <w:szCs w:val="24"/>
              </w:rPr>
              <w:t>000833</w:t>
            </w:r>
          </w:p>
        </w:tc>
        <w:tc>
          <w:tcPr>
            <w:tcW w:w="0" w:type="auto"/>
            <w:vAlign w:val="center"/>
          </w:tcPr>
          <w:p w:rsidR="006A0DAE">
            <w:pPr>
              <w:jc w:val="center"/>
            </w:pPr>
            <w:r>
              <w:rPr>
                <w:rFonts w:eastAsiaTheme="minorEastAsia" w:hAnsiTheme="minorEastAsia"/>
                <w:sz w:val="24"/>
                <w:szCs w:val="24"/>
              </w:rPr>
              <w:t>易方达富华纯债债券型证券投资基金</w:t>
            </w:r>
          </w:p>
        </w:tc>
        <w:tc>
          <w:tcPr>
            <w:tcW w:w="0" w:type="auto"/>
            <w:vAlign w:val="center"/>
          </w:tcPr>
          <w:p w:rsidR="006A0DAE">
            <w:pPr>
              <w:jc w:val="center"/>
            </w:pPr>
            <w:r>
              <w:rPr>
                <w:rFonts w:eastAsiaTheme="minorEastAsia" w:hAnsiTheme="minorEastAsia"/>
                <w:sz w:val="24"/>
                <w:szCs w:val="24"/>
              </w:rPr>
              <w:t>2020-12-28</w:t>
            </w:r>
          </w:p>
        </w:tc>
        <w:tc>
          <w:tcPr>
            <w:tcW w:w="0" w:type="auto"/>
            <w:vAlign w:val="center"/>
          </w:tcPr>
          <w:p w:rsidR="006A0DAE">
            <w:pPr>
              <w:jc w:val="center"/>
            </w:pPr>
            <w:r>
              <w:rPr>
                <w:rFonts w:eastAsiaTheme="minorEastAsia" w:hAnsiTheme="minorEastAsia"/>
                <w:sz w:val="24"/>
                <w:szCs w:val="24"/>
              </w:rPr>
              <w:t>-</w:t>
            </w:r>
          </w:p>
        </w:tc>
      </w:tr>
      <w:tr>
        <w:tblPrEx>
          <w:tblW w:w="9681" w:type="dxa"/>
          <w:jc w:val="center"/>
          <w:tblLook w:val="04A0"/>
        </w:tblPrEx>
        <w:trPr>
          <w:jc w:val="center"/>
        </w:trPr>
        <w:tc>
          <w:tcPr>
            <w:tcW w:w="0" w:type="auto"/>
            <w:vMerge/>
          </w:tcPr>
          <w:p w:rsidR="006A0DAE"/>
        </w:tc>
        <w:tc>
          <w:tcPr>
            <w:tcW w:w="0" w:type="auto"/>
            <w:vAlign w:val="center"/>
          </w:tcPr>
          <w:p w:rsidR="006A0DAE">
            <w:pPr>
              <w:jc w:val="center"/>
            </w:pPr>
            <w:r>
              <w:rPr>
                <w:rFonts w:eastAsiaTheme="minorEastAsia" w:hAnsiTheme="minorEastAsia"/>
                <w:sz w:val="24"/>
                <w:szCs w:val="24"/>
              </w:rPr>
              <w:t>020891</w:t>
            </w:r>
          </w:p>
        </w:tc>
        <w:tc>
          <w:tcPr>
            <w:tcW w:w="0" w:type="auto"/>
            <w:vAlign w:val="center"/>
          </w:tcPr>
          <w:p w:rsidR="006A0DAE">
            <w:pPr>
              <w:jc w:val="center"/>
            </w:pPr>
            <w:r>
              <w:rPr>
                <w:rFonts w:eastAsiaTheme="minorEastAsia" w:hAnsiTheme="minorEastAsia"/>
                <w:sz w:val="24"/>
                <w:szCs w:val="24"/>
              </w:rPr>
              <w:t>易方达安丰六个月持有期债券型证券投资基金</w:t>
            </w:r>
          </w:p>
        </w:tc>
        <w:tc>
          <w:tcPr>
            <w:tcW w:w="0" w:type="auto"/>
            <w:vAlign w:val="center"/>
          </w:tcPr>
          <w:p w:rsidR="006A0DAE">
            <w:pPr>
              <w:jc w:val="center"/>
            </w:pPr>
            <w:r>
              <w:rPr>
                <w:rFonts w:eastAsiaTheme="minorEastAsia" w:hAnsiTheme="minorEastAsia"/>
                <w:sz w:val="24"/>
                <w:szCs w:val="24"/>
              </w:rPr>
              <w:t>2024-04-11</w:t>
            </w:r>
          </w:p>
        </w:tc>
        <w:tc>
          <w:tcPr>
            <w:tcW w:w="0" w:type="auto"/>
            <w:vAlign w:val="center"/>
          </w:tcPr>
          <w:p w:rsidR="006A0DAE">
            <w:pPr>
              <w:jc w:val="center"/>
            </w:pPr>
            <w:r>
              <w:rPr>
                <w:rFonts w:eastAsiaTheme="minorEastAsia" w:hAnsiTheme="minorEastAsia"/>
                <w:sz w:val="24"/>
                <w:szCs w:val="24"/>
              </w:rPr>
              <w:t>-</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是否曾被监管机构予以行政处罚或采取行政监管措施</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否</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是否已取得基金从业资格</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是</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取得的其他相关从业资格</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国籍</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中国</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学历、学位</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硕士研究生、硕士</w:t>
            </w:r>
          </w:p>
        </w:tc>
      </w:tr>
      <w:tr w:rsidTr="000E6F9C">
        <w:tblPrEx>
          <w:tblW w:w="9681" w:type="dxa"/>
          <w:jc w:val="center"/>
          <w:tblLook w:val="04A0"/>
        </w:tblPrEx>
        <w:trPr>
          <w:jc w:val="center"/>
        </w:trPr>
        <w:tc>
          <w:tcPr>
            <w:tcW w:w="2673" w:type="dxa"/>
          </w:tcPr>
          <w:p w:rsidR="000E6F9C" w:rsidRPr="00404B1E" w:rsidP="00BA1FDD">
            <w:pPr>
              <w:rPr>
                <w:rFonts w:eastAsiaTheme="minorEastAsia"/>
                <w:sz w:val="24"/>
                <w:szCs w:val="24"/>
              </w:rPr>
            </w:pPr>
            <w:r w:rsidRPr="002C06BE">
              <w:rPr>
                <w:rFonts w:eastAsiaTheme="minorEastAsia" w:hAnsiTheme="minorEastAsia"/>
                <w:sz w:val="24"/>
                <w:szCs w:val="24"/>
              </w:rPr>
              <w:t>是否已按规定在中国基金业协会注册</w:t>
            </w:r>
            <w:r w:rsidRPr="00404B1E">
              <w:rPr>
                <w:rFonts w:eastAsiaTheme="minorEastAsia" w:hAnsiTheme="minorEastAsia"/>
                <w:sz w:val="24"/>
                <w:szCs w:val="24"/>
              </w:rPr>
              <w:t>/</w:t>
            </w:r>
            <w:r w:rsidRPr="002C06BE">
              <w:rPr>
                <w:rFonts w:eastAsiaTheme="minorEastAsia" w:hAnsiTheme="minorEastAsia"/>
                <w:sz w:val="24"/>
                <w:szCs w:val="24"/>
              </w:rPr>
              <w:t>登记</w:t>
            </w:r>
          </w:p>
        </w:tc>
        <w:tc>
          <w:tcPr>
            <w:tcW w:w="7008" w:type="dxa"/>
            <w:gridSpan w:val="4"/>
            <w:vAlign w:val="center"/>
          </w:tcPr>
          <w:p w:rsidR="000E6F9C" w:rsidRPr="00404B1E" w:rsidP="00BA1FDD">
            <w:pPr>
              <w:rPr>
                <w:rFonts w:eastAsiaTheme="minorEastAsia"/>
                <w:sz w:val="24"/>
                <w:szCs w:val="24"/>
              </w:rPr>
            </w:pPr>
            <w:r w:rsidRPr="00404B1E">
              <w:rPr>
                <w:rFonts w:eastAsiaTheme="minorEastAsia" w:hAnsiTheme="minorEastAsia"/>
                <w:sz w:val="24"/>
                <w:szCs w:val="24"/>
              </w:rPr>
              <w:t>是</w:t>
            </w:r>
          </w:p>
        </w:tc>
      </w:tr>
    </w:tbl>
    <w:p w:rsidR="007E2FD8" w:rsidRPr="007E2FD8" w:rsidP="007E2FD8">
      <w:pPr>
        <w:pStyle w:val="Heading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3</w:t>
      </w:r>
      <w:r w:rsidRPr="0000418A" w:rsidR="00070317">
        <w:rPr>
          <w:rFonts w:asciiTheme="minorEastAsia" w:eastAsiaTheme="minorEastAsia" w:hAnsiTheme="minorEastAsia"/>
          <w:bCs w:val="0"/>
          <w:color w:val="000000"/>
          <w:sz w:val="24"/>
          <w:szCs w:val="24"/>
        </w:rPr>
        <w:t xml:space="preserve"> 离任基金经理的相关信息</w:t>
      </w:r>
      <w:bookmarkEnd w:id="1"/>
    </w:p>
    <w:tbl>
      <w:tblPr>
        <w:tblW w:w="967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12"/>
        <w:gridCol w:w="5267"/>
      </w:tblGrid>
      <w:tr w:rsidTr="007E2FD8">
        <w:tblPrEx>
          <w:tblW w:w="967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离任基金经理姓名</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纪玲云</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离任原因</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工作需要</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离任日期</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2024</w:t>
            </w:r>
            <w:r w:rsidRPr="007E2FD8">
              <w:rPr>
                <w:rFonts w:eastAsiaTheme="minorEastAsia"/>
                <w:sz w:val="24"/>
                <w:szCs w:val="24"/>
              </w:rPr>
              <w:t>年</w:t>
            </w:r>
            <w:r w:rsidRPr="007E2FD8">
              <w:rPr>
                <w:rFonts w:eastAsiaTheme="minorEastAsia"/>
                <w:sz w:val="24"/>
                <w:szCs w:val="24"/>
              </w:rPr>
              <w:t>7</w:t>
            </w:r>
            <w:r w:rsidRPr="007E2FD8">
              <w:rPr>
                <w:rFonts w:eastAsiaTheme="minorEastAsia"/>
                <w:sz w:val="24"/>
                <w:szCs w:val="24"/>
              </w:rPr>
              <w:t>月</w:t>
            </w:r>
            <w:r w:rsidRPr="007E2FD8">
              <w:rPr>
                <w:rFonts w:eastAsiaTheme="minorEastAsia"/>
                <w:sz w:val="24"/>
                <w:szCs w:val="24"/>
              </w:rPr>
              <w:t>20</w:t>
            </w:r>
            <w:r w:rsidRPr="007E2FD8">
              <w:rPr>
                <w:rFonts w:eastAsiaTheme="minorEastAsia"/>
                <w:sz w:val="24"/>
                <w:szCs w:val="24"/>
              </w:rPr>
              <w:t>日</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转任本公司其他工作岗位的说明</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是否已按规定在中国基金</w:t>
            </w:r>
            <w:r w:rsidRPr="007E2FD8">
              <w:rPr>
                <w:rFonts w:eastAsiaTheme="minorEastAsia"/>
                <w:sz w:val="24"/>
                <w:szCs w:val="24"/>
              </w:rPr>
              <w:t>业协会办理变更手续</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是</w:t>
            </w:r>
          </w:p>
        </w:tc>
      </w:tr>
    </w:tbl>
    <w:p w:rsidR="006A0DAE"/>
    <w:tbl>
      <w:tblPr>
        <w:tblW w:w="967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12"/>
        <w:gridCol w:w="5267"/>
      </w:tblGrid>
      <w:tr w:rsidTr="007E2FD8">
        <w:tblPrEx>
          <w:tblW w:w="967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离任基金经理姓名</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杨真</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离任原因</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工作需要</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离任日期</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2024</w:t>
            </w:r>
            <w:r w:rsidRPr="007E2FD8">
              <w:rPr>
                <w:rFonts w:eastAsiaTheme="minorEastAsia"/>
                <w:sz w:val="24"/>
                <w:szCs w:val="24"/>
              </w:rPr>
              <w:t>年</w:t>
            </w:r>
            <w:r w:rsidRPr="007E2FD8">
              <w:rPr>
                <w:rFonts w:eastAsiaTheme="minorEastAsia"/>
                <w:sz w:val="24"/>
                <w:szCs w:val="24"/>
              </w:rPr>
              <w:t>7</w:t>
            </w:r>
            <w:r w:rsidRPr="007E2FD8">
              <w:rPr>
                <w:rFonts w:eastAsiaTheme="minorEastAsia"/>
                <w:sz w:val="24"/>
                <w:szCs w:val="24"/>
              </w:rPr>
              <w:t>月</w:t>
            </w:r>
            <w:r w:rsidRPr="007E2FD8">
              <w:rPr>
                <w:rFonts w:eastAsiaTheme="minorEastAsia"/>
                <w:sz w:val="24"/>
                <w:szCs w:val="24"/>
              </w:rPr>
              <w:t>20</w:t>
            </w:r>
            <w:r w:rsidRPr="007E2FD8">
              <w:rPr>
                <w:rFonts w:eastAsiaTheme="minorEastAsia"/>
                <w:sz w:val="24"/>
                <w:szCs w:val="24"/>
              </w:rPr>
              <w:t>日</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转任本公司其他工作岗位的说明</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w:t>
            </w:r>
          </w:p>
        </w:tc>
      </w:tr>
      <w:tr w:rsidTr="007E2FD8">
        <w:tblPrEx>
          <w:tblW w:w="9679" w:type="dxa"/>
          <w:jc w:val="center"/>
          <w:tblLook w:val="04A0"/>
        </w:tblPrEx>
        <w:trPr>
          <w:jc w:val="center"/>
        </w:trPr>
        <w:tc>
          <w:tcPr>
            <w:tcW w:w="4412" w:type="dxa"/>
          </w:tcPr>
          <w:p w:rsidR="00070317" w:rsidRPr="007E2FD8" w:rsidP="00E80921">
            <w:pPr>
              <w:rPr>
                <w:rFonts w:eastAsiaTheme="minorEastAsia"/>
                <w:sz w:val="24"/>
                <w:szCs w:val="24"/>
              </w:rPr>
            </w:pPr>
            <w:r w:rsidRPr="007E2FD8">
              <w:rPr>
                <w:rFonts w:eastAsiaTheme="minorEastAsia"/>
                <w:sz w:val="24"/>
                <w:szCs w:val="24"/>
              </w:rPr>
              <w:t>是否已按规定在中国基金</w:t>
            </w:r>
            <w:r w:rsidRPr="007E2FD8">
              <w:rPr>
                <w:rFonts w:eastAsiaTheme="minorEastAsia"/>
                <w:sz w:val="24"/>
                <w:szCs w:val="24"/>
              </w:rPr>
              <w:t>业协会办理变更手续</w:t>
            </w:r>
          </w:p>
        </w:tc>
        <w:tc>
          <w:tcPr>
            <w:tcW w:w="5267" w:type="dxa"/>
            <w:vAlign w:val="center"/>
          </w:tcPr>
          <w:p w:rsidR="00070317" w:rsidRPr="007E2FD8" w:rsidP="00E80921">
            <w:pPr>
              <w:rPr>
                <w:rFonts w:eastAsiaTheme="minorEastAsia"/>
                <w:sz w:val="24"/>
                <w:szCs w:val="24"/>
              </w:rPr>
            </w:pPr>
            <w:r w:rsidRPr="007E2FD8">
              <w:rPr>
                <w:rFonts w:eastAsiaTheme="minorEastAsia"/>
                <w:sz w:val="24"/>
                <w:szCs w:val="24"/>
              </w:rPr>
              <w:t>是</w:t>
            </w:r>
          </w:p>
        </w:tc>
      </w:tr>
    </w:tbl>
    <w:p w:rsidR="006A0DAE">
      <w:pPr>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纪玲云仍担任易方达基金管理有限公司固定收益分类资产研究管理部总经理、基金经理、基金经理助理。</w:t>
      </w:r>
    </w:p>
    <w:p w:rsidR="00070317" w:rsidRPr="00E80921" w:rsidP="00E80921">
      <w:pPr>
        <w:rPr>
          <w:rFonts w:eastAsia="宋体"/>
          <w:color w:val="000000"/>
          <w:sz w:val="24"/>
          <w:szCs w:val="24"/>
        </w:rPr>
      </w:pPr>
      <w:r w:rsidRPr="00E80921">
        <w:rPr>
          <w:rFonts w:eastAsia="宋体"/>
          <w:color w:val="000000"/>
          <w:sz w:val="24"/>
          <w:szCs w:val="24"/>
        </w:rPr>
        <w:t>2.</w:t>
      </w:r>
      <w:r w:rsidRPr="00E80921">
        <w:rPr>
          <w:rFonts w:eastAsia="宋体"/>
          <w:color w:val="000000"/>
          <w:sz w:val="24"/>
          <w:szCs w:val="24"/>
        </w:rPr>
        <w:t>杨真仍担任易方达基金管理有限公司基金经理、基金经理助理。</w:t>
      </w:r>
    </w:p>
    <w:p w:rsidR="00E80921" w:rsidRPr="007F19DC" w:rsidP="00E80921">
      <w:pPr>
        <w:spacing w:line="360" w:lineRule="auto"/>
        <w:rPr>
          <w:rFonts w:asciiTheme="minorEastAsia" w:eastAsiaTheme="minorEastAsia" w:hAnsiTheme="minorEastAsia"/>
          <w:color w:val="000000"/>
          <w:sz w:val="24"/>
          <w:szCs w:val="24"/>
        </w:rPr>
      </w:pPr>
      <w:bookmarkStart w:id="2" w:name="_GoBack"/>
      <w:bookmarkEnd w:id="2"/>
    </w:p>
    <w:p w:rsidR="00E72701" w:rsidP="00E72701">
      <w:pPr>
        <w:spacing w:line="360" w:lineRule="auto"/>
        <w:ind w:firstLine="480"/>
        <w:rPr>
          <w:rFonts w:ascii="宋体" w:hAnsi="宋体"/>
          <w:color w:val="000000"/>
          <w:sz w:val="24"/>
          <w:szCs w:val="24"/>
        </w:rPr>
      </w:pPr>
      <w:r w:rsidRPr="003E1F7C">
        <w:rPr>
          <w:rFonts w:ascii="宋体" w:hAnsi="宋体" w:hint="eastAsia"/>
          <w:color w:val="000000"/>
          <w:sz w:val="24"/>
          <w:szCs w:val="24"/>
        </w:rPr>
        <w:t>特此公告。</w:t>
      </w:r>
    </w:p>
    <w:p w:rsidR="00E80921" w:rsidP="00E80921">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Pr="003E1F7C">
        <w:rPr>
          <w:rFonts w:ascii="宋体" w:hAnsi="宋体" w:hint="eastAsia"/>
          <w:color w:val="000000"/>
          <w:sz w:val="24"/>
          <w:szCs w:val="24"/>
        </w:rPr>
        <w:t>易方达基金管理有限公司</w:t>
      </w:r>
    </w:p>
    <w:p w:rsidR="00E80921" w:rsidRPr="0000418A" w:rsidP="00801D63">
      <w:pPr>
        <w:spacing w:line="360" w:lineRule="auto"/>
        <w:ind w:left="-320" w:firstLine="840" w:leftChars="-100" w:firstLineChars="35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Pr="00676EBF">
        <w:rPr>
          <w:rFonts w:asciiTheme="minorEastAsia" w:eastAsiaTheme="minorEastAsia" w:hAnsiTheme="minorEastAsia"/>
          <w:color w:val="000000"/>
          <w:sz w:val="24"/>
          <w:szCs w:val="24"/>
        </w:rPr>
        <w:t>2024年7月20日</w:t>
      </w:r>
    </w:p>
    <w:sectPr w:rsidSect="0011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358F"/>
    <w:rsid w:val="00031AB4"/>
    <w:rsid w:val="00033B07"/>
    <w:rsid w:val="00041353"/>
    <w:rsid w:val="00042A21"/>
    <w:rsid w:val="00070317"/>
    <w:rsid w:val="000B3D47"/>
    <w:rsid w:val="000C18B3"/>
    <w:rsid w:val="000D6628"/>
    <w:rsid w:val="000E6F9C"/>
    <w:rsid w:val="00111BD0"/>
    <w:rsid w:val="00142DAF"/>
    <w:rsid w:val="00142E54"/>
    <w:rsid w:val="00156475"/>
    <w:rsid w:val="0018138F"/>
    <w:rsid w:val="001B2DB9"/>
    <w:rsid w:val="001D14B7"/>
    <w:rsid w:val="001F622D"/>
    <w:rsid w:val="00207AA8"/>
    <w:rsid w:val="00213BDC"/>
    <w:rsid w:val="00213F59"/>
    <w:rsid w:val="00285743"/>
    <w:rsid w:val="002A51E8"/>
    <w:rsid w:val="002C06BE"/>
    <w:rsid w:val="002E6C8D"/>
    <w:rsid w:val="00306525"/>
    <w:rsid w:val="00306AAE"/>
    <w:rsid w:val="0032019E"/>
    <w:rsid w:val="0033552A"/>
    <w:rsid w:val="00375EE6"/>
    <w:rsid w:val="003E1F7C"/>
    <w:rsid w:val="00404B1E"/>
    <w:rsid w:val="00412A37"/>
    <w:rsid w:val="004414AB"/>
    <w:rsid w:val="00456D89"/>
    <w:rsid w:val="00483DDC"/>
    <w:rsid w:val="004966BA"/>
    <w:rsid w:val="004B3F81"/>
    <w:rsid w:val="004D01DF"/>
    <w:rsid w:val="004E10AB"/>
    <w:rsid w:val="0052318A"/>
    <w:rsid w:val="00536CF6"/>
    <w:rsid w:val="0053712A"/>
    <w:rsid w:val="0054154D"/>
    <w:rsid w:val="00547962"/>
    <w:rsid w:val="00566B55"/>
    <w:rsid w:val="00596F7A"/>
    <w:rsid w:val="005975BB"/>
    <w:rsid w:val="005B28C6"/>
    <w:rsid w:val="005B39B4"/>
    <w:rsid w:val="005C1B03"/>
    <w:rsid w:val="005E6555"/>
    <w:rsid w:val="005F3560"/>
    <w:rsid w:val="006113F1"/>
    <w:rsid w:val="006152A9"/>
    <w:rsid w:val="006163B1"/>
    <w:rsid w:val="0062601A"/>
    <w:rsid w:val="006340ED"/>
    <w:rsid w:val="0066795D"/>
    <w:rsid w:val="00672C20"/>
    <w:rsid w:val="00676EBF"/>
    <w:rsid w:val="006A0DAE"/>
    <w:rsid w:val="006A5D36"/>
    <w:rsid w:val="006C7CF1"/>
    <w:rsid w:val="006C7FDB"/>
    <w:rsid w:val="006F225C"/>
    <w:rsid w:val="006F43D8"/>
    <w:rsid w:val="006F4CAF"/>
    <w:rsid w:val="0070712F"/>
    <w:rsid w:val="007179FB"/>
    <w:rsid w:val="00731DEC"/>
    <w:rsid w:val="007C54E2"/>
    <w:rsid w:val="007E2FD8"/>
    <w:rsid w:val="007F19DC"/>
    <w:rsid w:val="00801D63"/>
    <w:rsid w:val="00803A3A"/>
    <w:rsid w:val="00807FC2"/>
    <w:rsid w:val="00872E95"/>
    <w:rsid w:val="0087717F"/>
    <w:rsid w:val="008F0ACC"/>
    <w:rsid w:val="00966B40"/>
    <w:rsid w:val="009D65C6"/>
    <w:rsid w:val="009E3ABA"/>
    <w:rsid w:val="009E69A9"/>
    <w:rsid w:val="009F783B"/>
    <w:rsid w:val="00A22C61"/>
    <w:rsid w:val="00A507E1"/>
    <w:rsid w:val="00A61621"/>
    <w:rsid w:val="00A63D9B"/>
    <w:rsid w:val="00A66507"/>
    <w:rsid w:val="00AA5074"/>
    <w:rsid w:val="00B03319"/>
    <w:rsid w:val="00B27750"/>
    <w:rsid w:val="00B96712"/>
    <w:rsid w:val="00BA1FDD"/>
    <w:rsid w:val="00BE716F"/>
    <w:rsid w:val="00BE7AA2"/>
    <w:rsid w:val="00BF0945"/>
    <w:rsid w:val="00C6080C"/>
    <w:rsid w:val="00C911F2"/>
    <w:rsid w:val="00CE6E56"/>
    <w:rsid w:val="00CF42C0"/>
    <w:rsid w:val="00D047E3"/>
    <w:rsid w:val="00D21C32"/>
    <w:rsid w:val="00D30AF1"/>
    <w:rsid w:val="00D64B1C"/>
    <w:rsid w:val="00DD624E"/>
    <w:rsid w:val="00DE5519"/>
    <w:rsid w:val="00E0346F"/>
    <w:rsid w:val="00E24A56"/>
    <w:rsid w:val="00E276FF"/>
    <w:rsid w:val="00E33112"/>
    <w:rsid w:val="00E435FE"/>
    <w:rsid w:val="00E72701"/>
    <w:rsid w:val="00E80921"/>
    <w:rsid w:val="00E857A8"/>
    <w:rsid w:val="00EB0ADE"/>
    <w:rsid w:val="00ED0ADF"/>
    <w:rsid w:val="00EE1199"/>
    <w:rsid w:val="00F70EF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6207B1A-61F3-4977-8B3D-B36731EA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17"/>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070317"/>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070317"/>
    <w:pPr>
      <w:keepNext/>
      <w:keepLines/>
      <w:spacing w:before="260" w:after="260" w:line="416" w:lineRule="auto"/>
      <w:outlineLvl w:val="1"/>
    </w:pPr>
    <w:rPr>
      <w:rFonts w:ascii="Arial" w:eastAsia="黑体" w:hAnsi="Arial"/>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070317"/>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070317"/>
    <w:rPr>
      <w:rFonts w:ascii="Arial" w:eastAsia="黑体" w:hAnsi="Arial" w:cs="Times New Roman"/>
      <w:b/>
      <w:bCs/>
      <w:sz w:val="32"/>
      <w:szCs w:val="32"/>
    </w:rPr>
  </w:style>
  <w:style w:type="character" w:styleId="FootnoteReference">
    <w:name w:val="footnote reference"/>
    <w:basedOn w:val="DefaultParagraphFont"/>
    <w:rsid w:val="00070317"/>
    <w:rPr>
      <w:vertAlign w:val="superscript"/>
    </w:rPr>
  </w:style>
  <w:style w:type="paragraph" w:styleId="FootnoteText">
    <w:name w:val="footnote text"/>
    <w:basedOn w:val="Normal"/>
    <w:link w:val="Char"/>
    <w:rsid w:val="00070317"/>
    <w:pPr>
      <w:snapToGrid w:val="0"/>
      <w:jc w:val="left"/>
    </w:pPr>
    <w:rPr>
      <w:rFonts w:eastAsia="宋体"/>
      <w:sz w:val="18"/>
    </w:rPr>
  </w:style>
  <w:style w:type="character" w:customStyle="1" w:styleId="Char">
    <w:name w:val="脚注文本 Char"/>
    <w:basedOn w:val="DefaultParagraphFont"/>
    <w:link w:val="FootnoteText"/>
    <w:rsid w:val="00070317"/>
    <w:rPr>
      <w:rFonts w:ascii="Times New Roman" w:eastAsia="宋体" w:hAnsi="Times New Roman" w:cs="Times New Roman"/>
      <w:sz w:val="18"/>
      <w:szCs w:val="20"/>
    </w:rPr>
  </w:style>
  <w:style w:type="paragraph" w:styleId="DocumentMap">
    <w:name w:val="Document Map"/>
    <w:basedOn w:val="Normal"/>
    <w:link w:val="Char0"/>
    <w:uiPriority w:val="99"/>
    <w:semiHidden/>
    <w:unhideWhenUsed/>
    <w:rsid w:val="00070317"/>
    <w:rPr>
      <w:rFonts w:ascii="宋体" w:eastAsia="宋体"/>
      <w:sz w:val="18"/>
      <w:szCs w:val="18"/>
    </w:rPr>
  </w:style>
  <w:style w:type="character" w:customStyle="1" w:styleId="Char0">
    <w:name w:val="文档结构图 Char"/>
    <w:basedOn w:val="DefaultParagraphFont"/>
    <w:link w:val="DocumentMap"/>
    <w:uiPriority w:val="99"/>
    <w:semiHidden/>
    <w:rsid w:val="00070317"/>
    <w:rPr>
      <w:rFonts w:ascii="宋体" w:eastAsia="宋体" w:hAnsi="Times New Roman" w:cs="Times New Roman"/>
      <w:sz w:val="18"/>
      <w:szCs w:val="18"/>
    </w:rPr>
  </w:style>
  <w:style w:type="paragraph" w:styleId="Header">
    <w:name w:val="header"/>
    <w:basedOn w:val="Normal"/>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566B55"/>
    <w:rPr>
      <w:rFonts w:ascii="Times New Roman" w:eastAsia="方正仿宋简体" w:hAnsi="Times New Roman" w:cs="Times New Roman"/>
      <w:sz w:val="18"/>
      <w:szCs w:val="18"/>
    </w:rPr>
  </w:style>
  <w:style w:type="paragraph" w:styleId="Footer">
    <w:name w:val="footer"/>
    <w:basedOn w:val="Normal"/>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566B55"/>
    <w:rPr>
      <w:rFonts w:ascii="Times New Roman" w:eastAsia="方正仿宋简体" w:hAnsi="Times New Roman" w:cs="Times New Roman"/>
      <w:sz w:val="18"/>
      <w:szCs w:val="18"/>
    </w:rPr>
  </w:style>
  <w:style w:type="paragraph" w:styleId="BalloonText">
    <w:name w:val="Balloon Text"/>
    <w:basedOn w:val="Normal"/>
    <w:link w:val="Char3"/>
    <w:uiPriority w:val="99"/>
    <w:semiHidden/>
    <w:unhideWhenUsed/>
    <w:rsid w:val="00BE716F"/>
    <w:rPr>
      <w:sz w:val="18"/>
      <w:szCs w:val="18"/>
    </w:rPr>
  </w:style>
  <w:style w:type="character" w:customStyle="1" w:styleId="Char3">
    <w:name w:val="批注框文本 Char"/>
    <w:basedOn w:val="DefaultParagraphFont"/>
    <w:link w:val="BalloonText"/>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