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2670BB" w:rsidP="002670BB" w14:paraId="6062B3C0" w14:textId="77777777">
      <w:pPr>
        <w:ind w:right="84" w:rightChars="40"/>
        <w:jc w:val="center"/>
        <w:rPr>
          <w:b/>
          <w:sz w:val="28"/>
          <w:szCs w:val="28"/>
        </w:rPr>
      </w:pPr>
      <w:bookmarkStart w:id="0" w:name="OLE_LINK4"/>
      <w:bookmarkStart w:id="1" w:name="OLE_LINK5"/>
      <w:bookmarkStart w:id="2" w:name="OLE_LINK6"/>
      <w:bookmarkStart w:id="3" w:name="OLE_LINK7"/>
      <w:r w:rsidRPr="00403D96">
        <w:rPr>
          <w:rFonts w:hint="eastAsia"/>
          <w:b/>
          <w:sz w:val="28"/>
          <w:szCs w:val="28"/>
        </w:rPr>
        <w:t>易方达基金管理有限公司关于旗下部分基金</w:t>
      </w:r>
      <w:r>
        <w:rPr>
          <w:rFonts w:hint="eastAsia"/>
          <w:b/>
          <w:sz w:val="28"/>
          <w:szCs w:val="28"/>
        </w:rPr>
        <w:t>调整业绩比较基准</w:t>
      </w:r>
    </w:p>
    <w:p w:rsidR="00BA4FAD" w:rsidRPr="00CE6E32" w:rsidP="00BA4FAD" w14:paraId="4788FEDB" w14:textId="136119C3">
      <w:pPr>
        <w:ind w:right="84" w:rightChars="40"/>
        <w:jc w:val="center"/>
        <w:rPr>
          <w:rFonts w:ascii="宋体" w:hAnsi="宋体"/>
          <w:b/>
          <w:szCs w:val="21"/>
        </w:rPr>
      </w:pPr>
      <w:r>
        <w:rPr>
          <w:rFonts w:hint="eastAsia"/>
          <w:b/>
          <w:kern w:val="0"/>
          <w:sz w:val="28"/>
          <w:szCs w:val="28"/>
        </w:rPr>
        <w:t>等事项并</w:t>
      </w:r>
      <w:r w:rsidRPr="00403D96" w:rsidR="004A5A49">
        <w:rPr>
          <w:rFonts w:hint="eastAsia"/>
          <w:b/>
          <w:sz w:val="28"/>
          <w:szCs w:val="28"/>
        </w:rPr>
        <w:t>修订</w:t>
      </w:r>
      <w:r w:rsidRPr="00403D96">
        <w:rPr>
          <w:rFonts w:hint="eastAsia"/>
          <w:b/>
          <w:sz w:val="28"/>
          <w:szCs w:val="28"/>
        </w:rPr>
        <w:t>基金合同、托管协议的公告</w:t>
      </w:r>
    </w:p>
    <w:p w:rsidR="000B5DD6" w:rsidRPr="003A7DBA" w:rsidP="000B5DD6" w14:paraId="58CA0668" w14:textId="77777777">
      <w:pPr>
        <w:pStyle w:val="ListParagraph"/>
        <w:spacing w:line="360" w:lineRule="auto"/>
        <w:ind w:firstLine="480"/>
        <w:rPr>
          <w:rFonts w:ascii="宋体" w:hAnsi="宋体" w:cs="宋体"/>
          <w:sz w:val="24"/>
        </w:rPr>
      </w:pPr>
    </w:p>
    <w:p w:rsidR="00685544" w:rsidP="00685544" w14:paraId="72BCD512" w14:textId="383413FC">
      <w:pPr>
        <w:spacing w:line="360" w:lineRule="auto"/>
        <w:ind w:firstLine="480" w:firstLineChars="200"/>
        <w:rPr>
          <w:rFonts w:hAnsi="宋体" w:cs="宋体"/>
          <w:sz w:val="24"/>
        </w:rPr>
      </w:pPr>
      <w:r w:rsidRPr="00D76677">
        <w:rPr>
          <w:rFonts w:hAnsi="宋体"/>
          <w:bCs/>
          <w:sz w:val="24"/>
        </w:rPr>
        <w:t>为维护基金份额持有人权益，</w:t>
      </w:r>
      <w:r w:rsidR="00C75729">
        <w:rPr>
          <w:rFonts w:hAnsi="宋体" w:hint="eastAsia"/>
          <w:bCs/>
          <w:sz w:val="24"/>
        </w:rPr>
        <w:t>更</w:t>
      </w:r>
      <w:r w:rsidRPr="00C75729" w:rsidR="00C75729">
        <w:rPr>
          <w:rFonts w:hAnsi="宋体" w:hint="eastAsia"/>
          <w:bCs/>
          <w:sz w:val="24"/>
        </w:rPr>
        <w:t>好地反映基金的风险收益特征，并</w:t>
      </w:r>
      <w:r w:rsidRPr="00783745" w:rsidR="00BF7B26">
        <w:rPr>
          <w:rFonts w:hAnsi="宋体"/>
          <w:bCs/>
          <w:sz w:val="24"/>
        </w:rPr>
        <w:t>提高基金业绩表现与业绩比较</w:t>
      </w:r>
      <w:r w:rsidRPr="00783745" w:rsidR="00BF7B26">
        <w:rPr>
          <w:rFonts w:hAnsi="宋体" w:hint="eastAsia"/>
          <w:bCs/>
          <w:sz w:val="24"/>
        </w:rPr>
        <w:t>基准</w:t>
      </w:r>
      <w:r w:rsidRPr="00783745" w:rsidR="00BF7B26">
        <w:rPr>
          <w:rFonts w:hAnsi="宋体"/>
          <w:bCs/>
          <w:sz w:val="24"/>
        </w:rPr>
        <w:t>的可比性</w:t>
      </w:r>
      <w:r w:rsidRPr="00783745" w:rsidR="001B01EC">
        <w:rPr>
          <w:rFonts w:hAnsi="宋体" w:hint="eastAsia"/>
          <w:bCs/>
          <w:sz w:val="24"/>
        </w:rPr>
        <w:t>，</w:t>
      </w:r>
      <w:r w:rsidR="001B01EC">
        <w:rPr>
          <w:rFonts w:hAnsi="宋体" w:cs="宋体" w:hint="eastAsia"/>
          <w:sz w:val="24"/>
        </w:rPr>
        <w:t>易方达基金管理有限公司（以下简称“</w:t>
      </w:r>
      <w:r w:rsidRPr="00740C88" w:rsidR="001B01EC">
        <w:rPr>
          <w:rFonts w:hAnsi="宋体" w:cs="宋体" w:hint="eastAsia"/>
          <w:sz w:val="24"/>
        </w:rPr>
        <w:t>基金管理人”）</w:t>
      </w:r>
      <w:r w:rsidR="001B01EC">
        <w:rPr>
          <w:rFonts w:hAnsi="宋体" w:cs="宋体" w:hint="eastAsia"/>
          <w:sz w:val="24"/>
        </w:rPr>
        <w:t>决定调整</w:t>
      </w:r>
      <w:r w:rsidRPr="00783745" w:rsidR="00D21553">
        <w:rPr>
          <w:rFonts w:hAnsi="宋体" w:cs="宋体" w:hint="eastAsia"/>
          <w:sz w:val="24"/>
        </w:rPr>
        <w:t>易方达北交所精选两年定期开放混合型证券投资基金、易方达科创板两年定期开放混合型证券投资基金</w:t>
      </w:r>
      <w:r w:rsidR="00E67F41">
        <w:rPr>
          <w:rFonts w:hAnsi="宋体" w:cs="宋体" w:hint="eastAsia"/>
          <w:kern w:val="0"/>
          <w:sz w:val="24"/>
        </w:rPr>
        <w:t>（场内简称：易基科创</w:t>
      </w:r>
      <w:r w:rsidR="00E67F41">
        <w:rPr>
          <w:rFonts w:ascii="宋体" w:hAnsi="宋体" w:cs="宋体" w:hint="eastAsia"/>
          <w:kern w:val="0"/>
          <w:sz w:val="24"/>
        </w:rPr>
        <w:t>，扩位证券简称：易方达科创板）</w:t>
      </w:r>
      <w:bookmarkStart w:id="4" w:name="_GoBack"/>
      <w:bookmarkEnd w:id="4"/>
      <w:r w:rsidR="00881945">
        <w:rPr>
          <w:rFonts w:hAnsi="宋体" w:cs="宋体" w:hint="eastAsia"/>
          <w:sz w:val="24"/>
        </w:rPr>
        <w:t>的</w:t>
      </w:r>
      <w:r w:rsidRPr="00881945" w:rsidR="001B01EC">
        <w:rPr>
          <w:rFonts w:hAnsi="宋体" w:hint="eastAsia"/>
          <w:bCs/>
          <w:sz w:val="24"/>
        </w:rPr>
        <w:t>业绩比较基准</w:t>
      </w:r>
      <w:r w:rsidR="00DE63DE">
        <w:rPr>
          <w:rFonts w:hAnsi="宋体" w:hint="eastAsia"/>
          <w:bCs/>
          <w:sz w:val="24"/>
        </w:rPr>
        <w:t>。</w:t>
      </w:r>
      <w:r w:rsidRPr="00881945" w:rsidR="001B01EC">
        <w:rPr>
          <w:rFonts w:hAnsi="宋体" w:hint="eastAsia"/>
          <w:bCs/>
          <w:sz w:val="24"/>
        </w:rPr>
        <w:t>同时</w:t>
      </w:r>
      <w:r w:rsidR="00DE63DE">
        <w:rPr>
          <w:rFonts w:hAnsi="宋体" w:hint="eastAsia"/>
          <w:bCs/>
          <w:sz w:val="24"/>
        </w:rPr>
        <w:t>，</w:t>
      </w:r>
      <w:r w:rsidR="00D44B1D">
        <w:rPr>
          <w:rFonts w:hAnsi="宋体" w:hint="eastAsia"/>
          <w:bCs/>
          <w:sz w:val="24"/>
        </w:rPr>
        <w:t>基金管理人</w:t>
      </w:r>
      <w:r w:rsidRPr="00881945" w:rsidR="00E330DB">
        <w:rPr>
          <w:rFonts w:hAnsi="宋体" w:hint="eastAsia"/>
          <w:bCs/>
          <w:sz w:val="24"/>
        </w:rPr>
        <w:t>根据法律法规</w:t>
      </w:r>
      <w:r w:rsidR="00206A3F">
        <w:rPr>
          <w:rFonts w:hAnsi="宋体" w:hint="eastAsia"/>
          <w:bCs/>
          <w:sz w:val="24"/>
        </w:rPr>
        <w:t>的规定</w:t>
      </w:r>
      <w:r w:rsidR="00E330DB">
        <w:rPr>
          <w:rFonts w:hAnsi="宋体" w:hint="eastAsia"/>
          <w:bCs/>
          <w:sz w:val="24"/>
        </w:rPr>
        <w:t>对</w:t>
      </w:r>
      <w:r w:rsidRPr="000E71EE" w:rsidR="00D21553">
        <w:rPr>
          <w:rFonts w:hAnsi="宋体" w:cs="宋体" w:hint="eastAsia"/>
          <w:sz w:val="24"/>
        </w:rPr>
        <w:t>易方达科创板两年定期开放混合型证券投资基金</w:t>
      </w:r>
      <w:r w:rsidR="00206A3F">
        <w:rPr>
          <w:rFonts w:hAnsi="宋体" w:hint="eastAsia"/>
          <w:bCs/>
          <w:sz w:val="24"/>
        </w:rPr>
        <w:t>增加</w:t>
      </w:r>
      <w:r w:rsidRPr="00881945" w:rsidR="00E330DB">
        <w:rPr>
          <w:rFonts w:hAnsi="宋体" w:hint="eastAsia"/>
          <w:bCs/>
          <w:sz w:val="24"/>
        </w:rPr>
        <w:t>侧袋</w:t>
      </w:r>
      <w:r w:rsidR="00227F30">
        <w:rPr>
          <w:rFonts w:hAnsi="宋体" w:hint="eastAsia"/>
          <w:bCs/>
          <w:sz w:val="24"/>
        </w:rPr>
        <w:t>机制</w:t>
      </w:r>
      <w:r w:rsidR="00E330DB">
        <w:rPr>
          <w:rFonts w:hAnsi="宋体" w:hint="eastAsia"/>
          <w:bCs/>
          <w:sz w:val="24"/>
        </w:rPr>
        <w:t>。</w:t>
      </w:r>
      <w:r w:rsidR="00A157D5">
        <w:rPr>
          <w:rFonts w:hAnsi="宋体" w:hint="eastAsia"/>
          <w:bCs/>
          <w:sz w:val="24"/>
        </w:rPr>
        <w:t>基于以上事项，</w:t>
      </w:r>
      <w:r w:rsidRPr="00740C88" w:rsidR="0071372A">
        <w:rPr>
          <w:rFonts w:hAnsi="宋体" w:cs="宋体" w:hint="eastAsia"/>
          <w:sz w:val="24"/>
        </w:rPr>
        <w:t>经与各基金托管人协商一致，</w:t>
      </w:r>
      <w:r w:rsidRPr="00740C88" w:rsidR="00254C6D">
        <w:rPr>
          <w:rFonts w:hAnsi="宋体" w:cs="宋体" w:hint="eastAsia"/>
          <w:sz w:val="24"/>
        </w:rPr>
        <w:t>基金管理人</w:t>
      </w:r>
      <w:r w:rsidR="001B01EC">
        <w:rPr>
          <w:rFonts w:hAnsi="宋体"/>
          <w:bCs/>
          <w:sz w:val="24"/>
        </w:rPr>
        <w:t>修订了</w:t>
      </w:r>
      <w:r w:rsidR="00AE62A1">
        <w:rPr>
          <w:rFonts w:hAnsi="宋体" w:hint="eastAsia"/>
          <w:bCs/>
          <w:sz w:val="24"/>
        </w:rPr>
        <w:t>上述</w:t>
      </w:r>
      <w:r w:rsidR="001B01EC">
        <w:rPr>
          <w:rFonts w:hAnsi="宋体"/>
          <w:bCs/>
          <w:sz w:val="24"/>
        </w:rPr>
        <w:t>基金的</w:t>
      </w:r>
      <w:r w:rsidRPr="00881945" w:rsidR="001B01EC">
        <w:rPr>
          <w:rFonts w:hAnsi="宋体" w:hint="eastAsia"/>
          <w:bCs/>
          <w:sz w:val="24"/>
        </w:rPr>
        <w:t>基金合同、托管协议</w:t>
      </w:r>
      <w:r w:rsidRPr="001B01EC" w:rsidR="003103CC">
        <w:rPr>
          <w:rFonts w:hAnsi="宋体"/>
          <w:bCs/>
          <w:sz w:val="24"/>
        </w:rPr>
        <w:t>。</w:t>
      </w:r>
      <w:r>
        <w:rPr>
          <w:rFonts w:hAnsi="宋体" w:cs="宋体" w:hint="eastAsia"/>
          <w:sz w:val="24"/>
        </w:rPr>
        <w:t>现将相关事宜公告如下：</w:t>
      </w:r>
    </w:p>
    <w:p w:rsidR="00366E30" w:rsidRPr="00D976FF" w:rsidP="00881945" w14:paraId="58A8FA71" w14:textId="5BCA8AB9">
      <w:pPr>
        <w:pStyle w:val="PlainText"/>
        <w:spacing w:line="360" w:lineRule="auto"/>
        <w:ind w:firstLine="480" w:firstLineChars="200"/>
        <w:rPr>
          <w:rFonts w:hAnsi="宋体" w:cs="Times New Roman"/>
          <w:b/>
          <w:bCs/>
          <w:sz w:val="24"/>
          <w:szCs w:val="24"/>
        </w:rPr>
      </w:pPr>
      <w:r w:rsidRPr="00D976FF">
        <w:rPr>
          <w:rFonts w:hAnsi="宋体" w:cs="Times New Roman"/>
          <w:b/>
          <w:bCs/>
          <w:sz w:val="24"/>
          <w:szCs w:val="24"/>
        </w:rPr>
        <w:t>一、调整事项</w:t>
      </w:r>
    </w:p>
    <w:p w:rsidR="003103CC" w:rsidRPr="00D976FF" w:rsidP="00916AE4" w14:paraId="24516D19" w14:textId="6EA0A540">
      <w:pPr>
        <w:pStyle w:val="ListParagraph"/>
        <w:spacing w:line="360" w:lineRule="auto"/>
        <w:ind w:firstLine="480"/>
        <w:rPr>
          <w:rFonts w:hAnsi="宋体" w:cs="宋体"/>
          <w:sz w:val="24"/>
        </w:rPr>
      </w:pPr>
      <w:r w:rsidRPr="00D976FF">
        <w:rPr>
          <w:rFonts w:ascii="宋体" w:hAnsi="宋体" w:cs="宋体"/>
          <w:sz w:val="24"/>
        </w:rPr>
        <w:t>（</w:t>
      </w:r>
      <w:r w:rsidRPr="00D976FF" w:rsidR="00827EAF">
        <w:rPr>
          <w:rFonts w:ascii="宋体" w:hAnsi="宋体" w:cs="宋体"/>
          <w:sz w:val="24"/>
        </w:rPr>
        <w:t>一</w:t>
      </w:r>
      <w:r w:rsidRPr="00D976FF">
        <w:rPr>
          <w:rFonts w:ascii="宋体" w:hAnsi="宋体" w:cs="宋体"/>
          <w:sz w:val="24"/>
        </w:rPr>
        <w:t>）</w:t>
      </w:r>
      <w:r w:rsidRPr="00D976FF" w:rsidR="00881945">
        <w:rPr>
          <w:rFonts w:hAnsi="宋体" w:cs="宋体"/>
          <w:sz w:val="24"/>
        </w:rPr>
        <w:t>调整</w:t>
      </w:r>
      <w:r w:rsidRPr="00D976FF">
        <w:rPr>
          <w:rFonts w:hAnsi="宋体" w:cs="宋体" w:hint="eastAsia"/>
          <w:sz w:val="24"/>
        </w:rPr>
        <w:t>业绩比较</w:t>
      </w:r>
      <w:r w:rsidRPr="00D976FF" w:rsidR="00827EAF">
        <w:rPr>
          <w:rFonts w:hAnsi="宋体" w:cs="宋体"/>
          <w:sz w:val="24"/>
        </w:rPr>
        <w:t>基准</w:t>
      </w:r>
    </w:p>
    <w:p w:rsidR="002E11D7" w:rsidP="00E0752A" w14:paraId="12BDEF92" w14:textId="7E570F71">
      <w:pPr>
        <w:pStyle w:val="ListParagraph"/>
        <w:spacing w:line="360" w:lineRule="auto"/>
        <w:ind w:right="84" w:firstLine="480" w:rightChars="40"/>
        <w:rPr>
          <w:rFonts w:hAnsi="宋体" w:cs="宋体"/>
          <w:kern w:val="0"/>
          <w:sz w:val="24"/>
        </w:rPr>
      </w:pPr>
      <w:r>
        <w:rPr>
          <w:rFonts w:hAnsi="宋体" w:cs="宋体"/>
          <w:kern w:val="0"/>
          <w:sz w:val="24"/>
        </w:rPr>
        <w:t>1.</w:t>
      </w:r>
      <w:r w:rsidRPr="002E11D7">
        <w:rPr>
          <w:rFonts w:hAnsi="宋体" w:cs="宋体" w:hint="eastAsia"/>
          <w:kern w:val="0"/>
          <w:sz w:val="24"/>
        </w:rPr>
        <w:t>易方达北交所精选两年定期开放混合型证券投资基金</w:t>
      </w:r>
    </w:p>
    <w:p w:rsidR="002E11D7" w:rsidP="00C1560E" w14:paraId="32ED5897" w14:textId="2FA316AB">
      <w:pPr>
        <w:pStyle w:val="ListParagraph"/>
        <w:spacing w:line="360" w:lineRule="auto"/>
        <w:ind w:right="84" w:firstLine="480" w:rightChars="40"/>
        <w:rPr>
          <w:rFonts w:hAnsi="宋体" w:cs="宋体"/>
          <w:kern w:val="0"/>
          <w:sz w:val="24"/>
        </w:rPr>
      </w:pPr>
      <w:r w:rsidRPr="00C1560E">
        <w:rPr>
          <w:rFonts w:hAnsi="宋体" w:cs="宋体" w:hint="eastAsia"/>
          <w:kern w:val="0"/>
          <w:sz w:val="24"/>
        </w:rPr>
        <w:t>目前</w:t>
      </w:r>
      <w:r w:rsidR="001E4FEC">
        <w:rPr>
          <w:rFonts w:hAnsi="宋体" w:cs="宋体" w:hint="eastAsia"/>
          <w:kern w:val="0"/>
          <w:sz w:val="24"/>
        </w:rPr>
        <w:t>的</w:t>
      </w:r>
      <w:r w:rsidRPr="00C1560E">
        <w:rPr>
          <w:rFonts w:hAnsi="宋体" w:cs="宋体" w:hint="eastAsia"/>
          <w:kern w:val="0"/>
          <w:sz w:val="24"/>
        </w:rPr>
        <w:t>业绩比较基准：中证</w:t>
      </w:r>
      <w:r w:rsidRPr="00C1560E">
        <w:rPr>
          <w:rFonts w:hAnsi="宋体" w:cs="宋体" w:hint="eastAsia"/>
          <w:kern w:val="0"/>
          <w:sz w:val="24"/>
        </w:rPr>
        <w:t>1000</w:t>
      </w:r>
      <w:r w:rsidRPr="00C1560E">
        <w:rPr>
          <w:rFonts w:hAnsi="宋体" w:cs="宋体" w:hint="eastAsia"/>
          <w:kern w:val="0"/>
          <w:sz w:val="24"/>
        </w:rPr>
        <w:t>指数收益率×</w:t>
      </w:r>
      <w:r w:rsidRPr="00C1560E">
        <w:rPr>
          <w:rFonts w:hAnsi="宋体" w:cs="宋体" w:hint="eastAsia"/>
          <w:kern w:val="0"/>
          <w:sz w:val="24"/>
        </w:rPr>
        <w:t>65%+</w:t>
      </w:r>
      <w:r w:rsidRPr="00C1560E">
        <w:rPr>
          <w:rFonts w:hAnsi="宋体" w:cs="宋体" w:hint="eastAsia"/>
          <w:kern w:val="0"/>
          <w:sz w:val="24"/>
        </w:rPr>
        <w:t>中证港股通综合指数收益率×</w:t>
      </w:r>
      <w:r w:rsidRPr="00C1560E">
        <w:rPr>
          <w:rFonts w:hAnsi="宋体" w:cs="宋体" w:hint="eastAsia"/>
          <w:kern w:val="0"/>
          <w:sz w:val="24"/>
        </w:rPr>
        <w:t>10%+</w:t>
      </w:r>
      <w:r w:rsidRPr="00C1560E">
        <w:rPr>
          <w:rFonts w:hAnsi="宋体" w:cs="宋体" w:hint="eastAsia"/>
          <w:kern w:val="0"/>
          <w:sz w:val="24"/>
        </w:rPr>
        <w:t>中债总指数收益率×</w:t>
      </w:r>
      <w:r w:rsidRPr="00C1560E">
        <w:rPr>
          <w:rFonts w:hAnsi="宋体" w:cs="宋体" w:hint="eastAsia"/>
          <w:kern w:val="0"/>
          <w:sz w:val="24"/>
        </w:rPr>
        <w:t>25%</w:t>
      </w:r>
    </w:p>
    <w:p w:rsidR="002E11D7" w:rsidRPr="00C1560E" w:rsidP="00C1560E" w14:paraId="2498ADEC" w14:textId="566C77DD">
      <w:pPr>
        <w:pStyle w:val="ListParagraph"/>
        <w:spacing w:line="360" w:lineRule="auto"/>
        <w:ind w:right="84" w:firstLine="480" w:rightChars="40"/>
        <w:rPr>
          <w:rFonts w:hAnsi="宋体" w:cs="宋体"/>
          <w:kern w:val="0"/>
          <w:sz w:val="24"/>
        </w:rPr>
      </w:pPr>
      <w:r w:rsidRPr="00C1560E">
        <w:rPr>
          <w:rFonts w:hAnsi="宋体" w:cs="宋体" w:hint="eastAsia"/>
          <w:kern w:val="0"/>
          <w:sz w:val="24"/>
        </w:rPr>
        <w:t>调整为：北证</w:t>
      </w:r>
      <w:r w:rsidRPr="00C1560E">
        <w:rPr>
          <w:rFonts w:hAnsi="宋体" w:cs="宋体" w:hint="eastAsia"/>
          <w:kern w:val="0"/>
          <w:sz w:val="24"/>
        </w:rPr>
        <w:t>50</w:t>
      </w:r>
      <w:r w:rsidRPr="00C1560E">
        <w:rPr>
          <w:rFonts w:hAnsi="宋体" w:cs="宋体" w:hint="eastAsia"/>
          <w:kern w:val="0"/>
          <w:sz w:val="24"/>
        </w:rPr>
        <w:t>成份指数收益率×</w:t>
      </w:r>
      <w:r w:rsidRPr="00C1560E">
        <w:rPr>
          <w:rFonts w:hAnsi="宋体" w:cs="宋体" w:hint="eastAsia"/>
          <w:kern w:val="0"/>
          <w:sz w:val="24"/>
        </w:rPr>
        <w:t>80%+</w:t>
      </w:r>
      <w:r w:rsidRPr="00C1560E">
        <w:rPr>
          <w:rFonts w:hAnsi="宋体" w:cs="宋体" w:hint="eastAsia"/>
          <w:kern w:val="0"/>
          <w:sz w:val="24"/>
        </w:rPr>
        <w:t>中证港股通综合指数收益率×</w:t>
      </w:r>
      <w:r w:rsidRPr="00C1560E">
        <w:rPr>
          <w:rFonts w:hAnsi="宋体" w:cs="宋体" w:hint="eastAsia"/>
          <w:kern w:val="0"/>
          <w:sz w:val="24"/>
        </w:rPr>
        <w:t>5%+</w:t>
      </w:r>
      <w:r w:rsidRPr="00C1560E">
        <w:rPr>
          <w:rFonts w:hAnsi="宋体" w:cs="宋体" w:hint="eastAsia"/>
          <w:kern w:val="0"/>
          <w:sz w:val="24"/>
        </w:rPr>
        <w:t>中债总指数收益率×</w:t>
      </w:r>
      <w:r w:rsidRPr="00C1560E">
        <w:rPr>
          <w:rFonts w:hAnsi="宋体" w:cs="宋体" w:hint="eastAsia"/>
          <w:kern w:val="0"/>
          <w:sz w:val="24"/>
        </w:rPr>
        <w:t>15%</w:t>
      </w:r>
    </w:p>
    <w:p w:rsidR="002E11D7" w:rsidRPr="002D5DA1" w:rsidP="002E11D7" w14:paraId="603BDA0C" w14:textId="257C9CDA">
      <w:pPr>
        <w:spacing w:line="360" w:lineRule="auto"/>
        <w:ind w:firstLine="480" w:firstLineChars="200"/>
        <w:rPr>
          <w:rFonts w:hAnsi="宋体" w:cs="宋体"/>
          <w:sz w:val="24"/>
        </w:rPr>
      </w:pPr>
      <w:r w:rsidRPr="002D5DA1">
        <w:rPr>
          <w:rFonts w:hAnsi="宋体" w:cs="宋体" w:hint="eastAsia"/>
          <w:sz w:val="24"/>
        </w:rPr>
        <w:t>新的业绩比较基准选择原因及其合理性：</w:t>
      </w:r>
      <w:r w:rsidRPr="005F7DBE" w:rsidR="00EA79EF">
        <w:rPr>
          <w:rFonts w:hAnsi="宋体" w:cs="宋体" w:hint="eastAsia"/>
          <w:sz w:val="24"/>
        </w:rPr>
        <w:t>本基金主要投资北京证券交易所股票，</w:t>
      </w:r>
      <w:r w:rsidRPr="005F7DBE" w:rsidR="00EA79EF">
        <w:rPr>
          <w:rFonts w:hAnsi="宋体" w:cs="宋体"/>
          <w:sz w:val="24"/>
        </w:rPr>
        <w:t>北证</w:t>
      </w:r>
      <w:r w:rsidRPr="005F7DBE" w:rsidR="00EA79EF">
        <w:rPr>
          <w:rFonts w:hAnsi="宋体" w:cs="宋体"/>
          <w:sz w:val="24"/>
        </w:rPr>
        <w:t>50</w:t>
      </w:r>
      <w:r w:rsidRPr="005F7DBE" w:rsidR="00EA79EF">
        <w:rPr>
          <w:rFonts w:hAnsi="宋体" w:cs="宋体"/>
          <w:sz w:val="24"/>
        </w:rPr>
        <w:t>成份指数对</w:t>
      </w:r>
      <w:r w:rsidRPr="005F7DBE" w:rsidR="00EA79EF">
        <w:rPr>
          <w:rFonts w:hAnsi="宋体" w:cs="宋体" w:hint="eastAsia"/>
          <w:sz w:val="24"/>
        </w:rPr>
        <w:t>北京证券交易所股票具有较强代表性</w:t>
      </w:r>
      <w:r w:rsidRPr="002D5DA1">
        <w:rPr>
          <w:rFonts w:hAnsi="宋体" w:cs="宋体" w:hint="eastAsia"/>
          <w:sz w:val="24"/>
        </w:rPr>
        <w:t>，选取“</w:t>
      </w:r>
      <w:r w:rsidRPr="00CE43D2">
        <w:rPr>
          <w:rFonts w:hAnsi="宋体" w:cs="宋体" w:hint="eastAsia"/>
          <w:kern w:val="0"/>
          <w:sz w:val="24"/>
        </w:rPr>
        <w:t>北证</w:t>
      </w:r>
      <w:r w:rsidRPr="00CE43D2">
        <w:rPr>
          <w:rFonts w:hAnsi="宋体" w:cs="宋体" w:hint="eastAsia"/>
          <w:kern w:val="0"/>
          <w:sz w:val="24"/>
        </w:rPr>
        <w:t>50</w:t>
      </w:r>
      <w:r w:rsidRPr="00CE43D2">
        <w:rPr>
          <w:rFonts w:hAnsi="宋体" w:cs="宋体" w:hint="eastAsia"/>
          <w:kern w:val="0"/>
          <w:sz w:val="24"/>
        </w:rPr>
        <w:t>成份指数</w:t>
      </w:r>
      <w:r w:rsidRPr="002D5DA1">
        <w:rPr>
          <w:rFonts w:hAnsi="宋体" w:cs="宋体" w:hint="eastAsia"/>
          <w:sz w:val="24"/>
        </w:rPr>
        <w:t>”</w:t>
      </w:r>
      <w:r>
        <w:rPr>
          <w:rFonts w:hAnsi="宋体" w:cs="宋体" w:hint="eastAsia"/>
          <w:sz w:val="24"/>
        </w:rPr>
        <w:t>作为内地股票部分的业绩比较基准，</w:t>
      </w:r>
      <w:r w:rsidR="00E83E00">
        <w:rPr>
          <w:rFonts w:hAnsi="宋体" w:cs="宋体" w:hint="eastAsia"/>
          <w:sz w:val="24"/>
        </w:rPr>
        <w:t>并结合</w:t>
      </w:r>
      <w:r w:rsidRPr="00E83E00" w:rsidR="00E83E00">
        <w:rPr>
          <w:rFonts w:hAnsi="宋体" w:cs="宋体" w:hint="eastAsia"/>
          <w:sz w:val="24"/>
        </w:rPr>
        <w:t>预期的</w:t>
      </w:r>
      <w:r w:rsidR="00E83E00">
        <w:rPr>
          <w:rFonts w:hAnsi="宋体" w:cs="宋体" w:hint="eastAsia"/>
          <w:sz w:val="24"/>
        </w:rPr>
        <w:t>资产配置计划对</w:t>
      </w:r>
      <w:r>
        <w:rPr>
          <w:rFonts w:hAnsi="宋体" w:cs="宋体" w:hint="eastAsia"/>
          <w:sz w:val="24"/>
        </w:rPr>
        <w:t>“</w:t>
      </w:r>
      <w:r w:rsidRPr="00CE43D2">
        <w:rPr>
          <w:rFonts w:hAnsi="宋体" w:cs="宋体" w:hint="eastAsia"/>
          <w:kern w:val="0"/>
          <w:sz w:val="24"/>
        </w:rPr>
        <w:t>北证</w:t>
      </w:r>
      <w:r w:rsidRPr="00CE43D2">
        <w:rPr>
          <w:rFonts w:hAnsi="宋体" w:cs="宋体" w:hint="eastAsia"/>
          <w:kern w:val="0"/>
          <w:sz w:val="24"/>
        </w:rPr>
        <w:t>50</w:t>
      </w:r>
      <w:r w:rsidRPr="00CE43D2">
        <w:rPr>
          <w:rFonts w:hAnsi="宋体" w:cs="宋体" w:hint="eastAsia"/>
          <w:kern w:val="0"/>
          <w:sz w:val="24"/>
        </w:rPr>
        <w:t>成份指数</w:t>
      </w:r>
      <w:r>
        <w:rPr>
          <w:rFonts w:hAnsi="宋体" w:cs="宋体" w:hint="eastAsia"/>
          <w:kern w:val="0"/>
          <w:sz w:val="24"/>
        </w:rPr>
        <w:t>”</w:t>
      </w:r>
      <w:r>
        <w:rPr>
          <w:rFonts w:hAnsi="宋体" w:cs="宋体" w:hint="eastAsia"/>
          <w:kern w:val="0"/>
          <w:sz w:val="24"/>
        </w:rPr>
        <w:t>“</w:t>
      </w:r>
      <w:r w:rsidRPr="00CE43D2">
        <w:rPr>
          <w:rFonts w:hAnsi="宋体" w:cs="宋体" w:hint="eastAsia"/>
          <w:kern w:val="0"/>
          <w:sz w:val="24"/>
        </w:rPr>
        <w:t>中证港股通综合指数</w:t>
      </w:r>
      <w:r>
        <w:rPr>
          <w:rFonts w:hAnsi="宋体" w:cs="宋体" w:hint="eastAsia"/>
          <w:kern w:val="0"/>
          <w:sz w:val="24"/>
        </w:rPr>
        <w:t>”</w:t>
      </w:r>
      <w:r w:rsidRPr="002D5DA1">
        <w:rPr>
          <w:rFonts w:hAnsi="宋体" w:cs="宋体" w:hint="eastAsia"/>
          <w:sz w:val="24"/>
        </w:rPr>
        <w:t>“</w:t>
      </w:r>
      <w:r w:rsidRPr="000A0DEC">
        <w:rPr>
          <w:rFonts w:hAnsi="宋体" w:cs="宋体" w:hint="eastAsia"/>
          <w:sz w:val="24"/>
        </w:rPr>
        <w:t>中债总指数</w:t>
      </w:r>
      <w:r w:rsidRPr="002D5DA1">
        <w:rPr>
          <w:rFonts w:hAnsi="宋体" w:cs="宋体" w:hint="eastAsia"/>
          <w:sz w:val="24"/>
        </w:rPr>
        <w:t>”分别赋予</w:t>
      </w:r>
      <w:r w:rsidRPr="00CE43D2">
        <w:rPr>
          <w:rFonts w:hAnsi="宋体" w:cs="宋体" w:hint="eastAsia"/>
          <w:kern w:val="0"/>
          <w:sz w:val="24"/>
        </w:rPr>
        <w:t>80</w:t>
      </w:r>
      <w:r w:rsidRPr="002D5DA1">
        <w:rPr>
          <w:rFonts w:hAnsi="宋体" w:cs="宋体" w:hint="eastAsia"/>
          <w:sz w:val="24"/>
        </w:rPr>
        <w:t>%</w:t>
      </w:r>
      <w:r w:rsidRPr="002D5DA1">
        <w:rPr>
          <w:rFonts w:hAnsi="宋体" w:cs="宋体" w:hint="eastAsia"/>
          <w:sz w:val="24"/>
        </w:rPr>
        <w:t>、</w:t>
      </w:r>
      <w:r w:rsidRPr="00CE43D2">
        <w:rPr>
          <w:rFonts w:hAnsi="宋体" w:cs="宋体" w:hint="eastAsia"/>
          <w:kern w:val="0"/>
          <w:sz w:val="24"/>
        </w:rPr>
        <w:t>5</w:t>
      </w:r>
      <w:r>
        <w:rPr>
          <w:rFonts w:hAnsi="宋体" w:cs="宋体"/>
          <w:kern w:val="0"/>
          <w:sz w:val="24"/>
        </w:rPr>
        <w:t>%</w:t>
      </w:r>
      <w:r>
        <w:rPr>
          <w:rFonts w:hAnsi="宋体" w:cs="宋体"/>
          <w:kern w:val="0"/>
          <w:sz w:val="24"/>
        </w:rPr>
        <w:t>、</w:t>
      </w:r>
      <w:r w:rsidRPr="00DB3073">
        <w:rPr>
          <w:rFonts w:hAnsi="宋体" w:cs="宋体"/>
          <w:sz w:val="24"/>
        </w:rPr>
        <w:t>15</w:t>
      </w:r>
      <w:r w:rsidRPr="002D5DA1">
        <w:rPr>
          <w:rFonts w:hAnsi="宋体" w:cs="宋体" w:hint="eastAsia"/>
          <w:sz w:val="24"/>
        </w:rPr>
        <w:t>%</w:t>
      </w:r>
      <w:r w:rsidRPr="002D5DA1">
        <w:rPr>
          <w:rFonts w:hAnsi="宋体" w:cs="宋体" w:hint="eastAsia"/>
          <w:sz w:val="24"/>
        </w:rPr>
        <w:t>的权重，</w:t>
      </w:r>
      <w:r w:rsidRPr="00E83E00" w:rsidR="00E83E00">
        <w:rPr>
          <w:rFonts w:hAnsi="宋体" w:cs="宋体"/>
          <w:sz w:val="24"/>
        </w:rPr>
        <w:t>能够较好地反映本基金的风险收益特征，并</w:t>
      </w:r>
      <w:r w:rsidRPr="002D5DA1">
        <w:rPr>
          <w:rFonts w:hAnsi="宋体" w:cs="宋体" w:hint="eastAsia"/>
          <w:sz w:val="24"/>
        </w:rPr>
        <w:t>可提高基金业绩表现与业绩比较基准的可比性。</w:t>
      </w:r>
    </w:p>
    <w:p w:rsidR="002E11D7" w:rsidP="002E11D7" w14:paraId="53207DC1" w14:textId="43BB87F0">
      <w:pPr>
        <w:pStyle w:val="ListParagraph"/>
        <w:spacing w:line="360" w:lineRule="auto"/>
        <w:ind w:firstLine="480"/>
        <w:rPr>
          <w:rFonts w:hAnsi="宋体" w:cs="宋体"/>
          <w:kern w:val="0"/>
          <w:sz w:val="24"/>
        </w:rPr>
      </w:pPr>
      <w:r>
        <w:rPr>
          <w:rFonts w:hAnsi="宋体" w:cs="宋体" w:hint="eastAsia"/>
          <w:kern w:val="0"/>
          <w:sz w:val="24"/>
        </w:rPr>
        <w:t>2</w:t>
      </w:r>
      <w:r>
        <w:rPr>
          <w:rFonts w:hAnsi="宋体" w:cs="宋体"/>
          <w:kern w:val="0"/>
          <w:sz w:val="24"/>
        </w:rPr>
        <w:t>.</w:t>
      </w:r>
      <w:r w:rsidRPr="002E11D7">
        <w:rPr>
          <w:rFonts w:hAnsi="宋体" w:cs="宋体" w:hint="eastAsia"/>
          <w:kern w:val="0"/>
          <w:sz w:val="24"/>
        </w:rPr>
        <w:t>易方达科创板两年定期开放混合型证券投资基金</w:t>
      </w:r>
    </w:p>
    <w:p w:rsidR="003239A3" w:rsidP="003239A3" w14:paraId="257A2BE4" w14:textId="50F814C8">
      <w:pPr>
        <w:pStyle w:val="ListParagraph"/>
        <w:spacing w:line="360" w:lineRule="auto"/>
        <w:ind w:right="84" w:firstLine="480" w:rightChars="40"/>
        <w:rPr>
          <w:rFonts w:hAnsi="宋体" w:cs="宋体"/>
          <w:kern w:val="0"/>
          <w:sz w:val="24"/>
        </w:rPr>
      </w:pPr>
      <w:r w:rsidRPr="00CE43D2">
        <w:rPr>
          <w:rFonts w:hAnsi="宋体" w:cs="宋体" w:hint="eastAsia"/>
          <w:kern w:val="0"/>
          <w:sz w:val="24"/>
        </w:rPr>
        <w:t>目前</w:t>
      </w:r>
      <w:r w:rsidR="004A2322">
        <w:rPr>
          <w:rFonts w:hAnsi="宋体" w:cs="宋体" w:hint="eastAsia"/>
          <w:kern w:val="0"/>
          <w:sz w:val="24"/>
        </w:rPr>
        <w:t>的</w:t>
      </w:r>
      <w:r w:rsidRPr="00CE43D2">
        <w:rPr>
          <w:rFonts w:hAnsi="宋体" w:cs="宋体" w:hint="eastAsia"/>
          <w:kern w:val="0"/>
          <w:sz w:val="24"/>
        </w:rPr>
        <w:t>业绩比较基准：</w:t>
      </w:r>
      <w:r w:rsidRPr="00C1560E">
        <w:rPr>
          <w:rFonts w:hAnsi="宋体" w:cs="宋体" w:hint="eastAsia"/>
          <w:kern w:val="0"/>
          <w:sz w:val="24"/>
        </w:rPr>
        <w:t>中国战略新兴产业成份指数收益率×</w:t>
      </w:r>
      <w:r w:rsidRPr="00C1560E">
        <w:rPr>
          <w:rFonts w:hAnsi="宋体" w:cs="宋体" w:hint="eastAsia"/>
          <w:kern w:val="0"/>
          <w:sz w:val="24"/>
        </w:rPr>
        <w:t>65%+</w:t>
      </w:r>
      <w:r w:rsidRPr="00C1560E">
        <w:rPr>
          <w:rFonts w:hAnsi="宋体" w:cs="宋体" w:hint="eastAsia"/>
          <w:kern w:val="0"/>
          <w:sz w:val="24"/>
        </w:rPr>
        <w:t>中证港股通综合指数收益率×</w:t>
      </w:r>
      <w:r w:rsidRPr="00C1560E">
        <w:rPr>
          <w:rFonts w:hAnsi="宋体" w:cs="宋体" w:hint="eastAsia"/>
          <w:kern w:val="0"/>
          <w:sz w:val="24"/>
        </w:rPr>
        <w:t>10%+</w:t>
      </w:r>
      <w:r w:rsidRPr="00C1560E">
        <w:rPr>
          <w:rFonts w:hAnsi="宋体" w:cs="宋体" w:hint="eastAsia"/>
          <w:kern w:val="0"/>
          <w:sz w:val="24"/>
        </w:rPr>
        <w:t>中债总指数收益率×</w:t>
      </w:r>
      <w:r w:rsidRPr="00C1560E">
        <w:rPr>
          <w:rFonts w:hAnsi="宋体" w:cs="宋体" w:hint="eastAsia"/>
          <w:kern w:val="0"/>
          <w:sz w:val="24"/>
        </w:rPr>
        <w:t>25%</w:t>
      </w:r>
    </w:p>
    <w:p w:rsidR="003239A3" w:rsidRPr="00C1560E" w:rsidP="003239A3" w14:paraId="6FD2348D" w14:textId="77777777">
      <w:pPr>
        <w:pStyle w:val="ListParagraph"/>
        <w:spacing w:line="360" w:lineRule="auto"/>
        <w:ind w:right="84" w:firstLine="480" w:rightChars="40"/>
        <w:rPr>
          <w:rFonts w:hAnsi="宋体" w:cs="宋体"/>
          <w:kern w:val="0"/>
          <w:sz w:val="24"/>
        </w:rPr>
      </w:pPr>
      <w:r w:rsidRPr="00CE43D2">
        <w:rPr>
          <w:rFonts w:hAnsi="宋体" w:cs="宋体" w:hint="eastAsia"/>
          <w:kern w:val="0"/>
          <w:sz w:val="24"/>
        </w:rPr>
        <w:t>调整为：</w:t>
      </w:r>
      <w:r w:rsidRPr="00C1560E">
        <w:rPr>
          <w:rFonts w:hAnsi="宋体" w:cs="宋体" w:hint="eastAsia"/>
          <w:kern w:val="0"/>
          <w:sz w:val="24"/>
        </w:rPr>
        <w:t>上证科创板</w:t>
      </w:r>
      <w:r w:rsidRPr="00C1560E">
        <w:rPr>
          <w:rFonts w:hAnsi="宋体" w:cs="宋体" w:hint="eastAsia"/>
          <w:kern w:val="0"/>
          <w:sz w:val="24"/>
        </w:rPr>
        <w:t>50</w:t>
      </w:r>
      <w:r w:rsidRPr="00C1560E">
        <w:rPr>
          <w:rFonts w:hAnsi="宋体" w:cs="宋体" w:hint="eastAsia"/>
          <w:kern w:val="0"/>
          <w:sz w:val="24"/>
        </w:rPr>
        <w:t>成份指数收益率×</w:t>
      </w:r>
      <w:r w:rsidRPr="00C1560E">
        <w:rPr>
          <w:rFonts w:hAnsi="宋体" w:cs="宋体" w:hint="eastAsia"/>
          <w:kern w:val="0"/>
          <w:sz w:val="24"/>
        </w:rPr>
        <w:t>80%+</w:t>
      </w:r>
      <w:r w:rsidRPr="00C1560E">
        <w:rPr>
          <w:rFonts w:hAnsi="宋体" w:cs="宋体" w:hint="eastAsia"/>
          <w:kern w:val="0"/>
          <w:sz w:val="24"/>
        </w:rPr>
        <w:t>中证港股通综合指数收益率×</w:t>
      </w:r>
      <w:r w:rsidRPr="00C1560E">
        <w:rPr>
          <w:rFonts w:hAnsi="宋体" w:cs="宋体" w:hint="eastAsia"/>
          <w:kern w:val="0"/>
          <w:sz w:val="24"/>
        </w:rPr>
        <w:t>5%+</w:t>
      </w:r>
      <w:r w:rsidRPr="00C1560E">
        <w:rPr>
          <w:rFonts w:hAnsi="宋体" w:cs="宋体" w:hint="eastAsia"/>
          <w:kern w:val="0"/>
          <w:sz w:val="24"/>
        </w:rPr>
        <w:t>中债总指数收益率×</w:t>
      </w:r>
      <w:r w:rsidRPr="00C1560E">
        <w:rPr>
          <w:rFonts w:hAnsi="宋体" w:cs="宋体" w:hint="eastAsia"/>
          <w:kern w:val="0"/>
          <w:sz w:val="24"/>
        </w:rPr>
        <w:t>15%</w:t>
      </w:r>
    </w:p>
    <w:p w:rsidR="003239A3" w:rsidRPr="002D5DA1" w:rsidP="003239A3" w14:paraId="23F1A8AF" w14:textId="216E749E">
      <w:pPr>
        <w:pStyle w:val="ListParagraph"/>
        <w:spacing w:line="360" w:lineRule="auto"/>
        <w:ind w:right="84" w:firstLine="480" w:rightChars="40"/>
        <w:rPr>
          <w:rFonts w:hAnsi="宋体" w:cs="宋体"/>
          <w:sz w:val="24"/>
        </w:rPr>
      </w:pPr>
      <w:r w:rsidRPr="002D5DA1">
        <w:rPr>
          <w:rFonts w:hAnsi="宋体" w:cs="宋体" w:hint="eastAsia"/>
          <w:sz w:val="24"/>
        </w:rPr>
        <w:t>新的业绩比较基准选择原因及其合理性：</w:t>
      </w:r>
      <w:r w:rsidRPr="005F7DBE" w:rsidR="00037EAD">
        <w:rPr>
          <w:rFonts w:hAnsi="宋体" w:cs="宋体" w:hint="eastAsia"/>
          <w:kern w:val="0"/>
          <w:sz w:val="24"/>
        </w:rPr>
        <w:t>本基金主要投资科创板股票</w:t>
      </w:r>
      <w:r w:rsidRPr="005F7DBE" w:rsidR="00037EAD">
        <w:rPr>
          <w:rFonts w:hAnsi="宋体" w:cs="宋体"/>
          <w:kern w:val="0"/>
          <w:sz w:val="24"/>
        </w:rPr>
        <w:t>，上证科创板</w:t>
      </w:r>
      <w:r w:rsidRPr="005F7DBE" w:rsidR="00037EAD">
        <w:rPr>
          <w:rFonts w:hAnsi="宋体" w:cs="宋体"/>
          <w:kern w:val="0"/>
          <w:sz w:val="24"/>
        </w:rPr>
        <w:t>50</w:t>
      </w:r>
      <w:r w:rsidRPr="005F7DBE" w:rsidR="00037EAD">
        <w:rPr>
          <w:rFonts w:hAnsi="宋体" w:cs="宋体"/>
          <w:kern w:val="0"/>
          <w:sz w:val="24"/>
        </w:rPr>
        <w:t>成份指数对</w:t>
      </w:r>
      <w:r w:rsidRPr="005F7DBE" w:rsidR="00037EAD">
        <w:rPr>
          <w:rFonts w:hAnsi="宋体" w:cs="宋体" w:hint="eastAsia"/>
          <w:kern w:val="0"/>
          <w:sz w:val="24"/>
        </w:rPr>
        <w:t>科创板股票具有较强代表性</w:t>
      </w:r>
      <w:r w:rsidR="00E83E00">
        <w:rPr>
          <w:rFonts w:hAnsi="宋体" w:cs="宋体" w:hint="eastAsia"/>
          <w:kern w:val="0"/>
          <w:sz w:val="24"/>
        </w:rPr>
        <w:t>，</w:t>
      </w:r>
      <w:r w:rsidRPr="002D5DA1">
        <w:rPr>
          <w:rFonts w:hAnsi="宋体" w:cs="宋体" w:hint="eastAsia"/>
          <w:sz w:val="24"/>
        </w:rPr>
        <w:t>选取“</w:t>
      </w:r>
      <w:r w:rsidRPr="00CE43D2">
        <w:rPr>
          <w:rFonts w:hAnsi="宋体" w:cs="宋体" w:hint="eastAsia"/>
          <w:kern w:val="0"/>
          <w:sz w:val="24"/>
        </w:rPr>
        <w:t>上证科创板</w:t>
      </w:r>
      <w:r w:rsidRPr="00CE43D2">
        <w:rPr>
          <w:rFonts w:hAnsi="宋体" w:cs="宋体" w:hint="eastAsia"/>
          <w:kern w:val="0"/>
          <w:sz w:val="24"/>
        </w:rPr>
        <w:t>50</w:t>
      </w:r>
      <w:r w:rsidRPr="00CE43D2">
        <w:rPr>
          <w:rFonts w:hAnsi="宋体" w:cs="宋体" w:hint="eastAsia"/>
          <w:kern w:val="0"/>
          <w:sz w:val="24"/>
        </w:rPr>
        <w:t>成份指数</w:t>
      </w:r>
      <w:r w:rsidRPr="002D5DA1">
        <w:rPr>
          <w:rFonts w:hAnsi="宋体" w:cs="宋体" w:hint="eastAsia"/>
          <w:sz w:val="24"/>
        </w:rPr>
        <w:t>”</w:t>
      </w:r>
      <w:r>
        <w:rPr>
          <w:rFonts w:hAnsi="宋体" w:cs="宋体" w:hint="eastAsia"/>
          <w:sz w:val="24"/>
        </w:rPr>
        <w:t>作为内地股票部分的业绩比较基准，</w:t>
      </w:r>
      <w:r w:rsidR="00E83E00">
        <w:rPr>
          <w:rFonts w:hAnsi="宋体" w:cs="宋体" w:hint="eastAsia"/>
          <w:sz w:val="24"/>
        </w:rPr>
        <w:t>并</w:t>
      </w:r>
      <w:r w:rsidRPr="00E83E00" w:rsidR="00E83E00">
        <w:rPr>
          <w:rFonts w:hAnsi="宋体" w:cs="宋体" w:hint="eastAsia"/>
          <w:sz w:val="24"/>
        </w:rPr>
        <w:t>结合预期的资产配置计划</w:t>
      </w:r>
      <w:r w:rsidR="00E83E00">
        <w:rPr>
          <w:rFonts w:hAnsi="宋体" w:cs="宋体" w:hint="eastAsia"/>
          <w:sz w:val="24"/>
        </w:rPr>
        <w:t>对</w:t>
      </w:r>
      <w:r>
        <w:rPr>
          <w:rFonts w:hAnsi="宋体" w:cs="宋体" w:hint="eastAsia"/>
          <w:sz w:val="24"/>
        </w:rPr>
        <w:t>“</w:t>
      </w:r>
      <w:r w:rsidRPr="00CE43D2">
        <w:rPr>
          <w:rFonts w:hAnsi="宋体" w:cs="宋体" w:hint="eastAsia"/>
          <w:kern w:val="0"/>
          <w:sz w:val="24"/>
        </w:rPr>
        <w:t>上证科创板</w:t>
      </w:r>
      <w:r w:rsidRPr="00CE43D2">
        <w:rPr>
          <w:rFonts w:hAnsi="宋体" w:cs="宋体" w:hint="eastAsia"/>
          <w:kern w:val="0"/>
          <w:sz w:val="24"/>
        </w:rPr>
        <w:t>50</w:t>
      </w:r>
      <w:r w:rsidRPr="00CE43D2">
        <w:rPr>
          <w:rFonts w:hAnsi="宋体" w:cs="宋体" w:hint="eastAsia"/>
          <w:kern w:val="0"/>
          <w:sz w:val="24"/>
        </w:rPr>
        <w:t>成份指数</w:t>
      </w:r>
      <w:r>
        <w:rPr>
          <w:rFonts w:hAnsi="宋体" w:cs="宋体" w:hint="eastAsia"/>
          <w:kern w:val="0"/>
          <w:sz w:val="24"/>
        </w:rPr>
        <w:t>”</w:t>
      </w:r>
      <w:r>
        <w:rPr>
          <w:rFonts w:hAnsi="宋体" w:cs="宋体" w:hint="eastAsia"/>
          <w:kern w:val="0"/>
          <w:sz w:val="24"/>
        </w:rPr>
        <w:t>“</w:t>
      </w:r>
      <w:r w:rsidRPr="00CE43D2">
        <w:rPr>
          <w:rFonts w:hAnsi="宋体" w:cs="宋体" w:hint="eastAsia"/>
          <w:kern w:val="0"/>
          <w:sz w:val="24"/>
        </w:rPr>
        <w:t>中证港股通综合指数</w:t>
      </w:r>
      <w:r>
        <w:rPr>
          <w:rFonts w:hAnsi="宋体" w:cs="宋体" w:hint="eastAsia"/>
          <w:kern w:val="0"/>
          <w:sz w:val="24"/>
        </w:rPr>
        <w:t>”</w:t>
      </w:r>
      <w:r w:rsidRPr="002D5DA1">
        <w:rPr>
          <w:rFonts w:hAnsi="宋体" w:cs="宋体" w:hint="eastAsia"/>
          <w:sz w:val="24"/>
        </w:rPr>
        <w:t>“</w:t>
      </w:r>
      <w:r w:rsidRPr="000A0DEC">
        <w:rPr>
          <w:rFonts w:hAnsi="宋体" w:cs="宋体" w:hint="eastAsia"/>
          <w:sz w:val="24"/>
        </w:rPr>
        <w:t>中债总指数</w:t>
      </w:r>
      <w:r w:rsidRPr="002D5DA1">
        <w:rPr>
          <w:rFonts w:hAnsi="宋体" w:cs="宋体" w:hint="eastAsia"/>
          <w:sz w:val="24"/>
        </w:rPr>
        <w:t>”分别赋予</w:t>
      </w:r>
      <w:r w:rsidRPr="00CE43D2">
        <w:rPr>
          <w:rFonts w:hAnsi="宋体" w:cs="宋体" w:hint="eastAsia"/>
          <w:kern w:val="0"/>
          <w:sz w:val="24"/>
        </w:rPr>
        <w:t>80</w:t>
      </w:r>
      <w:r w:rsidRPr="002D5DA1">
        <w:rPr>
          <w:rFonts w:hAnsi="宋体" w:cs="宋体" w:hint="eastAsia"/>
          <w:sz w:val="24"/>
        </w:rPr>
        <w:t>%</w:t>
      </w:r>
      <w:r w:rsidRPr="002D5DA1">
        <w:rPr>
          <w:rFonts w:hAnsi="宋体" w:cs="宋体" w:hint="eastAsia"/>
          <w:sz w:val="24"/>
        </w:rPr>
        <w:t>、</w:t>
      </w:r>
      <w:r w:rsidRPr="00CE43D2">
        <w:rPr>
          <w:rFonts w:hAnsi="宋体" w:cs="宋体" w:hint="eastAsia"/>
          <w:kern w:val="0"/>
          <w:sz w:val="24"/>
        </w:rPr>
        <w:t>5</w:t>
      </w:r>
      <w:r>
        <w:rPr>
          <w:rFonts w:hAnsi="宋体" w:cs="宋体"/>
          <w:kern w:val="0"/>
          <w:sz w:val="24"/>
        </w:rPr>
        <w:t>%</w:t>
      </w:r>
      <w:r>
        <w:rPr>
          <w:rFonts w:hAnsi="宋体" w:cs="宋体"/>
          <w:kern w:val="0"/>
          <w:sz w:val="24"/>
        </w:rPr>
        <w:t>、</w:t>
      </w:r>
      <w:r w:rsidRPr="00DB3073">
        <w:rPr>
          <w:rFonts w:hAnsi="宋体" w:cs="宋体"/>
          <w:sz w:val="24"/>
        </w:rPr>
        <w:t>15</w:t>
      </w:r>
      <w:r w:rsidRPr="002D5DA1">
        <w:rPr>
          <w:rFonts w:hAnsi="宋体" w:cs="宋体" w:hint="eastAsia"/>
          <w:sz w:val="24"/>
        </w:rPr>
        <w:t>%</w:t>
      </w:r>
      <w:r w:rsidRPr="002D5DA1">
        <w:rPr>
          <w:rFonts w:hAnsi="宋体" w:cs="宋体" w:hint="eastAsia"/>
          <w:sz w:val="24"/>
        </w:rPr>
        <w:t>的权重，</w:t>
      </w:r>
      <w:r w:rsidRPr="00E83E00" w:rsidR="00E83E00">
        <w:rPr>
          <w:rFonts w:hAnsi="宋体" w:cs="宋体" w:hint="eastAsia"/>
          <w:sz w:val="24"/>
        </w:rPr>
        <w:t>能够较好地反映本基金的风险收益特征，并</w:t>
      </w:r>
      <w:r w:rsidR="009F5623">
        <w:rPr>
          <w:rFonts w:hAnsi="宋体" w:cs="宋体" w:hint="eastAsia"/>
          <w:sz w:val="24"/>
        </w:rPr>
        <w:t>可</w:t>
      </w:r>
      <w:r w:rsidRPr="002D5DA1">
        <w:rPr>
          <w:rFonts w:hAnsi="宋体" w:cs="宋体" w:hint="eastAsia"/>
          <w:sz w:val="24"/>
        </w:rPr>
        <w:t>提高基金业绩表现与业绩比较基准的可比性。</w:t>
      </w:r>
    </w:p>
    <w:p w:rsidR="00827EAF" w:rsidRPr="00AB71F5" w:rsidP="00AB71F5" w14:paraId="643C9255" w14:textId="7F0DAE83">
      <w:pPr>
        <w:pStyle w:val="ListParagraph"/>
        <w:spacing w:line="360" w:lineRule="auto"/>
        <w:ind w:firstLine="480"/>
        <w:rPr>
          <w:rFonts w:hAnsi="宋体" w:cs="宋体"/>
          <w:b/>
          <w:sz w:val="24"/>
        </w:rPr>
      </w:pPr>
      <w:r w:rsidRPr="00C1560E">
        <w:rPr>
          <w:rFonts w:hAnsi="宋体" w:cs="宋体" w:hint="eastAsia"/>
          <w:sz w:val="24"/>
        </w:rPr>
        <w:t>（</w:t>
      </w:r>
      <w:r w:rsidR="00E0752A">
        <w:rPr>
          <w:rFonts w:hAnsi="宋体" w:cs="宋体" w:hint="eastAsia"/>
          <w:sz w:val="24"/>
        </w:rPr>
        <w:t>二</w:t>
      </w:r>
      <w:r w:rsidRPr="00C1560E">
        <w:rPr>
          <w:rFonts w:hAnsi="宋体" w:cs="宋体" w:hint="eastAsia"/>
          <w:sz w:val="24"/>
        </w:rPr>
        <w:t>）</w:t>
      </w:r>
      <w:r w:rsidR="00E8271F">
        <w:rPr>
          <w:rFonts w:hAnsi="宋体" w:cs="宋体"/>
          <w:kern w:val="0"/>
          <w:sz w:val="24"/>
        </w:rPr>
        <w:t>增加</w:t>
      </w:r>
      <w:r w:rsidR="00C102F9">
        <w:rPr>
          <w:rFonts w:hAnsi="宋体" w:cs="宋体" w:hint="eastAsia"/>
          <w:kern w:val="0"/>
          <w:sz w:val="24"/>
        </w:rPr>
        <w:t>侧袋</w:t>
      </w:r>
      <w:r w:rsidR="00E9234B">
        <w:rPr>
          <w:rFonts w:hAnsi="宋体" w:cs="宋体" w:hint="eastAsia"/>
          <w:kern w:val="0"/>
          <w:sz w:val="24"/>
        </w:rPr>
        <w:t>机制</w:t>
      </w:r>
    </w:p>
    <w:p w:rsidR="00D21553" w:rsidP="00436E56" w14:paraId="755BB7D6" w14:textId="77633378">
      <w:pPr>
        <w:pStyle w:val="ListParagraph"/>
        <w:spacing w:line="360" w:lineRule="auto"/>
        <w:ind w:firstLine="480"/>
        <w:rPr>
          <w:rFonts w:hAnsi="宋体" w:cs="宋体"/>
          <w:sz w:val="24"/>
        </w:rPr>
      </w:pPr>
      <w:r>
        <w:rPr>
          <w:rFonts w:hAnsi="宋体" w:cs="宋体"/>
          <w:kern w:val="0"/>
          <w:sz w:val="24"/>
        </w:rPr>
        <w:t>基金管理人</w:t>
      </w:r>
      <w:r w:rsidRPr="00881945">
        <w:rPr>
          <w:rFonts w:hAnsi="宋体" w:hint="eastAsia"/>
          <w:bCs/>
          <w:sz w:val="24"/>
        </w:rPr>
        <w:t>根据法律法规</w:t>
      </w:r>
      <w:r w:rsidR="00206A3F">
        <w:rPr>
          <w:rFonts w:hAnsi="宋体" w:hint="eastAsia"/>
          <w:bCs/>
          <w:sz w:val="24"/>
        </w:rPr>
        <w:t>的规定</w:t>
      </w:r>
      <w:r>
        <w:rPr>
          <w:rFonts w:hAnsi="宋体" w:hint="eastAsia"/>
          <w:bCs/>
          <w:sz w:val="24"/>
        </w:rPr>
        <w:t>对</w:t>
      </w:r>
      <w:r w:rsidRPr="000E71EE">
        <w:rPr>
          <w:rFonts w:hAnsi="宋体" w:cs="宋体" w:hint="eastAsia"/>
          <w:sz w:val="24"/>
        </w:rPr>
        <w:t>易方达科创板两年定期开放混合型证券投资基金</w:t>
      </w:r>
      <w:r w:rsidR="00206A3F">
        <w:rPr>
          <w:rFonts w:hAnsi="宋体" w:hint="eastAsia"/>
          <w:bCs/>
          <w:sz w:val="24"/>
        </w:rPr>
        <w:t>增加</w:t>
      </w:r>
      <w:r w:rsidRPr="00881945">
        <w:rPr>
          <w:rFonts w:hAnsi="宋体" w:hint="eastAsia"/>
          <w:bCs/>
          <w:sz w:val="24"/>
        </w:rPr>
        <w:t>侧袋</w:t>
      </w:r>
      <w:r>
        <w:rPr>
          <w:rFonts w:hAnsi="宋体" w:hint="eastAsia"/>
          <w:bCs/>
          <w:sz w:val="24"/>
        </w:rPr>
        <w:t>机制。</w:t>
      </w:r>
    </w:p>
    <w:p w:rsidR="00436E56" w:rsidRPr="00AB71F5" w:rsidP="00436E56" w14:paraId="53279FE8" w14:textId="09D13832">
      <w:pPr>
        <w:pStyle w:val="ListParagraph"/>
        <w:spacing w:line="360" w:lineRule="auto"/>
        <w:ind w:firstLine="480"/>
        <w:rPr>
          <w:rFonts w:hAnsi="宋体" w:cs="宋体"/>
          <w:b/>
          <w:sz w:val="24"/>
        </w:rPr>
      </w:pPr>
      <w:r w:rsidRPr="00C1560E">
        <w:rPr>
          <w:rFonts w:hAnsi="宋体" w:cs="宋体" w:hint="eastAsia"/>
          <w:sz w:val="24"/>
        </w:rPr>
        <w:t>（</w:t>
      </w:r>
      <w:r w:rsidR="00E0752A">
        <w:rPr>
          <w:rFonts w:hAnsi="宋体" w:cs="宋体" w:hint="eastAsia"/>
          <w:sz w:val="24"/>
        </w:rPr>
        <w:t>三</w:t>
      </w:r>
      <w:r w:rsidRPr="00C1560E">
        <w:rPr>
          <w:rFonts w:hAnsi="宋体" w:cs="宋体" w:hint="eastAsia"/>
          <w:sz w:val="24"/>
        </w:rPr>
        <w:t>）</w:t>
      </w:r>
      <w:r>
        <w:rPr>
          <w:rFonts w:hAnsi="宋体" w:cs="宋体" w:hint="eastAsia"/>
          <w:kern w:val="0"/>
          <w:sz w:val="24"/>
        </w:rPr>
        <w:t>其他</w:t>
      </w:r>
    </w:p>
    <w:p w:rsidR="00685544" w:rsidP="00415DD0" w14:paraId="3630CAD2" w14:textId="4FE29DED">
      <w:pPr>
        <w:pStyle w:val="ListParagraph"/>
        <w:spacing w:line="360" w:lineRule="auto"/>
        <w:ind w:right="84" w:firstLine="480" w:rightChars="40"/>
        <w:rPr>
          <w:rFonts w:hAnsi="宋体"/>
          <w:bCs/>
          <w:sz w:val="24"/>
        </w:rPr>
      </w:pPr>
      <w:r>
        <w:rPr>
          <w:rFonts w:hAnsi="宋体" w:cs="宋体"/>
          <w:kern w:val="0"/>
          <w:sz w:val="24"/>
        </w:rPr>
        <w:t>基金管理人</w:t>
      </w:r>
      <w:r w:rsidRPr="00881945">
        <w:rPr>
          <w:rFonts w:hAnsi="宋体" w:hint="eastAsia"/>
          <w:bCs/>
          <w:sz w:val="24"/>
        </w:rPr>
        <w:t>根据法律法规</w:t>
      </w:r>
      <w:r w:rsidR="00551FAC">
        <w:rPr>
          <w:rFonts w:hAnsi="宋体" w:hint="eastAsia"/>
          <w:bCs/>
          <w:sz w:val="24"/>
        </w:rPr>
        <w:t>、</w:t>
      </w:r>
      <w:r w:rsidR="00EE2E2C">
        <w:rPr>
          <w:rFonts w:hAnsi="宋体" w:hint="eastAsia"/>
          <w:bCs/>
          <w:sz w:val="24"/>
        </w:rPr>
        <w:t>基金实际运作、</w:t>
      </w:r>
      <w:r w:rsidR="00551FAC">
        <w:rPr>
          <w:rFonts w:hAnsi="宋体" w:hint="eastAsia"/>
          <w:bCs/>
          <w:sz w:val="24"/>
        </w:rPr>
        <w:t>基金管理人或基金托管人信息</w:t>
      </w:r>
      <w:r w:rsidR="00206A3F">
        <w:rPr>
          <w:rFonts w:hAnsi="宋体" w:hint="eastAsia"/>
          <w:bCs/>
          <w:sz w:val="24"/>
        </w:rPr>
        <w:t>相应</w:t>
      </w:r>
      <w:r>
        <w:rPr>
          <w:rFonts w:hAnsi="宋体" w:hint="eastAsia"/>
          <w:bCs/>
          <w:sz w:val="24"/>
        </w:rPr>
        <w:t>更新上述基金基金合同、托管协议部分表述。</w:t>
      </w:r>
    </w:p>
    <w:p w:rsidR="00436E56" w:rsidRPr="00C102F9" w:rsidP="00415DD0" w14:paraId="25EF4680" w14:textId="77777777">
      <w:pPr>
        <w:pStyle w:val="ListParagraph"/>
        <w:spacing w:line="360" w:lineRule="auto"/>
        <w:ind w:right="84" w:firstLine="480" w:rightChars="40"/>
        <w:rPr>
          <w:rFonts w:hAnsi="宋体" w:cs="宋体"/>
          <w:kern w:val="0"/>
          <w:sz w:val="24"/>
        </w:rPr>
      </w:pPr>
    </w:p>
    <w:p w:rsidR="00254C6D" w:rsidRPr="00AB71F5" w:rsidP="00E5248C" w14:paraId="14998C85" w14:textId="7F038EA3">
      <w:pPr>
        <w:pStyle w:val="ListParagraph"/>
        <w:spacing w:line="360" w:lineRule="auto"/>
        <w:ind w:firstLine="480"/>
        <w:rPr>
          <w:rFonts w:hAnsi="宋体" w:cs="宋体"/>
          <w:b/>
          <w:sz w:val="24"/>
        </w:rPr>
      </w:pPr>
      <w:r>
        <w:rPr>
          <w:rFonts w:hAnsi="宋体" w:cs="宋体" w:hint="eastAsia"/>
          <w:kern w:val="0"/>
          <w:sz w:val="24"/>
        </w:rPr>
        <w:t>二、</w:t>
      </w:r>
      <w:r w:rsidRPr="00E330DB">
        <w:rPr>
          <w:rFonts w:hAnsi="宋体" w:cs="宋体" w:hint="eastAsia"/>
          <w:b/>
          <w:kern w:val="0"/>
          <w:sz w:val="24"/>
        </w:rPr>
        <w:t>基金合同和托管协议的</w:t>
      </w:r>
      <w:r w:rsidRPr="00AB71F5">
        <w:rPr>
          <w:rFonts w:hAnsi="宋体" w:cs="宋体" w:hint="eastAsia"/>
          <w:b/>
          <w:sz w:val="24"/>
        </w:rPr>
        <w:t>修订</w:t>
      </w:r>
    </w:p>
    <w:p w:rsidR="005E2287" w:rsidP="00E330DB" w14:paraId="27E87F10" w14:textId="4E4AF6A9">
      <w:pPr>
        <w:spacing w:line="360" w:lineRule="auto"/>
        <w:ind w:firstLine="480" w:firstLineChars="200"/>
        <w:rPr>
          <w:rFonts w:asciiTheme="minorEastAsia" w:eastAsiaTheme="minorEastAsia" w:hAnsiTheme="minorEastAsia" w:cs="宋体"/>
          <w:sz w:val="24"/>
        </w:rPr>
      </w:pPr>
      <w:r w:rsidRPr="00FB3AD9">
        <w:rPr>
          <w:rFonts w:asciiTheme="minorEastAsia" w:eastAsiaTheme="minorEastAsia" w:hAnsiTheme="minorEastAsia" w:hint="eastAsia"/>
          <w:sz w:val="24"/>
        </w:rPr>
        <w:t>基金合同、托管协议修订内容详见附件</w:t>
      </w:r>
      <w:r w:rsidRPr="0046253E">
        <w:rPr>
          <w:rFonts w:hint="eastAsia"/>
          <w:kern w:val="0"/>
          <w:sz w:val="24"/>
        </w:rPr>
        <w:t>《基金合同及托管协议修订说明》</w:t>
      </w:r>
      <w:r>
        <w:rPr>
          <w:rFonts w:hint="eastAsia"/>
          <w:kern w:val="0"/>
          <w:sz w:val="24"/>
        </w:rPr>
        <w:t>。</w:t>
      </w:r>
    </w:p>
    <w:p w:rsidR="00C102F9" w:rsidRPr="00E43EBD" w:rsidP="00C102F9" w14:paraId="1375AF5B" w14:textId="687FBF2F">
      <w:pPr>
        <w:pStyle w:val="ListParagraph"/>
        <w:spacing w:line="360" w:lineRule="auto"/>
        <w:ind w:firstLine="480"/>
        <w:rPr>
          <w:rFonts w:asciiTheme="minorEastAsia" w:eastAsiaTheme="minorEastAsia" w:hAnsiTheme="minorEastAsia" w:cs="宋体"/>
          <w:sz w:val="24"/>
        </w:rPr>
      </w:pPr>
      <w:r w:rsidRPr="00E43EBD">
        <w:rPr>
          <w:rFonts w:asciiTheme="minorEastAsia" w:eastAsiaTheme="minorEastAsia" w:hAnsiTheme="minorEastAsia" w:cs="宋体" w:hint="eastAsia"/>
          <w:sz w:val="24"/>
        </w:rPr>
        <w:t>基金合同、托管协议的修订</w:t>
      </w:r>
      <w:r w:rsidRPr="00E43EBD">
        <w:rPr>
          <w:rFonts w:asciiTheme="minorEastAsia" w:eastAsiaTheme="minorEastAsia" w:hAnsiTheme="minorEastAsia" w:cs="宋体"/>
          <w:sz w:val="24"/>
        </w:rPr>
        <w:t>符合相关法律法规</w:t>
      </w:r>
      <w:r w:rsidR="004C1641">
        <w:rPr>
          <w:rFonts w:asciiTheme="minorEastAsia" w:eastAsiaTheme="minorEastAsia" w:hAnsiTheme="minorEastAsia" w:cs="宋体" w:hint="eastAsia"/>
          <w:sz w:val="24"/>
        </w:rPr>
        <w:t>的规定</w:t>
      </w:r>
      <w:r w:rsidRPr="00E43EBD">
        <w:rPr>
          <w:rFonts w:asciiTheme="minorEastAsia" w:eastAsiaTheme="minorEastAsia" w:hAnsiTheme="minorEastAsia" w:cs="宋体" w:hint="eastAsia"/>
          <w:sz w:val="24"/>
        </w:rPr>
        <w:t>，对基金份额持有人利益无实质性不利影响，且基金管理人</w:t>
      </w:r>
      <w:r w:rsidRPr="00E43EBD">
        <w:rPr>
          <w:rFonts w:asciiTheme="minorEastAsia" w:eastAsiaTheme="minorEastAsia" w:hAnsiTheme="minorEastAsia" w:cs="宋体"/>
          <w:sz w:val="24"/>
        </w:rPr>
        <w:t>已履行</w:t>
      </w:r>
      <w:r w:rsidRPr="00E43EBD">
        <w:rPr>
          <w:rFonts w:asciiTheme="minorEastAsia" w:eastAsiaTheme="minorEastAsia" w:hAnsiTheme="minorEastAsia" w:cs="宋体" w:hint="eastAsia"/>
          <w:sz w:val="24"/>
        </w:rPr>
        <w:t>规定</w:t>
      </w:r>
      <w:r w:rsidRPr="00E43EBD">
        <w:rPr>
          <w:rFonts w:asciiTheme="minorEastAsia" w:eastAsiaTheme="minorEastAsia" w:hAnsiTheme="minorEastAsia" w:cs="宋体"/>
          <w:sz w:val="24"/>
        </w:rPr>
        <w:t>程序</w:t>
      </w:r>
      <w:r w:rsidRPr="00E43EBD">
        <w:rPr>
          <w:rFonts w:asciiTheme="minorEastAsia" w:eastAsiaTheme="minorEastAsia" w:hAnsiTheme="minorEastAsia" w:cs="宋体" w:hint="eastAsia"/>
          <w:sz w:val="24"/>
        </w:rPr>
        <w:t>。</w:t>
      </w:r>
    </w:p>
    <w:p w:rsidR="00C102F9" w:rsidRPr="00E43EBD" w:rsidP="00C102F9" w14:paraId="24D4EEB5" w14:textId="77777777">
      <w:pPr>
        <w:pStyle w:val="ListParagraph"/>
        <w:spacing w:line="360" w:lineRule="auto"/>
        <w:ind w:firstLine="480"/>
        <w:rPr>
          <w:rFonts w:asciiTheme="minorEastAsia" w:eastAsiaTheme="minorEastAsia" w:hAnsiTheme="minorEastAsia" w:cs="宋体"/>
          <w:sz w:val="24"/>
        </w:rPr>
      </w:pPr>
      <w:r w:rsidRPr="00E43EBD">
        <w:rPr>
          <w:rFonts w:asciiTheme="minorEastAsia" w:eastAsiaTheme="minorEastAsia" w:hAnsiTheme="minorEastAsia" w:cs="宋体" w:hint="eastAsia"/>
          <w:sz w:val="24"/>
        </w:rPr>
        <w:t>基金管理人将更新招募说明书、</w:t>
      </w:r>
      <w:r w:rsidRPr="00E43EBD">
        <w:rPr>
          <w:rFonts w:hAnsi="宋体" w:cs="宋体" w:hint="eastAsia"/>
          <w:sz w:val="24"/>
        </w:rPr>
        <w:t>基金产品资料概要</w:t>
      </w:r>
      <w:r w:rsidRPr="00E43EBD">
        <w:rPr>
          <w:rFonts w:asciiTheme="minorEastAsia" w:eastAsiaTheme="minorEastAsia" w:hAnsiTheme="minorEastAsia" w:cs="宋体" w:hint="eastAsia"/>
          <w:sz w:val="24"/>
        </w:rPr>
        <w:t>相关内容。</w:t>
      </w:r>
    </w:p>
    <w:p w:rsidR="00366E30" w:rsidRPr="00F55A12" w:rsidP="00E5248C" w14:paraId="659C9D96" w14:textId="77777777">
      <w:pPr>
        <w:pStyle w:val="ListParagraph"/>
        <w:spacing w:line="360" w:lineRule="auto"/>
        <w:ind w:firstLine="480"/>
        <w:rPr>
          <w:rFonts w:asciiTheme="minorEastAsia" w:eastAsiaTheme="minorEastAsia" w:hAnsiTheme="minorEastAsia" w:cs="宋体"/>
          <w:sz w:val="24"/>
        </w:rPr>
      </w:pPr>
    </w:p>
    <w:p w:rsidR="00827EAF" w:rsidP="00AB71F5" w14:paraId="40BFF2A1" w14:textId="47EB753B">
      <w:pPr>
        <w:autoSpaceDE w:val="0"/>
        <w:autoSpaceDN w:val="0"/>
        <w:adjustRightInd w:val="0"/>
        <w:spacing w:line="360" w:lineRule="auto"/>
        <w:ind w:firstLine="480" w:firstLineChars="200"/>
        <w:rPr>
          <w:rFonts w:hAnsi="宋体" w:cs="宋体"/>
          <w:b/>
          <w:sz w:val="24"/>
        </w:rPr>
      </w:pPr>
      <w:r>
        <w:rPr>
          <w:rFonts w:hAnsi="宋体" w:cs="宋体" w:hint="eastAsia"/>
          <w:b/>
          <w:sz w:val="24"/>
        </w:rPr>
        <w:t>三</w:t>
      </w:r>
      <w:r w:rsidRPr="00216DDD">
        <w:rPr>
          <w:rFonts w:hAnsi="宋体" w:cs="宋体" w:hint="eastAsia"/>
          <w:b/>
          <w:sz w:val="24"/>
        </w:rPr>
        <w:t>、上述</w:t>
      </w:r>
      <w:r w:rsidRPr="00216DDD" w:rsidR="00881945">
        <w:rPr>
          <w:rFonts w:hAnsi="宋体" w:cs="宋体" w:hint="eastAsia"/>
          <w:b/>
          <w:sz w:val="24"/>
        </w:rPr>
        <w:t>基金修订后的</w:t>
      </w:r>
      <w:r w:rsidRPr="00216DDD">
        <w:rPr>
          <w:rFonts w:hAnsi="宋体" w:cs="宋体" w:hint="eastAsia"/>
          <w:b/>
          <w:sz w:val="24"/>
        </w:rPr>
        <w:t>基金合同、托管协议自</w:t>
      </w:r>
      <w:r w:rsidRPr="00216DDD" w:rsidR="00C102F9">
        <w:rPr>
          <w:rFonts w:hAnsi="宋体" w:cs="宋体"/>
          <w:b/>
          <w:sz w:val="24"/>
        </w:rPr>
        <w:t>202</w:t>
      </w:r>
      <w:r w:rsidR="00C102F9">
        <w:rPr>
          <w:rFonts w:hAnsi="宋体" w:cs="宋体"/>
          <w:b/>
          <w:sz w:val="24"/>
        </w:rPr>
        <w:t>4</w:t>
      </w:r>
      <w:r w:rsidRPr="00216DDD" w:rsidR="003C1A44">
        <w:rPr>
          <w:rFonts w:hAnsi="宋体" w:cs="宋体"/>
          <w:b/>
          <w:sz w:val="24"/>
        </w:rPr>
        <w:t>年</w:t>
      </w:r>
      <w:r w:rsidR="00A878E5">
        <w:rPr>
          <w:rFonts w:hAnsi="宋体" w:cs="宋体"/>
          <w:b/>
          <w:sz w:val="24"/>
        </w:rPr>
        <w:t>7</w:t>
      </w:r>
      <w:r w:rsidRPr="00216DDD" w:rsidR="003C1A44">
        <w:rPr>
          <w:rFonts w:hAnsi="宋体" w:cs="宋体"/>
          <w:b/>
          <w:sz w:val="24"/>
        </w:rPr>
        <w:t>月</w:t>
      </w:r>
      <w:r w:rsidR="000C7ACF">
        <w:rPr>
          <w:rFonts w:hAnsi="宋体" w:cs="宋体"/>
          <w:b/>
          <w:sz w:val="24"/>
        </w:rPr>
        <w:t>23</w:t>
      </w:r>
      <w:r w:rsidRPr="00216DDD" w:rsidR="003C1A44">
        <w:rPr>
          <w:rFonts w:hAnsi="宋体" w:cs="宋体"/>
          <w:b/>
          <w:sz w:val="24"/>
        </w:rPr>
        <w:t>日</w:t>
      </w:r>
      <w:r w:rsidRPr="00216DDD">
        <w:rPr>
          <w:rFonts w:hAnsi="宋体" w:cs="宋体" w:hint="eastAsia"/>
          <w:b/>
          <w:sz w:val="24"/>
        </w:rPr>
        <w:t>起生效。</w:t>
      </w:r>
    </w:p>
    <w:p w:rsidR="00366E30" w:rsidRPr="00216DDD" w:rsidP="00AB71F5" w14:paraId="445669D8" w14:textId="77777777">
      <w:pPr>
        <w:autoSpaceDE w:val="0"/>
        <w:autoSpaceDN w:val="0"/>
        <w:adjustRightInd w:val="0"/>
        <w:spacing w:line="360" w:lineRule="auto"/>
        <w:ind w:firstLine="480" w:firstLineChars="200"/>
        <w:rPr>
          <w:rFonts w:hAnsi="宋体" w:cs="宋体"/>
          <w:b/>
          <w:sz w:val="24"/>
        </w:rPr>
      </w:pPr>
    </w:p>
    <w:p w:rsidR="000B5DD6" w:rsidRPr="003A7DBA" w:rsidP="00144F55" w14:paraId="5C2275A0" w14:textId="1572543D">
      <w:pPr>
        <w:pStyle w:val="ListParagraph"/>
        <w:spacing w:line="360" w:lineRule="auto"/>
        <w:ind w:firstLine="482"/>
        <w:rPr>
          <w:rFonts w:ascii="宋体" w:hAnsi="宋体" w:cs="宋体"/>
          <w:b/>
          <w:sz w:val="24"/>
        </w:rPr>
      </w:pPr>
      <w:r>
        <w:rPr>
          <w:rFonts w:ascii="宋体" w:hAnsi="宋体" w:cs="宋体" w:hint="eastAsia"/>
          <w:b/>
          <w:sz w:val="24"/>
        </w:rPr>
        <w:t>四</w:t>
      </w:r>
      <w:r w:rsidRPr="003A7DBA">
        <w:rPr>
          <w:rFonts w:ascii="宋体" w:hAnsi="宋体" w:cs="宋体" w:hint="eastAsia"/>
          <w:b/>
          <w:sz w:val="24"/>
        </w:rPr>
        <w:t>、其他事项</w:t>
      </w:r>
    </w:p>
    <w:p w:rsidR="00E5248C" w:rsidRPr="00CE6E32" w:rsidP="00E5248C" w14:paraId="3C9CA97E" w14:textId="77777777">
      <w:pPr>
        <w:pStyle w:val="ListParagraph"/>
        <w:spacing w:line="360" w:lineRule="auto"/>
        <w:ind w:right="84" w:firstLine="480" w:rightChars="40"/>
        <w:rPr>
          <w:rFonts w:hAnsi="宋体" w:cs="宋体"/>
          <w:sz w:val="24"/>
        </w:rPr>
      </w:pPr>
      <w:r w:rsidRPr="00CE6E32">
        <w:rPr>
          <w:rFonts w:hAnsi="宋体" w:cs="宋体" w:hint="eastAsia"/>
          <w:sz w:val="24"/>
        </w:rPr>
        <w:t>1</w:t>
      </w:r>
      <w:r w:rsidRPr="00CE6E32">
        <w:rPr>
          <w:rFonts w:hAnsi="宋体" w:cs="宋体" w:hint="eastAsia"/>
          <w:sz w:val="24"/>
        </w:rPr>
        <w:t>．投资者可通过以下途径咨询有关详情</w:t>
      </w:r>
    </w:p>
    <w:p w:rsidR="00E5248C" w:rsidRPr="00CE6E32" w:rsidP="00E5248C" w14:paraId="611F2DA6" w14:textId="77777777">
      <w:pPr>
        <w:pStyle w:val="ListParagraph"/>
        <w:spacing w:line="360" w:lineRule="auto"/>
        <w:ind w:right="84" w:firstLine="480" w:rightChars="40"/>
        <w:rPr>
          <w:rFonts w:hAnsi="宋体" w:cs="宋体"/>
          <w:sz w:val="24"/>
        </w:rPr>
      </w:pPr>
      <w:r w:rsidRPr="00CE6E32">
        <w:rPr>
          <w:rFonts w:hAnsi="宋体" w:cs="宋体" w:hint="eastAsia"/>
          <w:sz w:val="24"/>
        </w:rPr>
        <w:t>客户服务电话：</w:t>
      </w:r>
      <w:r w:rsidRPr="00CE6E32">
        <w:rPr>
          <w:rFonts w:hAnsi="宋体" w:cs="宋体" w:hint="eastAsia"/>
          <w:sz w:val="24"/>
        </w:rPr>
        <w:t xml:space="preserve">400-881-8088 </w:t>
      </w:r>
    </w:p>
    <w:p w:rsidR="00E5248C" w:rsidRPr="00CE6E32" w:rsidP="00E5248C" w14:paraId="04272235" w14:textId="77777777">
      <w:pPr>
        <w:pStyle w:val="ListParagraph"/>
        <w:spacing w:line="360" w:lineRule="auto"/>
        <w:ind w:right="84" w:firstLine="480" w:rightChars="40"/>
        <w:rPr>
          <w:rFonts w:hAnsi="宋体" w:cs="宋体"/>
          <w:sz w:val="24"/>
        </w:rPr>
      </w:pPr>
      <w:r w:rsidRPr="00CE6E32">
        <w:rPr>
          <w:rFonts w:hAnsi="宋体" w:cs="宋体" w:hint="eastAsia"/>
          <w:sz w:val="24"/>
        </w:rPr>
        <w:t>网址：</w:t>
      </w:r>
      <w:r w:rsidRPr="00CE6E32">
        <w:rPr>
          <w:rFonts w:hAnsi="宋体" w:cs="宋体" w:hint="eastAsia"/>
          <w:sz w:val="24"/>
        </w:rPr>
        <w:t>www.efunds.com.cn</w:t>
      </w:r>
    </w:p>
    <w:p w:rsidR="00E330DB" w:rsidRPr="0026523F" w:rsidP="00E330DB" w14:paraId="3295EF7C" w14:textId="5AC5EB60">
      <w:pPr>
        <w:pStyle w:val="ListParagraph"/>
        <w:spacing w:line="360" w:lineRule="auto"/>
        <w:ind w:right="84" w:firstLine="480" w:rightChars="40"/>
        <w:rPr>
          <w:rFonts w:hAnsi="宋体" w:cs="宋体"/>
          <w:sz w:val="24"/>
        </w:rPr>
      </w:pPr>
      <w:r w:rsidRPr="00CE6E32">
        <w:rPr>
          <w:rFonts w:hAnsi="宋体" w:cs="宋体" w:hint="eastAsia"/>
          <w:sz w:val="24"/>
        </w:rPr>
        <w:t>2</w:t>
      </w:r>
      <w:r w:rsidRPr="00CE6E32">
        <w:rPr>
          <w:rFonts w:hAnsi="宋体" w:cs="宋体" w:hint="eastAsia"/>
          <w:sz w:val="24"/>
        </w:rPr>
        <w:t>．</w:t>
      </w:r>
      <w:r w:rsidRPr="0026523F">
        <w:rPr>
          <w:rFonts w:hAnsi="宋体" w:cs="宋体" w:hint="eastAsia"/>
          <w:sz w:val="24"/>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更新）和基金产品资料概要（更新）等基金法律文件，全面认识基金产品的风险收益特征，在了解产品情况及销售机构适当性意见的基础上，根据自身的风险承受能力、投资期限和投资目标，对基金投资作出独立决策，选择合适的基金产品。基金管理人提醒投资者基金投资的</w:t>
      </w:r>
      <w:r w:rsidRPr="0026523F">
        <w:rPr>
          <w:rFonts w:hAnsi="宋体" w:cs="宋体"/>
          <w:sz w:val="24"/>
        </w:rPr>
        <w:t>“</w:t>
      </w:r>
      <w:r w:rsidRPr="0026523F">
        <w:rPr>
          <w:rFonts w:hAnsi="宋体" w:cs="宋体" w:hint="eastAsia"/>
          <w:sz w:val="24"/>
        </w:rPr>
        <w:t>买者自负</w:t>
      </w:r>
      <w:r w:rsidRPr="0026523F">
        <w:rPr>
          <w:rFonts w:hAnsi="宋体" w:cs="宋体"/>
          <w:sz w:val="24"/>
        </w:rPr>
        <w:t>”</w:t>
      </w:r>
      <w:r w:rsidRPr="0026523F">
        <w:rPr>
          <w:rFonts w:hAnsi="宋体" w:cs="宋体" w:hint="eastAsia"/>
          <w:sz w:val="24"/>
        </w:rPr>
        <w:t>原则，在投资者作出投资决策后，基金运营状况与基金净值变化引致的投资风险，由投资者自行负责。</w:t>
      </w:r>
    </w:p>
    <w:p w:rsidR="000B5DD6" w:rsidRPr="003A7DBA" w:rsidP="00E330DB" w14:paraId="5B40544C" w14:textId="77777777">
      <w:pPr>
        <w:rPr>
          <w:rFonts w:ascii="宋体"/>
        </w:rPr>
      </w:pPr>
    </w:p>
    <w:p w:rsidR="000B5DD6" w:rsidRPr="003A7DBA" w:rsidP="00144F55" w14:paraId="5C8B2269" w14:textId="70808265">
      <w:pPr>
        <w:pStyle w:val="ListParagraph"/>
        <w:spacing w:line="360" w:lineRule="auto"/>
        <w:ind w:firstLine="480"/>
        <w:rPr>
          <w:rFonts w:ascii="宋体" w:hAnsi="宋体" w:cs="宋体"/>
          <w:sz w:val="24"/>
        </w:rPr>
      </w:pPr>
      <w:r w:rsidRPr="003A7DBA">
        <w:rPr>
          <w:rFonts w:ascii="宋体" w:hAnsi="宋体" w:cs="宋体" w:hint="eastAsia"/>
          <w:sz w:val="24"/>
        </w:rPr>
        <w:t>特此公告。</w:t>
      </w:r>
    </w:p>
    <w:p w:rsidR="000B5DD6" w:rsidRPr="003A7DBA" w:rsidP="00144F55" w14:paraId="60B3EDCF" w14:textId="77777777">
      <w:pPr>
        <w:pStyle w:val="ListParagraph"/>
        <w:spacing w:line="360" w:lineRule="auto"/>
        <w:ind w:firstLine="480"/>
        <w:rPr>
          <w:rFonts w:ascii="宋体" w:hAnsi="宋体" w:cs="宋体"/>
          <w:sz w:val="24"/>
        </w:rPr>
      </w:pPr>
    </w:p>
    <w:p w:rsidR="005E365D" w:rsidRPr="0046253E" w:rsidP="005E365D" w14:paraId="69DD755B" w14:textId="77777777">
      <w:pPr>
        <w:spacing w:line="360" w:lineRule="auto"/>
        <w:ind w:firstLine="480" w:firstLineChars="200"/>
        <w:rPr>
          <w:kern w:val="0"/>
          <w:sz w:val="24"/>
        </w:rPr>
      </w:pPr>
      <w:r w:rsidRPr="0046253E">
        <w:rPr>
          <w:rFonts w:hint="eastAsia"/>
          <w:kern w:val="0"/>
          <w:sz w:val="24"/>
        </w:rPr>
        <w:t>附件：《基金合同及托管协议修订说明》</w:t>
      </w:r>
    </w:p>
    <w:p w:rsidR="000B5DD6" w:rsidRPr="0079022B" w:rsidP="00144F55" w14:paraId="165306E8" w14:textId="77777777">
      <w:pPr>
        <w:pStyle w:val="ListParagraph"/>
        <w:spacing w:line="360" w:lineRule="auto"/>
        <w:ind w:firstLine="480"/>
        <w:rPr>
          <w:rFonts w:ascii="宋体" w:hAnsi="宋体" w:cs="宋体"/>
          <w:sz w:val="24"/>
        </w:rPr>
      </w:pPr>
    </w:p>
    <w:p w:rsidR="000B5DD6" w:rsidRPr="003A7DBA" w:rsidP="00144F55" w14:paraId="0A3CB5A5" w14:textId="77777777">
      <w:pPr>
        <w:spacing w:line="360" w:lineRule="auto"/>
        <w:ind w:firstLine="3480" w:firstLineChars="1450"/>
        <w:jc w:val="right"/>
        <w:rPr>
          <w:rFonts w:ascii="宋体" w:hAnsi="宋体"/>
          <w:sz w:val="24"/>
        </w:rPr>
      </w:pPr>
      <w:r w:rsidRPr="003A7DBA">
        <w:rPr>
          <w:rFonts w:ascii="宋体" w:hAnsi="宋体" w:hint="eastAsia"/>
          <w:sz w:val="24"/>
        </w:rPr>
        <w:t>易方达基金管理有限公司</w:t>
      </w:r>
    </w:p>
    <w:p w:rsidR="000B5DD6" w:rsidP="005011FD" w14:paraId="5CF47360" w14:textId="6F27190A">
      <w:pPr>
        <w:pStyle w:val="ListParagraph"/>
        <w:spacing w:line="360" w:lineRule="auto"/>
        <w:ind w:right="240" w:firstLine="3600" w:firstLineChars="1500"/>
        <w:jc w:val="right"/>
        <w:rPr>
          <w:rFonts w:ascii="宋体" w:hAnsi="宋体" w:cs="宋体"/>
          <w:sz w:val="24"/>
        </w:rPr>
      </w:pPr>
      <w:r w:rsidRPr="003A7DBA">
        <w:rPr>
          <w:rFonts w:ascii="宋体" w:hAnsi="宋体" w:cs="宋体"/>
          <w:sz w:val="24"/>
        </w:rPr>
        <w:t>202</w:t>
      </w:r>
      <w:r>
        <w:rPr>
          <w:rFonts w:ascii="宋体" w:hAnsi="宋体" w:cs="宋体"/>
          <w:sz w:val="24"/>
        </w:rPr>
        <w:t>4</w:t>
      </w:r>
      <w:r w:rsidRPr="003A7DBA">
        <w:rPr>
          <w:rFonts w:ascii="宋体" w:hAnsi="宋体" w:cs="宋体"/>
          <w:sz w:val="24"/>
        </w:rPr>
        <w:t>年</w:t>
      </w:r>
      <w:r w:rsidR="00A878E5">
        <w:rPr>
          <w:rFonts w:ascii="宋体" w:hAnsi="宋体" w:cs="宋体"/>
          <w:sz w:val="24"/>
        </w:rPr>
        <w:t>7</w:t>
      </w:r>
      <w:r w:rsidRPr="003A7DBA">
        <w:rPr>
          <w:rFonts w:ascii="宋体" w:hAnsi="宋体" w:cs="宋体"/>
          <w:sz w:val="24"/>
        </w:rPr>
        <w:t>月</w:t>
      </w:r>
      <w:r w:rsidR="000C7ACF">
        <w:rPr>
          <w:rFonts w:ascii="宋体" w:hAnsi="宋体" w:cs="宋体"/>
          <w:sz w:val="24"/>
        </w:rPr>
        <w:t>20</w:t>
      </w:r>
      <w:r w:rsidRPr="003A7DBA">
        <w:rPr>
          <w:rFonts w:ascii="宋体" w:hAnsi="宋体" w:cs="宋体"/>
          <w:sz w:val="24"/>
        </w:rPr>
        <w:t>日</w:t>
      </w:r>
      <w:bookmarkEnd w:id="0"/>
      <w:bookmarkEnd w:id="1"/>
      <w:bookmarkEnd w:id="2"/>
      <w:bookmarkEnd w:id="3"/>
    </w:p>
    <w:p w:rsidR="00A96D40" w:rsidP="005011FD" w14:paraId="6D322E6A" w14:textId="77777777">
      <w:pPr>
        <w:pStyle w:val="ListParagraph"/>
        <w:spacing w:line="360" w:lineRule="auto"/>
        <w:ind w:right="240" w:firstLine="3600" w:firstLineChars="1500"/>
        <w:jc w:val="right"/>
        <w:rPr>
          <w:rFonts w:ascii="宋体" w:hAnsi="宋体" w:cs="宋体"/>
          <w:sz w:val="24"/>
        </w:rPr>
      </w:pPr>
    </w:p>
    <w:p w:rsidR="00A96D40" w:rsidP="00A96D40" w14:paraId="308A5696" w14:textId="77777777">
      <w:pPr>
        <w:rPr>
          <w:rFonts w:asciiTheme="minorEastAsia" w:hAnsiTheme="minorEastAsia"/>
          <w:b/>
          <w:szCs w:val="21"/>
        </w:rPr>
      </w:pPr>
      <w:r w:rsidRPr="00AF004A">
        <w:rPr>
          <w:rFonts w:asciiTheme="minorEastAsia" w:hAnsiTheme="minorEastAsia" w:hint="eastAsia"/>
          <w:b/>
          <w:szCs w:val="21"/>
        </w:rPr>
        <w:t>附件：</w:t>
      </w:r>
      <w:r w:rsidRPr="00666887">
        <w:rPr>
          <w:rFonts w:asciiTheme="minorEastAsia" w:hAnsiTheme="minorEastAsia" w:hint="eastAsia"/>
          <w:b/>
          <w:szCs w:val="21"/>
        </w:rPr>
        <w:t>基金合同及托管协议修订说明</w:t>
      </w:r>
    </w:p>
    <w:p w:rsidR="00210FBA" w:rsidP="00210FBA" w14:paraId="6691C22F" w14:textId="3D2F56D7">
      <w:pPr>
        <w:spacing w:line="360" w:lineRule="auto"/>
        <w:rPr>
          <w:rFonts w:ascii="宋体" w:hAnsi="宋体"/>
          <w:szCs w:val="21"/>
        </w:rPr>
      </w:pPr>
      <w:bookmarkStart w:id="5" w:name="_Hlt55355235"/>
      <w:bookmarkEnd w:id="5"/>
    </w:p>
    <w:p w:rsidR="00826FA0" w:rsidRPr="009532B1" w:rsidP="00826FA0" w14:paraId="034A9634" w14:textId="4A53DE9A">
      <w:pPr>
        <w:spacing w:line="360" w:lineRule="auto"/>
        <w:rPr>
          <w:rFonts w:hAnsi="宋体" w:cs="宋体"/>
          <w:kern w:val="0"/>
          <w:szCs w:val="21"/>
        </w:rPr>
      </w:pPr>
      <w:r>
        <w:rPr>
          <w:rFonts w:hAnsi="宋体" w:cs="宋体" w:hint="eastAsia"/>
          <w:kern w:val="0"/>
          <w:szCs w:val="21"/>
        </w:rPr>
        <w:t>一</w:t>
      </w:r>
      <w:r w:rsidRPr="009532B1">
        <w:rPr>
          <w:rFonts w:hAnsi="宋体" w:cs="宋体"/>
          <w:kern w:val="0"/>
          <w:szCs w:val="21"/>
        </w:rPr>
        <w:t>、</w:t>
      </w:r>
      <w:r w:rsidRPr="009532B1">
        <w:rPr>
          <w:rFonts w:hAnsi="宋体" w:cs="宋体" w:hint="eastAsia"/>
          <w:kern w:val="0"/>
          <w:szCs w:val="21"/>
        </w:rPr>
        <w:t>易方达北交所精选两年定期开放混合型证券投资基金</w:t>
      </w:r>
    </w:p>
    <w:p w:rsidR="00826FA0" w:rsidRPr="009532B1" w:rsidP="00826FA0" w14:paraId="5F70F4B9" w14:textId="47D250F6">
      <w:pPr>
        <w:jc w:val="left"/>
        <w:rPr>
          <w:rFonts w:ascii="宋体" w:hAnsi="宋体"/>
          <w:b/>
          <w:szCs w:val="21"/>
        </w:rPr>
      </w:pPr>
      <w:r w:rsidRPr="009532B1">
        <w:rPr>
          <w:rFonts w:ascii="宋体" w:hAnsi="宋体"/>
          <w:b/>
          <w:szCs w:val="21"/>
        </w:rPr>
        <w:t>（一）</w:t>
      </w:r>
      <w:r w:rsidRPr="009532B1" w:rsidR="004A5A49">
        <w:rPr>
          <w:rFonts w:ascii="宋体" w:hAnsi="宋体"/>
          <w:b/>
          <w:szCs w:val="21"/>
        </w:rPr>
        <w:t>基金合同</w:t>
      </w: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1106"/>
        <w:gridCol w:w="4706"/>
        <w:gridCol w:w="4394"/>
      </w:tblGrid>
      <w:tr w14:paraId="2637563D" w14:textId="77777777" w:rsidTr="004C28E0">
        <w:tblPrEx>
          <w:tblW w:w="10206" w:type="dxa"/>
          <w:tblInd w:w="-572"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Ex>
        <w:tc>
          <w:tcPr>
            <w:tcW w:w="1106" w:type="dxa"/>
            <w:tcBorders>
              <w:top w:val="single" w:sz="4" w:space="0" w:color="auto"/>
              <w:left w:val="single" w:sz="4" w:space="0" w:color="000000"/>
              <w:bottom w:val="single" w:sz="4" w:space="0" w:color="auto"/>
              <w:right w:val="single" w:sz="4" w:space="0" w:color="auto"/>
            </w:tcBorders>
            <w:vAlign w:val="center"/>
          </w:tcPr>
          <w:p w:rsidR="00826FA0" w:rsidRPr="009532B1" w:rsidP="00972B08" w14:paraId="0B694104" w14:textId="77777777">
            <w:pPr>
              <w:spacing w:line="360" w:lineRule="auto"/>
              <w:jc w:val="center"/>
              <w:rPr>
                <w:rFonts w:ascii="宋体" w:hAnsi="宋体"/>
                <w:b/>
                <w:szCs w:val="21"/>
              </w:rPr>
            </w:pPr>
            <w:r w:rsidRPr="009532B1">
              <w:rPr>
                <w:rFonts w:ascii="宋体" w:hAnsi="宋体" w:hint="eastAsia"/>
                <w:b/>
                <w:szCs w:val="21"/>
              </w:rPr>
              <w:t>章节</w:t>
            </w:r>
          </w:p>
        </w:tc>
        <w:tc>
          <w:tcPr>
            <w:tcW w:w="4706" w:type="dxa"/>
            <w:tcBorders>
              <w:top w:val="single" w:sz="4" w:space="0" w:color="auto"/>
              <w:left w:val="single" w:sz="4" w:space="0" w:color="auto"/>
              <w:bottom w:val="single" w:sz="4" w:space="0" w:color="auto"/>
              <w:right w:val="single" w:sz="4" w:space="0" w:color="auto"/>
            </w:tcBorders>
            <w:vAlign w:val="center"/>
          </w:tcPr>
          <w:p w:rsidR="00826FA0" w:rsidRPr="009532B1" w:rsidP="00972B08" w14:paraId="5FEFFED5" w14:textId="77777777">
            <w:pPr>
              <w:spacing w:line="360" w:lineRule="auto"/>
              <w:jc w:val="center"/>
              <w:rPr>
                <w:rFonts w:ascii="宋体" w:hAnsi="宋体"/>
                <w:bCs/>
                <w:szCs w:val="21"/>
              </w:rPr>
            </w:pPr>
            <w:r w:rsidRPr="009532B1">
              <w:rPr>
                <w:rFonts w:ascii="宋体" w:hAnsi="宋体" w:hint="eastAsia"/>
                <w:b/>
                <w:bCs/>
                <w:szCs w:val="21"/>
              </w:rPr>
              <w:t>原文</w:t>
            </w:r>
          </w:p>
        </w:tc>
        <w:tc>
          <w:tcPr>
            <w:tcW w:w="4394" w:type="dxa"/>
            <w:tcBorders>
              <w:top w:val="single" w:sz="4" w:space="0" w:color="auto"/>
              <w:left w:val="single" w:sz="4" w:space="0" w:color="auto"/>
              <w:bottom w:val="single" w:sz="4" w:space="0" w:color="auto"/>
              <w:right w:val="single" w:sz="4" w:space="0" w:color="000000"/>
            </w:tcBorders>
            <w:vAlign w:val="center"/>
          </w:tcPr>
          <w:p w:rsidR="00826FA0" w:rsidRPr="009532B1" w:rsidP="00972B08" w14:paraId="15101D0E" w14:textId="77777777">
            <w:pPr>
              <w:spacing w:line="360" w:lineRule="auto"/>
              <w:jc w:val="center"/>
              <w:rPr>
                <w:rFonts w:ascii="宋体" w:hAnsi="宋体"/>
                <w:bCs/>
                <w:szCs w:val="21"/>
              </w:rPr>
            </w:pPr>
            <w:r w:rsidRPr="009532B1">
              <w:rPr>
                <w:rFonts w:ascii="宋体" w:hAnsi="宋体" w:hint="eastAsia"/>
                <w:b/>
                <w:bCs/>
                <w:szCs w:val="21"/>
              </w:rPr>
              <w:t>修订</w:t>
            </w:r>
          </w:p>
        </w:tc>
      </w:tr>
      <w:tr w14:paraId="0530D805" w14:textId="77777777" w:rsidTr="004C28E0">
        <w:tblPrEx>
          <w:tblW w:w="10206" w:type="dxa"/>
          <w:tblInd w:w="-572" w:type="dxa"/>
          <w:tblLayout w:type="fixed"/>
          <w:tblLook w:val="04A0"/>
        </w:tblPrEx>
        <w:tc>
          <w:tcPr>
            <w:tcW w:w="1106" w:type="dxa"/>
            <w:tcBorders>
              <w:top w:val="single" w:sz="4" w:space="0" w:color="auto"/>
              <w:left w:val="single" w:sz="4" w:space="0" w:color="000000"/>
              <w:bottom w:val="single" w:sz="4" w:space="0" w:color="auto"/>
              <w:right w:val="single" w:sz="4" w:space="0" w:color="auto"/>
            </w:tcBorders>
            <w:vAlign w:val="center"/>
          </w:tcPr>
          <w:p w:rsidR="00032310" w:rsidRPr="009532B1" w:rsidP="00F85E49" w14:paraId="4EABECD1" w14:textId="04983A37">
            <w:pPr>
              <w:spacing w:line="360" w:lineRule="auto"/>
              <w:rPr>
                <w:rFonts w:ascii="宋体" w:hAnsi="宋体"/>
                <w:szCs w:val="21"/>
              </w:rPr>
            </w:pPr>
            <w:bookmarkStart w:id="6" w:name="_Toc161247714"/>
            <w:r w:rsidRPr="00615E1C">
              <w:rPr>
                <w:rFonts w:ascii="宋体" w:hAnsi="宋体" w:hint="eastAsia"/>
                <w:szCs w:val="21"/>
              </w:rPr>
              <w:t>第一部分 前言</w:t>
            </w:r>
            <w:bookmarkEnd w:id="6"/>
          </w:p>
        </w:tc>
        <w:tc>
          <w:tcPr>
            <w:tcW w:w="4706" w:type="dxa"/>
            <w:tcBorders>
              <w:top w:val="single" w:sz="4" w:space="0" w:color="auto"/>
              <w:left w:val="single" w:sz="4" w:space="0" w:color="auto"/>
              <w:bottom w:val="single" w:sz="4" w:space="0" w:color="auto"/>
              <w:right w:val="single" w:sz="4" w:space="0" w:color="auto"/>
            </w:tcBorders>
          </w:tcPr>
          <w:p w:rsidR="00032310" w:rsidRPr="009532B1" w:rsidP="00F85E49" w14:paraId="34A8E8F7" w14:textId="77777777">
            <w:pPr>
              <w:spacing w:line="360" w:lineRule="auto"/>
              <w:rPr>
                <w:bCs/>
                <w:szCs w:val="21"/>
              </w:rPr>
            </w:pPr>
          </w:p>
        </w:tc>
        <w:tc>
          <w:tcPr>
            <w:tcW w:w="4394" w:type="dxa"/>
            <w:tcBorders>
              <w:top w:val="single" w:sz="4" w:space="0" w:color="auto"/>
              <w:left w:val="single" w:sz="4" w:space="0" w:color="auto"/>
              <w:bottom w:val="single" w:sz="4" w:space="0" w:color="auto"/>
              <w:right w:val="single" w:sz="4" w:space="0" w:color="000000"/>
            </w:tcBorders>
          </w:tcPr>
          <w:p w:rsidR="00032310" w:rsidRPr="00032310" w:rsidP="00032310" w14:paraId="4EFE19CE" w14:textId="6A91A869">
            <w:pPr>
              <w:spacing w:line="360" w:lineRule="auto"/>
              <w:rPr>
                <w:bCs/>
                <w:szCs w:val="21"/>
              </w:rPr>
            </w:pPr>
            <w:r>
              <w:rPr>
                <w:rFonts w:ascii="宋体" w:hAnsi="宋体" w:cs="宋体"/>
                <w:b/>
                <w:szCs w:val="21"/>
                <w:highlight w:val="white"/>
              </w:rPr>
              <w:t>增加：</w:t>
            </w:r>
            <w:r w:rsidRPr="00032310">
              <w:rPr>
                <w:rFonts w:ascii="宋体" w:hAnsi="宋体" w:cs="宋体"/>
                <w:b/>
                <w:szCs w:val="21"/>
                <w:highlight w:val="white"/>
              </w:rPr>
              <w:t>“</w:t>
            </w:r>
            <w:r w:rsidRPr="00615E1C">
              <w:rPr>
                <w:rFonts w:hint="eastAsia"/>
                <w:b/>
                <w:szCs w:val="21"/>
              </w:rPr>
              <w:t>六、本基金的投资范围包括存托凭证，除与其他投资于股票的基金所面临的共同风险外，本基金还将面临投资存托凭证的特殊风险，详见本基金招募说明书。</w:t>
            </w:r>
            <w:r w:rsidRPr="00615E1C">
              <w:rPr>
                <w:rFonts w:ascii="宋体" w:hAnsi="宋体" w:cs="宋体"/>
                <w:b/>
                <w:szCs w:val="21"/>
                <w:highlight w:val="white"/>
              </w:rPr>
              <w:t>”</w:t>
            </w:r>
          </w:p>
        </w:tc>
      </w:tr>
      <w:tr w14:paraId="4C95AB95" w14:textId="77777777" w:rsidTr="004C28E0">
        <w:tblPrEx>
          <w:tblW w:w="10206" w:type="dxa"/>
          <w:tblInd w:w="-572" w:type="dxa"/>
          <w:tblLayout w:type="fixed"/>
          <w:tblLook w:val="04A0"/>
        </w:tblPrEx>
        <w:tc>
          <w:tcPr>
            <w:tcW w:w="1106" w:type="dxa"/>
            <w:tcBorders>
              <w:top w:val="single" w:sz="4" w:space="0" w:color="auto"/>
              <w:left w:val="single" w:sz="4" w:space="0" w:color="000000"/>
              <w:bottom w:val="single" w:sz="4" w:space="0" w:color="auto"/>
              <w:right w:val="single" w:sz="4" w:space="0" w:color="auto"/>
            </w:tcBorders>
            <w:vAlign w:val="center"/>
          </w:tcPr>
          <w:p w:rsidR="00826FA0" w:rsidRPr="009532B1" w:rsidP="00F85E49" w14:paraId="33F425D2" w14:textId="23E69DA5">
            <w:pPr>
              <w:spacing w:line="360" w:lineRule="auto"/>
              <w:rPr>
                <w:rFonts w:ascii="宋体" w:hAnsi="宋体"/>
                <w:b/>
                <w:szCs w:val="21"/>
              </w:rPr>
            </w:pPr>
            <w:bookmarkStart w:id="7" w:name="_Toc446339240"/>
            <w:bookmarkStart w:id="8" w:name="_Toc31551"/>
            <w:bookmarkStart w:id="9" w:name="_Toc161247715"/>
            <w:r w:rsidRPr="009532B1">
              <w:rPr>
                <w:rFonts w:ascii="宋体" w:hAnsi="宋体" w:hint="eastAsia"/>
                <w:szCs w:val="21"/>
              </w:rPr>
              <w:t xml:space="preserve">第二部分 </w:t>
            </w:r>
            <w:bookmarkStart w:id="10" w:name="_Toc21301"/>
            <w:bookmarkStart w:id="11" w:name="_Toc22864"/>
            <w:bookmarkStart w:id="12" w:name="_Toc24860"/>
            <w:bookmarkStart w:id="13" w:name="_Toc13020"/>
            <w:bookmarkStart w:id="14" w:name="_Toc819"/>
            <w:bookmarkStart w:id="15" w:name="_Toc19592"/>
            <w:bookmarkStart w:id="16" w:name="_Toc2465"/>
            <w:bookmarkStart w:id="17" w:name="_Toc3224"/>
            <w:bookmarkStart w:id="18" w:name="_Toc15067"/>
            <w:bookmarkStart w:id="19" w:name="_Toc6617"/>
            <w:r w:rsidRPr="009532B1">
              <w:rPr>
                <w:rFonts w:ascii="宋体" w:hAnsi="宋体" w:hint="eastAsia"/>
                <w:szCs w:val="21"/>
              </w:rPr>
              <w:t>释义</w:t>
            </w:r>
            <w:bookmarkEnd w:id="7"/>
            <w:bookmarkEnd w:id="8"/>
            <w:bookmarkEnd w:id="9"/>
            <w:bookmarkEnd w:id="10"/>
            <w:bookmarkEnd w:id="11"/>
            <w:bookmarkEnd w:id="12"/>
            <w:bookmarkEnd w:id="13"/>
            <w:bookmarkEnd w:id="14"/>
            <w:bookmarkEnd w:id="15"/>
            <w:bookmarkEnd w:id="16"/>
            <w:bookmarkEnd w:id="17"/>
            <w:bookmarkEnd w:id="18"/>
            <w:bookmarkEnd w:id="19"/>
          </w:p>
        </w:tc>
        <w:tc>
          <w:tcPr>
            <w:tcW w:w="4706" w:type="dxa"/>
            <w:tcBorders>
              <w:top w:val="single" w:sz="4" w:space="0" w:color="auto"/>
              <w:left w:val="single" w:sz="4" w:space="0" w:color="auto"/>
              <w:bottom w:val="single" w:sz="4" w:space="0" w:color="auto"/>
              <w:right w:val="single" w:sz="4" w:space="0" w:color="auto"/>
            </w:tcBorders>
          </w:tcPr>
          <w:p w:rsidR="00826FA0" w:rsidRPr="009532B1" w:rsidP="00F85E49" w14:paraId="385BC3F4" w14:textId="3EF17C8B">
            <w:pPr>
              <w:spacing w:line="360" w:lineRule="auto"/>
              <w:rPr>
                <w:szCs w:val="21"/>
              </w:rPr>
            </w:pPr>
            <w:r w:rsidRPr="009532B1">
              <w:rPr>
                <w:bCs/>
                <w:szCs w:val="21"/>
              </w:rPr>
              <w:t>16</w:t>
            </w:r>
            <w:r w:rsidRPr="009532B1">
              <w:rPr>
                <w:rFonts w:hint="eastAsia"/>
                <w:szCs w:val="21"/>
              </w:rPr>
              <w:t>、银行业监督管理机构：指中国人民银行和</w:t>
            </w:r>
            <w:r w:rsidRPr="009532B1">
              <w:rPr>
                <w:szCs w:val="21"/>
              </w:rPr>
              <w:t>/</w:t>
            </w:r>
            <w:r w:rsidRPr="009532B1">
              <w:rPr>
                <w:rFonts w:hint="eastAsia"/>
                <w:szCs w:val="21"/>
              </w:rPr>
              <w:t>或</w:t>
            </w:r>
            <w:r w:rsidRPr="009532B1">
              <w:rPr>
                <w:rFonts w:hint="eastAsia"/>
                <w:b/>
                <w:szCs w:val="21"/>
              </w:rPr>
              <w:t>中国银行保险监督管理委员会</w:t>
            </w:r>
          </w:p>
        </w:tc>
        <w:tc>
          <w:tcPr>
            <w:tcW w:w="4394" w:type="dxa"/>
            <w:tcBorders>
              <w:top w:val="single" w:sz="4" w:space="0" w:color="auto"/>
              <w:left w:val="single" w:sz="4" w:space="0" w:color="auto"/>
              <w:bottom w:val="single" w:sz="4" w:space="0" w:color="auto"/>
              <w:right w:val="single" w:sz="4" w:space="0" w:color="000000"/>
            </w:tcBorders>
          </w:tcPr>
          <w:p w:rsidR="00826FA0" w:rsidRPr="009532B1" w:rsidP="00972B08" w14:paraId="3379393D" w14:textId="46C38085">
            <w:pPr>
              <w:spacing w:line="360" w:lineRule="auto"/>
              <w:rPr>
                <w:rFonts w:ascii="宋体" w:hAnsi="宋体"/>
                <w:szCs w:val="21"/>
              </w:rPr>
            </w:pPr>
            <w:r w:rsidRPr="009532B1">
              <w:rPr>
                <w:bCs/>
                <w:szCs w:val="21"/>
              </w:rPr>
              <w:t>16</w:t>
            </w:r>
            <w:r w:rsidRPr="009532B1">
              <w:rPr>
                <w:rFonts w:hint="eastAsia"/>
                <w:szCs w:val="21"/>
              </w:rPr>
              <w:t>、银行业监督管理机构：指中国人民银行和</w:t>
            </w:r>
            <w:r w:rsidRPr="009532B1">
              <w:rPr>
                <w:szCs w:val="21"/>
              </w:rPr>
              <w:t>/</w:t>
            </w:r>
            <w:r w:rsidRPr="009532B1">
              <w:rPr>
                <w:rFonts w:hint="eastAsia"/>
                <w:szCs w:val="21"/>
              </w:rPr>
              <w:t>或</w:t>
            </w:r>
            <w:r w:rsidRPr="009532B1">
              <w:rPr>
                <w:rFonts w:ascii="宋体" w:cs="宋体" w:hint="eastAsia"/>
                <w:b/>
                <w:szCs w:val="21"/>
                <w:highlight w:val="white"/>
              </w:rPr>
              <w:t>国家金融监督管理总局</w:t>
            </w:r>
          </w:p>
        </w:tc>
      </w:tr>
      <w:tr w14:paraId="6A039431" w14:textId="77777777" w:rsidTr="004C28E0">
        <w:tblPrEx>
          <w:tblW w:w="10206" w:type="dxa"/>
          <w:tblInd w:w="-572" w:type="dxa"/>
          <w:tblLayout w:type="fixed"/>
          <w:tblLook w:val="04A0"/>
        </w:tblPrEx>
        <w:tc>
          <w:tcPr>
            <w:tcW w:w="1106" w:type="dxa"/>
            <w:tcBorders>
              <w:top w:val="single" w:sz="4" w:space="0" w:color="auto"/>
              <w:left w:val="single" w:sz="4" w:space="0" w:color="000000"/>
              <w:bottom w:val="single" w:sz="4" w:space="0" w:color="auto"/>
              <w:right w:val="single" w:sz="4" w:space="0" w:color="auto"/>
            </w:tcBorders>
            <w:vAlign w:val="center"/>
          </w:tcPr>
          <w:p w:rsidR="00F85E49" w:rsidRPr="009532B1" w:rsidP="00F85E49" w14:paraId="4D00668C" w14:textId="2168A550">
            <w:pPr>
              <w:spacing w:line="360" w:lineRule="auto"/>
              <w:rPr>
                <w:rFonts w:ascii="宋体" w:hAnsi="宋体"/>
                <w:szCs w:val="21"/>
              </w:rPr>
            </w:pPr>
            <w:bookmarkStart w:id="20" w:name="_Toc16859"/>
            <w:bookmarkStart w:id="21" w:name="_Toc446339245"/>
            <w:bookmarkStart w:id="22" w:name="_Toc15143"/>
            <w:bookmarkStart w:id="23" w:name="_Toc3601"/>
            <w:bookmarkStart w:id="24" w:name="_Toc12245"/>
            <w:bookmarkStart w:id="25" w:name="_Toc31235"/>
            <w:bookmarkStart w:id="26" w:name="_Toc31653"/>
            <w:bookmarkStart w:id="27" w:name="_Toc123112235"/>
            <w:bookmarkStart w:id="28" w:name="_Toc31644"/>
            <w:bookmarkStart w:id="29" w:name="_Toc141703887"/>
            <w:bookmarkStart w:id="30" w:name="_Toc14835"/>
            <w:bookmarkStart w:id="31" w:name="_Toc6405"/>
            <w:bookmarkStart w:id="32" w:name="_Toc123051453"/>
            <w:bookmarkStart w:id="33" w:name="_Toc139991737"/>
            <w:bookmarkStart w:id="34" w:name="_Toc123102454"/>
            <w:bookmarkStart w:id="35" w:name="_Toc98560353"/>
            <w:bookmarkStart w:id="36" w:name="_Toc26207"/>
            <w:bookmarkStart w:id="37" w:name="_Toc29251"/>
            <w:bookmarkStart w:id="38" w:name="_Toc161247720"/>
            <w:r w:rsidRPr="009532B1">
              <w:rPr>
                <w:rFonts w:ascii="宋体" w:hAnsi="宋体" w:hint="eastAsia"/>
                <w:szCs w:val="21"/>
              </w:rPr>
              <w:t>第七部分</w:t>
            </w:r>
            <w:r w:rsidRPr="009532B1">
              <w:rPr>
                <w:rFonts w:ascii="宋体" w:hAnsi="宋体"/>
                <w:szCs w:val="21"/>
              </w:rPr>
              <w:t xml:space="preserve"> </w:t>
            </w:r>
            <w:r w:rsidRPr="009532B1">
              <w:rPr>
                <w:rFonts w:ascii="宋体" w:hAnsi="宋体" w:hint="eastAsia"/>
                <w:szCs w:val="21"/>
              </w:rPr>
              <w:t>基金合同当事人及权利义务</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c>
          <w:tcPr>
            <w:tcW w:w="4706" w:type="dxa"/>
            <w:tcBorders>
              <w:top w:val="single" w:sz="4" w:space="0" w:color="auto"/>
              <w:left w:val="single" w:sz="4" w:space="0" w:color="auto"/>
              <w:bottom w:val="single" w:sz="4" w:space="0" w:color="auto"/>
              <w:right w:val="single" w:sz="4" w:space="0" w:color="auto"/>
            </w:tcBorders>
          </w:tcPr>
          <w:p w:rsidR="00F85E49" w:rsidRPr="009532B1" w:rsidP="00EF42CD" w14:paraId="17F9AB06" w14:textId="77777777">
            <w:pPr>
              <w:spacing w:line="360" w:lineRule="auto"/>
              <w:rPr>
                <w:szCs w:val="21"/>
              </w:rPr>
            </w:pPr>
            <w:r w:rsidRPr="009532B1">
              <w:rPr>
                <w:rFonts w:hint="eastAsia"/>
                <w:szCs w:val="21"/>
              </w:rPr>
              <w:t>一、基金管理人</w:t>
            </w:r>
          </w:p>
          <w:p w:rsidR="00F85E49" w:rsidRPr="009532B1" w:rsidP="00EF42CD" w14:paraId="6022C039" w14:textId="5FB98B42">
            <w:pPr>
              <w:spacing w:line="360" w:lineRule="auto"/>
              <w:rPr>
                <w:szCs w:val="21"/>
              </w:rPr>
            </w:pPr>
            <w:r w:rsidRPr="009532B1">
              <w:rPr>
                <w:rFonts w:hint="eastAsia"/>
                <w:szCs w:val="21"/>
              </w:rPr>
              <w:t>（一）基金管理人简况</w:t>
            </w:r>
          </w:p>
          <w:p w:rsidR="00F85E49" w:rsidRPr="009532B1" w:rsidP="00EF42CD" w14:paraId="028B57BE" w14:textId="77777777">
            <w:pPr>
              <w:spacing w:line="360" w:lineRule="auto"/>
              <w:rPr>
                <w:bCs/>
                <w:szCs w:val="21"/>
              </w:rPr>
            </w:pPr>
            <w:r w:rsidRPr="009532B1">
              <w:rPr>
                <w:rFonts w:hint="eastAsia"/>
                <w:bCs/>
                <w:szCs w:val="21"/>
              </w:rPr>
              <w:t>住所：</w:t>
            </w:r>
            <w:r w:rsidRPr="009532B1">
              <w:rPr>
                <w:rFonts w:hint="eastAsia"/>
                <w:b/>
                <w:bCs/>
                <w:szCs w:val="21"/>
              </w:rPr>
              <w:t>广东省珠海市横琴新区宝华路</w:t>
            </w:r>
            <w:r w:rsidRPr="009532B1">
              <w:rPr>
                <w:b/>
                <w:bCs/>
                <w:szCs w:val="21"/>
              </w:rPr>
              <w:t>6</w:t>
            </w:r>
            <w:r w:rsidRPr="009532B1">
              <w:rPr>
                <w:rFonts w:hint="eastAsia"/>
                <w:b/>
                <w:bCs/>
                <w:szCs w:val="21"/>
              </w:rPr>
              <w:t>号</w:t>
            </w:r>
            <w:r w:rsidRPr="009532B1">
              <w:rPr>
                <w:b/>
                <w:bCs/>
                <w:szCs w:val="21"/>
              </w:rPr>
              <w:t>105</w:t>
            </w:r>
            <w:r w:rsidRPr="009532B1">
              <w:rPr>
                <w:rFonts w:hint="eastAsia"/>
                <w:b/>
                <w:bCs/>
                <w:szCs w:val="21"/>
              </w:rPr>
              <w:t>室</w:t>
            </w:r>
            <w:r w:rsidRPr="009532B1">
              <w:rPr>
                <w:b/>
                <w:bCs/>
                <w:szCs w:val="21"/>
              </w:rPr>
              <w:t>-42891</w:t>
            </w:r>
            <w:r w:rsidRPr="009532B1">
              <w:rPr>
                <w:rFonts w:hint="eastAsia"/>
                <w:b/>
                <w:bCs/>
                <w:szCs w:val="21"/>
              </w:rPr>
              <w:t>（集中办公区）</w:t>
            </w:r>
          </w:p>
          <w:p w:rsidR="00F85E49" w:rsidRPr="009532B1" w:rsidP="00EF42CD" w14:paraId="676A6C15" w14:textId="77777777">
            <w:pPr>
              <w:spacing w:line="360" w:lineRule="auto"/>
              <w:rPr>
                <w:szCs w:val="21"/>
              </w:rPr>
            </w:pPr>
            <w:r w:rsidRPr="009532B1">
              <w:rPr>
                <w:rFonts w:hint="eastAsia"/>
                <w:szCs w:val="21"/>
              </w:rPr>
              <w:t>二、基金托管人</w:t>
            </w:r>
          </w:p>
          <w:p w:rsidR="00F85E49" w:rsidRPr="009532B1" w:rsidP="00EF42CD" w14:paraId="78C15996" w14:textId="6C203B3D">
            <w:pPr>
              <w:spacing w:line="360" w:lineRule="auto"/>
              <w:rPr>
                <w:szCs w:val="21"/>
              </w:rPr>
            </w:pPr>
            <w:r w:rsidRPr="009532B1">
              <w:rPr>
                <w:rFonts w:hint="eastAsia"/>
                <w:szCs w:val="21"/>
              </w:rPr>
              <w:t>（一）基金托管人简况</w:t>
            </w:r>
          </w:p>
          <w:p w:rsidR="00F85E49" w:rsidRPr="009532B1" w:rsidP="00F85E49" w14:paraId="236AD942" w14:textId="0A800C17">
            <w:pPr>
              <w:spacing w:line="360" w:lineRule="auto"/>
              <w:rPr>
                <w:bCs/>
                <w:szCs w:val="21"/>
              </w:rPr>
            </w:pPr>
            <w:r w:rsidRPr="009532B1">
              <w:rPr>
                <w:rFonts w:ascii="宋体" w:hAnsi="宋体" w:hint="eastAsia"/>
                <w:szCs w:val="21"/>
              </w:rPr>
              <w:t>法定代表人：</w:t>
            </w:r>
            <w:r w:rsidRPr="009532B1">
              <w:rPr>
                <w:rFonts w:ascii="宋体" w:hAnsi="宋体" w:hint="eastAsia"/>
                <w:b/>
                <w:szCs w:val="21"/>
              </w:rPr>
              <w:t>陈四清</w:t>
            </w:r>
          </w:p>
        </w:tc>
        <w:tc>
          <w:tcPr>
            <w:tcW w:w="4394" w:type="dxa"/>
            <w:tcBorders>
              <w:top w:val="single" w:sz="4" w:space="0" w:color="auto"/>
              <w:left w:val="single" w:sz="4" w:space="0" w:color="auto"/>
              <w:bottom w:val="single" w:sz="4" w:space="0" w:color="auto"/>
              <w:right w:val="single" w:sz="4" w:space="0" w:color="000000"/>
            </w:tcBorders>
          </w:tcPr>
          <w:p w:rsidR="00F85E49" w:rsidRPr="009532B1" w:rsidP="00EF42CD" w14:paraId="369ACF92" w14:textId="77777777">
            <w:pPr>
              <w:spacing w:line="360" w:lineRule="auto"/>
              <w:rPr>
                <w:szCs w:val="21"/>
              </w:rPr>
            </w:pPr>
            <w:r w:rsidRPr="009532B1">
              <w:rPr>
                <w:rFonts w:hint="eastAsia"/>
                <w:szCs w:val="21"/>
              </w:rPr>
              <w:t>一、基金管理人</w:t>
            </w:r>
          </w:p>
          <w:p w:rsidR="00F85E49" w:rsidRPr="009532B1" w:rsidP="00EF42CD" w14:paraId="6C19EAE1" w14:textId="2B8D9251">
            <w:pPr>
              <w:spacing w:line="360" w:lineRule="auto"/>
              <w:rPr>
                <w:szCs w:val="21"/>
              </w:rPr>
            </w:pPr>
            <w:r w:rsidRPr="009532B1">
              <w:rPr>
                <w:rFonts w:hint="eastAsia"/>
                <w:szCs w:val="21"/>
              </w:rPr>
              <w:t>（一）基金管理人简况</w:t>
            </w:r>
          </w:p>
          <w:p w:rsidR="00F85E49" w:rsidRPr="009532B1" w:rsidP="00EF42CD" w14:paraId="000AD9CD" w14:textId="77777777">
            <w:pPr>
              <w:spacing w:line="360" w:lineRule="auto"/>
              <w:rPr>
                <w:b/>
                <w:bCs/>
                <w:szCs w:val="21"/>
              </w:rPr>
            </w:pPr>
            <w:r w:rsidRPr="009532B1">
              <w:rPr>
                <w:rFonts w:hint="eastAsia"/>
                <w:bCs/>
                <w:szCs w:val="21"/>
              </w:rPr>
              <w:t>住所：</w:t>
            </w:r>
            <w:r w:rsidRPr="009532B1">
              <w:rPr>
                <w:rFonts w:ascii="宋体" w:cs="宋体"/>
                <w:b/>
                <w:szCs w:val="21"/>
                <w:highlight w:val="white"/>
              </w:rPr>
              <w:t>广东省珠海市横琴新区荣粤道188号6层</w:t>
            </w:r>
          </w:p>
          <w:p w:rsidR="00F85E49" w:rsidRPr="009532B1" w:rsidP="00EF42CD" w14:paraId="5EFB2150" w14:textId="77777777">
            <w:pPr>
              <w:spacing w:line="360" w:lineRule="auto"/>
              <w:rPr>
                <w:szCs w:val="21"/>
              </w:rPr>
            </w:pPr>
            <w:r w:rsidRPr="009532B1">
              <w:rPr>
                <w:rFonts w:hint="eastAsia"/>
                <w:szCs w:val="21"/>
              </w:rPr>
              <w:t>二、基金托管人</w:t>
            </w:r>
          </w:p>
          <w:p w:rsidR="00F85E49" w:rsidRPr="009532B1" w:rsidP="00EF42CD" w14:paraId="6339EC1A" w14:textId="6D5C91F0">
            <w:pPr>
              <w:spacing w:line="360" w:lineRule="auto"/>
              <w:rPr>
                <w:szCs w:val="21"/>
              </w:rPr>
            </w:pPr>
            <w:r w:rsidRPr="009532B1">
              <w:rPr>
                <w:rFonts w:hint="eastAsia"/>
                <w:szCs w:val="21"/>
              </w:rPr>
              <w:t>（一）基金托管人简况</w:t>
            </w:r>
          </w:p>
          <w:p w:rsidR="00F85E49" w:rsidRPr="009532B1" w:rsidP="00972B08" w14:paraId="551D8EFE" w14:textId="13579E40">
            <w:pPr>
              <w:spacing w:line="360" w:lineRule="auto"/>
              <w:rPr>
                <w:bCs/>
                <w:szCs w:val="21"/>
              </w:rPr>
            </w:pPr>
            <w:r w:rsidRPr="009532B1">
              <w:rPr>
                <w:rFonts w:ascii="宋体" w:hAnsi="宋体" w:hint="eastAsia"/>
                <w:szCs w:val="21"/>
              </w:rPr>
              <w:t>法定代表人：</w:t>
            </w:r>
            <w:r w:rsidRPr="009532B1">
              <w:rPr>
                <w:rFonts w:ascii="宋体" w:hAnsi="宋体"/>
                <w:b/>
                <w:szCs w:val="21"/>
              </w:rPr>
              <w:t>廖林</w:t>
            </w:r>
          </w:p>
        </w:tc>
      </w:tr>
      <w:tr w14:paraId="69E48B2A" w14:textId="77777777" w:rsidTr="004C28E0">
        <w:tblPrEx>
          <w:tblW w:w="10206" w:type="dxa"/>
          <w:tblInd w:w="-572" w:type="dxa"/>
          <w:tblLayout w:type="fixed"/>
          <w:tblLook w:val="04A0"/>
        </w:tblPrEx>
        <w:tc>
          <w:tcPr>
            <w:tcW w:w="1106" w:type="dxa"/>
            <w:tcBorders>
              <w:top w:val="single" w:sz="4" w:space="0" w:color="auto"/>
              <w:left w:val="single" w:sz="4" w:space="0" w:color="000000"/>
              <w:bottom w:val="single" w:sz="4" w:space="0" w:color="auto"/>
              <w:right w:val="single" w:sz="4" w:space="0" w:color="auto"/>
            </w:tcBorders>
            <w:vAlign w:val="center"/>
          </w:tcPr>
          <w:p w:rsidR="00F85E49" w:rsidRPr="009532B1" w:rsidP="00F85E49" w14:paraId="25496980" w14:textId="0F445092">
            <w:pPr>
              <w:spacing w:line="360" w:lineRule="auto"/>
              <w:rPr>
                <w:rFonts w:ascii="宋体" w:hAnsi="宋体"/>
                <w:szCs w:val="21"/>
              </w:rPr>
            </w:pPr>
            <w:bookmarkStart w:id="39" w:name="_Toc13343"/>
            <w:bookmarkStart w:id="40" w:name="_Toc446339250"/>
            <w:bookmarkStart w:id="41" w:name="_Toc11395"/>
            <w:bookmarkStart w:id="42" w:name="_Toc22538"/>
            <w:bookmarkStart w:id="43" w:name="_Toc578"/>
            <w:bookmarkStart w:id="44" w:name="_Toc801"/>
            <w:bookmarkStart w:id="45" w:name="_Toc2981"/>
            <w:bookmarkStart w:id="46" w:name="_Toc21917"/>
            <w:bookmarkStart w:id="47" w:name="_Toc3872"/>
            <w:bookmarkStart w:id="48" w:name="_Toc5477"/>
            <w:bookmarkStart w:id="49" w:name="_Toc11351"/>
            <w:bookmarkStart w:id="50" w:name="_Toc16437"/>
            <w:bookmarkStart w:id="51" w:name="_Toc161247725"/>
            <w:r w:rsidRPr="009532B1">
              <w:rPr>
                <w:rFonts w:ascii="宋体" w:hAnsi="宋体" w:hint="eastAsia"/>
                <w:szCs w:val="21"/>
              </w:rPr>
              <w:t>第十二部分</w:t>
            </w:r>
            <w:r w:rsidRPr="009532B1">
              <w:rPr>
                <w:rFonts w:ascii="宋体" w:hAnsi="宋体"/>
                <w:szCs w:val="21"/>
              </w:rPr>
              <w:t xml:space="preserve"> </w:t>
            </w:r>
            <w:r w:rsidRPr="009532B1">
              <w:rPr>
                <w:rFonts w:ascii="宋体" w:hAnsi="宋体" w:hint="eastAsia"/>
                <w:szCs w:val="21"/>
              </w:rPr>
              <w:t>基金的投资</w:t>
            </w:r>
            <w:bookmarkEnd w:id="39"/>
            <w:bookmarkEnd w:id="40"/>
            <w:bookmarkEnd w:id="41"/>
            <w:bookmarkEnd w:id="42"/>
            <w:bookmarkEnd w:id="43"/>
            <w:bookmarkEnd w:id="44"/>
            <w:bookmarkEnd w:id="45"/>
            <w:bookmarkEnd w:id="46"/>
            <w:bookmarkEnd w:id="47"/>
            <w:bookmarkEnd w:id="48"/>
            <w:bookmarkEnd w:id="49"/>
            <w:bookmarkEnd w:id="50"/>
            <w:bookmarkEnd w:id="51"/>
          </w:p>
        </w:tc>
        <w:tc>
          <w:tcPr>
            <w:tcW w:w="4706" w:type="dxa"/>
            <w:tcBorders>
              <w:top w:val="single" w:sz="4" w:space="0" w:color="auto"/>
              <w:left w:val="single" w:sz="4" w:space="0" w:color="auto"/>
              <w:bottom w:val="single" w:sz="4" w:space="0" w:color="auto"/>
              <w:right w:val="single" w:sz="4" w:space="0" w:color="auto"/>
            </w:tcBorders>
          </w:tcPr>
          <w:p w:rsidR="00F85E49" w:rsidRPr="009532B1" w:rsidP="00EF42CD" w14:paraId="746E533C" w14:textId="77777777">
            <w:pPr>
              <w:spacing w:line="360" w:lineRule="auto"/>
              <w:rPr>
                <w:szCs w:val="21"/>
              </w:rPr>
            </w:pPr>
            <w:r w:rsidRPr="009532B1">
              <w:rPr>
                <w:rFonts w:hint="eastAsia"/>
                <w:szCs w:val="21"/>
              </w:rPr>
              <w:t>五、业绩比较基准</w:t>
            </w:r>
          </w:p>
          <w:p w:rsidR="00F85E49" w:rsidRPr="009532B1" w:rsidP="00EF42CD" w14:paraId="477C25C0" w14:textId="77777777">
            <w:pPr>
              <w:spacing w:line="360" w:lineRule="auto"/>
              <w:rPr>
                <w:b/>
                <w:bCs/>
                <w:szCs w:val="21"/>
              </w:rPr>
            </w:pPr>
            <w:r w:rsidRPr="009532B1">
              <w:rPr>
                <w:rFonts w:hint="eastAsia"/>
                <w:b/>
                <w:bCs/>
                <w:szCs w:val="21"/>
              </w:rPr>
              <w:t>中证</w:t>
            </w:r>
            <w:r w:rsidRPr="009532B1">
              <w:rPr>
                <w:rFonts w:hint="eastAsia"/>
                <w:b/>
                <w:bCs/>
                <w:szCs w:val="21"/>
              </w:rPr>
              <w:t>1000</w:t>
            </w:r>
            <w:r w:rsidRPr="009532B1">
              <w:rPr>
                <w:rFonts w:hint="eastAsia"/>
                <w:b/>
                <w:bCs/>
                <w:szCs w:val="21"/>
              </w:rPr>
              <w:t>指数收益率</w:t>
            </w:r>
            <w:r w:rsidRPr="009532B1">
              <w:rPr>
                <w:rFonts w:hint="eastAsia"/>
                <w:bCs/>
                <w:szCs w:val="21"/>
              </w:rPr>
              <w:t>×</w:t>
            </w:r>
            <w:r w:rsidRPr="009532B1">
              <w:rPr>
                <w:b/>
                <w:bCs/>
                <w:szCs w:val="21"/>
              </w:rPr>
              <w:t>65%+</w:t>
            </w:r>
            <w:r w:rsidRPr="009532B1">
              <w:rPr>
                <w:rFonts w:ascii="宋体" w:cs="宋体" w:hint="eastAsia"/>
                <w:kern w:val="0"/>
                <w:szCs w:val="21"/>
              </w:rPr>
              <w:t>中证港股通综合指数收益率</w:t>
            </w:r>
            <w:r w:rsidRPr="009532B1">
              <w:rPr>
                <w:rFonts w:hint="eastAsia"/>
                <w:bCs/>
                <w:szCs w:val="21"/>
              </w:rPr>
              <w:t>×</w:t>
            </w:r>
            <w:r w:rsidRPr="009532B1">
              <w:rPr>
                <w:b/>
                <w:bCs/>
                <w:szCs w:val="21"/>
              </w:rPr>
              <w:t>10%+</w:t>
            </w:r>
            <w:r w:rsidRPr="009532B1">
              <w:rPr>
                <w:rFonts w:hint="eastAsia"/>
                <w:bCs/>
                <w:szCs w:val="21"/>
              </w:rPr>
              <w:t>中债总指数收益率×</w:t>
            </w:r>
            <w:r w:rsidRPr="009532B1">
              <w:rPr>
                <w:b/>
                <w:bCs/>
                <w:szCs w:val="21"/>
              </w:rPr>
              <w:t>25%</w:t>
            </w:r>
          </w:p>
          <w:p w:rsidR="00F85E49" w:rsidRPr="009532B1" w:rsidP="00EF42CD" w14:paraId="0C611092" w14:textId="22DABF24">
            <w:pPr>
              <w:spacing w:line="360" w:lineRule="auto"/>
              <w:rPr>
                <w:bCs/>
                <w:szCs w:val="21"/>
              </w:rPr>
            </w:pPr>
            <w:r w:rsidRPr="009532B1">
              <w:rPr>
                <w:rFonts w:hint="eastAsia"/>
                <w:bCs/>
                <w:szCs w:val="21"/>
              </w:rPr>
              <w:t>本基金选定</w:t>
            </w:r>
            <w:r w:rsidRPr="009532B1">
              <w:rPr>
                <w:rFonts w:hint="eastAsia"/>
                <w:b/>
                <w:bCs/>
                <w:szCs w:val="21"/>
              </w:rPr>
              <w:t>中证</w:t>
            </w:r>
            <w:r w:rsidRPr="009532B1">
              <w:rPr>
                <w:rFonts w:hint="eastAsia"/>
                <w:b/>
                <w:bCs/>
                <w:szCs w:val="21"/>
              </w:rPr>
              <w:t>1000</w:t>
            </w:r>
            <w:r w:rsidRPr="009532B1">
              <w:rPr>
                <w:rFonts w:hint="eastAsia"/>
                <w:b/>
                <w:bCs/>
                <w:szCs w:val="21"/>
              </w:rPr>
              <w:t>指数</w:t>
            </w:r>
            <w:r w:rsidRPr="009532B1">
              <w:rPr>
                <w:rFonts w:hint="eastAsia"/>
                <w:bCs/>
                <w:szCs w:val="21"/>
              </w:rPr>
              <w:t>和</w:t>
            </w:r>
            <w:r w:rsidRPr="009532B1">
              <w:rPr>
                <w:rFonts w:ascii="宋体" w:cs="宋体" w:hint="eastAsia"/>
                <w:kern w:val="0"/>
                <w:szCs w:val="21"/>
              </w:rPr>
              <w:t>中证港股通综合指数</w:t>
            </w:r>
            <w:r w:rsidRPr="009532B1">
              <w:rPr>
                <w:rFonts w:hint="eastAsia"/>
                <w:bCs/>
                <w:szCs w:val="21"/>
              </w:rPr>
              <w:t>作为股票部分的业绩比较基准</w:t>
            </w:r>
            <w:r w:rsidRPr="009532B1">
              <w:rPr>
                <w:bCs/>
                <w:szCs w:val="21"/>
              </w:rPr>
              <w:t>……</w:t>
            </w:r>
          </w:p>
        </w:tc>
        <w:tc>
          <w:tcPr>
            <w:tcW w:w="4394" w:type="dxa"/>
            <w:tcBorders>
              <w:top w:val="single" w:sz="4" w:space="0" w:color="auto"/>
              <w:left w:val="single" w:sz="4" w:space="0" w:color="auto"/>
              <w:bottom w:val="single" w:sz="4" w:space="0" w:color="auto"/>
              <w:right w:val="single" w:sz="4" w:space="0" w:color="000000"/>
            </w:tcBorders>
          </w:tcPr>
          <w:p w:rsidR="00F85E49" w:rsidRPr="009532B1" w:rsidP="00EF42CD" w14:paraId="7FBBC870" w14:textId="77777777">
            <w:pPr>
              <w:spacing w:line="360" w:lineRule="auto"/>
              <w:rPr>
                <w:szCs w:val="21"/>
              </w:rPr>
            </w:pPr>
            <w:r w:rsidRPr="009532B1">
              <w:rPr>
                <w:rFonts w:hint="eastAsia"/>
                <w:szCs w:val="21"/>
              </w:rPr>
              <w:t>五、业绩比较基准</w:t>
            </w:r>
          </w:p>
          <w:p w:rsidR="00F85E49" w:rsidRPr="009532B1" w:rsidP="00EF42CD" w14:paraId="62055D08" w14:textId="77777777">
            <w:pPr>
              <w:spacing w:line="360" w:lineRule="auto"/>
              <w:rPr>
                <w:b/>
                <w:bCs/>
                <w:szCs w:val="21"/>
              </w:rPr>
            </w:pPr>
            <w:r w:rsidRPr="009532B1">
              <w:rPr>
                <w:b/>
                <w:bCs/>
                <w:szCs w:val="21"/>
              </w:rPr>
              <w:t>北证</w:t>
            </w:r>
            <w:r w:rsidRPr="009532B1">
              <w:rPr>
                <w:b/>
                <w:bCs/>
                <w:szCs w:val="21"/>
              </w:rPr>
              <w:t>50</w:t>
            </w:r>
            <w:r w:rsidRPr="009532B1">
              <w:rPr>
                <w:b/>
                <w:bCs/>
                <w:szCs w:val="21"/>
              </w:rPr>
              <w:t>成份指数</w:t>
            </w:r>
            <w:r w:rsidRPr="009532B1">
              <w:rPr>
                <w:rFonts w:hint="eastAsia"/>
                <w:b/>
                <w:bCs/>
                <w:szCs w:val="21"/>
              </w:rPr>
              <w:t>收益率</w:t>
            </w:r>
            <w:r w:rsidRPr="009532B1">
              <w:rPr>
                <w:rFonts w:hint="eastAsia"/>
                <w:bCs/>
                <w:szCs w:val="21"/>
              </w:rPr>
              <w:t>×</w:t>
            </w:r>
            <w:r w:rsidRPr="009532B1">
              <w:rPr>
                <w:rFonts w:hint="eastAsia"/>
                <w:b/>
                <w:bCs/>
                <w:szCs w:val="21"/>
              </w:rPr>
              <w:t>80</w:t>
            </w:r>
            <w:r w:rsidRPr="009532B1">
              <w:rPr>
                <w:b/>
                <w:bCs/>
                <w:szCs w:val="21"/>
              </w:rPr>
              <w:t>%+</w:t>
            </w:r>
            <w:r w:rsidRPr="009532B1">
              <w:rPr>
                <w:rFonts w:ascii="宋体" w:cs="宋体" w:hint="eastAsia"/>
                <w:kern w:val="0"/>
                <w:szCs w:val="21"/>
              </w:rPr>
              <w:t>中证港股通综合指数收益率</w:t>
            </w:r>
            <w:r w:rsidRPr="009532B1">
              <w:rPr>
                <w:rFonts w:hint="eastAsia"/>
                <w:bCs/>
                <w:szCs w:val="21"/>
              </w:rPr>
              <w:t>×</w:t>
            </w:r>
            <w:r w:rsidRPr="009532B1">
              <w:rPr>
                <w:rFonts w:hint="eastAsia"/>
                <w:b/>
                <w:color w:val="000000"/>
                <w:szCs w:val="21"/>
              </w:rPr>
              <w:t>5</w:t>
            </w:r>
            <w:r w:rsidRPr="009532B1">
              <w:rPr>
                <w:b/>
                <w:bCs/>
                <w:szCs w:val="21"/>
              </w:rPr>
              <w:t>%+</w:t>
            </w:r>
            <w:r w:rsidRPr="009532B1">
              <w:rPr>
                <w:rFonts w:hint="eastAsia"/>
                <w:bCs/>
                <w:szCs w:val="21"/>
              </w:rPr>
              <w:t>中债总指数收益率×</w:t>
            </w:r>
            <w:r w:rsidRPr="009532B1">
              <w:rPr>
                <w:rFonts w:hint="eastAsia"/>
                <w:b/>
                <w:color w:val="000000"/>
                <w:szCs w:val="21"/>
              </w:rPr>
              <w:t>15</w:t>
            </w:r>
            <w:r w:rsidRPr="009532B1">
              <w:rPr>
                <w:b/>
                <w:bCs/>
                <w:szCs w:val="21"/>
              </w:rPr>
              <w:t>%</w:t>
            </w:r>
          </w:p>
          <w:p w:rsidR="00F85E49" w:rsidRPr="009532B1" w:rsidP="00EF42CD" w14:paraId="02C565F1" w14:textId="3CE387D8">
            <w:pPr>
              <w:spacing w:line="360" w:lineRule="auto"/>
              <w:rPr>
                <w:szCs w:val="21"/>
              </w:rPr>
            </w:pPr>
            <w:r w:rsidRPr="009532B1">
              <w:rPr>
                <w:rFonts w:hint="eastAsia"/>
                <w:bCs/>
                <w:szCs w:val="21"/>
              </w:rPr>
              <w:t>本基金选定</w:t>
            </w:r>
            <w:r w:rsidRPr="009532B1">
              <w:rPr>
                <w:b/>
                <w:bCs/>
                <w:szCs w:val="21"/>
              </w:rPr>
              <w:t>北证</w:t>
            </w:r>
            <w:r w:rsidRPr="009532B1">
              <w:rPr>
                <w:b/>
                <w:bCs/>
                <w:szCs w:val="21"/>
              </w:rPr>
              <w:t>50</w:t>
            </w:r>
            <w:r w:rsidRPr="009532B1">
              <w:rPr>
                <w:b/>
                <w:bCs/>
                <w:szCs w:val="21"/>
              </w:rPr>
              <w:t>成份指数</w:t>
            </w:r>
            <w:r w:rsidRPr="009532B1">
              <w:rPr>
                <w:rFonts w:hint="eastAsia"/>
                <w:bCs/>
                <w:szCs w:val="21"/>
              </w:rPr>
              <w:t>和</w:t>
            </w:r>
            <w:r w:rsidRPr="009532B1">
              <w:rPr>
                <w:rFonts w:ascii="宋体" w:cs="宋体" w:hint="eastAsia"/>
                <w:kern w:val="0"/>
                <w:szCs w:val="21"/>
              </w:rPr>
              <w:t>中证港股通综合指数</w:t>
            </w:r>
            <w:r w:rsidRPr="009532B1">
              <w:rPr>
                <w:rFonts w:hint="eastAsia"/>
                <w:bCs/>
                <w:szCs w:val="21"/>
              </w:rPr>
              <w:t>作为股票部分的业绩比较基准</w:t>
            </w:r>
            <w:r w:rsidRPr="009532B1">
              <w:rPr>
                <w:bCs/>
                <w:szCs w:val="21"/>
              </w:rPr>
              <w:t>……</w:t>
            </w:r>
          </w:p>
        </w:tc>
      </w:tr>
    </w:tbl>
    <w:p w:rsidR="00D141D1" w:rsidP="00D141D1" w14:paraId="24C739EC" w14:textId="77777777">
      <w:pPr>
        <w:jc w:val="left"/>
        <w:rPr>
          <w:rFonts w:ascii="宋体" w:hAnsi="宋体"/>
          <w:b/>
          <w:szCs w:val="21"/>
        </w:rPr>
      </w:pPr>
    </w:p>
    <w:p w:rsidR="00D141D1" w:rsidRPr="008E75F9" w:rsidP="00D141D1" w14:paraId="43AC62B6" w14:textId="77777777">
      <w:pPr>
        <w:spacing w:line="360" w:lineRule="auto"/>
        <w:jc w:val="left"/>
        <w:rPr>
          <w:rFonts w:ascii="宋体" w:hAnsi="宋体"/>
          <w:b/>
          <w:szCs w:val="21"/>
        </w:rPr>
      </w:pPr>
      <w:r w:rsidRPr="008E75F9">
        <w:rPr>
          <w:rFonts w:ascii="宋体" w:hAnsi="宋体"/>
          <w:b/>
          <w:szCs w:val="21"/>
        </w:rPr>
        <w:t>（二）托管协议</w:t>
      </w:r>
    </w:p>
    <w:p w:rsidR="00D141D1" w:rsidRPr="00773AA9" w:rsidP="00D141D1" w14:paraId="4753C6FE" w14:textId="77777777">
      <w:pPr>
        <w:spacing w:line="360" w:lineRule="auto"/>
        <w:rPr>
          <w:rFonts w:ascii="宋体" w:hAnsi="宋体"/>
          <w:bCs/>
          <w:szCs w:val="21"/>
        </w:rPr>
      </w:pPr>
      <w:r w:rsidRPr="00773AA9">
        <w:rPr>
          <w:rFonts w:ascii="宋体" w:hAnsi="宋体"/>
          <w:bCs/>
          <w:szCs w:val="21"/>
        </w:rPr>
        <w:t>本次修订不涉及托管协议相关内容。</w:t>
      </w:r>
    </w:p>
    <w:p w:rsidR="00D141D1" w:rsidRPr="00D141D1" w:rsidP="00826FA0" w14:paraId="0A05E77B" w14:textId="77777777">
      <w:pPr>
        <w:jc w:val="left"/>
        <w:rPr>
          <w:rFonts w:ascii="宋体" w:hAnsi="宋体"/>
          <w:b/>
          <w:szCs w:val="21"/>
        </w:rPr>
      </w:pPr>
    </w:p>
    <w:p w:rsidR="009532B1" w:rsidRPr="009532B1" w:rsidP="009532B1" w14:paraId="1231BC00" w14:textId="0E8FA818">
      <w:pPr>
        <w:spacing w:line="360" w:lineRule="auto"/>
        <w:rPr>
          <w:rFonts w:hAnsi="宋体" w:cs="宋体"/>
          <w:kern w:val="0"/>
          <w:szCs w:val="21"/>
        </w:rPr>
      </w:pPr>
      <w:r>
        <w:rPr>
          <w:rFonts w:hAnsi="宋体" w:cs="宋体" w:hint="eastAsia"/>
          <w:kern w:val="0"/>
          <w:szCs w:val="21"/>
        </w:rPr>
        <w:t>二</w:t>
      </w:r>
      <w:r w:rsidRPr="009532B1">
        <w:rPr>
          <w:rFonts w:hAnsi="宋体" w:cs="宋体"/>
          <w:kern w:val="0"/>
          <w:szCs w:val="21"/>
        </w:rPr>
        <w:t>、</w:t>
      </w:r>
      <w:r w:rsidRPr="009532B1">
        <w:rPr>
          <w:rFonts w:hAnsi="宋体" w:cs="宋体" w:hint="eastAsia"/>
          <w:kern w:val="0"/>
          <w:szCs w:val="21"/>
        </w:rPr>
        <w:t>易方达科创板两年定期开放混合型证券投资基金</w:t>
      </w:r>
    </w:p>
    <w:p w:rsidR="009532B1" w:rsidRPr="009532B1" w:rsidP="009532B1" w14:paraId="1905FCC8" w14:textId="77777777">
      <w:pPr>
        <w:jc w:val="left"/>
        <w:rPr>
          <w:rFonts w:ascii="宋体" w:hAnsi="宋体"/>
          <w:b/>
          <w:szCs w:val="21"/>
        </w:rPr>
      </w:pPr>
      <w:r w:rsidRPr="009532B1">
        <w:rPr>
          <w:rFonts w:ascii="宋体" w:hAnsi="宋体"/>
          <w:b/>
          <w:szCs w:val="21"/>
        </w:rPr>
        <w:t>（一）基金合同</w:t>
      </w: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1106"/>
        <w:gridCol w:w="4706"/>
        <w:gridCol w:w="4394"/>
      </w:tblGrid>
      <w:tr w14:paraId="25A5AE04" w14:textId="77777777" w:rsidTr="00780B15">
        <w:tblPrEx>
          <w:tblW w:w="10206" w:type="dxa"/>
          <w:tblInd w:w="-572"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Ex>
        <w:tc>
          <w:tcPr>
            <w:tcW w:w="1106" w:type="dxa"/>
            <w:tcBorders>
              <w:top w:val="single" w:sz="4" w:space="0" w:color="auto"/>
              <w:left w:val="single" w:sz="4" w:space="0" w:color="000000"/>
              <w:bottom w:val="single" w:sz="4" w:space="0" w:color="auto"/>
              <w:right w:val="single" w:sz="4" w:space="0" w:color="auto"/>
            </w:tcBorders>
            <w:vAlign w:val="center"/>
          </w:tcPr>
          <w:p w:rsidR="009532B1" w:rsidRPr="009A44F9" w:rsidP="00972B08" w14:paraId="15BF41A7" w14:textId="77777777">
            <w:pPr>
              <w:spacing w:line="360" w:lineRule="auto"/>
              <w:jc w:val="center"/>
              <w:rPr>
                <w:rFonts w:ascii="宋体" w:hAnsi="宋体"/>
                <w:b/>
                <w:szCs w:val="21"/>
              </w:rPr>
            </w:pPr>
            <w:r w:rsidRPr="009A44F9">
              <w:rPr>
                <w:rFonts w:ascii="宋体" w:hAnsi="宋体" w:hint="eastAsia"/>
                <w:b/>
                <w:szCs w:val="21"/>
              </w:rPr>
              <w:t>章节</w:t>
            </w:r>
          </w:p>
        </w:tc>
        <w:tc>
          <w:tcPr>
            <w:tcW w:w="4706" w:type="dxa"/>
            <w:tcBorders>
              <w:top w:val="single" w:sz="4" w:space="0" w:color="auto"/>
              <w:left w:val="single" w:sz="4" w:space="0" w:color="auto"/>
              <w:bottom w:val="single" w:sz="4" w:space="0" w:color="auto"/>
              <w:right w:val="single" w:sz="4" w:space="0" w:color="auto"/>
            </w:tcBorders>
            <w:vAlign w:val="center"/>
          </w:tcPr>
          <w:p w:rsidR="009532B1" w:rsidRPr="009A44F9" w:rsidP="00972B08" w14:paraId="65465199" w14:textId="77777777">
            <w:pPr>
              <w:spacing w:line="360" w:lineRule="auto"/>
              <w:jc w:val="center"/>
              <w:rPr>
                <w:rFonts w:ascii="宋体" w:hAnsi="宋体"/>
                <w:bCs/>
                <w:szCs w:val="21"/>
              </w:rPr>
            </w:pPr>
            <w:r w:rsidRPr="009A44F9">
              <w:rPr>
                <w:rFonts w:ascii="宋体" w:hAnsi="宋体" w:hint="eastAsia"/>
                <w:b/>
                <w:bCs/>
                <w:szCs w:val="21"/>
              </w:rPr>
              <w:t>原文</w:t>
            </w:r>
          </w:p>
        </w:tc>
        <w:tc>
          <w:tcPr>
            <w:tcW w:w="4394" w:type="dxa"/>
            <w:tcBorders>
              <w:top w:val="single" w:sz="4" w:space="0" w:color="auto"/>
              <w:left w:val="single" w:sz="4" w:space="0" w:color="auto"/>
              <w:bottom w:val="single" w:sz="4" w:space="0" w:color="auto"/>
              <w:right w:val="single" w:sz="4" w:space="0" w:color="000000"/>
            </w:tcBorders>
            <w:vAlign w:val="center"/>
          </w:tcPr>
          <w:p w:rsidR="009532B1" w:rsidRPr="009A44F9" w:rsidP="00972B08" w14:paraId="55B541AF" w14:textId="77777777">
            <w:pPr>
              <w:spacing w:line="360" w:lineRule="auto"/>
              <w:jc w:val="center"/>
              <w:rPr>
                <w:rFonts w:ascii="宋体" w:hAnsi="宋体"/>
                <w:bCs/>
                <w:szCs w:val="21"/>
              </w:rPr>
            </w:pPr>
            <w:r w:rsidRPr="009A44F9">
              <w:rPr>
                <w:rFonts w:ascii="宋体" w:hAnsi="宋体" w:hint="eastAsia"/>
                <w:b/>
                <w:bCs/>
                <w:szCs w:val="21"/>
              </w:rPr>
              <w:t>修订</w:t>
            </w:r>
          </w:p>
        </w:tc>
      </w:tr>
      <w:tr w14:paraId="64B90F6D" w14:textId="77777777" w:rsidTr="00780B15">
        <w:tblPrEx>
          <w:tblW w:w="10206" w:type="dxa"/>
          <w:tblInd w:w="-572" w:type="dxa"/>
          <w:tblLayout w:type="fixed"/>
          <w:tblLook w:val="04A0"/>
        </w:tblPrEx>
        <w:tc>
          <w:tcPr>
            <w:tcW w:w="1106" w:type="dxa"/>
            <w:tcBorders>
              <w:top w:val="single" w:sz="4" w:space="0" w:color="auto"/>
              <w:left w:val="single" w:sz="4" w:space="0" w:color="000000"/>
              <w:bottom w:val="single" w:sz="4" w:space="0" w:color="auto"/>
              <w:right w:val="single" w:sz="4" w:space="0" w:color="auto"/>
            </w:tcBorders>
            <w:vAlign w:val="center"/>
          </w:tcPr>
          <w:p w:rsidR="00821C10" w:rsidRPr="009A44F9" w:rsidP="00821C10" w14:paraId="5C483918" w14:textId="34B894E9">
            <w:pPr>
              <w:spacing w:after="120" w:line="360" w:lineRule="auto"/>
              <w:rPr>
                <w:rFonts w:ascii="宋体" w:hAnsi="宋体"/>
                <w:szCs w:val="21"/>
              </w:rPr>
            </w:pPr>
            <w:bookmarkStart w:id="52" w:name="_Toc446339239"/>
            <w:bookmarkStart w:id="53" w:name="_Toc11660"/>
            <w:bookmarkStart w:id="54" w:name="_Toc46167840"/>
            <w:r w:rsidRPr="009A44F9">
              <w:rPr>
                <w:rFonts w:ascii="宋体" w:hAnsi="宋体" w:hint="eastAsia"/>
                <w:szCs w:val="21"/>
              </w:rPr>
              <w:t>第一部分</w:t>
            </w:r>
            <w:r w:rsidRPr="009A44F9">
              <w:rPr>
                <w:rFonts w:ascii="宋体" w:hAnsi="宋体"/>
                <w:szCs w:val="21"/>
              </w:rPr>
              <w:t xml:space="preserve"> </w:t>
            </w:r>
            <w:r w:rsidRPr="009A44F9">
              <w:rPr>
                <w:rFonts w:ascii="宋体" w:hAnsi="宋体" w:hint="eastAsia"/>
                <w:szCs w:val="21"/>
              </w:rPr>
              <w:t>前言</w:t>
            </w:r>
            <w:bookmarkEnd w:id="52"/>
            <w:bookmarkEnd w:id="53"/>
            <w:bookmarkEnd w:id="54"/>
          </w:p>
          <w:p w:rsidR="009532B1" w:rsidRPr="009A44F9" w:rsidP="00821C10" w14:paraId="6011A851" w14:textId="7CE4A65B">
            <w:pPr>
              <w:spacing w:after="120" w:line="360" w:lineRule="auto"/>
              <w:rPr>
                <w:rFonts w:ascii="宋体" w:hAnsi="宋体"/>
                <w:szCs w:val="21"/>
              </w:rPr>
            </w:pPr>
          </w:p>
        </w:tc>
        <w:tc>
          <w:tcPr>
            <w:tcW w:w="4706" w:type="dxa"/>
            <w:tcBorders>
              <w:top w:val="single" w:sz="4" w:space="0" w:color="auto"/>
              <w:left w:val="single" w:sz="4" w:space="0" w:color="auto"/>
              <w:bottom w:val="single" w:sz="4" w:space="0" w:color="auto"/>
              <w:right w:val="single" w:sz="4" w:space="0" w:color="auto"/>
            </w:tcBorders>
          </w:tcPr>
          <w:p w:rsidR="008A2A43" w:rsidRPr="009A44F9" w:rsidP="00EF42CD" w14:paraId="4149CD66" w14:textId="77777777">
            <w:pPr>
              <w:spacing w:line="360" w:lineRule="auto"/>
              <w:rPr>
                <w:rFonts w:ascii="宋体" w:hAnsi="宋体"/>
                <w:szCs w:val="21"/>
              </w:rPr>
            </w:pPr>
            <w:r w:rsidRPr="009A44F9">
              <w:rPr>
                <w:rFonts w:ascii="宋体" w:hAnsi="宋体" w:hint="eastAsia"/>
                <w:szCs w:val="21"/>
              </w:rPr>
              <w:t>一、订立本基金合同的目的、依据和原则</w:t>
            </w:r>
          </w:p>
          <w:p w:rsidR="008A2A43" w:rsidRPr="009A44F9" w:rsidP="00EF42CD" w14:paraId="522EE3D7" w14:textId="00425ED0">
            <w:pPr>
              <w:spacing w:line="360" w:lineRule="auto"/>
              <w:rPr>
                <w:rFonts w:ascii="宋体" w:hAnsi="宋体"/>
                <w:szCs w:val="21"/>
              </w:rPr>
            </w:pPr>
            <w:r w:rsidRPr="009A44F9">
              <w:rPr>
                <w:rFonts w:ascii="宋体" w:hAnsi="宋体"/>
                <w:szCs w:val="21"/>
              </w:rPr>
              <w:t>2</w:t>
            </w:r>
            <w:r w:rsidRPr="009A44F9">
              <w:rPr>
                <w:rFonts w:ascii="宋体" w:hAnsi="宋体" w:hint="eastAsia"/>
                <w:szCs w:val="21"/>
              </w:rPr>
              <w:t>、订立本基金合同的依据是</w:t>
            </w:r>
            <w:r w:rsidRPr="009A44F9">
              <w:rPr>
                <w:rFonts w:ascii="宋体" w:hAnsi="宋体" w:hint="eastAsia"/>
                <w:b/>
                <w:szCs w:val="21"/>
              </w:rPr>
              <w:t>《中华人民共和国合同法》</w:t>
            </w:r>
            <w:r w:rsidRPr="009A44F9">
              <w:rPr>
                <w:rFonts w:ascii="宋体" w:hAnsi="宋体" w:hint="eastAsia"/>
                <w:b/>
                <w:bCs/>
                <w:szCs w:val="21"/>
              </w:rPr>
              <w:t>（</w:t>
            </w:r>
            <w:r w:rsidRPr="009A44F9">
              <w:rPr>
                <w:rFonts w:ascii="宋体" w:hAnsi="宋体" w:hint="eastAsia"/>
                <w:b/>
                <w:szCs w:val="21"/>
              </w:rPr>
              <w:t>以下简称“《合同法》”</w:t>
            </w:r>
            <w:r w:rsidRPr="009A44F9">
              <w:rPr>
                <w:rFonts w:ascii="宋体" w:hAnsi="宋体" w:hint="eastAsia"/>
                <w:b/>
                <w:bCs/>
                <w:szCs w:val="21"/>
              </w:rPr>
              <w:t>）</w:t>
            </w:r>
            <w:r w:rsidRPr="009A44F9">
              <w:rPr>
                <w:rFonts w:ascii="宋体" w:hAnsi="宋体" w:hint="eastAsia"/>
                <w:szCs w:val="21"/>
              </w:rPr>
              <w:t>、《中华人民共和国证券投资基金法》</w:t>
            </w:r>
            <w:r w:rsidRPr="009A44F9">
              <w:rPr>
                <w:rFonts w:ascii="宋体" w:hAnsi="宋体" w:hint="eastAsia"/>
                <w:bCs/>
                <w:szCs w:val="21"/>
              </w:rPr>
              <w:t>（</w:t>
            </w:r>
            <w:r w:rsidRPr="009A44F9">
              <w:rPr>
                <w:rFonts w:ascii="宋体" w:hAnsi="宋体" w:hint="eastAsia"/>
                <w:szCs w:val="21"/>
              </w:rPr>
              <w:t>以下简称“《基金法》”</w:t>
            </w:r>
            <w:r w:rsidRPr="009A44F9">
              <w:rPr>
                <w:rFonts w:ascii="宋体" w:hAnsi="宋体" w:hint="eastAsia"/>
                <w:bCs/>
                <w:szCs w:val="21"/>
              </w:rPr>
              <w:t>）</w:t>
            </w:r>
            <w:r w:rsidRPr="009A44F9">
              <w:rPr>
                <w:rFonts w:ascii="宋体" w:hAnsi="宋体" w:hint="eastAsia"/>
                <w:szCs w:val="21"/>
              </w:rPr>
              <w:t>、《公开募集证券投资基金运作管理办法》</w:t>
            </w:r>
            <w:r w:rsidRPr="009A44F9">
              <w:rPr>
                <w:rFonts w:ascii="宋体" w:hAnsi="宋体" w:hint="eastAsia"/>
                <w:bCs/>
                <w:szCs w:val="21"/>
              </w:rPr>
              <w:t>（</w:t>
            </w:r>
            <w:r w:rsidRPr="009A44F9">
              <w:rPr>
                <w:rFonts w:ascii="宋体" w:hAnsi="宋体" w:hint="eastAsia"/>
                <w:szCs w:val="21"/>
              </w:rPr>
              <w:t>以下简称“《运作办法》”</w:t>
            </w:r>
            <w:r w:rsidRPr="009A44F9">
              <w:rPr>
                <w:rFonts w:ascii="宋体" w:hAnsi="宋体" w:hint="eastAsia"/>
                <w:bCs/>
                <w:szCs w:val="21"/>
              </w:rPr>
              <w:t>）</w:t>
            </w:r>
            <w:r w:rsidRPr="009A44F9">
              <w:rPr>
                <w:rFonts w:ascii="宋体" w:hAnsi="宋体" w:hint="eastAsia"/>
                <w:szCs w:val="21"/>
              </w:rPr>
              <w:t>、《</w:t>
            </w:r>
            <w:r w:rsidRPr="009A44F9">
              <w:rPr>
                <w:rFonts w:ascii="宋体" w:hAnsi="宋体" w:hint="eastAsia"/>
                <w:b/>
                <w:szCs w:val="21"/>
              </w:rPr>
              <w:t>证券投资基金销售管理办法</w:t>
            </w:r>
            <w:r w:rsidRPr="009A44F9">
              <w:rPr>
                <w:rFonts w:ascii="宋体" w:hAnsi="宋体" w:hint="eastAsia"/>
                <w:szCs w:val="21"/>
              </w:rPr>
              <w:t>》</w:t>
            </w:r>
            <w:r w:rsidRPr="009A44F9">
              <w:rPr>
                <w:rFonts w:ascii="宋体" w:hAnsi="宋体" w:hint="eastAsia"/>
                <w:bCs/>
                <w:szCs w:val="21"/>
              </w:rPr>
              <w:t>（</w:t>
            </w:r>
            <w:r w:rsidRPr="009A44F9">
              <w:rPr>
                <w:rFonts w:ascii="宋体" w:hAnsi="宋体" w:hint="eastAsia"/>
                <w:szCs w:val="21"/>
              </w:rPr>
              <w:t>以下简称“《销售办法》”</w:t>
            </w:r>
            <w:r w:rsidRPr="009A44F9">
              <w:rPr>
                <w:rFonts w:ascii="宋体" w:hAnsi="宋体" w:hint="eastAsia"/>
                <w:bCs/>
                <w:szCs w:val="21"/>
              </w:rPr>
              <w:t>）</w:t>
            </w:r>
            <w:r w:rsidR="006B4D41">
              <w:rPr>
                <w:rFonts w:ascii="宋体" w:hAnsi="宋体"/>
                <w:szCs w:val="21"/>
              </w:rPr>
              <w:t>……</w:t>
            </w:r>
          </w:p>
          <w:p w:rsidR="009532B1" w:rsidRPr="009A44F9" w:rsidP="00EF42CD" w14:paraId="2073159A" w14:textId="06386609">
            <w:pPr>
              <w:spacing w:line="360" w:lineRule="auto"/>
              <w:rPr>
                <w:rFonts w:ascii="宋体" w:hAnsi="宋体"/>
                <w:szCs w:val="21"/>
              </w:rPr>
            </w:pPr>
            <w:r w:rsidRPr="009A44F9">
              <w:rPr>
                <w:rFonts w:ascii="宋体" w:hAnsi="宋体" w:hint="eastAsia"/>
                <w:szCs w:val="21"/>
              </w:rPr>
              <w:t>六、</w:t>
            </w:r>
            <w:r w:rsidRPr="009A44F9">
              <w:rPr>
                <w:rFonts w:ascii="宋体" w:hAnsi="宋体" w:hint="eastAsia"/>
                <w:bCs/>
                <w:szCs w:val="21"/>
              </w:rPr>
              <w:t>本基金的投资范围包括存托凭证，除与其他</w:t>
            </w:r>
            <w:r w:rsidRPr="00C023D9">
              <w:rPr>
                <w:rFonts w:ascii="宋体" w:hAnsi="宋体" w:hint="eastAsia"/>
                <w:b/>
                <w:bCs/>
                <w:szCs w:val="21"/>
              </w:rPr>
              <w:t>仅</w:t>
            </w:r>
            <w:r w:rsidRPr="009A44F9">
              <w:rPr>
                <w:rFonts w:ascii="宋体" w:hAnsi="宋体" w:hint="eastAsia"/>
                <w:bCs/>
                <w:szCs w:val="21"/>
              </w:rPr>
              <w:t>投资于</w:t>
            </w:r>
            <w:r w:rsidRPr="009A44F9">
              <w:rPr>
                <w:rFonts w:ascii="宋体" w:hAnsi="宋体" w:hint="eastAsia"/>
                <w:b/>
                <w:bCs/>
                <w:szCs w:val="21"/>
              </w:rPr>
              <w:t>沪深市场</w:t>
            </w:r>
            <w:r w:rsidRPr="009A44F9">
              <w:rPr>
                <w:rFonts w:ascii="宋体" w:hAnsi="宋体" w:hint="eastAsia"/>
                <w:bCs/>
                <w:szCs w:val="21"/>
              </w:rPr>
              <w:t>股票的基金所面临的共同风险外，本基金还将面临投资存托凭证的特殊风险，详见本基金招募说明书。</w:t>
            </w:r>
          </w:p>
        </w:tc>
        <w:tc>
          <w:tcPr>
            <w:tcW w:w="4394" w:type="dxa"/>
            <w:tcBorders>
              <w:top w:val="single" w:sz="4" w:space="0" w:color="auto"/>
              <w:left w:val="single" w:sz="4" w:space="0" w:color="auto"/>
              <w:bottom w:val="single" w:sz="4" w:space="0" w:color="auto"/>
              <w:right w:val="single" w:sz="4" w:space="0" w:color="000000"/>
            </w:tcBorders>
          </w:tcPr>
          <w:p w:rsidR="00821C10" w:rsidRPr="009A44F9" w:rsidP="00EF42CD" w14:paraId="6F2BDCA0" w14:textId="77777777">
            <w:pPr>
              <w:spacing w:line="360" w:lineRule="auto"/>
              <w:rPr>
                <w:rFonts w:ascii="宋体" w:hAnsi="宋体"/>
                <w:bCs/>
                <w:szCs w:val="21"/>
              </w:rPr>
            </w:pPr>
            <w:r w:rsidRPr="009A44F9">
              <w:rPr>
                <w:rFonts w:ascii="宋体" w:hAnsi="宋体" w:hint="eastAsia"/>
                <w:bCs/>
                <w:szCs w:val="21"/>
              </w:rPr>
              <w:t>一、订立本基金合同的目的、依据和原则</w:t>
            </w:r>
          </w:p>
          <w:p w:rsidR="00821C10" w:rsidRPr="009A44F9" w:rsidP="00EF42CD" w14:paraId="3F86640B" w14:textId="0D3C0FAE">
            <w:pPr>
              <w:spacing w:line="360" w:lineRule="auto"/>
              <w:rPr>
                <w:rFonts w:ascii="宋体" w:hAnsi="宋体"/>
                <w:bCs/>
                <w:szCs w:val="21"/>
              </w:rPr>
            </w:pPr>
            <w:r w:rsidRPr="009A44F9">
              <w:rPr>
                <w:rFonts w:ascii="宋体" w:hAnsi="宋体"/>
                <w:bCs/>
                <w:szCs w:val="21"/>
              </w:rPr>
              <w:t>2</w:t>
            </w:r>
            <w:r w:rsidRPr="009A44F9">
              <w:rPr>
                <w:rFonts w:ascii="宋体" w:hAnsi="宋体" w:hint="eastAsia"/>
                <w:bCs/>
                <w:szCs w:val="21"/>
              </w:rPr>
              <w:t>、订立本基金合同的依据是《</w:t>
            </w:r>
            <w:r w:rsidRPr="009A44F9">
              <w:rPr>
                <w:rFonts w:ascii="宋体" w:hAnsi="宋体" w:hint="eastAsia"/>
                <w:b/>
                <w:bCs/>
                <w:szCs w:val="21"/>
              </w:rPr>
              <w:t>中华人民共和国民法典</w:t>
            </w:r>
            <w:r w:rsidRPr="009A44F9">
              <w:rPr>
                <w:rFonts w:ascii="宋体" w:hAnsi="宋体" w:hint="eastAsia"/>
                <w:bCs/>
                <w:szCs w:val="21"/>
              </w:rPr>
              <w:t>》、《中华人民共和国证券投资基金法》（以下简称“《基金法》”）、《公开募集证券投资基金运作管理办法》（以下简称“《运作办法》”）、</w:t>
            </w:r>
            <w:r w:rsidRPr="009A44F9">
              <w:rPr>
                <w:rFonts w:ascii="宋体" w:hAnsi="宋体"/>
                <w:bCs/>
                <w:szCs w:val="21"/>
              </w:rPr>
              <w:t>《</w:t>
            </w:r>
            <w:r w:rsidRPr="009A44F9">
              <w:rPr>
                <w:rFonts w:ascii="宋体" w:hAnsi="宋体" w:hint="eastAsia"/>
                <w:b/>
                <w:bCs/>
                <w:szCs w:val="21"/>
              </w:rPr>
              <w:t>公开募集证券投资基金销售机构监督管理办法</w:t>
            </w:r>
            <w:r w:rsidRPr="009A44F9">
              <w:rPr>
                <w:rFonts w:ascii="宋体" w:hAnsi="宋体"/>
                <w:bCs/>
                <w:szCs w:val="21"/>
              </w:rPr>
              <w:t>》</w:t>
            </w:r>
            <w:r w:rsidRPr="009A44F9">
              <w:rPr>
                <w:rFonts w:ascii="宋体" w:hAnsi="宋体" w:hint="eastAsia"/>
                <w:bCs/>
                <w:szCs w:val="21"/>
              </w:rPr>
              <w:t>（以下简称“《销售办法》”）</w:t>
            </w:r>
            <w:r w:rsidR="006B4D41">
              <w:rPr>
                <w:rFonts w:ascii="宋体" w:hAnsi="宋体"/>
                <w:bCs/>
                <w:szCs w:val="21"/>
              </w:rPr>
              <w:t>……</w:t>
            </w:r>
          </w:p>
          <w:p w:rsidR="009532B1" w:rsidRPr="009A44F9" w:rsidP="00EF42CD" w14:paraId="7A10772E" w14:textId="6FA1B7CA">
            <w:pPr>
              <w:spacing w:line="360" w:lineRule="auto"/>
              <w:rPr>
                <w:rFonts w:ascii="宋体" w:hAnsi="宋体"/>
                <w:bCs/>
                <w:szCs w:val="21"/>
              </w:rPr>
            </w:pPr>
            <w:r w:rsidRPr="009A44F9">
              <w:rPr>
                <w:rFonts w:ascii="宋体" w:hAnsi="宋体" w:hint="eastAsia"/>
                <w:bCs/>
                <w:szCs w:val="21"/>
              </w:rPr>
              <w:t>六、本基金的投资范围包括存托凭证，除与其他投资于股票的基金所面临的共同风险外，本基金还将面临投资存托凭证的特殊风险，详见本基金招募说明书。</w:t>
            </w:r>
          </w:p>
        </w:tc>
      </w:tr>
      <w:tr w14:paraId="5C6B8DB5" w14:textId="77777777" w:rsidTr="00780B15">
        <w:tblPrEx>
          <w:tblW w:w="10206" w:type="dxa"/>
          <w:tblInd w:w="-572" w:type="dxa"/>
          <w:tblLayout w:type="fixed"/>
          <w:tblLook w:val="04A0"/>
        </w:tblPrEx>
        <w:tc>
          <w:tcPr>
            <w:tcW w:w="1106" w:type="dxa"/>
            <w:tcBorders>
              <w:top w:val="single" w:sz="4" w:space="0" w:color="auto"/>
              <w:left w:val="single" w:sz="4" w:space="0" w:color="000000"/>
              <w:bottom w:val="single" w:sz="4" w:space="0" w:color="auto"/>
              <w:right w:val="single" w:sz="4" w:space="0" w:color="auto"/>
            </w:tcBorders>
            <w:vAlign w:val="center"/>
          </w:tcPr>
          <w:p w:rsidR="00703F51" w:rsidRPr="009A44F9" w:rsidP="00703F51" w14:paraId="15B61A07" w14:textId="3D17E725">
            <w:pPr>
              <w:spacing w:after="120" w:line="360" w:lineRule="auto"/>
              <w:rPr>
                <w:rFonts w:ascii="宋体" w:hAnsi="宋体"/>
                <w:szCs w:val="21"/>
              </w:rPr>
            </w:pPr>
            <w:bookmarkStart w:id="55" w:name="_Toc46167841"/>
            <w:r w:rsidRPr="009A44F9">
              <w:rPr>
                <w:rFonts w:ascii="宋体" w:hAnsi="宋体" w:hint="eastAsia"/>
                <w:szCs w:val="21"/>
              </w:rPr>
              <w:t>第二部分</w:t>
            </w:r>
            <w:r w:rsidRPr="009A44F9">
              <w:rPr>
                <w:rFonts w:ascii="宋体" w:hAnsi="宋体"/>
                <w:szCs w:val="21"/>
              </w:rPr>
              <w:t xml:space="preserve"> </w:t>
            </w:r>
            <w:r w:rsidRPr="009A44F9">
              <w:rPr>
                <w:rFonts w:ascii="宋体" w:hAnsi="宋体" w:hint="eastAsia"/>
                <w:szCs w:val="21"/>
              </w:rPr>
              <w:t>释义</w:t>
            </w:r>
            <w:bookmarkEnd w:id="55"/>
          </w:p>
          <w:p w:rsidR="00703F51" w:rsidRPr="009A44F9" w:rsidP="00821C10" w14:paraId="6E4005B5" w14:textId="77777777">
            <w:pPr>
              <w:spacing w:after="120" w:line="360" w:lineRule="auto"/>
              <w:rPr>
                <w:rFonts w:ascii="宋体" w:hAnsi="宋体"/>
                <w:szCs w:val="21"/>
              </w:rPr>
            </w:pPr>
          </w:p>
        </w:tc>
        <w:tc>
          <w:tcPr>
            <w:tcW w:w="4706" w:type="dxa"/>
            <w:tcBorders>
              <w:top w:val="single" w:sz="4" w:space="0" w:color="auto"/>
              <w:left w:val="single" w:sz="4" w:space="0" w:color="auto"/>
              <w:bottom w:val="single" w:sz="4" w:space="0" w:color="auto"/>
              <w:right w:val="single" w:sz="4" w:space="0" w:color="auto"/>
            </w:tcBorders>
          </w:tcPr>
          <w:p w:rsidR="008A2A43" w:rsidRPr="009A44F9" w:rsidP="00EF42CD" w14:paraId="22BC18EB" w14:textId="77777777">
            <w:pPr>
              <w:spacing w:line="360" w:lineRule="auto"/>
              <w:rPr>
                <w:rFonts w:ascii="宋体" w:hAnsi="宋体"/>
                <w:b/>
                <w:szCs w:val="21"/>
              </w:rPr>
            </w:pPr>
            <w:r w:rsidRPr="009A44F9">
              <w:rPr>
                <w:rFonts w:ascii="宋体" w:hAnsi="宋体"/>
                <w:bCs/>
                <w:szCs w:val="21"/>
              </w:rPr>
              <w:t>11</w:t>
            </w:r>
            <w:r w:rsidRPr="009A44F9">
              <w:rPr>
                <w:rFonts w:ascii="宋体" w:hAnsi="宋体" w:hint="eastAsia"/>
                <w:szCs w:val="21"/>
              </w:rPr>
              <w:t>、《销售办法》：</w:t>
            </w:r>
            <w:r w:rsidRPr="009A44F9">
              <w:rPr>
                <w:rFonts w:ascii="宋体" w:hAnsi="宋体" w:hint="eastAsia"/>
                <w:b/>
                <w:szCs w:val="21"/>
              </w:rPr>
              <w:t>指中国证监会</w:t>
            </w:r>
            <w:r w:rsidRPr="009A44F9">
              <w:rPr>
                <w:rFonts w:ascii="宋体" w:hAnsi="宋体"/>
                <w:b/>
                <w:szCs w:val="21"/>
              </w:rPr>
              <w:t>2013</w:t>
            </w:r>
            <w:r w:rsidRPr="009A44F9">
              <w:rPr>
                <w:rFonts w:ascii="宋体" w:hAnsi="宋体" w:hint="eastAsia"/>
                <w:b/>
                <w:szCs w:val="21"/>
              </w:rPr>
              <w:t>年</w:t>
            </w:r>
            <w:r w:rsidRPr="009A44F9">
              <w:rPr>
                <w:rFonts w:ascii="宋体" w:hAnsi="宋体"/>
                <w:b/>
                <w:szCs w:val="21"/>
              </w:rPr>
              <w:t>3</w:t>
            </w:r>
            <w:r w:rsidRPr="009A44F9">
              <w:rPr>
                <w:rFonts w:ascii="宋体" w:hAnsi="宋体" w:hint="eastAsia"/>
                <w:b/>
                <w:szCs w:val="21"/>
              </w:rPr>
              <w:t>月</w:t>
            </w:r>
            <w:r w:rsidRPr="009A44F9">
              <w:rPr>
                <w:rFonts w:ascii="宋体" w:hAnsi="宋体"/>
                <w:b/>
                <w:szCs w:val="21"/>
              </w:rPr>
              <w:t>15</w:t>
            </w:r>
            <w:r w:rsidRPr="009A44F9">
              <w:rPr>
                <w:rFonts w:ascii="宋体" w:hAnsi="宋体" w:hint="eastAsia"/>
                <w:b/>
                <w:szCs w:val="21"/>
              </w:rPr>
              <w:t>日颁布、同年</w:t>
            </w:r>
            <w:r w:rsidRPr="009A44F9">
              <w:rPr>
                <w:rFonts w:ascii="宋体" w:hAnsi="宋体"/>
                <w:b/>
                <w:szCs w:val="21"/>
              </w:rPr>
              <w:t>6</w:t>
            </w:r>
            <w:r w:rsidRPr="009A44F9">
              <w:rPr>
                <w:rFonts w:ascii="宋体" w:hAnsi="宋体" w:hint="eastAsia"/>
                <w:b/>
                <w:szCs w:val="21"/>
              </w:rPr>
              <w:t>月</w:t>
            </w:r>
            <w:r w:rsidRPr="009A44F9">
              <w:rPr>
                <w:rFonts w:ascii="宋体" w:hAnsi="宋体"/>
                <w:b/>
                <w:szCs w:val="21"/>
              </w:rPr>
              <w:t>1</w:t>
            </w:r>
            <w:r w:rsidRPr="009A44F9">
              <w:rPr>
                <w:rFonts w:ascii="宋体" w:hAnsi="宋体" w:hint="eastAsia"/>
                <w:b/>
                <w:szCs w:val="21"/>
              </w:rPr>
              <w:t>日实施的《证券投资基金销售管理办法》及颁布机关对其不时做出的修订</w:t>
            </w:r>
          </w:p>
          <w:p w:rsidR="00E80007" w:rsidP="00EF42CD" w14:paraId="4D2267CE" w14:textId="77777777">
            <w:pPr>
              <w:spacing w:line="360" w:lineRule="auto"/>
              <w:rPr>
                <w:rFonts w:ascii="宋体" w:hAnsi="宋体"/>
                <w:bCs/>
                <w:szCs w:val="21"/>
              </w:rPr>
            </w:pPr>
          </w:p>
          <w:p w:rsidR="008A2A43" w:rsidRPr="009A44F9" w:rsidP="00EF42CD" w14:paraId="248A0711" w14:textId="77777777">
            <w:pPr>
              <w:spacing w:line="360" w:lineRule="auto"/>
              <w:rPr>
                <w:rFonts w:ascii="宋体" w:hAnsi="宋体"/>
                <w:szCs w:val="21"/>
              </w:rPr>
            </w:pPr>
            <w:r w:rsidRPr="009A44F9">
              <w:rPr>
                <w:rFonts w:ascii="宋体" w:hAnsi="宋体"/>
                <w:bCs/>
                <w:szCs w:val="21"/>
              </w:rPr>
              <w:t>16</w:t>
            </w:r>
            <w:r w:rsidRPr="009A44F9">
              <w:rPr>
                <w:rFonts w:ascii="宋体" w:hAnsi="宋体" w:hint="eastAsia"/>
                <w:szCs w:val="21"/>
              </w:rPr>
              <w:t>、银行业监督管理机构：指中国人民银行和</w:t>
            </w:r>
            <w:r w:rsidRPr="009A44F9">
              <w:rPr>
                <w:rFonts w:ascii="宋体" w:hAnsi="宋体"/>
                <w:szCs w:val="21"/>
              </w:rPr>
              <w:t>/</w:t>
            </w:r>
            <w:r w:rsidRPr="009A44F9">
              <w:rPr>
                <w:rFonts w:ascii="宋体" w:hAnsi="宋体" w:hint="eastAsia"/>
                <w:szCs w:val="21"/>
              </w:rPr>
              <w:t>或</w:t>
            </w:r>
            <w:r w:rsidRPr="009A44F9">
              <w:rPr>
                <w:rFonts w:ascii="宋体" w:hAnsi="宋体" w:hint="eastAsia"/>
                <w:b/>
                <w:szCs w:val="21"/>
              </w:rPr>
              <w:t>中国银行保险监督管理委员会</w:t>
            </w:r>
          </w:p>
          <w:p w:rsidR="00703F51" w:rsidRPr="009A44F9" w:rsidP="00821C10" w14:paraId="2927EA4A" w14:textId="77777777">
            <w:pPr>
              <w:spacing w:after="120" w:line="360" w:lineRule="auto"/>
              <w:rPr>
                <w:rFonts w:ascii="宋体" w:hAnsi="宋体"/>
                <w:szCs w:val="21"/>
              </w:rPr>
            </w:pPr>
          </w:p>
        </w:tc>
        <w:tc>
          <w:tcPr>
            <w:tcW w:w="4394" w:type="dxa"/>
            <w:tcBorders>
              <w:top w:val="single" w:sz="4" w:space="0" w:color="auto"/>
              <w:left w:val="single" w:sz="4" w:space="0" w:color="auto"/>
              <w:bottom w:val="single" w:sz="4" w:space="0" w:color="auto"/>
              <w:right w:val="single" w:sz="4" w:space="0" w:color="000000"/>
            </w:tcBorders>
          </w:tcPr>
          <w:p w:rsidR="00703F51" w:rsidRPr="009A44F9" w:rsidP="00EF42CD" w14:paraId="22450229" w14:textId="77777777">
            <w:pPr>
              <w:spacing w:line="360" w:lineRule="auto"/>
              <w:rPr>
                <w:rFonts w:ascii="宋体" w:hAnsi="宋体"/>
                <w:b/>
                <w:bCs/>
                <w:szCs w:val="21"/>
              </w:rPr>
            </w:pPr>
            <w:r w:rsidRPr="009A44F9">
              <w:rPr>
                <w:rFonts w:ascii="宋体" w:hAnsi="宋体"/>
                <w:bCs/>
                <w:szCs w:val="21"/>
              </w:rPr>
              <w:t>11</w:t>
            </w:r>
            <w:r w:rsidRPr="009A44F9">
              <w:rPr>
                <w:rFonts w:ascii="宋体" w:hAnsi="宋体" w:hint="eastAsia"/>
                <w:bCs/>
                <w:szCs w:val="21"/>
              </w:rPr>
              <w:t>、《销售办法》：</w:t>
            </w:r>
            <w:r w:rsidRPr="009A44F9">
              <w:rPr>
                <w:rFonts w:ascii="宋体" w:hAnsi="宋体" w:hint="eastAsia"/>
                <w:b/>
                <w:bCs/>
                <w:szCs w:val="21"/>
              </w:rPr>
              <w:t>指中国证监会</w:t>
            </w:r>
            <w:r w:rsidRPr="009A44F9">
              <w:rPr>
                <w:rFonts w:ascii="宋体" w:hAnsi="宋体"/>
                <w:b/>
                <w:bCs/>
                <w:szCs w:val="21"/>
              </w:rPr>
              <w:t>2020</w:t>
            </w:r>
            <w:r w:rsidRPr="009A44F9">
              <w:rPr>
                <w:rFonts w:ascii="宋体" w:hAnsi="宋体" w:hint="eastAsia"/>
                <w:b/>
                <w:bCs/>
                <w:szCs w:val="21"/>
              </w:rPr>
              <w:t>年</w:t>
            </w:r>
            <w:r w:rsidRPr="009A44F9">
              <w:rPr>
                <w:rFonts w:ascii="宋体" w:hAnsi="宋体"/>
                <w:b/>
                <w:bCs/>
                <w:szCs w:val="21"/>
              </w:rPr>
              <w:t>8</w:t>
            </w:r>
            <w:r w:rsidRPr="009A44F9">
              <w:rPr>
                <w:rFonts w:ascii="宋体" w:hAnsi="宋体" w:hint="eastAsia"/>
                <w:b/>
                <w:bCs/>
                <w:szCs w:val="21"/>
              </w:rPr>
              <w:t>月</w:t>
            </w:r>
            <w:r w:rsidRPr="009A44F9">
              <w:rPr>
                <w:rFonts w:ascii="宋体" w:hAnsi="宋体"/>
                <w:b/>
                <w:bCs/>
                <w:szCs w:val="21"/>
              </w:rPr>
              <w:t>28</w:t>
            </w:r>
            <w:r w:rsidRPr="009A44F9">
              <w:rPr>
                <w:rFonts w:ascii="宋体" w:hAnsi="宋体" w:hint="eastAsia"/>
                <w:b/>
                <w:bCs/>
                <w:szCs w:val="21"/>
              </w:rPr>
              <w:t>日颁布、同年</w:t>
            </w:r>
            <w:r w:rsidRPr="009A44F9">
              <w:rPr>
                <w:rFonts w:ascii="宋体" w:hAnsi="宋体"/>
                <w:b/>
                <w:bCs/>
                <w:szCs w:val="21"/>
              </w:rPr>
              <w:t>10</w:t>
            </w:r>
            <w:r w:rsidRPr="009A44F9">
              <w:rPr>
                <w:rFonts w:ascii="宋体" w:hAnsi="宋体" w:hint="eastAsia"/>
                <w:b/>
                <w:bCs/>
                <w:szCs w:val="21"/>
              </w:rPr>
              <w:t>月</w:t>
            </w:r>
            <w:r w:rsidRPr="009A44F9">
              <w:rPr>
                <w:rFonts w:ascii="宋体" w:hAnsi="宋体"/>
                <w:b/>
                <w:bCs/>
                <w:szCs w:val="21"/>
              </w:rPr>
              <w:t>1</w:t>
            </w:r>
            <w:r w:rsidRPr="009A44F9">
              <w:rPr>
                <w:rFonts w:ascii="宋体" w:hAnsi="宋体" w:hint="eastAsia"/>
                <w:b/>
                <w:bCs/>
                <w:szCs w:val="21"/>
              </w:rPr>
              <w:t>日实施的《公开募集证券投资基金销售机构监督管理办法》及颁布机关对其不时做出的修订</w:t>
            </w:r>
          </w:p>
          <w:p w:rsidR="00703F51" w:rsidRPr="009A44F9" w:rsidP="00EF42CD" w14:paraId="1932AF94" w14:textId="77777777">
            <w:pPr>
              <w:spacing w:line="360" w:lineRule="auto"/>
              <w:rPr>
                <w:rFonts w:ascii="宋体" w:hAnsi="宋体"/>
                <w:b/>
                <w:bCs/>
                <w:szCs w:val="21"/>
              </w:rPr>
            </w:pPr>
            <w:r w:rsidRPr="009A44F9">
              <w:rPr>
                <w:rFonts w:ascii="宋体" w:hAnsi="宋体"/>
                <w:bCs/>
                <w:szCs w:val="21"/>
              </w:rPr>
              <w:t>16</w:t>
            </w:r>
            <w:r w:rsidRPr="009A44F9">
              <w:rPr>
                <w:rFonts w:ascii="宋体" w:hAnsi="宋体" w:hint="eastAsia"/>
                <w:bCs/>
                <w:szCs w:val="21"/>
              </w:rPr>
              <w:t>、银行业监督管理机构：指中国人民银行和</w:t>
            </w:r>
            <w:r w:rsidRPr="009A44F9">
              <w:rPr>
                <w:rFonts w:ascii="宋体" w:hAnsi="宋体"/>
                <w:bCs/>
                <w:szCs w:val="21"/>
              </w:rPr>
              <w:t>/</w:t>
            </w:r>
            <w:r w:rsidRPr="009A44F9">
              <w:rPr>
                <w:rFonts w:ascii="宋体" w:hAnsi="宋体" w:hint="eastAsia"/>
                <w:bCs/>
                <w:szCs w:val="21"/>
              </w:rPr>
              <w:t>或</w:t>
            </w:r>
            <w:r w:rsidRPr="009A44F9">
              <w:rPr>
                <w:rFonts w:ascii="宋体" w:hAnsi="宋体" w:hint="eastAsia"/>
                <w:b/>
                <w:bCs/>
                <w:szCs w:val="21"/>
              </w:rPr>
              <w:t>国家金融监督管理总局</w:t>
            </w:r>
          </w:p>
          <w:p w:rsidR="00703F51" w:rsidRPr="009A44F9" w:rsidP="00EF42CD" w14:paraId="57C8311F" w14:textId="3DCD9B82">
            <w:pPr>
              <w:spacing w:line="360" w:lineRule="auto"/>
              <w:rPr>
                <w:rFonts w:ascii="宋体" w:hAnsi="宋体"/>
                <w:b/>
                <w:bCs/>
                <w:szCs w:val="21"/>
              </w:rPr>
            </w:pPr>
            <w:r w:rsidRPr="00070C40">
              <w:rPr>
                <w:rFonts w:asciiTheme="minorEastAsia" w:eastAsiaTheme="minorEastAsia" w:hAnsiTheme="minorEastAsia"/>
                <w:b/>
                <w:bCs/>
                <w:szCs w:val="21"/>
              </w:rPr>
              <w:t>增加：“</w:t>
            </w:r>
            <w:r w:rsidRPr="009A44F9">
              <w:rPr>
                <w:rFonts w:ascii="宋体" w:hAnsi="宋体"/>
                <w:b/>
                <w:bCs/>
                <w:szCs w:val="21"/>
              </w:rPr>
              <w:t>72</w:t>
            </w:r>
            <w:r w:rsidRPr="009A44F9">
              <w:rPr>
                <w:rFonts w:ascii="宋体" w:hAnsi="宋体" w:hint="eastAsia"/>
                <w:b/>
                <w:bCs/>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703F51" w:rsidRPr="009A44F9" w:rsidP="00EF42CD" w14:paraId="7B53E455" w14:textId="6FB53BD0">
            <w:pPr>
              <w:spacing w:line="360" w:lineRule="auto"/>
              <w:rPr>
                <w:rFonts w:ascii="宋体" w:hAnsi="宋体"/>
                <w:bCs/>
                <w:szCs w:val="21"/>
              </w:rPr>
            </w:pPr>
            <w:r w:rsidRPr="009A44F9">
              <w:rPr>
                <w:rFonts w:ascii="宋体" w:hAnsi="宋体"/>
                <w:b/>
                <w:bCs/>
                <w:szCs w:val="21"/>
              </w:rPr>
              <w:t>73</w:t>
            </w:r>
            <w:r w:rsidRPr="009A44F9">
              <w:rPr>
                <w:rFonts w:ascii="宋体" w:hAnsi="宋体" w:hint="eastAsia"/>
                <w:b/>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r w:rsidR="00A77EC5">
              <w:rPr>
                <w:rFonts w:ascii="宋体" w:hAnsi="宋体" w:hint="eastAsia"/>
                <w:b/>
                <w:bCs/>
                <w:szCs w:val="21"/>
              </w:rPr>
              <w:t>”</w:t>
            </w:r>
          </w:p>
        </w:tc>
      </w:tr>
      <w:tr w14:paraId="4D28B67F" w14:textId="77777777" w:rsidTr="00780B15">
        <w:tblPrEx>
          <w:tblW w:w="10206" w:type="dxa"/>
          <w:tblInd w:w="-572" w:type="dxa"/>
          <w:tblLayout w:type="fixed"/>
          <w:tblLook w:val="04A0"/>
        </w:tblPrEx>
        <w:tc>
          <w:tcPr>
            <w:tcW w:w="1106" w:type="dxa"/>
            <w:tcBorders>
              <w:top w:val="single" w:sz="4" w:space="0" w:color="auto"/>
              <w:left w:val="single" w:sz="4" w:space="0" w:color="000000"/>
              <w:bottom w:val="single" w:sz="4" w:space="0" w:color="auto"/>
              <w:right w:val="single" w:sz="4" w:space="0" w:color="auto"/>
            </w:tcBorders>
            <w:vAlign w:val="center"/>
          </w:tcPr>
          <w:p w:rsidR="00703F51" w:rsidRPr="009A44F9" w:rsidP="00703F51" w14:paraId="77A707EE" w14:textId="36A0E07E">
            <w:pPr>
              <w:spacing w:after="120" w:line="360" w:lineRule="auto"/>
              <w:rPr>
                <w:rFonts w:ascii="宋体" w:hAnsi="宋体"/>
                <w:szCs w:val="21"/>
              </w:rPr>
            </w:pPr>
            <w:bookmarkStart w:id="56" w:name="_Toc4003"/>
            <w:bookmarkStart w:id="57" w:name="_Toc98560352"/>
            <w:bookmarkStart w:id="58" w:name="_Toc123112234"/>
            <w:bookmarkStart w:id="59" w:name="_Toc141703886"/>
            <w:bookmarkStart w:id="60" w:name="_Toc20733"/>
            <w:bookmarkStart w:id="61" w:name="_Toc7920"/>
            <w:bookmarkStart w:id="62" w:name="_Toc610"/>
            <w:bookmarkStart w:id="63" w:name="_Toc123051452"/>
            <w:bookmarkStart w:id="64" w:name="_Toc48649707"/>
            <w:bookmarkStart w:id="65" w:name="_Toc23822"/>
            <w:bookmarkStart w:id="66" w:name="_Toc139991736"/>
            <w:bookmarkStart w:id="67" w:name="_Toc79392606"/>
            <w:bookmarkStart w:id="68" w:name="_Toc10463"/>
            <w:bookmarkStart w:id="69" w:name="_Toc17244"/>
            <w:bookmarkStart w:id="70" w:name="_Toc23261"/>
            <w:bookmarkStart w:id="71" w:name="_Toc1427"/>
            <w:bookmarkStart w:id="72" w:name="_Toc1270"/>
            <w:bookmarkStart w:id="73" w:name="_Toc123102453"/>
            <w:bookmarkStart w:id="74" w:name="_Toc446339244"/>
            <w:bookmarkStart w:id="75" w:name="_Toc11081"/>
            <w:bookmarkStart w:id="76" w:name="_Toc46167846"/>
            <w:r w:rsidRPr="009A44F9">
              <w:rPr>
                <w:rFonts w:ascii="宋体" w:hAnsi="宋体" w:hint="eastAsia"/>
                <w:szCs w:val="21"/>
              </w:rPr>
              <w:t>第七部分</w:t>
            </w:r>
            <w:r w:rsidRPr="009A44F9">
              <w:rPr>
                <w:rFonts w:ascii="宋体" w:hAnsi="宋体"/>
                <w:szCs w:val="21"/>
              </w:rPr>
              <w:t xml:space="preserve"> </w:t>
            </w:r>
            <w:r w:rsidRPr="009A44F9">
              <w:rPr>
                <w:rFonts w:ascii="宋体" w:hAnsi="宋体" w:hint="eastAsia"/>
                <w:szCs w:val="21"/>
              </w:rPr>
              <w:t>基金份额的申购与赎回</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tc>
        <w:tc>
          <w:tcPr>
            <w:tcW w:w="4706" w:type="dxa"/>
            <w:tcBorders>
              <w:top w:val="single" w:sz="4" w:space="0" w:color="auto"/>
              <w:left w:val="single" w:sz="4" w:space="0" w:color="auto"/>
              <w:bottom w:val="single" w:sz="4" w:space="0" w:color="auto"/>
              <w:right w:val="single" w:sz="4" w:space="0" w:color="auto"/>
            </w:tcBorders>
          </w:tcPr>
          <w:p w:rsidR="00703F51" w:rsidRPr="009A44F9" w:rsidP="00690823" w14:paraId="5DE829D3" w14:textId="77777777">
            <w:pPr>
              <w:spacing w:line="360" w:lineRule="auto"/>
              <w:rPr>
                <w:rFonts w:ascii="宋体" w:hAnsi="宋体"/>
                <w:szCs w:val="21"/>
              </w:rPr>
            </w:pPr>
          </w:p>
        </w:tc>
        <w:tc>
          <w:tcPr>
            <w:tcW w:w="4394" w:type="dxa"/>
            <w:tcBorders>
              <w:top w:val="single" w:sz="4" w:space="0" w:color="auto"/>
              <w:left w:val="single" w:sz="4" w:space="0" w:color="auto"/>
              <w:bottom w:val="single" w:sz="4" w:space="0" w:color="auto"/>
              <w:right w:val="single" w:sz="4" w:space="0" w:color="000000"/>
            </w:tcBorders>
          </w:tcPr>
          <w:p w:rsidR="00703F51" w:rsidRPr="009A44F9" w:rsidP="00EF42CD" w14:paraId="1B27BA09" w14:textId="4A899A17">
            <w:pPr>
              <w:spacing w:line="360" w:lineRule="auto"/>
              <w:rPr>
                <w:rFonts w:ascii="宋体" w:hAnsi="宋体" w:cs="宋体"/>
                <w:b/>
                <w:szCs w:val="21"/>
              </w:rPr>
            </w:pPr>
            <w:r>
              <w:rPr>
                <w:rFonts w:ascii="宋体" w:hAnsi="宋体" w:cs="宋体"/>
                <w:b/>
                <w:szCs w:val="21"/>
                <w:highlight w:val="white"/>
              </w:rPr>
              <w:t>增加：“</w:t>
            </w:r>
            <w:r w:rsidRPr="009A44F9">
              <w:rPr>
                <w:rFonts w:ascii="宋体" w:hAnsi="宋体" w:cs="宋体" w:hint="eastAsia"/>
                <w:b/>
                <w:bCs/>
                <w:szCs w:val="21"/>
                <w:highlight w:val="white"/>
              </w:rPr>
              <w:t>十九</w:t>
            </w:r>
            <w:r w:rsidRPr="009A44F9">
              <w:rPr>
                <w:rFonts w:ascii="宋体" w:hAnsi="宋体" w:cs="宋体" w:hint="eastAsia"/>
                <w:b/>
                <w:szCs w:val="21"/>
                <w:highlight w:val="white"/>
              </w:rPr>
              <w:t>、实施侧袋机制期间本基金的申购与赎回</w:t>
            </w:r>
          </w:p>
          <w:p w:rsidR="00703F51" w:rsidRPr="009A44F9" w:rsidP="00EF42CD" w14:paraId="2E9960F1" w14:textId="4D00C997">
            <w:pPr>
              <w:spacing w:line="360" w:lineRule="auto"/>
              <w:rPr>
                <w:rFonts w:ascii="宋体" w:hAnsi="宋体"/>
                <w:bCs/>
                <w:szCs w:val="21"/>
              </w:rPr>
            </w:pPr>
            <w:r w:rsidRPr="009A44F9">
              <w:rPr>
                <w:rFonts w:ascii="宋体" w:hAnsi="宋体" w:cs="宋体" w:hint="eastAsia"/>
                <w:b/>
                <w:szCs w:val="21"/>
                <w:highlight w:val="white"/>
              </w:rPr>
              <w:t>本基金实施侧袋机制的，本基金的申购和赎回安排详见招募说明书或相关公告。</w:t>
            </w:r>
            <w:r w:rsidR="00590E94">
              <w:rPr>
                <w:rFonts w:ascii="宋体" w:hAnsi="宋体" w:cs="宋体" w:hint="eastAsia"/>
                <w:b/>
                <w:szCs w:val="21"/>
                <w:highlight w:val="white"/>
              </w:rPr>
              <w:t>”</w:t>
            </w:r>
          </w:p>
        </w:tc>
      </w:tr>
      <w:tr w14:paraId="10BE794C" w14:textId="77777777" w:rsidTr="00780B15">
        <w:tblPrEx>
          <w:tblW w:w="10206" w:type="dxa"/>
          <w:tblInd w:w="-572" w:type="dxa"/>
          <w:tblLayout w:type="fixed"/>
          <w:tblLook w:val="04A0"/>
        </w:tblPrEx>
        <w:tc>
          <w:tcPr>
            <w:tcW w:w="1106" w:type="dxa"/>
            <w:tcBorders>
              <w:top w:val="single" w:sz="4" w:space="0" w:color="auto"/>
              <w:left w:val="single" w:sz="4" w:space="0" w:color="000000"/>
              <w:bottom w:val="single" w:sz="4" w:space="0" w:color="auto"/>
              <w:right w:val="single" w:sz="4" w:space="0" w:color="auto"/>
            </w:tcBorders>
            <w:vAlign w:val="center"/>
          </w:tcPr>
          <w:p w:rsidR="009532B1" w:rsidRPr="009A44F9" w:rsidP="00703F51" w14:paraId="2A91C235" w14:textId="215B30DB">
            <w:pPr>
              <w:spacing w:after="120" w:line="360" w:lineRule="auto"/>
              <w:rPr>
                <w:rFonts w:ascii="宋体" w:hAnsi="宋体"/>
                <w:szCs w:val="21"/>
              </w:rPr>
            </w:pPr>
            <w:bookmarkStart w:id="77" w:name="_Toc46167847"/>
            <w:r w:rsidRPr="009A44F9">
              <w:rPr>
                <w:rFonts w:ascii="宋体" w:hAnsi="宋体" w:hint="eastAsia"/>
                <w:szCs w:val="21"/>
              </w:rPr>
              <w:t>第八部分</w:t>
            </w:r>
            <w:r w:rsidRPr="009A44F9">
              <w:rPr>
                <w:rFonts w:ascii="宋体" w:hAnsi="宋体"/>
                <w:szCs w:val="21"/>
              </w:rPr>
              <w:t xml:space="preserve"> </w:t>
            </w:r>
            <w:r w:rsidRPr="009A44F9">
              <w:rPr>
                <w:rFonts w:ascii="宋体" w:hAnsi="宋体" w:hint="eastAsia"/>
                <w:szCs w:val="21"/>
              </w:rPr>
              <w:t>基金合同当事人及权利义务</w:t>
            </w:r>
            <w:bookmarkEnd w:id="77"/>
          </w:p>
        </w:tc>
        <w:tc>
          <w:tcPr>
            <w:tcW w:w="4706" w:type="dxa"/>
            <w:tcBorders>
              <w:top w:val="single" w:sz="4" w:space="0" w:color="auto"/>
              <w:left w:val="single" w:sz="4" w:space="0" w:color="auto"/>
              <w:bottom w:val="single" w:sz="4" w:space="0" w:color="auto"/>
              <w:right w:val="single" w:sz="4" w:space="0" w:color="auto"/>
            </w:tcBorders>
          </w:tcPr>
          <w:p w:rsidR="008A2A43" w:rsidRPr="009A44F9" w:rsidP="00EF42CD" w14:paraId="5DB2E8F6" w14:textId="77777777">
            <w:pPr>
              <w:spacing w:line="360" w:lineRule="auto"/>
              <w:rPr>
                <w:rFonts w:ascii="宋体" w:hAnsi="宋体"/>
                <w:szCs w:val="21"/>
              </w:rPr>
            </w:pPr>
            <w:r w:rsidRPr="009A44F9">
              <w:rPr>
                <w:rFonts w:ascii="宋体" w:hAnsi="宋体" w:hint="eastAsia"/>
                <w:szCs w:val="21"/>
              </w:rPr>
              <w:t>一、基金管理人</w:t>
            </w:r>
          </w:p>
          <w:p w:rsidR="008A2A43" w:rsidRPr="009A44F9" w:rsidP="00EF42CD" w14:paraId="33A0104A" w14:textId="7ED87213">
            <w:pPr>
              <w:spacing w:line="360" w:lineRule="auto"/>
              <w:rPr>
                <w:rFonts w:ascii="宋体" w:hAnsi="宋体"/>
                <w:szCs w:val="21"/>
              </w:rPr>
            </w:pPr>
            <w:r w:rsidRPr="009A44F9">
              <w:rPr>
                <w:rFonts w:ascii="宋体" w:hAnsi="宋体" w:hint="eastAsia"/>
                <w:szCs w:val="21"/>
              </w:rPr>
              <w:t>（一）基金管理人简况</w:t>
            </w:r>
          </w:p>
          <w:p w:rsidR="008A2A43" w:rsidRPr="009A44F9" w:rsidP="00EF42CD" w14:paraId="261F5D8F" w14:textId="77777777">
            <w:pPr>
              <w:spacing w:line="360" w:lineRule="auto"/>
              <w:rPr>
                <w:rFonts w:ascii="宋体" w:hAnsi="宋体"/>
                <w:b/>
                <w:bCs/>
                <w:szCs w:val="21"/>
              </w:rPr>
            </w:pPr>
            <w:r w:rsidRPr="009A44F9">
              <w:rPr>
                <w:rFonts w:ascii="宋体" w:hAnsi="宋体" w:hint="eastAsia"/>
                <w:bCs/>
                <w:szCs w:val="21"/>
              </w:rPr>
              <w:t>住所：</w:t>
            </w:r>
            <w:r w:rsidRPr="009A44F9">
              <w:rPr>
                <w:rFonts w:ascii="宋体" w:hAnsi="宋体" w:hint="eastAsia"/>
                <w:b/>
                <w:bCs/>
                <w:szCs w:val="21"/>
              </w:rPr>
              <w:t>广东省珠海市横琴新区宝华路</w:t>
            </w:r>
            <w:r w:rsidRPr="009A44F9">
              <w:rPr>
                <w:rFonts w:ascii="宋体" w:hAnsi="宋体"/>
                <w:b/>
                <w:bCs/>
                <w:szCs w:val="21"/>
              </w:rPr>
              <w:t>6</w:t>
            </w:r>
            <w:r w:rsidRPr="009A44F9">
              <w:rPr>
                <w:rFonts w:ascii="宋体" w:hAnsi="宋体" w:hint="eastAsia"/>
                <w:b/>
                <w:bCs/>
                <w:szCs w:val="21"/>
              </w:rPr>
              <w:t>号</w:t>
            </w:r>
            <w:r w:rsidRPr="009A44F9">
              <w:rPr>
                <w:rFonts w:ascii="宋体" w:hAnsi="宋体"/>
                <w:b/>
                <w:bCs/>
                <w:szCs w:val="21"/>
              </w:rPr>
              <w:t>105</w:t>
            </w:r>
            <w:r w:rsidRPr="009A44F9">
              <w:rPr>
                <w:rFonts w:ascii="宋体" w:hAnsi="宋体" w:hint="eastAsia"/>
                <w:b/>
                <w:bCs/>
                <w:szCs w:val="21"/>
              </w:rPr>
              <w:t>室</w:t>
            </w:r>
            <w:r w:rsidRPr="009A44F9">
              <w:rPr>
                <w:rFonts w:ascii="宋体" w:hAnsi="宋体"/>
                <w:b/>
                <w:bCs/>
                <w:szCs w:val="21"/>
              </w:rPr>
              <w:t>-42891</w:t>
            </w:r>
            <w:r w:rsidRPr="009A44F9">
              <w:rPr>
                <w:rFonts w:ascii="宋体" w:hAnsi="宋体" w:hint="eastAsia"/>
                <w:b/>
                <w:bCs/>
                <w:szCs w:val="21"/>
              </w:rPr>
              <w:t>（集中办公区）</w:t>
            </w:r>
          </w:p>
          <w:p w:rsidR="008A2A43" w:rsidRPr="009A44F9" w:rsidP="00EF42CD" w14:paraId="0DFFBBBE" w14:textId="77777777">
            <w:pPr>
              <w:spacing w:line="360" w:lineRule="auto"/>
              <w:rPr>
                <w:rFonts w:ascii="宋体" w:hAnsi="宋体"/>
                <w:b/>
                <w:bCs/>
                <w:szCs w:val="21"/>
              </w:rPr>
            </w:pPr>
            <w:r w:rsidRPr="009A44F9">
              <w:rPr>
                <w:rFonts w:ascii="宋体" w:hAnsi="宋体" w:hint="eastAsia"/>
                <w:bCs/>
                <w:szCs w:val="21"/>
              </w:rPr>
              <w:t>联系电话</w:t>
            </w:r>
            <w:r w:rsidRPr="009A44F9">
              <w:rPr>
                <w:rFonts w:ascii="宋体" w:hAnsi="宋体" w:hint="eastAsia"/>
                <w:b/>
                <w:bCs/>
                <w:szCs w:val="21"/>
              </w:rPr>
              <w:t>：</w:t>
            </w:r>
            <w:r w:rsidRPr="009A44F9">
              <w:rPr>
                <w:rFonts w:ascii="宋体" w:hAnsi="宋体"/>
                <w:b/>
                <w:bCs/>
                <w:szCs w:val="21"/>
              </w:rPr>
              <w:t>020-38797888</w:t>
            </w:r>
          </w:p>
          <w:p w:rsidR="008A2A43" w:rsidRPr="009A44F9" w:rsidP="00EF42CD" w14:paraId="67477A38" w14:textId="509D4940">
            <w:pPr>
              <w:spacing w:line="360" w:lineRule="auto"/>
              <w:rPr>
                <w:rFonts w:ascii="宋体" w:hAnsi="宋体"/>
                <w:szCs w:val="21"/>
              </w:rPr>
            </w:pPr>
            <w:r w:rsidRPr="009A44F9">
              <w:rPr>
                <w:rFonts w:ascii="宋体" w:hAnsi="宋体" w:hint="eastAsia"/>
                <w:szCs w:val="21"/>
              </w:rPr>
              <w:t>（二）基金管理人的权利与义务</w:t>
            </w:r>
          </w:p>
          <w:p w:rsidR="008A2A43" w:rsidRPr="009A44F9" w:rsidP="00EF42CD" w14:paraId="7E8E85F2" w14:textId="77777777">
            <w:pPr>
              <w:spacing w:line="440" w:lineRule="atLeast"/>
              <w:rPr>
                <w:rFonts w:ascii="宋体" w:hAnsi="宋体"/>
                <w:szCs w:val="21"/>
              </w:rPr>
            </w:pPr>
            <w:r w:rsidRPr="009A44F9">
              <w:rPr>
                <w:rFonts w:ascii="宋体" w:hAnsi="宋体"/>
                <w:szCs w:val="21"/>
              </w:rPr>
              <w:t>2</w:t>
            </w:r>
            <w:r w:rsidRPr="009A44F9">
              <w:rPr>
                <w:rFonts w:ascii="宋体" w:hAnsi="宋体" w:hint="eastAsia"/>
                <w:szCs w:val="21"/>
              </w:rPr>
              <w:t>、根据《基金法》、《运作办法》及其他有关规定，基金管理人的义务包括但不限于：</w:t>
            </w:r>
          </w:p>
          <w:p w:rsidR="008A2A43" w:rsidRPr="009A44F9" w:rsidP="00EF42CD" w14:paraId="1BC7C16D" w14:textId="77777777">
            <w:pPr>
              <w:spacing w:line="360" w:lineRule="auto"/>
              <w:rPr>
                <w:rFonts w:ascii="宋体" w:hAnsi="宋体"/>
                <w:szCs w:val="21"/>
              </w:rPr>
            </w:pPr>
            <w:r w:rsidRPr="009A44F9">
              <w:rPr>
                <w:rFonts w:ascii="宋体" w:hAnsi="宋体" w:hint="eastAsia"/>
                <w:szCs w:val="21"/>
              </w:rPr>
              <w:t>（</w:t>
            </w:r>
            <w:r w:rsidRPr="009A44F9">
              <w:rPr>
                <w:rFonts w:ascii="宋体" w:hAnsi="宋体"/>
                <w:szCs w:val="21"/>
              </w:rPr>
              <w:t>16</w:t>
            </w:r>
            <w:r w:rsidRPr="009A44F9">
              <w:rPr>
                <w:rFonts w:ascii="宋体" w:hAnsi="宋体" w:hint="eastAsia"/>
                <w:szCs w:val="21"/>
              </w:rPr>
              <w:t>）按规定保存基金财产管理业务活动的会计账册、报表、记录和其他相关资料</w:t>
            </w:r>
            <w:r w:rsidRPr="009A44F9">
              <w:rPr>
                <w:rFonts w:ascii="宋体" w:hAnsi="宋体"/>
                <w:b/>
                <w:szCs w:val="21"/>
              </w:rPr>
              <w:t>15</w:t>
            </w:r>
            <w:r w:rsidRPr="009A44F9">
              <w:rPr>
                <w:rFonts w:ascii="宋体" w:hAnsi="宋体" w:hint="eastAsia"/>
                <w:szCs w:val="21"/>
              </w:rPr>
              <w:t>年以上；</w:t>
            </w:r>
          </w:p>
          <w:p w:rsidR="003251DD" w:rsidP="00EF42CD" w14:paraId="5DEB8BEB" w14:textId="77777777">
            <w:pPr>
              <w:spacing w:line="360" w:lineRule="auto"/>
              <w:rPr>
                <w:rFonts w:ascii="宋体" w:hAnsi="宋体"/>
                <w:szCs w:val="21"/>
              </w:rPr>
            </w:pPr>
          </w:p>
          <w:p w:rsidR="008A2A43" w:rsidRPr="009A44F9" w:rsidP="00EF42CD" w14:paraId="10E20FB0" w14:textId="77777777">
            <w:pPr>
              <w:spacing w:line="360" w:lineRule="auto"/>
              <w:rPr>
                <w:rFonts w:ascii="宋体" w:hAnsi="宋体"/>
                <w:szCs w:val="21"/>
              </w:rPr>
            </w:pPr>
            <w:r w:rsidRPr="009A44F9">
              <w:rPr>
                <w:rFonts w:ascii="宋体" w:hAnsi="宋体" w:hint="eastAsia"/>
                <w:szCs w:val="21"/>
              </w:rPr>
              <w:t>二、基金托管人</w:t>
            </w:r>
          </w:p>
          <w:p w:rsidR="008A2A43" w:rsidRPr="009A44F9" w:rsidP="00EF42CD" w14:paraId="4B8086A3" w14:textId="718E337D">
            <w:pPr>
              <w:spacing w:line="360" w:lineRule="auto"/>
              <w:rPr>
                <w:rFonts w:ascii="宋体" w:hAnsi="宋体"/>
                <w:szCs w:val="21"/>
              </w:rPr>
            </w:pPr>
            <w:r w:rsidRPr="009A44F9">
              <w:rPr>
                <w:rFonts w:ascii="宋体" w:hAnsi="宋体" w:hint="eastAsia"/>
                <w:szCs w:val="21"/>
              </w:rPr>
              <w:t>（一）基金托管人简况</w:t>
            </w:r>
          </w:p>
          <w:p w:rsidR="008A2A43" w:rsidRPr="009A44F9" w:rsidP="00EF42CD" w14:paraId="791D1DA3" w14:textId="77777777">
            <w:pPr>
              <w:spacing w:line="360" w:lineRule="auto"/>
              <w:rPr>
                <w:rFonts w:ascii="宋体" w:hAnsi="宋体"/>
                <w:b/>
                <w:bCs/>
                <w:szCs w:val="21"/>
              </w:rPr>
            </w:pPr>
            <w:r w:rsidRPr="009A44F9">
              <w:rPr>
                <w:rFonts w:ascii="宋体" w:hAnsi="宋体"/>
                <w:bCs/>
                <w:szCs w:val="21"/>
              </w:rPr>
              <w:t>法定代表人：</w:t>
            </w:r>
            <w:r w:rsidRPr="009A44F9">
              <w:rPr>
                <w:rFonts w:ascii="宋体" w:hAnsi="宋体" w:hint="eastAsia"/>
                <w:b/>
                <w:bCs/>
                <w:szCs w:val="21"/>
              </w:rPr>
              <w:t>田国立</w:t>
            </w:r>
          </w:p>
          <w:p w:rsidR="008A2A43" w:rsidRPr="009A44F9" w:rsidP="00EF42CD" w14:paraId="3B85AA5E" w14:textId="40A0BD62">
            <w:pPr>
              <w:spacing w:line="360" w:lineRule="auto"/>
              <w:rPr>
                <w:rFonts w:ascii="宋体" w:hAnsi="宋体"/>
                <w:szCs w:val="21"/>
              </w:rPr>
            </w:pPr>
            <w:r w:rsidRPr="009A44F9">
              <w:rPr>
                <w:rFonts w:ascii="宋体" w:hAnsi="宋体" w:hint="eastAsia"/>
                <w:szCs w:val="21"/>
              </w:rPr>
              <w:t>（二）基金托管人的权利与义务</w:t>
            </w:r>
          </w:p>
          <w:p w:rsidR="008A2A43" w:rsidRPr="009A44F9" w:rsidP="00EF42CD" w14:paraId="32A53732" w14:textId="77777777">
            <w:pPr>
              <w:spacing w:line="360" w:lineRule="auto"/>
              <w:rPr>
                <w:rFonts w:ascii="宋体" w:hAnsi="宋体"/>
                <w:szCs w:val="21"/>
              </w:rPr>
            </w:pPr>
            <w:r w:rsidRPr="009A44F9">
              <w:rPr>
                <w:rFonts w:ascii="宋体" w:hAnsi="宋体"/>
                <w:szCs w:val="21"/>
              </w:rPr>
              <w:t>2</w:t>
            </w:r>
            <w:r w:rsidRPr="009A44F9">
              <w:rPr>
                <w:rFonts w:ascii="宋体" w:hAnsi="宋体" w:hint="eastAsia"/>
                <w:szCs w:val="21"/>
              </w:rPr>
              <w:t>、根据《基金法》、《运作办法》及其他有关规定，基金托管人的义务包括但不限于：</w:t>
            </w:r>
          </w:p>
          <w:p w:rsidR="009532B1" w:rsidRPr="009A44F9" w:rsidP="00EF42CD" w14:paraId="42FF37CE" w14:textId="042FAAEA">
            <w:pPr>
              <w:spacing w:line="360" w:lineRule="auto"/>
              <w:rPr>
                <w:rFonts w:ascii="宋体" w:hAnsi="宋体"/>
                <w:bCs/>
                <w:szCs w:val="21"/>
              </w:rPr>
            </w:pPr>
            <w:r w:rsidRPr="009A44F9">
              <w:rPr>
                <w:rFonts w:ascii="宋体" w:hAnsi="宋体" w:hint="eastAsia"/>
                <w:szCs w:val="21"/>
              </w:rPr>
              <w:t>（</w:t>
            </w:r>
            <w:r w:rsidRPr="009A44F9">
              <w:rPr>
                <w:rFonts w:ascii="宋体" w:hAnsi="宋体"/>
                <w:szCs w:val="21"/>
              </w:rPr>
              <w:t>11</w:t>
            </w:r>
            <w:r w:rsidRPr="009A44F9">
              <w:rPr>
                <w:rFonts w:ascii="宋体" w:hAnsi="宋体" w:hint="eastAsia"/>
                <w:szCs w:val="21"/>
              </w:rPr>
              <w:t>）保存基金托管业务活动的记录、账册、报表和其他相关资料</w:t>
            </w:r>
            <w:r w:rsidRPr="009A44F9">
              <w:rPr>
                <w:rFonts w:ascii="宋体" w:hAnsi="宋体"/>
                <w:b/>
                <w:szCs w:val="21"/>
              </w:rPr>
              <w:t>15</w:t>
            </w:r>
            <w:r w:rsidRPr="009A44F9">
              <w:rPr>
                <w:rFonts w:ascii="宋体" w:hAnsi="宋体" w:hint="eastAsia"/>
                <w:szCs w:val="21"/>
              </w:rPr>
              <w:t>年以上；</w:t>
            </w:r>
          </w:p>
        </w:tc>
        <w:tc>
          <w:tcPr>
            <w:tcW w:w="4394" w:type="dxa"/>
            <w:tcBorders>
              <w:top w:val="single" w:sz="4" w:space="0" w:color="auto"/>
              <w:left w:val="single" w:sz="4" w:space="0" w:color="auto"/>
              <w:bottom w:val="single" w:sz="4" w:space="0" w:color="auto"/>
              <w:right w:val="single" w:sz="4" w:space="0" w:color="000000"/>
            </w:tcBorders>
          </w:tcPr>
          <w:p w:rsidR="00703F51" w:rsidRPr="009A44F9" w:rsidP="00EF42CD" w14:paraId="67BD3307" w14:textId="77777777">
            <w:pPr>
              <w:spacing w:line="360" w:lineRule="auto"/>
              <w:rPr>
                <w:rFonts w:ascii="宋体" w:hAnsi="宋体"/>
                <w:szCs w:val="21"/>
              </w:rPr>
            </w:pPr>
            <w:r w:rsidRPr="009A44F9">
              <w:rPr>
                <w:rFonts w:ascii="宋体" w:hAnsi="宋体" w:hint="eastAsia"/>
                <w:szCs w:val="21"/>
              </w:rPr>
              <w:t>一、基金管理人</w:t>
            </w:r>
          </w:p>
          <w:p w:rsidR="00703F51" w:rsidRPr="009A44F9" w:rsidP="00EF42CD" w14:paraId="605B733A" w14:textId="7E95A6DF">
            <w:pPr>
              <w:spacing w:line="360" w:lineRule="auto"/>
              <w:rPr>
                <w:rFonts w:ascii="宋体" w:hAnsi="宋体"/>
                <w:szCs w:val="21"/>
              </w:rPr>
            </w:pPr>
            <w:r w:rsidRPr="009A44F9">
              <w:rPr>
                <w:rFonts w:ascii="宋体" w:hAnsi="宋体" w:hint="eastAsia"/>
                <w:szCs w:val="21"/>
              </w:rPr>
              <w:t>（一）基金管理人简况</w:t>
            </w:r>
          </w:p>
          <w:p w:rsidR="00703F51" w:rsidRPr="009A44F9" w:rsidP="00EF42CD" w14:paraId="1CF10C4B" w14:textId="77777777">
            <w:pPr>
              <w:spacing w:line="360" w:lineRule="auto"/>
              <w:rPr>
                <w:rFonts w:ascii="宋体" w:hAnsi="宋体"/>
                <w:b/>
                <w:bCs/>
                <w:szCs w:val="21"/>
              </w:rPr>
            </w:pPr>
            <w:bookmarkStart w:id="78" w:name="_Toc15118236"/>
            <w:r w:rsidRPr="009A44F9">
              <w:rPr>
                <w:rFonts w:ascii="宋体" w:hAnsi="宋体" w:hint="eastAsia"/>
                <w:bCs/>
                <w:szCs w:val="21"/>
              </w:rPr>
              <w:t>住所：</w:t>
            </w:r>
            <w:r w:rsidRPr="009A44F9">
              <w:rPr>
                <w:rFonts w:ascii="宋体" w:hAnsi="宋体" w:cs="宋体"/>
                <w:b/>
                <w:szCs w:val="21"/>
                <w:highlight w:val="white"/>
              </w:rPr>
              <w:t>广东省珠海市横琴新区荣粤道188号6层</w:t>
            </w:r>
          </w:p>
          <w:p w:rsidR="00703F51" w:rsidRPr="009A44F9" w:rsidP="00EF42CD" w14:paraId="016E6314" w14:textId="77777777">
            <w:pPr>
              <w:spacing w:line="360" w:lineRule="auto"/>
              <w:rPr>
                <w:rFonts w:ascii="宋体" w:hAnsi="宋体"/>
                <w:b/>
                <w:bCs/>
                <w:szCs w:val="21"/>
              </w:rPr>
            </w:pPr>
            <w:r w:rsidRPr="009A44F9">
              <w:rPr>
                <w:rFonts w:ascii="宋体" w:hAnsi="宋体" w:hint="eastAsia"/>
                <w:bCs/>
                <w:szCs w:val="21"/>
              </w:rPr>
              <w:t>联系电话：</w:t>
            </w:r>
            <w:r w:rsidRPr="009A44F9">
              <w:rPr>
                <w:rFonts w:ascii="宋体" w:hAnsi="宋体"/>
                <w:b/>
                <w:bCs/>
                <w:szCs w:val="21"/>
              </w:rPr>
              <w:t>4008818088</w:t>
            </w:r>
          </w:p>
          <w:bookmarkEnd w:id="78"/>
          <w:p w:rsidR="00703F51" w:rsidRPr="009A44F9" w:rsidP="00EF42CD" w14:paraId="2A1E5E66" w14:textId="4E2FBD2F">
            <w:pPr>
              <w:spacing w:line="360" w:lineRule="auto"/>
              <w:rPr>
                <w:rFonts w:ascii="宋体" w:hAnsi="宋体"/>
                <w:szCs w:val="21"/>
              </w:rPr>
            </w:pPr>
            <w:r w:rsidRPr="009A44F9">
              <w:rPr>
                <w:rFonts w:ascii="宋体" w:hAnsi="宋体" w:hint="eastAsia"/>
                <w:szCs w:val="21"/>
              </w:rPr>
              <w:t>（二）基金管理人的权利与义务</w:t>
            </w:r>
          </w:p>
          <w:p w:rsidR="00703F51" w:rsidRPr="009A44F9" w:rsidP="00EF42CD" w14:paraId="4B0A63B6" w14:textId="77777777">
            <w:pPr>
              <w:spacing w:line="360" w:lineRule="auto"/>
              <w:rPr>
                <w:rFonts w:ascii="宋体" w:hAnsi="宋体"/>
                <w:szCs w:val="21"/>
              </w:rPr>
            </w:pPr>
            <w:r w:rsidRPr="009A44F9">
              <w:rPr>
                <w:rFonts w:ascii="宋体" w:hAnsi="宋体"/>
                <w:szCs w:val="21"/>
              </w:rPr>
              <w:t>2</w:t>
            </w:r>
            <w:r w:rsidRPr="009A44F9">
              <w:rPr>
                <w:rFonts w:ascii="宋体" w:hAnsi="宋体" w:hint="eastAsia"/>
                <w:szCs w:val="21"/>
              </w:rPr>
              <w:t>、根据《基金法》、《运作办法》及其他有关规定，基金管理人的义务包括但不限于：</w:t>
            </w:r>
          </w:p>
          <w:p w:rsidR="00703F51" w:rsidRPr="009A44F9" w:rsidP="00EF42CD" w14:paraId="4B13DF3E" w14:textId="77777777">
            <w:pPr>
              <w:spacing w:line="360" w:lineRule="auto"/>
              <w:rPr>
                <w:rFonts w:ascii="宋体" w:hAnsi="宋体"/>
                <w:szCs w:val="21"/>
              </w:rPr>
            </w:pPr>
            <w:r w:rsidRPr="009A44F9">
              <w:rPr>
                <w:rFonts w:ascii="宋体" w:hAnsi="宋体" w:hint="eastAsia"/>
                <w:szCs w:val="21"/>
              </w:rPr>
              <w:t>（</w:t>
            </w:r>
            <w:r w:rsidRPr="009A44F9">
              <w:rPr>
                <w:rFonts w:ascii="宋体" w:hAnsi="宋体"/>
                <w:szCs w:val="21"/>
              </w:rPr>
              <w:t>16</w:t>
            </w:r>
            <w:r w:rsidRPr="009A44F9">
              <w:rPr>
                <w:rFonts w:ascii="宋体" w:hAnsi="宋体" w:hint="eastAsia"/>
                <w:szCs w:val="21"/>
              </w:rPr>
              <w:t>）按规定保存基金财产管理业务活动的会计账册、报表、记录和其他相关资料</w:t>
            </w:r>
            <w:r w:rsidRPr="009A44F9">
              <w:rPr>
                <w:rFonts w:ascii="宋体" w:hAnsi="宋体"/>
                <w:b/>
                <w:szCs w:val="21"/>
              </w:rPr>
              <w:t>20</w:t>
            </w:r>
            <w:r w:rsidRPr="009A44F9">
              <w:rPr>
                <w:rFonts w:ascii="宋体" w:hAnsi="宋体" w:hint="eastAsia"/>
                <w:szCs w:val="21"/>
              </w:rPr>
              <w:t>年以上；</w:t>
            </w:r>
          </w:p>
          <w:p w:rsidR="00703F51" w:rsidRPr="009A44F9" w:rsidP="00EF42CD" w14:paraId="3E052691" w14:textId="77777777">
            <w:pPr>
              <w:spacing w:line="360" w:lineRule="auto"/>
              <w:rPr>
                <w:rFonts w:ascii="宋体" w:hAnsi="宋体"/>
                <w:szCs w:val="21"/>
              </w:rPr>
            </w:pPr>
            <w:r w:rsidRPr="009A44F9">
              <w:rPr>
                <w:rFonts w:ascii="宋体" w:hAnsi="宋体" w:hint="eastAsia"/>
                <w:szCs w:val="21"/>
              </w:rPr>
              <w:t>二、基金托管人</w:t>
            </w:r>
          </w:p>
          <w:p w:rsidR="00703F51" w:rsidRPr="009A44F9" w:rsidP="00EF42CD" w14:paraId="780B5D95" w14:textId="18799DCD">
            <w:pPr>
              <w:spacing w:line="360" w:lineRule="auto"/>
              <w:rPr>
                <w:rFonts w:ascii="宋体" w:hAnsi="宋体"/>
                <w:szCs w:val="21"/>
              </w:rPr>
            </w:pPr>
            <w:r w:rsidRPr="009A44F9">
              <w:rPr>
                <w:rFonts w:ascii="宋体" w:hAnsi="宋体" w:hint="eastAsia"/>
                <w:szCs w:val="21"/>
              </w:rPr>
              <w:t>（一）基金托管人简况</w:t>
            </w:r>
          </w:p>
          <w:p w:rsidR="009532B1" w:rsidRPr="009A44F9" w:rsidP="00EF42CD" w14:paraId="4B7E9011" w14:textId="77777777">
            <w:pPr>
              <w:spacing w:line="360" w:lineRule="auto"/>
              <w:rPr>
                <w:rFonts w:ascii="宋体" w:hAnsi="宋体"/>
                <w:b/>
                <w:szCs w:val="21"/>
              </w:rPr>
            </w:pPr>
            <w:r w:rsidRPr="009A44F9">
              <w:rPr>
                <w:rFonts w:ascii="宋体" w:hAnsi="宋体"/>
                <w:szCs w:val="21"/>
              </w:rPr>
              <w:t>法定代表人：</w:t>
            </w:r>
            <w:r w:rsidRPr="009A44F9">
              <w:rPr>
                <w:rFonts w:ascii="宋体" w:hAnsi="宋体" w:hint="eastAsia"/>
                <w:b/>
                <w:szCs w:val="21"/>
              </w:rPr>
              <w:t>张金良</w:t>
            </w:r>
          </w:p>
          <w:p w:rsidR="00703F51" w:rsidRPr="009A44F9" w:rsidP="00EF42CD" w14:paraId="55CFB5AE" w14:textId="0CA78044">
            <w:pPr>
              <w:spacing w:line="360" w:lineRule="auto"/>
              <w:rPr>
                <w:rFonts w:ascii="宋体" w:hAnsi="宋体"/>
                <w:szCs w:val="21"/>
              </w:rPr>
            </w:pPr>
            <w:r w:rsidRPr="009A44F9">
              <w:rPr>
                <w:rFonts w:ascii="宋体" w:hAnsi="宋体" w:hint="eastAsia"/>
                <w:szCs w:val="21"/>
              </w:rPr>
              <w:t>（二）基金托管人的权利与义务</w:t>
            </w:r>
          </w:p>
          <w:p w:rsidR="00703F51" w:rsidRPr="009A44F9" w:rsidP="00EF42CD" w14:paraId="5169ACA6" w14:textId="77777777">
            <w:pPr>
              <w:spacing w:line="360" w:lineRule="auto"/>
              <w:rPr>
                <w:rFonts w:ascii="宋体" w:hAnsi="宋体"/>
                <w:szCs w:val="21"/>
              </w:rPr>
            </w:pPr>
            <w:r w:rsidRPr="009A44F9">
              <w:rPr>
                <w:rFonts w:ascii="宋体" w:hAnsi="宋体"/>
                <w:szCs w:val="21"/>
              </w:rPr>
              <w:t>2</w:t>
            </w:r>
            <w:r w:rsidRPr="009A44F9">
              <w:rPr>
                <w:rFonts w:ascii="宋体" w:hAnsi="宋体" w:hint="eastAsia"/>
                <w:szCs w:val="21"/>
              </w:rPr>
              <w:t>、根据《基金法》、《运作办法》及其他有关规定，基金托管人的义务包括但不限于：</w:t>
            </w:r>
          </w:p>
          <w:p w:rsidR="00703F51" w:rsidRPr="009A44F9" w:rsidP="00EF42CD" w14:paraId="14A172D1" w14:textId="10F06C6D">
            <w:pPr>
              <w:spacing w:line="360" w:lineRule="auto"/>
              <w:rPr>
                <w:rFonts w:ascii="宋体" w:hAnsi="宋体"/>
                <w:bCs/>
                <w:szCs w:val="21"/>
              </w:rPr>
            </w:pPr>
            <w:r w:rsidRPr="009A44F9">
              <w:rPr>
                <w:rFonts w:ascii="宋体" w:hAnsi="宋体" w:hint="eastAsia"/>
                <w:szCs w:val="21"/>
              </w:rPr>
              <w:t>（</w:t>
            </w:r>
            <w:r w:rsidRPr="009A44F9">
              <w:rPr>
                <w:rFonts w:ascii="宋体" w:hAnsi="宋体"/>
                <w:szCs w:val="21"/>
              </w:rPr>
              <w:t>11</w:t>
            </w:r>
            <w:r w:rsidRPr="009A44F9">
              <w:rPr>
                <w:rFonts w:ascii="宋体" w:hAnsi="宋体" w:hint="eastAsia"/>
                <w:szCs w:val="21"/>
              </w:rPr>
              <w:t>）保存基金托管业务活动的记录、账册、报表和其他相关资料</w:t>
            </w:r>
            <w:r w:rsidRPr="009A44F9">
              <w:rPr>
                <w:rFonts w:ascii="宋体" w:hAnsi="宋体"/>
                <w:b/>
                <w:szCs w:val="21"/>
              </w:rPr>
              <w:t>20</w:t>
            </w:r>
            <w:r w:rsidRPr="009A44F9">
              <w:rPr>
                <w:rFonts w:ascii="宋体" w:hAnsi="宋体" w:hint="eastAsia"/>
                <w:szCs w:val="21"/>
              </w:rPr>
              <w:t>年以上；</w:t>
            </w:r>
          </w:p>
        </w:tc>
      </w:tr>
      <w:tr w14:paraId="2FE97C7F" w14:textId="77777777" w:rsidTr="00780B15">
        <w:tblPrEx>
          <w:tblW w:w="10206" w:type="dxa"/>
          <w:tblInd w:w="-572" w:type="dxa"/>
          <w:tblLayout w:type="fixed"/>
          <w:tblLook w:val="04A0"/>
        </w:tblPrEx>
        <w:tc>
          <w:tcPr>
            <w:tcW w:w="1106" w:type="dxa"/>
            <w:tcBorders>
              <w:top w:val="single" w:sz="4" w:space="0" w:color="auto"/>
              <w:left w:val="single" w:sz="4" w:space="0" w:color="000000"/>
              <w:bottom w:val="single" w:sz="4" w:space="0" w:color="auto"/>
              <w:right w:val="single" w:sz="4" w:space="0" w:color="auto"/>
            </w:tcBorders>
            <w:vAlign w:val="center"/>
          </w:tcPr>
          <w:p w:rsidR="009532B1" w:rsidRPr="009A44F9" w:rsidP="00AA32A1" w14:paraId="76400304" w14:textId="7D949C47">
            <w:pPr>
              <w:spacing w:after="120" w:line="360" w:lineRule="auto"/>
              <w:rPr>
                <w:rFonts w:ascii="宋体" w:hAnsi="宋体"/>
                <w:szCs w:val="21"/>
              </w:rPr>
            </w:pPr>
            <w:bookmarkStart w:id="79" w:name="_Toc446339246"/>
            <w:bookmarkStart w:id="80" w:name="_Toc46167848"/>
            <w:r w:rsidRPr="009A44F9">
              <w:rPr>
                <w:rFonts w:ascii="宋体" w:hAnsi="宋体" w:hint="eastAsia"/>
                <w:szCs w:val="21"/>
              </w:rPr>
              <w:t>第九部分</w:t>
            </w:r>
            <w:r w:rsidRPr="009A44F9">
              <w:rPr>
                <w:rFonts w:ascii="宋体" w:hAnsi="宋体"/>
                <w:szCs w:val="21"/>
              </w:rPr>
              <w:t xml:space="preserve"> </w:t>
            </w:r>
            <w:r w:rsidRPr="009A44F9">
              <w:rPr>
                <w:rFonts w:ascii="宋体" w:hAnsi="宋体" w:hint="eastAsia"/>
                <w:szCs w:val="21"/>
              </w:rPr>
              <w:t>基金份额持有人大会</w:t>
            </w:r>
            <w:bookmarkEnd w:id="79"/>
            <w:bookmarkEnd w:id="80"/>
          </w:p>
        </w:tc>
        <w:tc>
          <w:tcPr>
            <w:tcW w:w="4706" w:type="dxa"/>
            <w:tcBorders>
              <w:top w:val="single" w:sz="4" w:space="0" w:color="auto"/>
              <w:left w:val="single" w:sz="4" w:space="0" w:color="auto"/>
              <w:bottom w:val="single" w:sz="4" w:space="0" w:color="auto"/>
              <w:right w:val="single" w:sz="4" w:space="0" w:color="auto"/>
            </w:tcBorders>
          </w:tcPr>
          <w:p w:rsidR="009532B1" w:rsidRPr="009A44F9" w:rsidP="00972B08" w14:paraId="1DF19F5E" w14:textId="546C0BFD">
            <w:pPr>
              <w:spacing w:line="360" w:lineRule="auto"/>
              <w:ind w:firstLine="420" w:firstLineChars="200"/>
              <w:rPr>
                <w:rFonts w:ascii="宋体" w:hAnsi="宋体"/>
                <w:bCs/>
                <w:szCs w:val="21"/>
              </w:rPr>
            </w:pPr>
          </w:p>
        </w:tc>
        <w:tc>
          <w:tcPr>
            <w:tcW w:w="4394" w:type="dxa"/>
            <w:tcBorders>
              <w:top w:val="single" w:sz="4" w:space="0" w:color="auto"/>
              <w:left w:val="single" w:sz="4" w:space="0" w:color="auto"/>
              <w:bottom w:val="single" w:sz="4" w:space="0" w:color="auto"/>
              <w:right w:val="single" w:sz="4" w:space="0" w:color="000000"/>
            </w:tcBorders>
          </w:tcPr>
          <w:p w:rsidR="00703F51" w:rsidRPr="009A44F9" w:rsidP="00EF42CD" w14:paraId="6B9A2247" w14:textId="3CB33A85">
            <w:pPr>
              <w:spacing w:line="360" w:lineRule="auto"/>
              <w:rPr>
                <w:rFonts w:ascii="宋体" w:hAnsi="宋体" w:cs="宋体"/>
                <w:b/>
                <w:szCs w:val="21"/>
              </w:rPr>
            </w:pPr>
            <w:r>
              <w:rPr>
                <w:rFonts w:ascii="宋体" w:hAnsi="宋体" w:cs="宋体"/>
                <w:b/>
                <w:szCs w:val="21"/>
                <w:highlight w:val="white"/>
              </w:rPr>
              <w:t>增加：“</w:t>
            </w:r>
            <w:r w:rsidRPr="009A44F9">
              <w:rPr>
                <w:rFonts w:ascii="宋体" w:hAnsi="宋体" w:cs="宋体" w:hint="eastAsia"/>
                <w:b/>
                <w:szCs w:val="21"/>
                <w:highlight w:val="white"/>
              </w:rPr>
              <w:t>九、实施侧袋机制期间基金份额持有人大会的特殊约定</w:t>
            </w:r>
          </w:p>
          <w:p w:rsidR="00703F51" w:rsidRPr="009A44F9" w:rsidP="00EF42CD" w14:paraId="1321E50C" w14:textId="77777777">
            <w:pPr>
              <w:spacing w:line="360" w:lineRule="auto"/>
              <w:rPr>
                <w:rFonts w:ascii="宋体" w:hAnsi="宋体" w:cs="宋体"/>
                <w:b/>
                <w:szCs w:val="21"/>
              </w:rPr>
            </w:pPr>
            <w:r w:rsidRPr="009A44F9">
              <w:rPr>
                <w:rFonts w:ascii="宋体" w:hAnsi="宋体" w:cs="宋体" w:hint="eastAsia"/>
                <w:b/>
                <w:szCs w:val="21"/>
                <w:highlight w:val="white"/>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703F51" w:rsidRPr="009A44F9" w:rsidP="00EF42CD" w14:paraId="165CBC87" w14:textId="77777777">
            <w:pPr>
              <w:spacing w:line="360" w:lineRule="auto"/>
              <w:rPr>
                <w:rFonts w:ascii="宋体" w:hAnsi="宋体" w:cs="宋体"/>
                <w:b/>
                <w:szCs w:val="21"/>
              </w:rPr>
            </w:pPr>
            <w:r w:rsidRPr="009A44F9">
              <w:rPr>
                <w:rFonts w:ascii="宋体" w:hAnsi="宋体" w:cs="宋体"/>
                <w:b/>
                <w:szCs w:val="21"/>
                <w:highlight w:val="white"/>
              </w:rPr>
              <w:t>1</w:t>
            </w:r>
            <w:r w:rsidRPr="009A44F9">
              <w:rPr>
                <w:rFonts w:ascii="宋体" w:hAnsi="宋体" w:cs="宋体" w:hint="eastAsia"/>
                <w:b/>
                <w:szCs w:val="21"/>
                <w:highlight w:val="white"/>
              </w:rPr>
              <w:t>、基金份额持有人行使提议权、召集权、提名权所需单独或合计代表相关基金份额</w:t>
            </w:r>
            <w:r w:rsidRPr="009A44F9">
              <w:rPr>
                <w:rFonts w:ascii="宋体" w:hAnsi="宋体" w:cs="宋体"/>
                <w:b/>
                <w:szCs w:val="21"/>
                <w:highlight w:val="white"/>
              </w:rPr>
              <w:t>10%</w:t>
            </w:r>
            <w:r w:rsidRPr="009A44F9">
              <w:rPr>
                <w:rFonts w:ascii="宋体" w:hAnsi="宋体" w:cs="宋体" w:hint="eastAsia"/>
                <w:b/>
                <w:szCs w:val="21"/>
                <w:highlight w:val="white"/>
              </w:rPr>
              <w:t>以上（含</w:t>
            </w:r>
            <w:r w:rsidRPr="009A44F9">
              <w:rPr>
                <w:rFonts w:ascii="宋体" w:hAnsi="宋体" w:cs="宋体"/>
                <w:b/>
                <w:szCs w:val="21"/>
                <w:highlight w:val="white"/>
              </w:rPr>
              <w:t>10%</w:t>
            </w:r>
            <w:r w:rsidRPr="009A44F9">
              <w:rPr>
                <w:rFonts w:ascii="宋体" w:hAnsi="宋体" w:cs="宋体" w:hint="eastAsia"/>
                <w:b/>
                <w:szCs w:val="21"/>
                <w:highlight w:val="white"/>
              </w:rPr>
              <w:t>）；</w:t>
            </w:r>
          </w:p>
          <w:p w:rsidR="00703F51" w:rsidRPr="009A44F9" w:rsidP="00EF42CD" w14:paraId="7EB93F3C" w14:textId="77777777">
            <w:pPr>
              <w:spacing w:line="360" w:lineRule="auto"/>
              <w:rPr>
                <w:rFonts w:ascii="宋体" w:hAnsi="宋体" w:cs="宋体"/>
                <w:b/>
                <w:szCs w:val="21"/>
              </w:rPr>
            </w:pPr>
            <w:r w:rsidRPr="009A44F9">
              <w:rPr>
                <w:rFonts w:ascii="宋体" w:hAnsi="宋体" w:cs="宋体"/>
                <w:b/>
                <w:szCs w:val="21"/>
                <w:highlight w:val="white"/>
              </w:rPr>
              <w:t>2</w:t>
            </w:r>
            <w:r w:rsidRPr="009A44F9">
              <w:rPr>
                <w:rFonts w:ascii="宋体" w:hAnsi="宋体" w:cs="宋体" w:hint="eastAsia"/>
                <w:b/>
                <w:szCs w:val="21"/>
                <w:highlight w:val="white"/>
              </w:rPr>
              <w:t>、现场开会的到会者在权益登记日代表的基金份额不少于本基金在权益登记日相关基金份额的二分之一（含二分之一）；</w:t>
            </w:r>
          </w:p>
          <w:p w:rsidR="00703F51" w:rsidRPr="009A44F9" w:rsidP="00EF42CD" w14:paraId="23BBE9D8" w14:textId="77777777">
            <w:pPr>
              <w:spacing w:line="360" w:lineRule="auto"/>
              <w:rPr>
                <w:rFonts w:ascii="宋体" w:hAnsi="宋体" w:cs="宋体"/>
                <w:b/>
                <w:szCs w:val="21"/>
              </w:rPr>
            </w:pPr>
            <w:r w:rsidRPr="009A44F9">
              <w:rPr>
                <w:rFonts w:ascii="宋体" w:hAnsi="宋体" w:cs="宋体"/>
                <w:b/>
                <w:szCs w:val="21"/>
                <w:highlight w:val="white"/>
              </w:rPr>
              <w:t>3</w:t>
            </w:r>
            <w:r w:rsidRPr="009A44F9">
              <w:rPr>
                <w:rFonts w:ascii="宋体" w:hAnsi="宋体" w:cs="宋体" w:hint="eastAsia"/>
                <w:b/>
                <w:szCs w:val="21"/>
                <w:highlight w:val="white"/>
              </w:rPr>
              <w:t>、通讯开会的直接出具书面意见或授权他人代表出具书面意见的基金份额持有人所持有的基金份额不小于在权益登记日相关基金份额的二分之一（含二分之一）；</w:t>
            </w:r>
          </w:p>
          <w:p w:rsidR="00703F51" w:rsidRPr="009A44F9" w:rsidP="00EF42CD" w14:paraId="7B06BF7C" w14:textId="77777777">
            <w:pPr>
              <w:spacing w:line="360" w:lineRule="auto"/>
              <w:rPr>
                <w:rFonts w:ascii="宋体" w:hAnsi="宋体" w:cs="宋体"/>
                <w:b/>
                <w:szCs w:val="21"/>
              </w:rPr>
            </w:pPr>
            <w:r w:rsidRPr="009A44F9">
              <w:rPr>
                <w:rFonts w:ascii="宋体" w:hAnsi="宋体" w:cs="宋体"/>
                <w:b/>
                <w:szCs w:val="21"/>
                <w:highlight w:val="white"/>
              </w:rPr>
              <w:t>4</w:t>
            </w:r>
            <w:r w:rsidRPr="009A44F9">
              <w:rPr>
                <w:rFonts w:ascii="宋体" w:hAnsi="宋体" w:cs="宋体" w:hint="eastAsia"/>
                <w:b/>
                <w:szCs w:val="21"/>
                <w:highlight w:val="white"/>
              </w:rPr>
              <w:t>、在参与基金份额持有人大会投票的基金份额持有人所持有的基金份额小于在权益登记日相关基金份额的二分之一、召集人在原公告的基金份额持有人大会召开时间的</w:t>
            </w:r>
            <w:r w:rsidRPr="009A44F9">
              <w:rPr>
                <w:rFonts w:ascii="宋体" w:hAnsi="宋体" w:cs="宋体"/>
                <w:b/>
                <w:szCs w:val="21"/>
                <w:highlight w:val="white"/>
              </w:rPr>
              <w:t>3</w:t>
            </w:r>
            <w:r w:rsidRPr="009A44F9">
              <w:rPr>
                <w:rFonts w:ascii="宋体" w:hAnsi="宋体" w:cs="宋体" w:hint="eastAsia"/>
                <w:b/>
                <w:szCs w:val="21"/>
                <w:highlight w:val="white"/>
              </w:rPr>
              <w:t>个月以后、</w:t>
            </w:r>
            <w:r w:rsidRPr="009A44F9">
              <w:rPr>
                <w:rFonts w:ascii="宋体" w:hAnsi="宋体" w:cs="宋体"/>
                <w:b/>
                <w:szCs w:val="21"/>
                <w:highlight w:val="white"/>
              </w:rPr>
              <w:t>6</w:t>
            </w:r>
            <w:r w:rsidRPr="009A44F9">
              <w:rPr>
                <w:rFonts w:ascii="宋体" w:hAnsi="宋体" w:cs="宋体" w:hint="eastAsia"/>
                <w:b/>
                <w:szCs w:val="21"/>
                <w:highlight w:val="white"/>
              </w:rPr>
              <w:t>个月以内就原定审议事项重新召集的基金份额持有人大会应当有代表三分之一以上（含三分之一）相关基金份额的持有人参与或授权他人参与基金份额持有人大会投票；</w:t>
            </w:r>
          </w:p>
          <w:p w:rsidR="00703F51" w:rsidRPr="009A44F9" w:rsidP="00EF42CD" w14:paraId="4CECE4D8" w14:textId="77777777">
            <w:pPr>
              <w:spacing w:line="360" w:lineRule="auto"/>
              <w:rPr>
                <w:rFonts w:ascii="宋体" w:hAnsi="宋体" w:cs="宋体"/>
                <w:b/>
                <w:szCs w:val="21"/>
              </w:rPr>
            </w:pPr>
            <w:r w:rsidRPr="009A44F9">
              <w:rPr>
                <w:rFonts w:ascii="宋体" w:hAnsi="宋体" w:cs="宋体"/>
                <w:b/>
                <w:szCs w:val="21"/>
                <w:highlight w:val="white"/>
              </w:rPr>
              <w:t>5</w:t>
            </w:r>
            <w:r w:rsidRPr="009A44F9">
              <w:rPr>
                <w:rFonts w:ascii="宋体" w:hAnsi="宋体" w:cs="宋体" w:hint="eastAsia"/>
                <w:b/>
                <w:szCs w:val="21"/>
                <w:highlight w:val="white"/>
              </w:rPr>
              <w:t>、现场开会由出席大会的基金份额持有人和代理人所持表决权的</w:t>
            </w:r>
            <w:r w:rsidRPr="009A44F9">
              <w:rPr>
                <w:rFonts w:ascii="宋体" w:hAnsi="宋体" w:cs="宋体"/>
                <w:b/>
                <w:szCs w:val="21"/>
                <w:highlight w:val="white"/>
              </w:rPr>
              <w:t>50%</w:t>
            </w:r>
            <w:r w:rsidRPr="009A44F9">
              <w:rPr>
                <w:rFonts w:ascii="宋体" w:hAnsi="宋体" w:cs="宋体" w:hint="eastAsia"/>
                <w:b/>
                <w:szCs w:val="21"/>
                <w:highlight w:val="white"/>
              </w:rPr>
              <w:t>以上（含</w:t>
            </w:r>
            <w:r w:rsidRPr="009A44F9">
              <w:rPr>
                <w:rFonts w:ascii="宋体" w:hAnsi="宋体" w:cs="宋体"/>
                <w:b/>
                <w:szCs w:val="21"/>
                <w:highlight w:val="white"/>
              </w:rPr>
              <w:t>50%</w:t>
            </w:r>
            <w:r w:rsidRPr="009A44F9">
              <w:rPr>
                <w:rFonts w:ascii="宋体" w:hAnsi="宋体" w:cs="宋体" w:hint="eastAsia"/>
                <w:b/>
                <w:szCs w:val="21"/>
                <w:highlight w:val="white"/>
              </w:rPr>
              <w:t>）选举产生一名基金份额持有人作为该次基金份额持有人大会的主持人；</w:t>
            </w:r>
          </w:p>
          <w:p w:rsidR="00703F51" w:rsidRPr="009A44F9" w:rsidP="00EF42CD" w14:paraId="3714026B" w14:textId="77777777">
            <w:pPr>
              <w:spacing w:line="360" w:lineRule="auto"/>
              <w:rPr>
                <w:rFonts w:ascii="宋体" w:hAnsi="宋体" w:cs="宋体"/>
                <w:b/>
                <w:szCs w:val="21"/>
              </w:rPr>
            </w:pPr>
            <w:r w:rsidRPr="009A44F9">
              <w:rPr>
                <w:rFonts w:ascii="宋体" w:hAnsi="宋体" w:cs="宋体"/>
                <w:b/>
                <w:szCs w:val="21"/>
                <w:highlight w:val="white"/>
              </w:rPr>
              <w:t>6</w:t>
            </w:r>
            <w:r w:rsidRPr="009A44F9">
              <w:rPr>
                <w:rFonts w:ascii="宋体" w:hAnsi="宋体" w:cs="宋体" w:hint="eastAsia"/>
                <w:b/>
                <w:szCs w:val="21"/>
                <w:highlight w:val="white"/>
              </w:rPr>
              <w:t>、一般决议须经参加大会的基金份额持有人或其代理人所持表决权的二分之一以上（含二分之一）通过；</w:t>
            </w:r>
          </w:p>
          <w:p w:rsidR="00703F51" w:rsidRPr="009A44F9" w:rsidP="00EF42CD" w14:paraId="15AD9572" w14:textId="77777777">
            <w:pPr>
              <w:spacing w:line="360" w:lineRule="auto"/>
              <w:rPr>
                <w:rFonts w:ascii="宋体" w:hAnsi="宋体" w:cs="宋体"/>
                <w:b/>
                <w:szCs w:val="21"/>
              </w:rPr>
            </w:pPr>
            <w:r w:rsidRPr="009A44F9">
              <w:rPr>
                <w:rFonts w:ascii="宋体" w:hAnsi="宋体" w:cs="宋体"/>
                <w:b/>
                <w:szCs w:val="21"/>
                <w:highlight w:val="white"/>
              </w:rPr>
              <w:t>7</w:t>
            </w:r>
            <w:r w:rsidRPr="009A44F9">
              <w:rPr>
                <w:rFonts w:ascii="宋体" w:hAnsi="宋体" w:cs="宋体" w:hint="eastAsia"/>
                <w:b/>
                <w:szCs w:val="21"/>
                <w:highlight w:val="white"/>
              </w:rPr>
              <w:t>、特别决议应当经参加大会的基金份额持有人或其代理人所持表决权的三分之二以上（含三分之二）通过。</w:t>
            </w:r>
          </w:p>
          <w:p w:rsidR="009532B1" w:rsidRPr="009A44F9" w:rsidP="00EF42CD" w14:paraId="6B261B12" w14:textId="0B54E735">
            <w:pPr>
              <w:spacing w:line="360" w:lineRule="auto"/>
              <w:rPr>
                <w:rFonts w:ascii="宋体" w:hAnsi="宋体"/>
                <w:szCs w:val="21"/>
              </w:rPr>
            </w:pPr>
            <w:r w:rsidRPr="009A44F9">
              <w:rPr>
                <w:rFonts w:ascii="宋体" w:hAnsi="宋体" w:cs="宋体" w:hint="eastAsia"/>
                <w:b/>
                <w:szCs w:val="21"/>
                <w:highlight w:val="white"/>
              </w:rPr>
              <w:t>同一主侧袋账户内的每份基金份额具有平等的表决权。</w:t>
            </w:r>
            <w:r w:rsidR="00590E94">
              <w:rPr>
                <w:rFonts w:ascii="宋体" w:hAnsi="宋体" w:cs="宋体" w:hint="eastAsia"/>
                <w:b/>
                <w:szCs w:val="21"/>
                <w:highlight w:val="white"/>
              </w:rPr>
              <w:t>”</w:t>
            </w:r>
          </w:p>
        </w:tc>
      </w:tr>
      <w:tr w14:paraId="583499E3" w14:textId="77777777" w:rsidTr="00780B15">
        <w:tblPrEx>
          <w:tblW w:w="10206" w:type="dxa"/>
          <w:tblInd w:w="-572" w:type="dxa"/>
          <w:tblLayout w:type="fixed"/>
          <w:tblLook w:val="04A0"/>
        </w:tblPrEx>
        <w:tc>
          <w:tcPr>
            <w:tcW w:w="1106" w:type="dxa"/>
            <w:tcBorders>
              <w:top w:val="single" w:sz="4" w:space="0" w:color="auto"/>
              <w:left w:val="single" w:sz="4" w:space="0" w:color="000000"/>
              <w:bottom w:val="single" w:sz="4" w:space="0" w:color="auto"/>
              <w:right w:val="single" w:sz="4" w:space="0" w:color="auto"/>
            </w:tcBorders>
            <w:vAlign w:val="center"/>
          </w:tcPr>
          <w:p w:rsidR="00703F51" w:rsidRPr="009A44F9" w:rsidP="00703F51" w14:paraId="4499ACCB" w14:textId="277708B5">
            <w:pPr>
              <w:spacing w:line="360" w:lineRule="auto"/>
              <w:rPr>
                <w:rFonts w:ascii="宋体" w:hAnsi="宋体"/>
                <w:szCs w:val="21"/>
              </w:rPr>
            </w:pPr>
            <w:bookmarkStart w:id="81" w:name="_Toc46167852"/>
            <w:r w:rsidRPr="009A44F9">
              <w:rPr>
                <w:rFonts w:ascii="宋体" w:hAnsi="宋体" w:hint="eastAsia"/>
                <w:szCs w:val="21"/>
              </w:rPr>
              <w:t>第十三部分</w:t>
            </w:r>
            <w:r w:rsidRPr="009A44F9">
              <w:rPr>
                <w:rFonts w:ascii="宋体" w:hAnsi="宋体"/>
                <w:szCs w:val="21"/>
              </w:rPr>
              <w:t xml:space="preserve"> </w:t>
            </w:r>
            <w:r w:rsidRPr="009A44F9">
              <w:rPr>
                <w:rFonts w:ascii="宋体" w:hAnsi="宋体" w:hint="eastAsia"/>
                <w:szCs w:val="21"/>
              </w:rPr>
              <w:t>基金的投资</w:t>
            </w:r>
            <w:bookmarkEnd w:id="81"/>
          </w:p>
        </w:tc>
        <w:tc>
          <w:tcPr>
            <w:tcW w:w="4706" w:type="dxa"/>
            <w:tcBorders>
              <w:top w:val="single" w:sz="4" w:space="0" w:color="auto"/>
              <w:left w:val="single" w:sz="4" w:space="0" w:color="auto"/>
              <w:bottom w:val="single" w:sz="4" w:space="0" w:color="auto"/>
              <w:right w:val="single" w:sz="4" w:space="0" w:color="auto"/>
            </w:tcBorders>
          </w:tcPr>
          <w:p w:rsidR="008A2A43" w:rsidRPr="009A44F9" w:rsidP="00EF42CD" w14:paraId="32ABE2B9" w14:textId="77777777">
            <w:pPr>
              <w:spacing w:line="360" w:lineRule="auto"/>
              <w:rPr>
                <w:rFonts w:ascii="宋体" w:hAnsi="宋体"/>
                <w:szCs w:val="21"/>
              </w:rPr>
            </w:pPr>
            <w:r w:rsidRPr="009A44F9">
              <w:rPr>
                <w:rFonts w:ascii="宋体" w:hAnsi="宋体" w:hint="eastAsia"/>
                <w:szCs w:val="21"/>
              </w:rPr>
              <w:t>二、投资范围</w:t>
            </w:r>
          </w:p>
          <w:p w:rsidR="008A2A43" w:rsidRPr="009A44F9" w:rsidP="00EF42CD" w14:paraId="7F277BF7" w14:textId="77777777">
            <w:pPr>
              <w:spacing w:line="360" w:lineRule="auto"/>
              <w:rPr>
                <w:rFonts w:ascii="宋体" w:hAnsi="宋体"/>
                <w:bCs/>
                <w:szCs w:val="21"/>
              </w:rPr>
            </w:pPr>
            <w:r w:rsidRPr="009A44F9">
              <w:rPr>
                <w:rFonts w:ascii="宋体" w:hAnsi="宋体" w:hint="eastAsia"/>
                <w:bCs/>
                <w:szCs w:val="21"/>
              </w:rPr>
              <w:t>本基金的投资范围包括国内依法发行上市的股票（含科创板、</w:t>
            </w:r>
            <w:r w:rsidRPr="009A44F9">
              <w:rPr>
                <w:rFonts w:ascii="宋体" w:hAnsi="宋体" w:hint="eastAsia"/>
                <w:b/>
                <w:bCs/>
                <w:szCs w:val="21"/>
              </w:rPr>
              <w:t>中小板</w:t>
            </w:r>
            <w:r w:rsidRPr="009A44F9">
              <w:rPr>
                <w:rFonts w:ascii="宋体" w:hAnsi="宋体" w:hint="eastAsia"/>
                <w:bCs/>
                <w:szCs w:val="21"/>
              </w:rPr>
              <w:t>、创业板及其他依法发行、上市的股票、存托凭证）</w:t>
            </w:r>
            <w:r w:rsidRPr="009A44F9">
              <w:rPr>
                <w:rFonts w:ascii="宋体" w:hAnsi="宋体"/>
                <w:bCs/>
                <w:szCs w:val="21"/>
              </w:rPr>
              <w:t>……</w:t>
            </w:r>
          </w:p>
          <w:p w:rsidR="008A2A43" w:rsidRPr="009A44F9" w:rsidP="00EF42CD" w14:paraId="35391CB4" w14:textId="77777777">
            <w:pPr>
              <w:spacing w:line="360" w:lineRule="auto"/>
              <w:rPr>
                <w:rFonts w:ascii="宋体" w:hAnsi="宋体"/>
                <w:szCs w:val="21"/>
              </w:rPr>
            </w:pPr>
            <w:r w:rsidRPr="009A44F9">
              <w:rPr>
                <w:rFonts w:ascii="宋体" w:hAnsi="宋体" w:hint="eastAsia"/>
                <w:szCs w:val="21"/>
              </w:rPr>
              <w:t>五、业绩比较基准</w:t>
            </w:r>
          </w:p>
          <w:p w:rsidR="008A2A43" w:rsidRPr="009A44F9" w:rsidP="00EF42CD" w14:paraId="6B0F0419" w14:textId="77777777">
            <w:pPr>
              <w:spacing w:line="360" w:lineRule="auto"/>
              <w:rPr>
                <w:rFonts w:ascii="宋体" w:hAnsi="宋体"/>
                <w:b/>
                <w:bCs/>
                <w:szCs w:val="21"/>
              </w:rPr>
            </w:pPr>
            <w:r w:rsidRPr="009A44F9">
              <w:rPr>
                <w:rFonts w:ascii="宋体" w:hAnsi="宋体" w:hint="eastAsia"/>
                <w:b/>
                <w:bCs/>
                <w:szCs w:val="21"/>
              </w:rPr>
              <w:t>中国战略新兴产业成份指数</w:t>
            </w:r>
            <w:r w:rsidRPr="009A44F9">
              <w:rPr>
                <w:rFonts w:ascii="宋体" w:hAnsi="宋体" w:hint="eastAsia"/>
                <w:bCs/>
                <w:szCs w:val="21"/>
              </w:rPr>
              <w:t>收益率×</w:t>
            </w:r>
            <w:r w:rsidRPr="009A44F9">
              <w:rPr>
                <w:rFonts w:ascii="宋体" w:hAnsi="宋体"/>
                <w:b/>
                <w:bCs/>
                <w:szCs w:val="21"/>
              </w:rPr>
              <w:t>65%</w:t>
            </w:r>
            <w:r w:rsidRPr="009A44F9">
              <w:rPr>
                <w:rFonts w:ascii="宋体" w:hAnsi="宋体"/>
                <w:bCs/>
                <w:szCs w:val="21"/>
              </w:rPr>
              <w:t>+</w:t>
            </w:r>
            <w:r w:rsidRPr="009A44F9">
              <w:rPr>
                <w:rFonts w:ascii="宋体" w:hAnsi="宋体" w:hint="eastAsia"/>
                <w:bCs/>
                <w:szCs w:val="21"/>
              </w:rPr>
              <w:t>中证港股通综合指数收益率×</w:t>
            </w:r>
            <w:r w:rsidRPr="009A44F9">
              <w:rPr>
                <w:rFonts w:ascii="宋体" w:hAnsi="宋体"/>
                <w:b/>
                <w:bCs/>
                <w:szCs w:val="21"/>
              </w:rPr>
              <w:t>10%</w:t>
            </w:r>
            <w:r w:rsidRPr="009A44F9">
              <w:rPr>
                <w:rFonts w:ascii="宋体" w:hAnsi="宋体"/>
                <w:bCs/>
                <w:szCs w:val="21"/>
              </w:rPr>
              <w:t>+</w:t>
            </w:r>
            <w:r w:rsidRPr="009A44F9">
              <w:rPr>
                <w:rFonts w:ascii="宋体" w:hAnsi="宋体" w:hint="eastAsia"/>
                <w:bCs/>
                <w:szCs w:val="21"/>
              </w:rPr>
              <w:t>中债总指数收益率×</w:t>
            </w:r>
            <w:r w:rsidRPr="009A44F9">
              <w:rPr>
                <w:rFonts w:ascii="宋体" w:hAnsi="宋体"/>
                <w:b/>
                <w:bCs/>
                <w:szCs w:val="21"/>
              </w:rPr>
              <w:t>25%</w:t>
            </w:r>
          </w:p>
          <w:p w:rsidR="008A2A43" w:rsidRPr="009A44F9" w:rsidP="00EF42CD" w14:paraId="7501298A" w14:textId="77777777">
            <w:pPr>
              <w:spacing w:line="360" w:lineRule="auto"/>
              <w:rPr>
                <w:rFonts w:ascii="宋体" w:hAnsi="宋体"/>
                <w:bCs/>
                <w:szCs w:val="21"/>
              </w:rPr>
            </w:pPr>
            <w:r w:rsidRPr="009A44F9">
              <w:rPr>
                <w:rFonts w:ascii="宋体" w:hAnsi="宋体" w:hint="eastAsia"/>
                <w:bCs/>
                <w:szCs w:val="21"/>
              </w:rPr>
              <w:t>本基金选定</w:t>
            </w:r>
            <w:r w:rsidRPr="00C023D9">
              <w:rPr>
                <w:rFonts w:ascii="宋体" w:hAnsi="宋体" w:hint="eastAsia"/>
                <w:b/>
                <w:bCs/>
                <w:szCs w:val="21"/>
              </w:rPr>
              <w:t>中国战略新兴产业成份指数</w:t>
            </w:r>
            <w:r w:rsidRPr="009A44F9">
              <w:rPr>
                <w:rFonts w:ascii="宋体" w:hAnsi="宋体" w:hint="eastAsia"/>
                <w:bCs/>
                <w:szCs w:val="21"/>
              </w:rPr>
              <w:t>和中证港股通综合指数作为股票部分的业绩比较基准</w:t>
            </w:r>
            <w:r w:rsidRPr="009A44F9">
              <w:rPr>
                <w:rFonts w:ascii="宋体" w:hAnsi="宋体"/>
                <w:bCs/>
                <w:szCs w:val="21"/>
              </w:rPr>
              <w:t>……</w:t>
            </w:r>
          </w:p>
          <w:p w:rsidR="00703F51" w:rsidRPr="009A44F9" w:rsidP="008A2A43" w14:paraId="5686D07F" w14:textId="2ACF7D28">
            <w:pPr>
              <w:spacing w:line="360" w:lineRule="auto"/>
              <w:ind w:firstLine="420" w:firstLineChars="200"/>
              <w:rPr>
                <w:rFonts w:ascii="宋体" w:hAnsi="宋体"/>
                <w:b/>
                <w:bCs/>
                <w:szCs w:val="21"/>
              </w:rPr>
            </w:pPr>
          </w:p>
        </w:tc>
        <w:tc>
          <w:tcPr>
            <w:tcW w:w="4394" w:type="dxa"/>
            <w:tcBorders>
              <w:top w:val="single" w:sz="4" w:space="0" w:color="auto"/>
              <w:left w:val="single" w:sz="4" w:space="0" w:color="auto"/>
              <w:bottom w:val="single" w:sz="4" w:space="0" w:color="auto"/>
              <w:right w:val="single" w:sz="4" w:space="0" w:color="000000"/>
            </w:tcBorders>
          </w:tcPr>
          <w:p w:rsidR="00703F51" w:rsidRPr="009A44F9" w:rsidP="00EF42CD" w14:paraId="778D90CB" w14:textId="77777777">
            <w:pPr>
              <w:spacing w:line="360" w:lineRule="auto"/>
              <w:rPr>
                <w:rFonts w:ascii="宋体" w:hAnsi="宋体"/>
                <w:szCs w:val="21"/>
              </w:rPr>
            </w:pPr>
            <w:r w:rsidRPr="009A44F9">
              <w:rPr>
                <w:rFonts w:ascii="宋体" w:hAnsi="宋体" w:hint="eastAsia"/>
                <w:szCs w:val="21"/>
              </w:rPr>
              <w:t>二、投资范围</w:t>
            </w:r>
          </w:p>
          <w:p w:rsidR="00703F51" w:rsidRPr="009A44F9" w:rsidP="00EF42CD" w14:paraId="40495E9C" w14:textId="77777777">
            <w:pPr>
              <w:spacing w:line="360" w:lineRule="auto"/>
              <w:rPr>
                <w:rFonts w:ascii="宋体" w:hAnsi="宋体"/>
                <w:bCs/>
                <w:szCs w:val="21"/>
              </w:rPr>
            </w:pPr>
            <w:r w:rsidRPr="009A44F9">
              <w:rPr>
                <w:rFonts w:ascii="宋体" w:hAnsi="宋体" w:hint="eastAsia"/>
                <w:bCs/>
                <w:szCs w:val="21"/>
              </w:rPr>
              <w:t>本基金的投资范围包括国内依法发行上市的股票（含科创板、创业板及其他依法发行、上市的股票、存托凭证）</w:t>
            </w:r>
            <w:r w:rsidRPr="009A44F9">
              <w:rPr>
                <w:rFonts w:ascii="宋体" w:hAnsi="宋体"/>
                <w:bCs/>
                <w:szCs w:val="21"/>
              </w:rPr>
              <w:t>……</w:t>
            </w:r>
          </w:p>
          <w:p w:rsidR="00703F51" w:rsidRPr="009A44F9" w:rsidP="00EF42CD" w14:paraId="59BF5712" w14:textId="77777777">
            <w:pPr>
              <w:spacing w:line="360" w:lineRule="auto"/>
              <w:rPr>
                <w:rFonts w:ascii="宋体" w:hAnsi="宋体"/>
                <w:szCs w:val="21"/>
              </w:rPr>
            </w:pPr>
            <w:r w:rsidRPr="009A44F9">
              <w:rPr>
                <w:rFonts w:ascii="宋体" w:hAnsi="宋体" w:hint="eastAsia"/>
                <w:szCs w:val="21"/>
              </w:rPr>
              <w:t>五、业绩比较基准</w:t>
            </w:r>
          </w:p>
          <w:p w:rsidR="00703F51" w:rsidRPr="009A44F9" w:rsidP="00EF42CD" w14:paraId="1C7C238F" w14:textId="77777777">
            <w:pPr>
              <w:spacing w:line="360" w:lineRule="auto"/>
              <w:rPr>
                <w:rFonts w:ascii="宋体" w:hAnsi="宋体"/>
                <w:bCs/>
                <w:szCs w:val="21"/>
              </w:rPr>
            </w:pPr>
            <w:r w:rsidRPr="009A44F9">
              <w:rPr>
                <w:rFonts w:ascii="宋体" w:hAnsi="宋体"/>
                <w:b/>
                <w:bCs/>
                <w:szCs w:val="21"/>
              </w:rPr>
              <w:t>上证科创板50成份指数</w:t>
            </w:r>
            <w:r w:rsidRPr="009A44F9">
              <w:rPr>
                <w:rFonts w:ascii="宋体" w:hAnsi="宋体" w:hint="eastAsia"/>
                <w:bCs/>
                <w:szCs w:val="21"/>
              </w:rPr>
              <w:t>收益率×</w:t>
            </w:r>
            <w:r w:rsidRPr="009A44F9">
              <w:rPr>
                <w:rFonts w:ascii="宋体" w:hAnsi="宋体" w:hint="eastAsia"/>
                <w:b/>
                <w:bCs/>
                <w:szCs w:val="21"/>
              </w:rPr>
              <w:t>80</w:t>
            </w:r>
            <w:r w:rsidRPr="009A44F9">
              <w:rPr>
                <w:rFonts w:ascii="宋体" w:hAnsi="宋体"/>
                <w:b/>
                <w:bCs/>
                <w:szCs w:val="21"/>
              </w:rPr>
              <w:t>%</w:t>
            </w:r>
            <w:r w:rsidRPr="009A44F9">
              <w:rPr>
                <w:rFonts w:ascii="宋体" w:hAnsi="宋体"/>
                <w:bCs/>
                <w:szCs w:val="21"/>
              </w:rPr>
              <w:t>+</w:t>
            </w:r>
            <w:r w:rsidRPr="009A44F9">
              <w:rPr>
                <w:rFonts w:ascii="宋体" w:hAnsi="宋体" w:hint="eastAsia"/>
                <w:bCs/>
                <w:szCs w:val="21"/>
              </w:rPr>
              <w:t>中证港股通综合指数收益率×</w:t>
            </w:r>
            <w:r w:rsidRPr="009A44F9">
              <w:rPr>
                <w:rFonts w:ascii="宋体" w:hAnsi="宋体" w:hint="eastAsia"/>
                <w:b/>
                <w:bCs/>
                <w:szCs w:val="21"/>
              </w:rPr>
              <w:t>5</w:t>
            </w:r>
            <w:r w:rsidRPr="009A44F9">
              <w:rPr>
                <w:rFonts w:ascii="宋体" w:hAnsi="宋体"/>
                <w:b/>
                <w:bCs/>
                <w:szCs w:val="21"/>
              </w:rPr>
              <w:t>%</w:t>
            </w:r>
            <w:r w:rsidRPr="009A44F9">
              <w:rPr>
                <w:rFonts w:ascii="宋体" w:hAnsi="宋体"/>
                <w:bCs/>
                <w:szCs w:val="21"/>
              </w:rPr>
              <w:t>+</w:t>
            </w:r>
            <w:r w:rsidRPr="009A44F9">
              <w:rPr>
                <w:rFonts w:ascii="宋体" w:hAnsi="宋体" w:hint="eastAsia"/>
                <w:bCs/>
                <w:szCs w:val="21"/>
              </w:rPr>
              <w:t>中债总指数收益率×</w:t>
            </w:r>
            <w:r w:rsidRPr="009A44F9">
              <w:rPr>
                <w:rFonts w:ascii="宋体" w:hAnsi="宋体" w:hint="eastAsia"/>
                <w:b/>
                <w:bCs/>
                <w:szCs w:val="21"/>
              </w:rPr>
              <w:t>15</w:t>
            </w:r>
            <w:r w:rsidRPr="009A44F9">
              <w:rPr>
                <w:rFonts w:ascii="宋体" w:hAnsi="宋体"/>
                <w:b/>
                <w:bCs/>
                <w:szCs w:val="21"/>
              </w:rPr>
              <w:t>%</w:t>
            </w:r>
          </w:p>
          <w:p w:rsidR="00703F51" w:rsidRPr="009A44F9" w:rsidP="00EF42CD" w14:paraId="616CEC81" w14:textId="746B465A">
            <w:pPr>
              <w:spacing w:line="360" w:lineRule="auto"/>
              <w:rPr>
                <w:rFonts w:ascii="宋体" w:hAnsi="宋体"/>
                <w:bCs/>
                <w:szCs w:val="21"/>
              </w:rPr>
            </w:pPr>
            <w:r w:rsidRPr="009A44F9">
              <w:rPr>
                <w:rFonts w:ascii="宋体" w:hAnsi="宋体" w:hint="eastAsia"/>
                <w:bCs/>
                <w:szCs w:val="21"/>
              </w:rPr>
              <w:t>本基金选定</w:t>
            </w:r>
            <w:r w:rsidRPr="009A44F9">
              <w:rPr>
                <w:rFonts w:ascii="宋体" w:hAnsi="宋体"/>
                <w:b/>
                <w:bCs/>
                <w:szCs w:val="21"/>
              </w:rPr>
              <w:t>上证科创板50成份指数</w:t>
            </w:r>
            <w:r w:rsidRPr="009A44F9">
              <w:rPr>
                <w:rFonts w:ascii="宋体" w:hAnsi="宋体" w:hint="eastAsia"/>
                <w:bCs/>
                <w:szCs w:val="21"/>
              </w:rPr>
              <w:t>和中证港股通综合指数作为股票部分的业绩比较基准</w:t>
            </w:r>
            <w:r w:rsidRPr="009A44F9">
              <w:rPr>
                <w:rFonts w:ascii="宋体" w:hAnsi="宋体"/>
                <w:bCs/>
                <w:szCs w:val="21"/>
              </w:rPr>
              <w:t>……</w:t>
            </w:r>
          </w:p>
          <w:p w:rsidR="00703F51" w:rsidRPr="009A44F9" w:rsidP="00EF42CD" w14:paraId="0D60C2E8" w14:textId="6FAF3EC1">
            <w:pPr>
              <w:spacing w:line="360" w:lineRule="auto"/>
              <w:rPr>
                <w:rFonts w:ascii="宋体" w:hAnsi="宋体" w:cs="宋体"/>
                <w:b/>
                <w:szCs w:val="21"/>
              </w:rPr>
            </w:pPr>
            <w:r>
              <w:rPr>
                <w:rFonts w:ascii="宋体" w:hAnsi="宋体" w:cs="宋体" w:hint="eastAsia"/>
                <w:b/>
                <w:szCs w:val="21"/>
                <w:highlight w:val="white"/>
              </w:rPr>
              <w:t>增加：“</w:t>
            </w:r>
            <w:r w:rsidRPr="009A44F9">
              <w:rPr>
                <w:rFonts w:ascii="宋体" w:hAnsi="宋体" w:cs="宋体" w:hint="eastAsia"/>
                <w:b/>
                <w:szCs w:val="21"/>
                <w:highlight w:val="white"/>
              </w:rPr>
              <w:t>八、侧袋机制的实施和投资运作安排</w:t>
            </w:r>
          </w:p>
          <w:p w:rsidR="00703F51" w:rsidRPr="009A44F9" w:rsidP="00EF42CD" w14:paraId="54220889" w14:textId="77777777">
            <w:pPr>
              <w:spacing w:line="360" w:lineRule="auto"/>
              <w:rPr>
                <w:rFonts w:ascii="宋体" w:hAnsi="宋体" w:cs="宋体"/>
                <w:b/>
                <w:szCs w:val="21"/>
              </w:rPr>
            </w:pPr>
            <w:r w:rsidRPr="009A44F9">
              <w:rPr>
                <w:rFonts w:ascii="宋体" w:hAnsi="宋体" w:cs="宋体" w:hint="eastAsia"/>
                <w:b/>
                <w:szCs w:val="21"/>
                <w:highlight w:val="white"/>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703F51" w:rsidRPr="009A44F9" w:rsidP="00EF42CD" w14:paraId="38AE49D6" w14:textId="77777777">
            <w:pPr>
              <w:spacing w:line="360" w:lineRule="auto"/>
              <w:rPr>
                <w:rFonts w:ascii="宋体" w:hAnsi="宋体" w:cs="宋体"/>
                <w:b/>
                <w:szCs w:val="21"/>
              </w:rPr>
            </w:pPr>
            <w:r w:rsidRPr="009A44F9">
              <w:rPr>
                <w:rFonts w:ascii="宋体" w:hAnsi="宋体" w:cs="宋体" w:hint="eastAsia"/>
                <w:b/>
                <w:szCs w:val="21"/>
                <w:highlight w:val="white"/>
              </w:rPr>
              <w:t>侧袋机制实施期间，本部分约定的投资组合比例、投资策略、组合限制、业绩比较基准、风险收益特征等约定仅适用于主袋账户。</w:t>
            </w:r>
          </w:p>
          <w:p w:rsidR="00703F51" w:rsidRPr="009A44F9" w:rsidP="00EF42CD" w14:paraId="0CF96F6E" w14:textId="291C4C39">
            <w:pPr>
              <w:spacing w:line="360" w:lineRule="auto"/>
              <w:rPr>
                <w:rFonts w:ascii="宋体" w:hAnsi="宋体" w:cs="宋体"/>
                <w:b/>
                <w:szCs w:val="21"/>
                <w:highlight w:val="white"/>
              </w:rPr>
            </w:pPr>
            <w:r w:rsidRPr="009A44F9">
              <w:rPr>
                <w:rFonts w:ascii="宋体" w:hAnsi="宋体" w:cs="宋体" w:hint="eastAsia"/>
                <w:b/>
                <w:szCs w:val="21"/>
                <w:highlight w:val="white"/>
              </w:rPr>
              <w:t>侧袋账户的实施条件、实施程序、运作安排、投资安排、特定资产的处置变现和支付等对投资者权益有重大影响的事项详见招募说明书的规定。</w:t>
            </w:r>
            <w:r w:rsidR="00590E94">
              <w:rPr>
                <w:rFonts w:ascii="宋体" w:hAnsi="宋体" w:cs="宋体" w:hint="eastAsia"/>
                <w:b/>
                <w:szCs w:val="21"/>
                <w:highlight w:val="white"/>
              </w:rPr>
              <w:t>”</w:t>
            </w:r>
          </w:p>
        </w:tc>
      </w:tr>
      <w:tr w14:paraId="3A3E5A95" w14:textId="77777777" w:rsidTr="00780B15">
        <w:tblPrEx>
          <w:tblW w:w="10206" w:type="dxa"/>
          <w:tblInd w:w="-572" w:type="dxa"/>
          <w:tblLayout w:type="fixed"/>
          <w:tblLook w:val="04A0"/>
        </w:tblPrEx>
        <w:tc>
          <w:tcPr>
            <w:tcW w:w="1106" w:type="dxa"/>
            <w:tcBorders>
              <w:top w:val="single" w:sz="4" w:space="0" w:color="auto"/>
              <w:left w:val="single" w:sz="4" w:space="0" w:color="000000"/>
              <w:bottom w:val="single" w:sz="4" w:space="0" w:color="auto"/>
              <w:right w:val="single" w:sz="4" w:space="0" w:color="auto"/>
            </w:tcBorders>
            <w:vAlign w:val="center"/>
          </w:tcPr>
          <w:p w:rsidR="00703F51" w:rsidRPr="009A44F9" w:rsidP="00703F51" w14:paraId="0525D2A2" w14:textId="2E9C8599">
            <w:pPr>
              <w:spacing w:line="360" w:lineRule="auto"/>
              <w:rPr>
                <w:rFonts w:ascii="宋体" w:hAnsi="宋体"/>
                <w:szCs w:val="21"/>
              </w:rPr>
            </w:pPr>
            <w:bookmarkStart w:id="82" w:name="_Toc446339252"/>
            <w:bookmarkStart w:id="83" w:name="_Toc46167854"/>
            <w:r w:rsidRPr="009A44F9">
              <w:rPr>
                <w:rFonts w:ascii="宋体" w:hAnsi="宋体" w:hint="eastAsia"/>
                <w:szCs w:val="21"/>
              </w:rPr>
              <w:t>第十五部分</w:t>
            </w:r>
            <w:r w:rsidRPr="009A44F9">
              <w:rPr>
                <w:rFonts w:ascii="宋体" w:hAnsi="宋体"/>
                <w:szCs w:val="21"/>
              </w:rPr>
              <w:t xml:space="preserve"> </w:t>
            </w:r>
            <w:r w:rsidRPr="009A44F9">
              <w:rPr>
                <w:rFonts w:ascii="宋体" w:hAnsi="宋体" w:hint="eastAsia"/>
                <w:szCs w:val="21"/>
              </w:rPr>
              <w:t>基金资产估值</w:t>
            </w:r>
            <w:bookmarkEnd w:id="82"/>
            <w:bookmarkEnd w:id="83"/>
          </w:p>
          <w:p w:rsidR="00703F51" w:rsidRPr="009A44F9" w:rsidP="00703F51" w14:paraId="742261F8" w14:textId="77777777">
            <w:pPr>
              <w:spacing w:line="360" w:lineRule="auto"/>
              <w:rPr>
                <w:rFonts w:ascii="宋体" w:hAnsi="宋体"/>
                <w:szCs w:val="21"/>
              </w:rPr>
            </w:pPr>
          </w:p>
        </w:tc>
        <w:tc>
          <w:tcPr>
            <w:tcW w:w="4706" w:type="dxa"/>
            <w:tcBorders>
              <w:top w:val="single" w:sz="4" w:space="0" w:color="auto"/>
              <w:left w:val="single" w:sz="4" w:space="0" w:color="auto"/>
              <w:bottom w:val="single" w:sz="4" w:space="0" w:color="auto"/>
              <w:right w:val="single" w:sz="4" w:space="0" w:color="auto"/>
            </w:tcBorders>
          </w:tcPr>
          <w:p w:rsidR="008A2A43" w:rsidRPr="009A44F9" w:rsidP="00EF42CD" w14:paraId="3A1221B5" w14:textId="77777777">
            <w:pPr>
              <w:spacing w:line="360" w:lineRule="auto"/>
              <w:rPr>
                <w:rFonts w:ascii="宋体" w:hAnsi="宋体"/>
                <w:szCs w:val="21"/>
              </w:rPr>
            </w:pPr>
            <w:r w:rsidRPr="009A44F9">
              <w:rPr>
                <w:rFonts w:ascii="宋体" w:hAnsi="宋体" w:hint="eastAsia"/>
                <w:bCs/>
                <w:szCs w:val="21"/>
              </w:rPr>
              <w:t>七</w:t>
            </w:r>
            <w:r w:rsidRPr="009A44F9">
              <w:rPr>
                <w:rFonts w:ascii="宋体" w:hAnsi="宋体" w:hint="eastAsia"/>
                <w:szCs w:val="21"/>
              </w:rPr>
              <w:t>、暂停估值的情形</w:t>
            </w:r>
          </w:p>
          <w:p w:rsidR="008A2A43" w:rsidRPr="009A44F9" w:rsidP="00EF42CD" w14:paraId="0A9E9577" w14:textId="77777777">
            <w:pPr>
              <w:spacing w:line="360" w:lineRule="auto"/>
              <w:rPr>
                <w:rFonts w:ascii="宋体" w:hAnsi="宋体"/>
                <w:b/>
                <w:szCs w:val="21"/>
              </w:rPr>
            </w:pPr>
            <w:r w:rsidRPr="009A44F9">
              <w:rPr>
                <w:rFonts w:ascii="宋体" w:hAnsi="宋体"/>
                <w:b/>
                <w:bCs/>
                <w:szCs w:val="21"/>
              </w:rPr>
              <w:t>3</w:t>
            </w:r>
            <w:r w:rsidRPr="009A44F9">
              <w:rPr>
                <w:rFonts w:ascii="宋体" w:hAnsi="宋体" w:hint="eastAsia"/>
                <w:b/>
                <w:bCs/>
                <w:szCs w:val="21"/>
              </w:rPr>
              <w:t>、当前一估值日基金资产净值</w:t>
            </w:r>
            <w:r w:rsidRPr="009A44F9">
              <w:rPr>
                <w:rFonts w:ascii="宋体" w:hAnsi="宋体"/>
                <w:b/>
                <w:bCs/>
                <w:szCs w:val="21"/>
              </w:rPr>
              <w:t xml:space="preserve"> 50%</w:t>
            </w:r>
            <w:r w:rsidRPr="009A44F9">
              <w:rPr>
                <w:rFonts w:ascii="宋体" w:hAnsi="宋体" w:hint="eastAsia"/>
                <w:b/>
                <w:bCs/>
                <w:szCs w:val="21"/>
              </w:rPr>
              <w:t>以上的资产出现无可参考的活跃市场价格且采用估值技术仍导致公允价值存在重大不确定性时，经与基金托管人协商确认后，基金管理人应当暂停估值；</w:t>
            </w:r>
          </w:p>
          <w:p w:rsidR="00703F51" w:rsidRPr="009A44F9" w:rsidP="00972B08" w14:paraId="661560ED" w14:textId="77777777">
            <w:pPr>
              <w:spacing w:line="360" w:lineRule="auto"/>
              <w:ind w:firstLine="420" w:firstLineChars="200"/>
              <w:rPr>
                <w:rFonts w:ascii="宋体" w:hAnsi="宋体"/>
                <w:bCs/>
                <w:szCs w:val="21"/>
              </w:rPr>
            </w:pPr>
          </w:p>
        </w:tc>
        <w:tc>
          <w:tcPr>
            <w:tcW w:w="4394" w:type="dxa"/>
            <w:tcBorders>
              <w:top w:val="single" w:sz="4" w:space="0" w:color="auto"/>
              <w:left w:val="single" w:sz="4" w:space="0" w:color="auto"/>
              <w:bottom w:val="single" w:sz="4" w:space="0" w:color="auto"/>
              <w:right w:val="single" w:sz="4" w:space="0" w:color="000000"/>
            </w:tcBorders>
          </w:tcPr>
          <w:p w:rsidR="00703F51" w:rsidRPr="009A44F9" w:rsidP="00EF42CD" w14:paraId="36B6EF5F" w14:textId="77777777">
            <w:pPr>
              <w:spacing w:line="360" w:lineRule="auto"/>
              <w:rPr>
                <w:rFonts w:ascii="宋体" w:hAnsi="宋体"/>
                <w:szCs w:val="21"/>
              </w:rPr>
            </w:pPr>
            <w:r w:rsidRPr="009A44F9">
              <w:rPr>
                <w:rFonts w:ascii="宋体" w:hAnsi="宋体" w:hint="eastAsia"/>
                <w:bCs/>
                <w:szCs w:val="21"/>
              </w:rPr>
              <w:t>七</w:t>
            </w:r>
            <w:r w:rsidRPr="009A44F9">
              <w:rPr>
                <w:rFonts w:ascii="宋体" w:hAnsi="宋体" w:hint="eastAsia"/>
                <w:szCs w:val="21"/>
              </w:rPr>
              <w:t>、暂停估值的情形</w:t>
            </w:r>
          </w:p>
          <w:p w:rsidR="00703F51" w:rsidRPr="009A44F9" w:rsidP="00EF42CD" w14:paraId="108593B7" w14:textId="77777777">
            <w:pPr>
              <w:spacing w:line="360" w:lineRule="auto"/>
              <w:rPr>
                <w:rFonts w:ascii="宋体" w:hAnsi="宋体"/>
                <w:b/>
                <w:szCs w:val="21"/>
              </w:rPr>
            </w:pPr>
            <w:r w:rsidRPr="009A44F9">
              <w:rPr>
                <w:rFonts w:ascii="宋体" w:hAnsi="宋体"/>
                <w:b/>
                <w:bCs/>
                <w:szCs w:val="21"/>
              </w:rPr>
              <w:t>3</w:t>
            </w:r>
            <w:r w:rsidRPr="009A44F9">
              <w:rPr>
                <w:rFonts w:ascii="宋体" w:hAnsi="宋体" w:hint="eastAsia"/>
                <w:b/>
                <w:bCs/>
                <w:szCs w:val="21"/>
              </w:rPr>
              <w:t>、当特定资产占前一估值日基金资产净值50%以上的，经与基金托管人协商确认后，基金管理人应当暂停估值；</w:t>
            </w:r>
          </w:p>
          <w:p w:rsidR="00703F51" w:rsidRPr="009A44F9" w:rsidP="00EF42CD" w14:paraId="3FD87B92" w14:textId="0B2A9088">
            <w:pPr>
              <w:spacing w:line="360" w:lineRule="auto"/>
              <w:rPr>
                <w:rFonts w:ascii="宋体" w:hAnsi="宋体" w:cs="宋体"/>
                <w:b/>
                <w:szCs w:val="21"/>
              </w:rPr>
            </w:pPr>
            <w:r>
              <w:rPr>
                <w:rFonts w:ascii="宋体" w:hAnsi="宋体" w:cs="宋体" w:hint="eastAsia"/>
                <w:b/>
                <w:szCs w:val="21"/>
                <w:highlight w:val="white"/>
              </w:rPr>
              <w:t>增加：“</w:t>
            </w:r>
            <w:r w:rsidRPr="009A44F9">
              <w:rPr>
                <w:rFonts w:ascii="宋体" w:hAnsi="宋体" w:cs="宋体" w:hint="eastAsia"/>
                <w:b/>
                <w:bCs/>
                <w:szCs w:val="21"/>
                <w:highlight w:val="white"/>
              </w:rPr>
              <w:t>十、</w:t>
            </w:r>
            <w:r w:rsidRPr="009A44F9">
              <w:rPr>
                <w:rFonts w:ascii="宋体" w:hAnsi="宋体" w:cs="宋体" w:hint="eastAsia"/>
                <w:b/>
                <w:szCs w:val="21"/>
                <w:highlight w:val="white"/>
              </w:rPr>
              <w:t>实施侧袋机制期间的基金资产估值</w:t>
            </w:r>
          </w:p>
          <w:p w:rsidR="00703F51" w:rsidRPr="009A44F9" w:rsidP="00EF42CD" w14:paraId="5D344B6C" w14:textId="41325548">
            <w:pPr>
              <w:spacing w:line="360" w:lineRule="auto"/>
              <w:rPr>
                <w:rFonts w:ascii="宋体" w:hAnsi="宋体"/>
                <w:szCs w:val="21"/>
              </w:rPr>
            </w:pPr>
            <w:r w:rsidRPr="009A44F9">
              <w:rPr>
                <w:rFonts w:ascii="宋体" w:hAnsi="宋体" w:cs="宋体" w:hint="eastAsia"/>
                <w:b/>
                <w:szCs w:val="21"/>
                <w:highlight w:val="white"/>
              </w:rPr>
              <w:t>本基金实施侧袋机制的，应根据本部分的约定对主袋账户资产进行估值并披露主袋账户的基金资产净值和份额净值，暂停披露侧袋账户份额净值。</w:t>
            </w:r>
            <w:r w:rsidR="00590E94">
              <w:rPr>
                <w:rFonts w:ascii="宋体" w:hAnsi="宋体" w:cs="宋体" w:hint="eastAsia"/>
                <w:b/>
                <w:szCs w:val="21"/>
                <w:highlight w:val="white"/>
              </w:rPr>
              <w:t>”</w:t>
            </w:r>
          </w:p>
        </w:tc>
      </w:tr>
      <w:tr w14:paraId="6D7296C5" w14:textId="77777777" w:rsidTr="00780B15">
        <w:tblPrEx>
          <w:tblW w:w="10206" w:type="dxa"/>
          <w:tblInd w:w="-572" w:type="dxa"/>
          <w:tblLayout w:type="fixed"/>
          <w:tblLook w:val="04A0"/>
        </w:tblPrEx>
        <w:tc>
          <w:tcPr>
            <w:tcW w:w="1106" w:type="dxa"/>
            <w:tcBorders>
              <w:top w:val="single" w:sz="4" w:space="0" w:color="auto"/>
              <w:left w:val="single" w:sz="4" w:space="0" w:color="000000"/>
              <w:bottom w:val="single" w:sz="4" w:space="0" w:color="auto"/>
              <w:right w:val="single" w:sz="4" w:space="0" w:color="auto"/>
            </w:tcBorders>
            <w:vAlign w:val="center"/>
          </w:tcPr>
          <w:p w:rsidR="00703F51" w:rsidRPr="009A44F9" w:rsidP="00703F51" w14:paraId="4B061E74" w14:textId="0576581C">
            <w:pPr>
              <w:spacing w:line="360" w:lineRule="auto"/>
              <w:rPr>
                <w:rFonts w:ascii="宋体" w:hAnsi="宋体"/>
                <w:szCs w:val="21"/>
              </w:rPr>
            </w:pPr>
            <w:bookmarkStart w:id="84" w:name="_Toc32041"/>
            <w:bookmarkStart w:id="85" w:name="_Toc3365"/>
            <w:bookmarkStart w:id="86" w:name="_Toc15779"/>
            <w:bookmarkStart w:id="87" w:name="_Toc12105"/>
            <w:bookmarkStart w:id="88" w:name="_Toc19752"/>
            <w:bookmarkStart w:id="89" w:name="_Toc13987"/>
            <w:bookmarkStart w:id="90" w:name="_Toc19706"/>
            <w:bookmarkStart w:id="91" w:name="_Toc24601"/>
            <w:bookmarkStart w:id="92" w:name="_Toc32227"/>
            <w:bookmarkStart w:id="93" w:name="_Toc446339253"/>
            <w:bookmarkStart w:id="94" w:name="_Toc6493"/>
            <w:bookmarkStart w:id="95" w:name="_Toc46167855"/>
            <w:r w:rsidRPr="009A44F9">
              <w:rPr>
                <w:rFonts w:ascii="宋体" w:hAnsi="宋体" w:hint="eastAsia"/>
                <w:szCs w:val="21"/>
              </w:rPr>
              <w:t>第十六部分</w:t>
            </w:r>
            <w:r w:rsidRPr="009A44F9">
              <w:rPr>
                <w:rFonts w:ascii="宋体" w:hAnsi="宋体"/>
                <w:szCs w:val="21"/>
              </w:rPr>
              <w:t xml:space="preserve"> </w:t>
            </w:r>
            <w:r w:rsidRPr="009A44F9">
              <w:rPr>
                <w:rFonts w:ascii="宋体" w:hAnsi="宋体" w:hint="eastAsia"/>
                <w:szCs w:val="21"/>
              </w:rPr>
              <w:t>基金费用与税收</w:t>
            </w:r>
            <w:bookmarkEnd w:id="84"/>
            <w:bookmarkEnd w:id="85"/>
            <w:bookmarkEnd w:id="86"/>
            <w:bookmarkEnd w:id="87"/>
            <w:bookmarkEnd w:id="88"/>
            <w:bookmarkEnd w:id="89"/>
            <w:bookmarkEnd w:id="90"/>
            <w:bookmarkEnd w:id="91"/>
            <w:bookmarkEnd w:id="92"/>
            <w:bookmarkEnd w:id="93"/>
            <w:bookmarkEnd w:id="94"/>
            <w:bookmarkEnd w:id="95"/>
          </w:p>
        </w:tc>
        <w:tc>
          <w:tcPr>
            <w:tcW w:w="4706" w:type="dxa"/>
            <w:tcBorders>
              <w:top w:val="single" w:sz="4" w:space="0" w:color="auto"/>
              <w:left w:val="single" w:sz="4" w:space="0" w:color="auto"/>
              <w:bottom w:val="single" w:sz="4" w:space="0" w:color="auto"/>
              <w:right w:val="single" w:sz="4" w:space="0" w:color="auto"/>
            </w:tcBorders>
          </w:tcPr>
          <w:p w:rsidR="00703F51" w:rsidRPr="009A44F9" w:rsidP="00972B08" w14:paraId="44CB1A90" w14:textId="77777777">
            <w:pPr>
              <w:spacing w:line="360" w:lineRule="auto"/>
              <w:ind w:firstLine="420" w:firstLineChars="200"/>
              <w:rPr>
                <w:rFonts w:ascii="宋体" w:hAnsi="宋体"/>
                <w:bCs/>
                <w:szCs w:val="21"/>
              </w:rPr>
            </w:pPr>
          </w:p>
        </w:tc>
        <w:tc>
          <w:tcPr>
            <w:tcW w:w="4394" w:type="dxa"/>
            <w:tcBorders>
              <w:top w:val="single" w:sz="4" w:space="0" w:color="auto"/>
              <w:left w:val="single" w:sz="4" w:space="0" w:color="auto"/>
              <w:bottom w:val="single" w:sz="4" w:space="0" w:color="auto"/>
              <w:right w:val="single" w:sz="4" w:space="0" w:color="000000"/>
            </w:tcBorders>
          </w:tcPr>
          <w:p w:rsidR="00703F51" w:rsidRPr="009A44F9" w:rsidP="00EF42CD" w14:paraId="3998315B" w14:textId="092DE79A">
            <w:pPr>
              <w:spacing w:line="360" w:lineRule="auto"/>
              <w:rPr>
                <w:rFonts w:ascii="宋体" w:hAnsi="宋体" w:cs="宋体"/>
                <w:b/>
                <w:szCs w:val="21"/>
              </w:rPr>
            </w:pPr>
            <w:r>
              <w:rPr>
                <w:rFonts w:ascii="宋体" w:hAnsi="宋体" w:cs="宋体" w:hint="eastAsia"/>
                <w:b/>
                <w:szCs w:val="21"/>
                <w:highlight w:val="white"/>
              </w:rPr>
              <w:t>增加：“</w:t>
            </w:r>
            <w:r w:rsidRPr="009A44F9">
              <w:rPr>
                <w:rFonts w:ascii="宋体" w:hAnsi="宋体" w:cs="宋体" w:hint="eastAsia"/>
                <w:b/>
                <w:szCs w:val="21"/>
                <w:highlight w:val="white"/>
              </w:rPr>
              <w:t>四、实施侧袋机制期间的基金费用</w:t>
            </w:r>
          </w:p>
          <w:p w:rsidR="00703F51" w:rsidRPr="009A44F9" w:rsidP="00EF42CD" w14:paraId="3EC6D8A9" w14:textId="0D2D5B55">
            <w:pPr>
              <w:spacing w:line="360" w:lineRule="auto"/>
              <w:rPr>
                <w:rFonts w:ascii="宋体" w:hAnsi="宋体"/>
                <w:bCs/>
                <w:szCs w:val="21"/>
              </w:rPr>
            </w:pPr>
            <w:r w:rsidRPr="009A44F9">
              <w:rPr>
                <w:rFonts w:ascii="宋体" w:hAnsi="宋体" w:cs="宋体" w:hint="eastAsia"/>
                <w:b/>
                <w:szCs w:val="21"/>
                <w:highlight w:val="white"/>
              </w:rPr>
              <w:t>本基金实施侧袋机制的，与侧袋账户有关的费用可以从侧袋账户中列支，但应待侧袋账户资产变现后方可列支，有关费用可酌情收取或减免，但不得收取管理费，详见招募说明书的规定。</w:t>
            </w:r>
            <w:r w:rsidR="00590E94">
              <w:rPr>
                <w:rFonts w:ascii="宋体" w:hAnsi="宋体" w:cs="宋体" w:hint="eastAsia"/>
                <w:b/>
                <w:szCs w:val="21"/>
                <w:highlight w:val="white"/>
              </w:rPr>
              <w:t>”</w:t>
            </w:r>
          </w:p>
        </w:tc>
      </w:tr>
      <w:tr w14:paraId="4DCB156D" w14:textId="77777777" w:rsidTr="00780B15">
        <w:tblPrEx>
          <w:tblW w:w="10206" w:type="dxa"/>
          <w:tblInd w:w="-572" w:type="dxa"/>
          <w:tblLayout w:type="fixed"/>
          <w:tblLook w:val="04A0"/>
        </w:tblPrEx>
        <w:tc>
          <w:tcPr>
            <w:tcW w:w="1106" w:type="dxa"/>
            <w:tcBorders>
              <w:top w:val="single" w:sz="4" w:space="0" w:color="auto"/>
              <w:left w:val="single" w:sz="4" w:space="0" w:color="000000"/>
              <w:bottom w:val="single" w:sz="4" w:space="0" w:color="auto"/>
              <w:right w:val="single" w:sz="4" w:space="0" w:color="auto"/>
            </w:tcBorders>
            <w:vAlign w:val="center"/>
          </w:tcPr>
          <w:p w:rsidR="00703F51" w:rsidRPr="009A44F9" w:rsidP="00703F51" w14:paraId="09698EF1" w14:textId="6F20E37D">
            <w:pPr>
              <w:spacing w:line="360" w:lineRule="auto"/>
              <w:rPr>
                <w:rFonts w:ascii="宋体" w:hAnsi="宋体"/>
                <w:szCs w:val="21"/>
              </w:rPr>
            </w:pPr>
            <w:bookmarkStart w:id="96" w:name="_Toc446339254"/>
            <w:bookmarkStart w:id="97" w:name="_Toc46167856"/>
            <w:r w:rsidRPr="009A44F9">
              <w:rPr>
                <w:rFonts w:ascii="宋体" w:hAnsi="宋体" w:hint="eastAsia"/>
                <w:szCs w:val="21"/>
              </w:rPr>
              <w:t>第十七部分</w:t>
            </w:r>
            <w:r w:rsidRPr="009A44F9">
              <w:rPr>
                <w:rFonts w:ascii="宋体" w:hAnsi="宋体"/>
                <w:szCs w:val="21"/>
              </w:rPr>
              <w:t xml:space="preserve"> </w:t>
            </w:r>
            <w:r w:rsidRPr="009A44F9">
              <w:rPr>
                <w:rFonts w:ascii="宋体" w:hAnsi="宋体" w:hint="eastAsia"/>
                <w:szCs w:val="21"/>
              </w:rPr>
              <w:t>基金的收益与分配</w:t>
            </w:r>
            <w:bookmarkEnd w:id="96"/>
            <w:bookmarkEnd w:id="97"/>
          </w:p>
        </w:tc>
        <w:tc>
          <w:tcPr>
            <w:tcW w:w="4706" w:type="dxa"/>
            <w:tcBorders>
              <w:top w:val="single" w:sz="4" w:space="0" w:color="auto"/>
              <w:left w:val="single" w:sz="4" w:space="0" w:color="auto"/>
              <w:bottom w:val="single" w:sz="4" w:space="0" w:color="auto"/>
              <w:right w:val="single" w:sz="4" w:space="0" w:color="auto"/>
            </w:tcBorders>
          </w:tcPr>
          <w:p w:rsidR="00703F51" w:rsidRPr="009A44F9" w:rsidP="00972B08" w14:paraId="319D5B57" w14:textId="77777777">
            <w:pPr>
              <w:spacing w:line="360" w:lineRule="auto"/>
              <w:ind w:firstLine="420" w:firstLineChars="200"/>
              <w:rPr>
                <w:rFonts w:ascii="宋体" w:hAnsi="宋体"/>
                <w:bCs/>
                <w:szCs w:val="21"/>
              </w:rPr>
            </w:pPr>
          </w:p>
        </w:tc>
        <w:tc>
          <w:tcPr>
            <w:tcW w:w="4394" w:type="dxa"/>
            <w:tcBorders>
              <w:top w:val="single" w:sz="4" w:space="0" w:color="auto"/>
              <w:left w:val="single" w:sz="4" w:space="0" w:color="auto"/>
              <w:bottom w:val="single" w:sz="4" w:space="0" w:color="auto"/>
              <w:right w:val="single" w:sz="4" w:space="0" w:color="000000"/>
            </w:tcBorders>
          </w:tcPr>
          <w:p w:rsidR="00703F51" w:rsidRPr="009A44F9" w:rsidP="00EF42CD" w14:paraId="01751EFA" w14:textId="3D0B7CEE">
            <w:pPr>
              <w:spacing w:line="360" w:lineRule="auto"/>
              <w:rPr>
                <w:rFonts w:ascii="宋体" w:hAnsi="宋体" w:cs="宋体"/>
                <w:b/>
                <w:szCs w:val="21"/>
              </w:rPr>
            </w:pPr>
            <w:r>
              <w:rPr>
                <w:rFonts w:ascii="宋体" w:hAnsi="宋体" w:cs="宋体" w:hint="eastAsia"/>
                <w:b/>
                <w:szCs w:val="21"/>
                <w:highlight w:val="white"/>
              </w:rPr>
              <w:t>增加：“</w:t>
            </w:r>
            <w:r w:rsidRPr="009A44F9">
              <w:rPr>
                <w:rFonts w:ascii="宋体" w:hAnsi="宋体" w:cs="宋体" w:hint="eastAsia"/>
                <w:b/>
                <w:szCs w:val="21"/>
                <w:highlight w:val="white"/>
              </w:rPr>
              <w:t>七、实施侧袋机制期间的收益分配</w:t>
            </w:r>
          </w:p>
          <w:p w:rsidR="00703F51" w:rsidRPr="009A44F9" w:rsidP="00EF42CD" w14:paraId="7CC5DD63" w14:textId="1F634197">
            <w:pPr>
              <w:spacing w:line="360" w:lineRule="auto"/>
              <w:rPr>
                <w:rFonts w:ascii="宋体" w:hAnsi="宋体" w:cs="宋体"/>
                <w:b/>
                <w:szCs w:val="21"/>
                <w:highlight w:val="white"/>
              </w:rPr>
            </w:pPr>
            <w:r w:rsidRPr="009A44F9">
              <w:rPr>
                <w:rFonts w:ascii="宋体" w:hAnsi="宋体" w:cs="宋体" w:hint="eastAsia"/>
                <w:b/>
                <w:szCs w:val="21"/>
                <w:highlight w:val="white"/>
              </w:rPr>
              <w:t>本基金实施侧袋机制的，侧袋账户不进行收益分配，详见招募说明书的规定。</w:t>
            </w:r>
            <w:r w:rsidR="00590E94">
              <w:rPr>
                <w:rFonts w:ascii="宋体" w:hAnsi="宋体" w:cs="宋体" w:hint="eastAsia"/>
                <w:b/>
                <w:szCs w:val="21"/>
                <w:highlight w:val="white"/>
              </w:rPr>
              <w:t>”</w:t>
            </w:r>
          </w:p>
        </w:tc>
      </w:tr>
      <w:tr w14:paraId="76942F27" w14:textId="77777777" w:rsidTr="00780B15">
        <w:tblPrEx>
          <w:tblW w:w="10206" w:type="dxa"/>
          <w:tblInd w:w="-572" w:type="dxa"/>
          <w:tblLayout w:type="fixed"/>
          <w:tblLook w:val="04A0"/>
        </w:tblPrEx>
        <w:tc>
          <w:tcPr>
            <w:tcW w:w="1106" w:type="dxa"/>
            <w:tcBorders>
              <w:top w:val="single" w:sz="4" w:space="0" w:color="auto"/>
              <w:left w:val="single" w:sz="4" w:space="0" w:color="000000"/>
              <w:bottom w:val="single" w:sz="4" w:space="0" w:color="auto"/>
              <w:right w:val="single" w:sz="4" w:space="0" w:color="auto"/>
            </w:tcBorders>
            <w:vAlign w:val="center"/>
          </w:tcPr>
          <w:p w:rsidR="00703F51" w:rsidRPr="009A44F9" w:rsidP="00703F51" w14:paraId="01393573" w14:textId="4FD7C8EF">
            <w:pPr>
              <w:spacing w:line="360" w:lineRule="auto"/>
              <w:rPr>
                <w:rFonts w:ascii="宋体" w:hAnsi="宋体"/>
                <w:szCs w:val="21"/>
              </w:rPr>
            </w:pPr>
            <w:bookmarkStart w:id="98" w:name="_Toc93226151"/>
            <w:bookmarkStart w:id="99" w:name="_Toc92662709"/>
            <w:bookmarkStart w:id="100" w:name="_Toc3056"/>
            <w:bookmarkStart w:id="101" w:name="_Toc193"/>
            <w:bookmarkStart w:id="102" w:name="_Toc141703898"/>
            <w:bookmarkStart w:id="103" w:name="_Toc139991748"/>
            <w:bookmarkStart w:id="104" w:name="_Toc128310501"/>
            <w:bookmarkStart w:id="105" w:name="_Toc1421"/>
            <w:bookmarkStart w:id="106" w:name="_Toc8512"/>
            <w:bookmarkStart w:id="107" w:name="_Toc11049"/>
            <w:bookmarkStart w:id="108" w:name="_Toc1173"/>
            <w:bookmarkStart w:id="109" w:name="_Toc12028"/>
            <w:bookmarkStart w:id="110" w:name="_Toc31866"/>
            <w:bookmarkStart w:id="111" w:name="_Toc29289"/>
            <w:bookmarkStart w:id="112" w:name="_Toc11802"/>
            <w:bookmarkStart w:id="113" w:name="_Toc446339256"/>
            <w:bookmarkStart w:id="114" w:name="_Toc21351"/>
            <w:bookmarkStart w:id="115" w:name="_Toc46167858"/>
            <w:r w:rsidRPr="009A44F9">
              <w:rPr>
                <w:rFonts w:ascii="宋体" w:hAnsi="宋体" w:hint="eastAsia"/>
                <w:szCs w:val="21"/>
              </w:rPr>
              <w:t>第十九部分</w:t>
            </w:r>
            <w:r w:rsidRPr="009A44F9">
              <w:rPr>
                <w:rFonts w:ascii="宋体" w:hAnsi="宋体"/>
                <w:szCs w:val="21"/>
              </w:rPr>
              <w:t xml:space="preserve"> </w:t>
            </w:r>
            <w:r w:rsidRPr="009A44F9">
              <w:rPr>
                <w:rFonts w:ascii="宋体" w:hAnsi="宋体" w:hint="eastAsia"/>
                <w:szCs w:val="21"/>
              </w:rPr>
              <w:t>基金</w:t>
            </w:r>
            <w:bookmarkEnd w:id="98"/>
            <w:bookmarkEnd w:id="99"/>
            <w:r w:rsidRPr="009A44F9">
              <w:rPr>
                <w:rFonts w:ascii="宋体" w:hAnsi="宋体" w:hint="eastAsia"/>
                <w:szCs w:val="21"/>
              </w:rPr>
              <w:t>的信息披露</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tc>
        <w:tc>
          <w:tcPr>
            <w:tcW w:w="4706" w:type="dxa"/>
            <w:tcBorders>
              <w:top w:val="single" w:sz="4" w:space="0" w:color="auto"/>
              <w:left w:val="single" w:sz="4" w:space="0" w:color="auto"/>
              <w:bottom w:val="single" w:sz="4" w:space="0" w:color="auto"/>
              <w:right w:val="single" w:sz="4" w:space="0" w:color="auto"/>
            </w:tcBorders>
          </w:tcPr>
          <w:p w:rsidR="00AA36AA" w:rsidRPr="00C023D9" w:rsidP="00C023D9" w14:paraId="561EB479" w14:textId="77777777">
            <w:pPr>
              <w:spacing w:line="360" w:lineRule="auto"/>
              <w:rPr>
                <w:rFonts w:ascii="宋体" w:hAnsi="宋体"/>
                <w:szCs w:val="21"/>
              </w:rPr>
            </w:pPr>
            <w:r w:rsidRPr="00C023D9">
              <w:rPr>
                <w:rFonts w:ascii="宋体" w:hAnsi="宋体" w:hint="eastAsia"/>
                <w:szCs w:val="21"/>
              </w:rPr>
              <w:t>（九）澄清公告</w:t>
            </w:r>
          </w:p>
          <w:p w:rsidR="00AA36AA" w:rsidRPr="00C023D9" w:rsidP="00C023D9" w14:paraId="72FE5AC6" w14:textId="77777777">
            <w:pPr>
              <w:spacing w:line="360" w:lineRule="auto"/>
              <w:rPr>
                <w:rFonts w:ascii="宋体" w:hAnsi="宋体"/>
                <w:szCs w:val="21"/>
              </w:rPr>
            </w:pPr>
            <w:r w:rsidRPr="00C023D9">
              <w:rPr>
                <w:rFonts w:ascii="宋体" w:hAnsi="宋体" w:hint="eastAsia"/>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w:t>
            </w:r>
            <w:r w:rsidRPr="00C023D9">
              <w:rPr>
                <w:rFonts w:ascii="宋体" w:hAnsi="宋体" w:hint="eastAsia"/>
                <w:b/>
                <w:szCs w:val="21"/>
              </w:rPr>
              <w:t>，并将有关情况立即报告中国证监会</w:t>
            </w:r>
            <w:r w:rsidRPr="00C023D9">
              <w:rPr>
                <w:rFonts w:ascii="宋体" w:hAnsi="宋体" w:hint="eastAsia"/>
                <w:szCs w:val="21"/>
              </w:rPr>
              <w:t>。</w:t>
            </w:r>
          </w:p>
          <w:p w:rsidR="00703F51" w:rsidRPr="00AA36AA" w:rsidP="00972B08" w14:paraId="0AC43E45" w14:textId="77777777">
            <w:pPr>
              <w:spacing w:line="360" w:lineRule="auto"/>
              <w:ind w:firstLine="420" w:firstLineChars="200"/>
              <w:rPr>
                <w:rFonts w:ascii="宋体" w:hAnsi="宋体"/>
                <w:szCs w:val="21"/>
              </w:rPr>
            </w:pPr>
          </w:p>
        </w:tc>
        <w:tc>
          <w:tcPr>
            <w:tcW w:w="4394" w:type="dxa"/>
            <w:tcBorders>
              <w:top w:val="single" w:sz="4" w:space="0" w:color="auto"/>
              <w:left w:val="single" w:sz="4" w:space="0" w:color="auto"/>
              <w:bottom w:val="single" w:sz="4" w:space="0" w:color="auto"/>
              <w:right w:val="single" w:sz="4" w:space="0" w:color="000000"/>
            </w:tcBorders>
          </w:tcPr>
          <w:p w:rsidR="00AA36AA" w:rsidRPr="00C023D9" w:rsidP="00C023D9" w14:paraId="2F9E0B8C" w14:textId="77777777">
            <w:pPr>
              <w:spacing w:line="360" w:lineRule="auto"/>
              <w:rPr>
                <w:rFonts w:ascii="宋体" w:hAnsi="宋体"/>
                <w:szCs w:val="21"/>
              </w:rPr>
            </w:pPr>
            <w:r w:rsidRPr="00C023D9">
              <w:rPr>
                <w:rFonts w:ascii="宋体" w:hAnsi="宋体" w:hint="eastAsia"/>
                <w:szCs w:val="21"/>
              </w:rPr>
              <w:t>（九）澄清公告</w:t>
            </w:r>
          </w:p>
          <w:p w:rsidR="00AA36AA" w:rsidRPr="00C023D9" w:rsidP="00C023D9" w14:paraId="5D2DC4F0" w14:textId="77777777">
            <w:pPr>
              <w:spacing w:line="360" w:lineRule="auto"/>
              <w:rPr>
                <w:rFonts w:ascii="宋体" w:hAnsi="宋体"/>
                <w:szCs w:val="21"/>
              </w:rPr>
            </w:pPr>
            <w:r w:rsidRPr="00C023D9">
              <w:rPr>
                <w:rFonts w:ascii="宋体" w:hAnsi="宋体" w:hint="eastAsia"/>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w:t>
            </w:r>
          </w:p>
          <w:p w:rsidR="00703F51" w:rsidRPr="009A44F9" w:rsidP="00EF42CD" w14:paraId="79603F34" w14:textId="6DBF9202">
            <w:pPr>
              <w:spacing w:line="360" w:lineRule="auto"/>
              <w:rPr>
                <w:rFonts w:ascii="宋体" w:hAnsi="宋体"/>
                <w:b/>
                <w:szCs w:val="21"/>
              </w:rPr>
            </w:pPr>
            <w:r>
              <w:rPr>
                <w:rFonts w:ascii="宋体" w:hAnsi="宋体" w:cs="宋体" w:hint="eastAsia"/>
                <w:b/>
                <w:szCs w:val="21"/>
                <w:highlight w:val="white"/>
              </w:rPr>
              <w:t>增加：“</w:t>
            </w:r>
            <w:r w:rsidRPr="009A44F9">
              <w:rPr>
                <w:rFonts w:ascii="宋体" w:hAnsi="宋体" w:hint="eastAsia"/>
                <w:b/>
                <w:szCs w:val="21"/>
              </w:rPr>
              <w:t>（十二）实施侧袋机制期间的信息披露</w:t>
            </w:r>
          </w:p>
          <w:p w:rsidR="00703F51" w:rsidRPr="009A44F9" w:rsidP="00EF42CD" w14:paraId="2595957A" w14:textId="55226762">
            <w:pPr>
              <w:spacing w:line="360" w:lineRule="auto"/>
              <w:rPr>
                <w:rFonts w:ascii="宋体" w:hAnsi="宋体"/>
                <w:szCs w:val="21"/>
              </w:rPr>
            </w:pPr>
            <w:r w:rsidRPr="009A44F9">
              <w:rPr>
                <w:rFonts w:ascii="宋体" w:hAnsi="宋体" w:hint="eastAsia"/>
                <w:b/>
                <w:szCs w:val="21"/>
              </w:rPr>
              <w:t>本基金实施侧袋机制的，相关信息披露义务人应当根据法律法规、基金合同和招募说明书的规定进行信息披露，详见招募说明书的规定。</w:t>
            </w:r>
            <w:r w:rsidR="00590E94">
              <w:rPr>
                <w:rFonts w:ascii="宋体" w:hAnsi="宋体" w:cs="宋体" w:hint="eastAsia"/>
                <w:b/>
                <w:szCs w:val="21"/>
                <w:highlight w:val="white"/>
              </w:rPr>
              <w:t>”</w:t>
            </w:r>
          </w:p>
        </w:tc>
      </w:tr>
      <w:tr w14:paraId="3B17A0D7" w14:textId="77777777" w:rsidTr="00780B15">
        <w:tblPrEx>
          <w:tblW w:w="10206" w:type="dxa"/>
          <w:tblInd w:w="-572" w:type="dxa"/>
          <w:tblLayout w:type="fixed"/>
          <w:tblLook w:val="04A0"/>
        </w:tblPrEx>
        <w:tc>
          <w:tcPr>
            <w:tcW w:w="1106" w:type="dxa"/>
            <w:tcBorders>
              <w:top w:val="single" w:sz="4" w:space="0" w:color="auto"/>
              <w:left w:val="single" w:sz="4" w:space="0" w:color="000000"/>
              <w:bottom w:val="single" w:sz="4" w:space="0" w:color="auto"/>
              <w:right w:val="single" w:sz="4" w:space="0" w:color="auto"/>
            </w:tcBorders>
            <w:vAlign w:val="center"/>
          </w:tcPr>
          <w:p w:rsidR="00703F51" w:rsidRPr="009A44F9" w:rsidP="00703F51" w14:paraId="42D6FE0D" w14:textId="02BE2035">
            <w:pPr>
              <w:spacing w:line="360" w:lineRule="auto"/>
              <w:rPr>
                <w:rFonts w:ascii="宋体" w:hAnsi="宋体"/>
                <w:szCs w:val="21"/>
              </w:rPr>
            </w:pPr>
            <w:bookmarkStart w:id="116" w:name="_Toc98560364"/>
            <w:bookmarkStart w:id="117" w:name="_Toc8059"/>
            <w:bookmarkStart w:id="118" w:name="_Toc7170"/>
            <w:bookmarkStart w:id="119" w:name="_Toc139991749"/>
            <w:bookmarkStart w:id="120" w:name="_Toc25647"/>
            <w:bookmarkStart w:id="121" w:name="_Toc123102466"/>
            <w:bookmarkStart w:id="122" w:name="_Toc29891"/>
            <w:bookmarkStart w:id="123" w:name="_Toc10006"/>
            <w:bookmarkStart w:id="124" w:name="_Toc9005"/>
            <w:bookmarkStart w:id="125" w:name="_Toc141703899"/>
            <w:bookmarkStart w:id="126" w:name="_Toc8049"/>
            <w:bookmarkStart w:id="127" w:name="_Toc27464"/>
            <w:bookmarkStart w:id="128" w:name="_Toc123112247"/>
            <w:bookmarkStart w:id="129" w:name="_Toc6237"/>
            <w:bookmarkStart w:id="130" w:name="_Toc22978"/>
            <w:bookmarkStart w:id="131" w:name="_Toc123051465"/>
            <w:bookmarkStart w:id="132" w:name="_Toc446339257"/>
            <w:bookmarkStart w:id="133" w:name="_Toc11113"/>
            <w:bookmarkStart w:id="134" w:name="_Toc46167859"/>
            <w:r w:rsidRPr="009A44F9">
              <w:rPr>
                <w:rFonts w:ascii="宋体" w:hAnsi="宋体" w:hint="eastAsia"/>
                <w:szCs w:val="21"/>
              </w:rPr>
              <w:t>第二十部分</w:t>
            </w:r>
            <w:bookmarkStart w:id="135" w:name="_Hlt88828593"/>
            <w:r w:rsidRPr="009A44F9">
              <w:rPr>
                <w:rFonts w:ascii="宋体" w:hAnsi="宋体"/>
                <w:szCs w:val="21"/>
              </w:rPr>
              <w:t xml:space="preserve"> </w:t>
            </w:r>
            <w:r w:rsidRPr="009A44F9">
              <w:rPr>
                <w:rFonts w:ascii="宋体" w:hAnsi="宋体" w:hint="eastAsia"/>
                <w:szCs w:val="21"/>
              </w:rPr>
              <w:t>基金合同</w:t>
            </w:r>
            <w:bookmarkEnd w:id="135"/>
            <w:r w:rsidRPr="009A44F9">
              <w:rPr>
                <w:rFonts w:ascii="宋体" w:hAnsi="宋体" w:hint="eastAsia"/>
                <w:szCs w:val="21"/>
              </w:rPr>
              <w:t>的变更、终止与基金财产的清算</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tc>
        <w:tc>
          <w:tcPr>
            <w:tcW w:w="4706" w:type="dxa"/>
            <w:tcBorders>
              <w:top w:val="single" w:sz="4" w:space="0" w:color="auto"/>
              <w:left w:val="single" w:sz="4" w:space="0" w:color="auto"/>
              <w:bottom w:val="single" w:sz="4" w:space="0" w:color="auto"/>
              <w:right w:val="single" w:sz="4" w:space="0" w:color="auto"/>
            </w:tcBorders>
          </w:tcPr>
          <w:p w:rsidR="008A2A43" w:rsidRPr="009A44F9" w:rsidP="00EF42CD" w14:paraId="68C32E0F" w14:textId="77777777">
            <w:pPr>
              <w:spacing w:line="360" w:lineRule="auto"/>
              <w:rPr>
                <w:rFonts w:ascii="宋体" w:hAnsi="宋体"/>
                <w:szCs w:val="21"/>
              </w:rPr>
            </w:pPr>
            <w:r w:rsidRPr="009A44F9">
              <w:rPr>
                <w:rFonts w:ascii="宋体" w:hAnsi="宋体" w:hint="eastAsia"/>
                <w:szCs w:val="21"/>
              </w:rPr>
              <w:t>七、基金财产清算账册及文件的保存</w:t>
            </w:r>
          </w:p>
          <w:p w:rsidR="00703F51" w:rsidRPr="009A44F9" w:rsidP="00703F51" w14:paraId="4CDD09B8" w14:textId="52694133">
            <w:pPr>
              <w:spacing w:line="360" w:lineRule="auto"/>
              <w:rPr>
                <w:rFonts w:ascii="宋体" w:hAnsi="宋体"/>
                <w:szCs w:val="21"/>
              </w:rPr>
            </w:pPr>
            <w:r w:rsidRPr="009A44F9">
              <w:rPr>
                <w:rFonts w:ascii="宋体" w:hAnsi="宋体" w:hint="eastAsia"/>
                <w:szCs w:val="21"/>
              </w:rPr>
              <w:t>基金财产清算账册及有关文件由基金托管人保存</w:t>
            </w:r>
            <w:r w:rsidRPr="009A44F9">
              <w:rPr>
                <w:rFonts w:ascii="宋体" w:hAnsi="宋体"/>
                <w:b/>
                <w:szCs w:val="21"/>
              </w:rPr>
              <w:t>15</w:t>
            </w:r>
            <w:r w:rsidRPr="009A44F9">
              <w:rPr>
                <w:rFonts w:ascii="宋体" w:hAnsi="宋体" w:hint="eastAsia"/>
                <w:szCs w:val="21"/>
              </w:rPr>
              <w:t>年以上。</w:t>
            </w:r>
          </w:p>
        </w:tc>
        <w:tc>
          <w:tcPr>
            <w:tcW w:w="4394" w:type="dxa"/>
            <w:tcBorders>
              <w:top w:val="single" w:sz="4" w:space="0" w:color="auto"/>
              <w:left w:val="single" w:sz="4" w:space="0" w:color="auto"/>
              <w:bottom w:val="single" w:sz="4" w:space="0" w:color="auto"/>
              <w:right w:val="single" w:sz="4" w:space="0" w:color="000000"/>
            </w:tcBorders>
          </w:tcPr>
          <w:p w:rsidR="00703F51" w:rsidRPr="009A44F9" w:rsidP="00EF42CD" w14:paraId="7C50651A" w14:textId="77777777">
            <w:pPr>
              <w:spacing w:line="360" w:lineRule="auto"/>
              <w:rPr>
                <w:rFonts w:ascii="宋体" w:hAnsi="宋体"/>
                <w:szCs w:val="21"/>
              </w:rPr>
            </w:pPr>
            <w:r w:rsidRPr="009A44F9">
              <w:rPr>
                <w:rFonts w:ascii="宋体" w:hAnsi="宋体" w:hint="eastAsia"/>
                <w:szCs w:val="21"/>
              </w:rPr>
              <w:t>七、基金财产清算账册及文件的保存</w:t>
            </w:r>
          </w:p>
          <w:p w:rsidR="00703F51" w:rsidRPr="009A44F9" w:rsidP="00EF42CD" w14:paraId="56CABF3E" w14:textId="77989219">
            <w:pPr>
              <w:spacing w:line="360" w:lineRule="auto"/>
              <w:rPr>
                <w:rFonts w:ascii="宋体" w:hAnsi="宋体"/>
                <w:szCs w:val="21"/>
              </w:rPr>
            </w:pPr>
            <w:r w:rsidRPr="009A44F9">
              <w:rPr>
                <w:rFonts w:ascii="宋体" w:hAnsi="宋体" w:hint="eastAsia"/>
                <w:szCs w:val="21"/>
              </w:rPr>
              <w:t>基金财产清算账册及有关文件由基金托管人保存</w:t>
            </w:r>
            <w:r w:rsidRPr="009A44F9">
              <w:rPr>
                <w:rFonts w:ascii="宋体" w:hAnsi="宋体"/>
                <w:b/>
                <w:szCs w:val="21"/>
              </w:rPr>
              <w:t>20</w:t>
            </w:r>
            <w:r w:rsidRPr="009A44F9">
              <w:rPr>
                <w:rFonts w:ascii="宋体" w:hAnsi="宋体" w:hint="eastAsia"/>
                <w:szCs w:val="21"/>
              </w:rPr>
              <w:t>年以上。</w:t>
            </w:r>
          </w:p>
        </w:tc>
      </w:tr>
    </w:tbl>
    <w:p w:rsidR="009532B1" w:rsidRPr="009532B1" w:rsidP="009532B1" w14:paraId="2B59F0D3" w14:textId="77777777">
      <w:pPr>
        <w:jc w:val="left"/>
        <w:rPr>
          <w:rFonts w:ascii="宋体" w:hAnsi="宋体"/>
          <w:b/>
          <w:szCs w:val="21"/>
        </w:rPr>
      </w:pPr>
    </w:p>
    <w:p w:rsidR="009532B1" w:rsidRPr="008E75F9" w:rsidP="009532B1" w14:paraId="34789C94" w14:textId="77777777">
      <w:pPr>
        <w:jc w:val="left"/>
        <w:rPr>
          <w:rFonts w:ascii="宋体" w:hAnsi="宋体"/>
          <w:b/>
          <w:szCs w:val="21"/>
        </w:rPr>
      </w:pPr>
      <w:r w:rsidRPr="008E75F9">
        <w:rPr>
          <w:rFonts w:ascii="宋体" w:hAnsi="宋体"/>
          <w:b/>
          <w:szCs w:val="21"/>
        </w:rPr>
        <w:t>（二）托管协议</w:t>
      </w: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1134"/>
        <w:gridCol w:w="4678"/>
        <w:gridCol w:w="4394"/>
      </w:tblGrid>
      <w:tr w14:paraId="037ACBE6" w14:textId="77777777" w:rsidTr="00ED4C73">
        <w:tblPrEx>
          <w:tblW w:w="10206" w:type="dxa"/>
          <w:tblInd w:w="-572"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Ex>
        <w:tc>
          <w:tcPr>
            <w:tcW w:w="1134" w:type="dxa"/>
            <w:tcBorders>
              <w:top w:val="single" w:sz="4" w:space="0" w:color="auto"/>
              <w:left w:val="single" w:sz="4" w:space="0" w:color="000000"/>
              <w:bottom w:val="single" w:sz="4" w:space="0" w:color="auto"/>
              <w:right w:val="single" w:sz="4" w:space="0" w:color="auto"/>
            </w:tcBorders>
            <w:vAlign w:val="center"/>
          </w:tcPr>
          <w:p w:rsidR="009532B1" w:rsidRPr="008E75F9" w:rsidP="00972B08" w14:paraId="121BB003" w14:textId="77777777">
            <w:pPr>
              <w:jc w:val="center"/>
              <w:rPr>
                <w:rFonts w:ascii="宋体" w:hAnsi="宋体"/>
                <w:b/>
                <w:szCs w:val="21"/>
              </w:rPr>
            </w:pPr>
            <w:r w:rsidRPr="008E75F9">
              <w:rPr>
                <w:rFonts w:ascii="宋体" w:hAnsi="宋体" w:hint="eastAsia"/>
                <w:b/>
                <w:szCs w:val="21"/>
              </w:rPr>
              <w:t>章节</w:t>
            </w:r>
          </w:p>
        </w:tc>
        <w:tc>
          <w:tcPr>
            <w:tcW w:w="4678" w:type="dxa"/>
            <w:tcBorders>
              <w:top w:val="single" w:sz="4" w:space="0" w:color="auto"/>
              <w:left w:val="single" w:sz="4" w:space="0" w:color="auto"/>
              <w:bottom w:val="single" w:sz="4" w:space="0" w:color="auto"/>
              <w:right w:val="single" w:sz="4" w:space="0" w:color="auto"/>
            </w:tcBorders>
            <w:vAlign w:val="center"/>
          </w:tcPr>
          <w:p w:rsidR="009532B1" w:rsidRPr="008E75F9" w:rsidP="00972B08" w14:paraId="4B3C1930" w14:textId="77777777">
            <w:pPr>
              <w:jc w:val="center"/>
              <w:rPr>
                <w:rFonts w:ascii="宋体" w:hAnsi="宋体"/>
                <w:szCs w:val="21"/>
              </w:rPr>
            </w:pPr>
            <w:r w:rsidRPr="008E75F9">
              <w:rPr>
                <w:rFonts w:ascii="宋体" w:hAnsi="宋体" w:hint="eastAsia"/>
                <w:b/>
                <w:bCs/>
                <w:szCs w:val="21"/>
              </w:rPr>
              <w:t>原文</w:t>
            </w:r>
          </w:p>
        </w:tc>
        <w:tc>
          <w:tcPr>
            <w:tcW w:w="4394" w:type="dxa"/>
            <w:tcBorders>
              <w:top w:val="single" w:sz="4" w:space="0" w:color="auto"/>
              <w:left w:val="single" w:sz="4" w:space="0" w:color="auto"/>
              <w:bottom w:val="single" w:sz="4" w:space="0" w:color="auto"/>
              <w:right w:val="single" w:sz="4" w:space="0" w:color="000000"/>
            </w:tcBorders>
            <w:vAlign w:val="center"/>
          </w:tcPr>
          <w:p w:rsidR="009532B1" w:rsidRPr="008E75F9" w:rsidP="00972B08" w14:paraId="5B9F25D2" w14:textId="77777777">
            <w:pPr>
              <w:jc w:val="center"/>
              <w:rPr>
                <w:rFonts w:ascii="宋体" w:hAnsi="宋体"/>
                <w:szCs w:val="21"/>
              </w:rPr>
            </w:pPr>
            <w:r w:rsidRPr="008E75F9">
              <w:rPr>
                <w:rFonts w:ascii="宋体" w:hAnsi="宋体" w:hint="eastAsia"/>
                <w:b/>
                <w:bCs/>
                <w:szCs w:val="21"/>
              </w:rPr>
              <w:t>修订</w:t>
            </w:r>
          </w:p>
        </w:tc>
      </w:tr>
      <w:tr w14:paraId="34E62B76" w14:textId="77777777" w:rsidTr="00ED4C73">
        <w:tblPrEx>
          <w:tblW w:w="10206" w:type="dxa"/>
          <w:tblInd w:w="-572" w:type="dxa"/>
          <w:tblLayout w:type="fixed"/>
          <w:tblLook w:val="04A0"/>
        </w:tblPrEx>
        <w:tc>
          <w:tcPr>
            <w:tcW w:w="1134" w:type="dxa"/>
            <w:tcBorders>
              <w:top w:val="single" w:sz="4" w:space="0" w:color="auto"/>
              <w:left w:val="single" w:sz="4" w:space="0" w:color="000000"/>
              <w:bottom w:val="single" w:sz="4" w:space="0" w:color="auto"/>
              <w:right w:val="single" w:sz="4" w:space="0" w:color="auto"/>
            </w:tcBorders>
            <w:vAlign w:val="center"/>
          </w:tcPr>
          <w:p w:rsidR="009532B1" w:rsidRPr="008E75F9" w:rsidP="00972B08" w14:paraId="18ECEB88" w14:textId="350C106E">
            <w:pPr>
              <w:spacing w:line="360" w:lineRule="auto"/>
              <w:rPr>
                <w:rFonts w:ascii="宋体" w:hAnsi="宋体"/>
                <w:b/>
                <w:szCs w:val="21"/>
              </w:rPr>
            </w:pPr>
            <w:bookmarkStart w:id="136" w:name="_Toc46167888"/>
            <w:r w:rsidRPr="008E75F9">
              <w:rPr>
                <w:rFonts w:ascii="宋体" w:hAnsi="宋体" w:hint="eastAsia"/>
                <w:szCs w:val="21"/>
              </w:rPr>
              <w:t>一、基金托管协议当事人</w:t>
            </w:r>
            <w:bookmarkEnd w:id="136"/>
          </w:p>
        </w:tc>
        <w:tc>
          <w:tcPr>
            <w:tcW w:w="4678" w:type="dxa"/>
            <w:tcBorders>
              <w:top w:val="single" w:sz="4" w:space="0" w:color="auto"/>
              <w:left w:val="single" w:sz="4" w:space="0" w:color="auto"/>
              <w:bottom w:val="single" w:sz="4" w:space="0" w:color="auto"/>
              <w:right w:val="single" w:sz="4" w:space="0" w:color="auto"/>
            </w:tcBorders>
          </w:tcPr>
          <w:p w:rsidR="000F63EC" w:rsidRPr="00145831" w:rsidP="00EF42CD" w14:paraId="0A743793" w14:textId="77777777">
            <w:pPr>
              <w:spacing w:line="360" w:lineRule="auto"/>
              <w:rPr>
                <w:rFonts w:ascii="宋体" w:hAnsi="宋体"/>
                <w:szCs w:val="21"/>
              </w:rPr>
            </w:pPr>
            <w:r w:rsidRPr="00145831">
              <w:rPr>
                <w:rFonts w:ascii="宋体" w:hAnsi="宋体" w:hint="eastAsia"/>
                <w:szCs w:val="21"/>
              </w:rPr>
              <w:t>（一）基金管理人</w:t>
            </w:r>
          </w:p>
          <w:p w:rsidR="000F63EC" w:rsidRPr="00145831" w:rsidP="00EF42CD" w14:paraId="29F1A286" w14:textId="77777777">
            <w:pPr>
              <w:spacing w:line="360" w:lineRule="auto"/>
              <w:rPr>
                <w:rFonts w:ascii="宋体" w:hAnsi="宋体"/>
                <w:b/>
                <w:szCs w:val="21"/>
              </w:rPr>
            </w:pPr>
            <w:r w:rsidRPr="00145831">
              <w:rPr>
                <w:rFonts w:ascii="宋体" w:hAnsi="宋体" w:hint="eastAsia"/>
                <w:b/>
                <w:szCs w:val="21"/>
              </w:rPr>
              <w:t>注册地址：广东省珠海市横琴新区宝华路</w:t>
            </w:r>
            <w:r w:rsidRPr="00145831">
              <w:rPr>
                <w:rFonts w:ascii="宋体" w:hAnsi="宋体"/>
                <w:b/>
                <w:szCs w:val="21"/>
              </w:rPr>
              <w:t>6</w:t>
            </w:r>
            <w:r w:rsidRPr="00145831">
              <w:rPr>
                <w:rFonts w:ascii="宋体" w:hAnsi="宋体" w:hint="eastAsia"/>
                <w:b/>
                <w:szCs w:val="21"/>
              </w:rPr>
              <w:t>号</w:t>
            </w:r>
            <w:r w:rsidRPr="00145831">
              <w:rPr>
                <w:rFonts w:ascii="宋体" w:hAnsi="宋体"/>
                <w:b/>
                <w:szCs w:val="21"/>
              </w:rPr>
              <w:t>105</w:t>
            </w:r>
            <w:r w:rsidRPr="00145831">
              <w:rPr>
                <w:rFonts w:ascii="宋体" w:hAnsi="宋体" w:hint="eastAsia"/>
                <w:b/>
                <w:szCs w:val="21"/>
              </w:rPr>
              <w:t>室</w:t>
            </w:r>
            <w:r w:rsidRPr="00145831">
              <w:rPr>
                <w:rFonts w:ascii="宋体" w:hAnsi="宋体"/>
                <w:b/>
                <w:szCs w:val="21"/>
              </w:rPr>
              <w:t>-42891</w:t>
            </w:r>
            <w:r w:rsidRPr="00145831">
              <w:rPr>
                <w:rFonts w:ascii="宋体" w:hAnsi="宋体" w:hint="eastAsia"/>
                <w:b/>
                <w:szCs w:val="21"/>
              </w:rPr>
              <w:t>（集中办公区）</w:t>
            </w:r>
          </w:p>
          <w:p w:rsidR="000F63EC" w:rsidP="00EF42CD" w14:paraId="35F4B2DE" w14:textId="77777777">
            <w:pPr>
              <w:spacing w:line="360" w:lineRule="auto"/>
              <w:rPr>
                <w:rFonts w:ascii="宋体" w:hAnsi="宋体"/>
                <w:b/>
                <w:szCs w:val="21"/>
              </w:rPr>
            </w:pPr>
            <w:r w:rsidRPr="00145831">
              <w:rPr>
                <w:rFonts w:ascii="宋体" w:hAnsi="宋体" w:hint="eastAsia"/>
                <w:b/>
                <w:szCs w:val="21"/>
              </w:rPr>
              <w:t>办公地址：广东省广州市珠江新城珠江东路30号广州银行大厦40-43楼</w:t>
            </w:r>
          </w:p>
          <w:p w:rsidR="00D043C4" w:rsidRPr="00D043C4" w:rsidP="00EF42CD" w14:paraId="15A23BE7" w14:textId="02985575">
            <w:pPr>
              <w:spacing w:line="360" w:lineRule="auto"/>
              <w:rPr>
                <w:rFonts w:ascii="宋体" w:hAnsi="宋体"/>
                <w:b/>
                <w:szCs w:val="21"/>
              </w:rPr>
            </w:pPr>
            <w:r w:rsidRPr="00D043C4">
              <w:rPr>
                <w:rFonts w:ascii="宋体" w:hAnsi="宋体" w:hint="eastAsia"/>
                <w:b/>
                <w:szCs w:val="21"/>
              </w:rPr>
              <w:t>邮政编码：</w:t>
            </w:r>
            <w:r w:rsidRPr="00D043C4">
              <w:rPr>
                <w:rFonts w:ascii="宋体" w:hAnsi="宋体"/>
                <w:b/>
                <w:szCs w:val="21"/>
              </w:rPr>
              <w:t>510620</w:t>
            </w:r>
          </w:p>
          <w:p w:rsidR="000F63EC" w:rsidRPr="00145831" w:rsidP="00EF42CD" w14:paraId="682FBC2C" w14:textId="77777777">
            <w:pPr>
              <w:spacing w:line="360" w:lineRule="auto"/>
              <w:rPr>
                <w:rFonts w:ascii="宋体" w:hAnsi="宋体"/>
                <w:szCs w:val="21"/>
              </w:rPr>
            </w:pPr>
            <w:r w:rsidRPr="00145831">
              <w:rPr>
                <w:rFonts w:ascii="宋体" w:hAnsi="宋体" w:hint="eastAsia"/>
                <w:szCs w:val="21"/>
              </w:rPr>
              <w:t>（二）基金托管人</w:t>
            </w:r>
          </w:p>
          <w:p w:rsidR="009532B1" w:rsidRPr="000F63EC" w:rsidP="00EF42CD" w14:paraId="55796A9C" w14:textId="400124FB">
            <w:pPr>
              <w:spacing w:line="360" w:lineRule="auto"/>
              <w:rPr>
                <w:rFonts w:ascii="宋体" w:hAnsi="宋体"/>
                <w:szCs w:val="21"/>
              </w:rPr>
            </w:pPr>
            <w:r w:rsidRPr="00145831">
              <w:rPr>
                <w:rFonts w:ascii="宋体" w:hAnsi="宋体" w:hint="eastAsia"/>
                <w:szCs w:val="21"/>
              </w:rPr>
              <w:t>法定代表人：</w:t>
            </w:r>
            <w:r w:rsidRPr="00145831">
              <w:rPr>
                <w:rFonts w:ascii="宋体" w:hAnsi="宋体" w:hint="eastAsia"/>
                <w:b/>
                <w:szCs w:val="21"/>
              </w:rPr>
              <w:t>田国立</w:t>
            </w:r>
          </w:p>
        </w:tc>
        <w:tc>
          <w:tcPr>
            <w:tcW w:w="4394" w:type="dxa"/>
            <w:tcBorders>
              <w:top w:val="single" w:sz="4" w:space="0" w:color="auto"/>
              <w:left w:val="single" w:sz="4" w:space="0" w:color="auto"/>
              <w:bottom w:val="single" w:sz="4" w:space="0" w:color="auto"/>
              <w:right w:val="single" w:sz="4" w:space="0" w:color="000000"/>
            </w:tcBorders>
          </w:tcPr>
          <w:p w:rsidR="008E75F9" w:rsidRPr="008E75F9" w:rsidP="00EF42CD" w14:paraId="2A01355C" w14:textId="77777777">
            <w:pPr>
              <w:spacing w:line="360" w:lineRule="auto"/>
              <w:rPr>
                <w:rFonts w:ascii="宋体" w:hAnsi="宋体"/>
                <w:szCs w:val="21"/>
              </w:rPr>
            </w:pPr>
            <w:r w:rsidRPr="008E75F9">
              <w:rPr>
                <w:rFonts w:ascii="宋体" w:hAnsi="宋体" w:hint="eastAsia"/>
                <w:szCs w:val="21"/>
              </w:rPr>
              <w:t>（一）基金管理人</w:t>
            </w:r>
          </w:p>
          <w:p w:rsidR="008E75F9" w:rsidRPr="008E75F9" w:rsidP="00EF42CD" w14:paraId="4F0472CD" w14:textId="77777777">
            <w:pPr>
              <w:spacing w:line="360" w:lineRule="auto"/>
              <w:rPr>
                <w:rFonts w:ascii="宋体" w:hAnsi="宋体"/>
                <w:b/>
                <w:szCs w:val="21"/>
              </w:rPr>
            </w:pPr>
            <w:r w:rsidRPr="008E75F9">
              <w:rPr>
                <w:rFonts w:ascii="宋体" w:hAnsi="宋体" w:hint="eastAsia"/>
                <w:szCs w:val="21"/>
              </w:rPr>
              <w:t>注册地址：</w:t>
            </w:r>
            <w:r w:rsidRPr="008E75F9">
              <w:rPr>
                <w:rFonts w:ascii="宋体" w:hAnsi="宋体"/>
                <w:b/>
                <w:szCs w:val="21"/>
              </w:rPr>
              <w:t>广东省珠海市横琴新区荣粤道188号6层</w:t>
            </w:r>
          </w:p>
          <w:p w:rsidR="00133532" w:rsidP="00EF42CD" w14:paraId="14908864" w14:textId="77777777">
            <w:pPr>
              <w:spacing w:line="360" w:lineRule="auto"/>
              <w:rPr>
                <w:rFonts w:ascii="宋体" w:hAnsi="宋体"/>
                <w:szCs w:val="21"/>
              </w:rPr>
            </w:pPr>
          </w:p>
          <w:p w:rsidR="00133532" w:rsidP="00EF42CD" w14:paraId="7016C9F5" w14:textId="77777777">
            <w:pPr>
              <w:spacing w:line="360" w:lineRule="auto"/>
              <w:rPr>
                <w:rFonts w:ascii="宋体" w:hAnsi="宋体"/>
                <w:szCs w:val="21"/>
              </w:rPr>
            </w:pPr>
          </w:p>
          <w:p w:rsidR="004E03A3" w:rsidP="00EF42CD" w14:paraId="1A2E8B38" w14:textId="77777777">
            <w:pPr>
              <w:spacing w:line="360" w:lineRule="auto"/>
              <w:rPr>
                <w:rFonts w:ascii="宋体" w:hAnsi="宋体"/>
                <w:szCs w:val="21"/>
              </w:rPr>
            </w:pPr>
          </w:p>
          <w:p w:rsidR="008E75F9" w:rsidRPr="008E75F9" w:rsidP="00EF42CD" w14:paraId="16CF4322" w14:textId="77777777">
            <w:pPr>
              <w:spacing w:line="360" w:lineRule="auto"/>
              <w:rPr>
                <w:rFonts w:ascii="宋体" w:hAnsi="宋体"/>
                <w:szCs w:val="21"/>
              </w:rPr>
            </w:pPr>
            <w:r w:rsidRPr="008E75F9">
              <w:rPr>
                <w:rFonts w:ascii="宋体" w:hAnsi="宋体" w:hint="eastAsia"/>
                <w:szCs w:val="21"/>
              </w:rPr>
              <w:t>（二）基金托管人</w:t>
            </w:r>
          </w:p>
          <w:p w:rsidR="009532B1" w:rsidRPr="008E75F9" w:rsidP="00EF42CD" w14:paraId="3FD6F79D" w14:textId="3B1F5632">
            <w:pPr>
              <w:spacing w:line="360" w:lineRule="auto"/>
              <w:rPr>
                <w:rFonts w:ascii="宋体" w:hAnsi="宋体"/>
                <w:szCs w:val="21"/>
              </w:rPr>
            </w:pPr>
            <w:r w:rsidRPr="008E75F9">
              <w:rPr>
                <w:rFonts w:ascii="宋体" w:hAnsi="宋体" w:hint="eastAsia"/>
                <w:szCs w:val="21"/>
              </w:rPr>
              <w:t>法定代表人：</w:t>
            </w:r>
            <w:r w:rsidRPr="008E75F9">
              <w:rPr>
                <w:rFonts w:ascii="宋体" w:hAnsi="宋体" w:hint="eastAsia"/>
                <w:b/>
                <w:szCs w:val="21"/>
              </w:rPr>
              <w:t>张金良</w:t>
            </w:r>
          </w:p>
        </w:tc>
      </w:tr>
      <w:tr w14:paraId="7284F427" w14:textId="77777777" w:rsidTr="00ED4C73">
        <w:tblPrEx>
          <w:tblW w:w="10206" w:type="dxa"/>
          <w:tblInd w:w="-572" w:type="dxa"/>
          <w:tblLayout w:type="fixed"/>
          <w:tblLook w:val="04A0"/>
        </w:tblPrEx>
        <w:tc>
          <w:tcPr>
            <w:tcW w:w="1134" w:type="dxa"/>
            <w:tcBorders>
              <w:top w:val="single" w:sz="4" w:space="0" w:color="auto"/>
              <w:left w:val="single" w:sz="4" w:space="0" w:color="000000"/>
              <w:bottom w:val="single" w:sz="4" w:space="0" w:color="auto"/>
              <w:right w:val="single" w:sz="4" w:space="0" w:color="auto"/>
            </w:tcBorders>
            <w:vAlign w:val="center"/>
          </w:tcPr>
          <w:p w:rsidR="00736E75" w:rsidRPr="0044643C" w:rsidP="00972B08" w14:paraId="1899FBAF" w14:textId="3DF618F7">
            <w:pPr>
              <w:spacing w:line="360" w:lineRule="auto"/>
              <w:rPr>
                <w:rFonts w:ascii="宋体" w:hAnsi="宋体"/>
                <w:szCs w:val="21"/>
              </w:rPr>
            </w:pPr>
            <w:bookmarkStart w:id="137" w:name="_Toc46167890"/>
            <w:r w:rsidRPr="00145831">
              <w:rPr>
                <w:rFonts w:ascii="宋体" w:hAnsi="宋体" w:hint="eastAsia"/>
                <w:szCs w:val="21"/>
              </w:rPr>
              <w:t>三、基金托管人对基金管理人的业务监督和核查</w:t>
            </w:r>
            <w:bookmarkEnd w:id="137"/>
          </w:p>
        </w:tc>
        <w:tc>
          <w:tcPr>
            <w:tcW w:w="4678" w:type="dxa"/>
            <w:tcBorders>
              <w:top w:val="single" w:sz="4" w:space="0" w:color="auto"/>
              <w:left w:val="single" w:sz="4" w:space="0" w:color="auto"/>
              <w:bottom w:val="single" w:sz="4" w:space="0" w:color="auto"/>
              <w:right w:val="single" w:sz="4" w:space="0" w:color="auto"/>
            </w:tcBorders>
          </w:tcPr>
          <w:p w:rsidR="000F63EC" w:rsidRPr="00145831" w:rsidP="00EF42CD" w14:paraId="142187CC" w14:textId="45DE3897">
            <w:pPr>
              <w:spacing w:line="360" w:lineRule="auto"/>
              <w:rPr>
                <w:rFonts w:ascii="宋体" w:hAnsi="宋体"/>
                <w:szCs w:val="21"/>
              </w:rPr>
            </w:pPr>
            <w:r w:rsidRPr="00145831">
              <w:rPr>
                <w:rFonts w:ascii="宋体" w:hAnsi="宋体" w:hint="eastAsia"/>
                <w:szCs w:val="21"/>
              </w:rPr>
              <w:t>（一）</w:t>
            </w:r>
            <w:r w:rsidR="0044643C">
              <w:rPr>
                <w:rFonts w:ascii="宋体" w:hAnsi="宋体"/>
                <w:szCs w:val="21"/>
              </w:rPr>
              <w:t>……</w:t>
            </w:r>
          </w:p>
          <w:p w:rsidR="00736E75" w:rsidRPr="008E75F9" w:rsidP="00EF42CD" w14:paraId="665931ED" w14:textId="657ACF5B">
            <w:pPr>
              <w:spacing w:line="360" w:lineRule="auto"/>
              <w:rPr>
                <w:rFonts w:ascii="宋体" w:hAnsi="宋体"/>
                <w:szCs w:val="21"/>
              </w:rPr>
            </w:pPr>
            <w:r w:rsidRPr="00145831">
              <w:rPr>
                <w:rFonts w:ascii="宋体" w:hAnsi="宋体" w:hint="eastAsia"/>
                <w:szCs w:val="21"/>
              </w:rPr>
              <w:t>本基金的投资范围包括国内依法发行上市的股票（含科创板、</w:t>
            </w:r>
            <w:r w:rsidRPr="00145831">
              <w:rPr>
                <w:rFonts w:ascii="宋体" w:hAnsi="宋体" w:hint="eastAsia"/>
                <w:b/>
                <w:szCs w:val="21"/>
              </w:rPr>
              <w:t>中小板</w:t>
            </w:r>
            <w:r w:rsidRPr="00145831">
              <w:rPr>
                <w:rFonts w:ascii="宋体" w:hAnsi="宋体" w:hint="eastAsia"/>
                <w:szCs w:val="21"/>
              </w:rPr>
              <w:t>、创业板及其他依法发行、上市的股票、存托凭证）</w:t>
            </w:r>
            <w:r>
              <w:rPr>
                <w:rFonts w:ascii="宋体" w:hAnsi="宋体"/>
                <w:szCs w:val="21"/>
              </w:rPr>
              <w:t>……</w:t>
            </w:r>
          </w:p>
        </w:tc>
        <w:tc>
          <w:tcPr>
            <w:tcW w:w="4394" w:type="dxa"/>
            <w:tcBorders>
              <w:top w:val="single" w:sz="4" w:space="0" w:color="auto"/>
              <w:left w:val="single" w:sz="4" w:space="0" w:color="auto"/>
              <w:bottom w:val="single" w:sz="4" w:space="0" w:color="auto"/>
              <w:right w:val="single" w:sz="4" w:space="0" w:color="000000"/>
            </w:tcBorders>
          </w:tcPr>
          <w:p w:rsidR="00736E75" w:rsidRPr="00736E75" w:rsidP="00EF42CD" w14:paraId="1C87D93C" w14:textId="24A5B7B4">
            <w:pPr>
              <w:spacing w:line="360" w:lineRule="auto"/>
              <w:rPr>
                <w:rFonts w:ascii="宋体" w:hAnsi="宋体"/>
                <w:szCs w:val="21"/>
              </w:rPr>
            </w:pPr>
            <w:r w:rsidRPr="00736E75">
              <w:rPr>
                <w:rFonts w:ascii="宋体" w:hAnsi="宋体" w:hint="eastAsia"/>
                <w:szCs w:val="21"/>
              </w:rPr>
              <w:t>（一）</w:t>
            </w:r>
            <w:r w:rsidR="0044643C">
              <w:rPr>
                <w:rFonts w:ascii="宋体" w:hAnsi="宋体"/>
                <w:szCs w:val="21"/>
              </w:rPr>
              <w:t>……</w:t>
            </w:r>
          </w:p>
          <w:p w:rsidR="00736E75" w:rsidRPr="008E75F9" w:rsidP="00EF42CD" w14:paraId="06DD4AA3" w14:textId="73C7921A">
            <w:pPr>
              <w:spacing w:line="360" w:lineRule="auto"/>
              <w:rPr>
                <w:rFonts w:ascii="宋体" w:hAnsi="宋体"/>
                <w:szCs w:val="21"/>
              </w:rPr>
            </w:pPr>
            <w:r w:rsidRPr="00736E75">
              <w:rPr>
                <w:rFonts w:ascii="宋体" w:hAnsi="宋体" w:hint="eastAsia"/>
                <w:szCs w:val="21"/>
              </w:rPr>
              <w:t>本基金的投资范围包括国内依法发行上市的股票（含科创板、创业板及其他依法发行、上市的股票、存托凭证）</w:t>
            </w:r>
            <w:r>
              <w:rPr>
                <w:rFonts w:ascii="宋体" w:hAnsi="宋体"/>
                <w:szCs w:val="21"/>
              </w:rPr>
              <w:t>……</w:t>
            </w:r>
          </w:p>
        </w:tc>
      </w:tr>
      <w:tr w14:paraId="341A0D32" w14:textId="77777777" w:rsidTr="00ED4C73">
        <w:tblPrEx>
          <w:tblW w:w="10206" w:type="dxa"/>
          <w:tblInd w:w="-572" w:type="dxa"/>
          <w:tblLayout w:type="fixed"/>
          <w:tblLook w:val="04A0"/>
        </w:tblPrEx>
        <w:tc>
          <w:tcPr>
            <w:tcW w:w="1134" w:type="dxa"/>
            <w:tcBorders>
              <w:top w:val="single" w:sz="4" w:space="0" w:color="auto"/>
              <w:left w:val="single" w:sz="4" w:space="0" w:color="000000"/>
              <w:bottom w:val="single" w:sz="4" w:space="0" w:color="auto"/>
              <w:right w:val="single" w:sz="4" w:space="0" w:color="auto"/>
            </w:tcBorders>
            <w:vAlign w:val="center"/>
          </w:tcPr>
          <w:p w:rsidR="009532B1" w:rsidRPr="008E75F9" w:rsidP="00972B08" w14:paraId="7D1E1725" w14:textId="093B1A42">
            <w:pPr>
              <w:spacing w:line="360" w:lineRule="auto"/>
              <w:rPr>
                <w:rFonts w:ascii="宋体" w:hAnsi="宋体"/>
                <w:szCs w:val="21"/>
              </w:rPr>
            </w:pPr>
            <w:bookmarkStart w:id="138" w:name="_Toc84133786"/>
            <w:bookmarkStart w:id="139" w:name="_Toc84234388"/>
            <w:bookmarkStart w:id="140" w:name="_Toc84234435"/>
            <w:bookmarkStart w:id="141" w:name="_Toc86204789"/>
            <w:bookmarkStart w:id="142" w:name="_Toc86223243"/>
            <w:bookmarkStart w:id="143" w:name="_Toc86225292"/>
            <w:bookmarkStart w:id="144" w:name="_Toc86649723"/>
            <w:bookmarkStart w:id="145" w:name="_Toc86726440"/>
            <w:bookmarkStart w:id="146" w:name="_Toc86727356"/>
            <w:bookmarkStart w:id="147" w:name="_Toc86737930"/>
            <w:bookmarkStart w:id="148" w:name="_Toc89163369"/>
            <w:bookmarkStart w:id="149" w:name="_Toc108512359"/>
            <w:bookmarkStart w:id="150" w:name="_Toc110761797"/>
            <w:bookmarkStart w:id="151" w:name="_Toc110765661"/>
            <w:bookmarkStart w:id="152" w:name="_Toc110830493"/>
            <w:bookmarkStart w:id="153" w:name="_Toc118212951"/>
            <w:bookmarkStart w:id="154" w:name="_Toc118774804"/>
            <w:bookmarkStart w:id="155" w:name="_Toc118972649"/>
            <w:bookmarkStart w:id="156" w:name="_Toc119402711"/>
            <w:bookmarkStart w:id="157" w:name="_Toc120435784"/>
            <w:bookmarkStart w:id="158" w:name="_Toc46167892"/>
            <w:r w:rsidRPr="008E75F9">
              <w:rPr>
                <w:rFonts w:ascii="宋体" w:hAnsi="宋体" w:hint="eastAsia"/>
                <w:szCs w:val="21"/>
              </w:rPr>
              <w:t>五、基金财产的保管</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tc>
        <w:tc>
          <w:tcPr>
            <w:tcW w:w="4678" w:type="dxa"/>
            <w:tcBorders>
              <w:top w:val="single" w:sz="4" w:space="0" w:color="auto"/>
              <w:left w:val="single" w:sz="4" w:space="0" w:color="auto"/>
              <w:bottom w:val="single" w:sz="4" w:space="0" w:color="auto"/>
              <w:right w:val="single" w:sz="4" w:space="0" w:color="auto"/>
            </w:tcBorders>
          </w:tcPr>
          <w:p w:rsidR="0044643C" w:rsidRPr="008E75F9" w:rsidP="00EF42CD" w14:paraId="4402C29A" w14:textId="77777777">
            <w:pPr>
              <w:spacing w:line="360" w:lineRule="auto"/>
              <w:rPr>
                <w:rFonts w:ascii="宋体" w:hAnsi="宋体"/>
                <w:szCs w:val="21"/>
              </w:rPr>
            </w:pPr>
            <w:r w:rsidRPr="008E75F9">
              <w:rPr>
                <w:rFonts w:ascii="宋体" w:hAnsi="宋体" w:hint="eastAsia"/>
                <w:szCs w:val="21"/>
              </w:rPr>
              <w:t>（八）与基金财产有关的重大合同的保管</w:t>
            </w:r>
          </w:p>
          <w:p w:rsidR="009532B1" w:rsidRPr="0044643C" w:rsidP="00972B08" w14:paraId="066AD903" w14:textId="5B3B2E14">
            <w:pPr>
              <w:spacing w:line="360" w:lineRule="auto"/>
              <w:rPr>
                <w:rFonts w:ascii="宋体" w:hAnsi="宋体"/>
                <w:szCs w:val="21"/>
              </w:rPr>
            </w:pPr>
            <w:r w:rsidRPr="008E75F9">
              <w:rPr>
                <w:rFonts w:ascii="宋体" w:hAnsi="宋体"/>
                <w:szCs w:val="21"/>
              </w:rPr>
              <w:t>……</w:t>
            </w:r>
            <w:r w:rsidRPr="00145831" w:rsidR="0044643C">
              <w:rPr>
                <w:rFonts w:ascii="宋体" w:hAnsi="宋体" w:hint="eastAsia"/>
                <w:szCs w:val="21"/>
              </w:rPr>
              <w:t>重大合同的保管期限为《基金合同》终止后</w:t>
            </w:r>
            <w:r w:rsidRPr="00145831" w:rsidR="0044643C">
              <w:rPr>
                <w:rFonts w:ascii="宋体" w:hAnsi="宋体" w:hint="eastAsia"/>
                <w:b/>
                <w:szCs w:val="21"/>
              </w:rPr>
              <w:t>15</w:t>
            </w:r>
            <w:r w:rsidRPr="00145831" w:rsidR="0044643C">
              <w:rPr>
                <w:rFonts w:ascii="宋体" w:hAnsi="宋体" w:hint="eastAsia"/>
                <w:szCs w:val="21"/>
              </w:rPr>
              <w:t>年。</w:t>
            </w:r>
          </w:p>
        </w:tc>
        <w:tc>
          <w:tcPr>
            <w:tcW w:w="4394" w:type="dxa"/>
            <w:tcBorders>
              <w:top w:val="single" w:sz="4" w:space="0" w:color="auto"/>
              <w:left w:val="single" w:sz="4" w:space="0" w:color="auto"/>
              <w:bottom w:val="single" w:sz="4" w:space="0" w:color="auto"/>
              <w:right w:val="single" w:sz="4" w:space="0" w:color="000000"/>
            </w:tcBorders>
          </w:tcPr>
          <w:p w:rsidR="008E75F9" w:rsidRPr="008E75F9" w:rsidP="00EF42CD" w14:paraId="53AEB74C" w14:textId="77777777">
            <w:pPr>
              <w:spacing w:line="360" w:lineRule="auto"/>
              <w:rPr>
                <w:rFonts w:ascii="宋体" w:hAnsi="宋体"/>
                <w:szCs w:val="21"/>
              </w:rPr>
            </w:pPr>
            <w:r w:rsidRPr="008E75F9">
              <w:rPr>
                <w:rFonts w:ascii="宋体" w:hAnsi="宋体" w:hint="eastAsia"/>
                <w:szCs w:val="21"/>
              </w:rPr>
              <w:t>（八）与基金财产有关的重大合同的保管</w:t>
            </w:r>
          </w:p>
          <w:p w:rsidR="009532B1" w:rsidRPr="008E75F9" w:rsidP="00EF42CD" w14:paraId="4C13F13A" w14:textId="42DB9FD6">
            <w:pPr>
              <w:spacing w:line="360" w:lineRule="auto"/>
              <w:rPr>
                <w:rFonts w:ascii="宋体" w:hAnsi="宋体"/>
                <w:szCs w:val="21"/>
              </w:rPr>
            </w:pPr>
            <w:r w:rsidRPr="008E75F9">
              <w:rPr>
                <w:rFonts w:ascii="宋体" w:hAnsi="宋体"/>
                <w:szCs w:val="21"/>
              </w:rPr>
              <w:t>……</w:t>
            </w:r>
            <w:r w:rsidRPr="008E75F9">
              <w:rPr>
                <w:rFonts w:ascii="宋体" w:hAnsi="宋体" w:hint="eastAsia"/>
                <w:szCs w:val="21"/>
              </w:rPr>
              <w:t>重大合同的保管期限为《基金合同》终止后</w:t>
            </w:r>
            <w:r w:rsidRPr="008E75F9">
              <w:rPr>
                <w:rFonts w:ascii="宋体" w:hAnsi="宋体"/>
                <w:b/>
                <w:szCs w:val="21"/>
              </w:rPr>
              <w:t>20</w:t>
            </w:r>
            <w:r w:rsidRPr="008E75F9">
              <w:rPr>
                <w:rFonts w:ascii="宋体" w:hAnsi="宋体" w:hint="eastAsia"/>
                <w:szCs w:val="21"/>
              </w:rPr>
              <w:t>年。</w:t>
            </w:r>
          </w:p>
        </w:tc>
      </w:tr>
      <w:tr w14:paraId="10A4A6AF" w14:textId="77777777" w:rsidTr="00ED4C73">
        <w:tblPrEx>
          <w:tblW w:w="10206" w:type="dxa"/>
          <w:tblInd w:w="-572" w:type="dxa"/>
          <w:tblLayout w:type="fixed"/>
          <w:tblLook w:val="04A0"/>
        </w:tblPrEx>
        <w:tc>
          <w:tcPr>
            <w:tcW w:w="1134" w:type="dxa"/>
            <w:tcBorders>
              <w:top w:val="single" w:sz="4" w:space="0" w:color="auto"/>
              <w:left w:val="single" w:sz="4" w:space="0" w:color="000000"/>
              <w:bottom w:val="single" w:sz="4" w:space="0" w:color="auto"/>
              <w:right w:val="single" w:sz="4" w:space="0" w:color="auto"/>
            </w:tcBorders>
            <w:vAlign w:val="center"/>
          </w:tcPr>
          <w:p w:rsidR="008E75F9" w:rsidRPr="008E75F9" w:rsidP="00972B08" w14:paraId="3DC0063E" w14:textId="5E9B3B74">
            <w:pPr>
              <w:spacing w:line="360" w:lineRule="auto"/>
              <w:rPr>
                <w:rFonts w:ascii="宋体" w:hAnsi="宋体"/>
                <w:szCs w:val="21"/>
              </w:rPr>
            </w:pPr>
            <w:bookmarkStart w:id="159" w:name="_Toc46167895"/>
            <w:r w:rsidRPr="008E75F9">
              <w:rPr>
                <w:rFonts w:ascii="宋体" w:hAnsi="宋体" w:hint="eastAsia"/>
                <w:szCs w:val="21"/>
              </w:rPr>
              <w:t>八、基金资产净值计算和会计核算</w:t>
            </w:r>
            <w:bookmarkEnd w:id="159"/>
          </w:p>
        </w:tc>
        <w:tc>
          <w:tcPr>
            <w:tcW w:w="4678" w:type="dxa"/>
            <w:tcBorders>
              <w:top w:val="single" w:sz="4" w:space="0" w:color="auto"/>
              <w:left w:val="single" w:sz="4" w:space="0" w:color="auto"/>
              <w:bottom w:val="single" w:sz="4" w:space="0" w:color="auto"/>
              <w:right w:val="single" w:sz="4" w:space="0" w:color="auto"/>
            </w:tcBorders>
          </w:tcPr>
          <w:p w:rsidR="0044643C" w:rsidP="00EF42CD" w14:paraId="77ADB005" w14:textId="77777777">
            <w:pPr>
              <w:adjustRightInd w:val="0"/>
              <w:snapToGrid w:val="0"/>
              <w:spacing w:line="360" w:lineRule="auto"/>
              <w:outlineLvl w:val="0"/>
              <w:rPr>
                <w:rFonts w:ascii="宋体" w:hAnsi="宋体" w:cs="Arial"/>
                <w:szCs w:val="21"/>
              </w:rPr>
            </w:pPr>
            <w:r w:rsidRPr="008E75F9">
              <w:rPr>
                <w:rFonts w:ascii="宋体" w:hAnsi="宋体" w:cs="Arial" w:hint="eastAsia"/>
                <w:szCs w:val="21"/>
              </w:rPr>
              <w:t>（一）基金资产净值的计算、复核与完成的时间及程序</w:t>
            </w:r>
          </w:p>
          <w:p w:rsidR="0044643C" w:rsidRPr="008E75F9" w:rsidP="00EF42CD" w14:paraId="07C55D54" w14:textId="5FA08786">
            <w:pPr>
              <w:adjustRightInd w:val="0"/>
              <w:snapToGrid w:val="0"/>
              <w:spacing w:line="360" w:lineRule="auto"/>
              <w:outlineLvl w:val="0"/>
              <w:rPr>
                <w:rFonts w:ascii="宋体" w:hAnsi="宋体" w:cs="Arial"/>
                <w:szCs w:val="21"/>
              </w:rPr>
            </w:pPr>
            <w:r>
              <w:rPr>
                <w:rFonts w:ascii="宋体" w:hAnsi="宋体" w:cs="Arial"/>
                <w:szCs w:val="21"/>
              </w:rPr>
              <w:t>……</w:t>
            </w:r>
          </w:p>
          <w:p w:rsidR="0044643C" w:rsidP="0044643C" w14:paraId="79BF22D9" w14:textId="77777777">
            <w:pPr>
              <w:adjustRightInd w:val="0"/>
              <w:snapToGrid w:val="0"/>
              <w:spacing w:line="360" w:lineRule="auto"/>
              <w:ind w:firstLine="420" w:firstLineChars="200"/>
              <w:outlineLvl w:val="0"/>
              <w:rPr>
                <w:rFonts w:ascii="宋体" w:hAnsi="宋体" w:cs="Arial"/>
                <w:szCs w:val="21"/>
              </w:rPr>
            </w:pPr>
          </w:p>
          <w:p w:rsidR="0044643C" w:rsidP="0044643C" w14:paraId="34A8EB06" w14:textId="77777777">
            <w:pPr>
              <w:adjustRightInd w:val="0"/>
              <w:snapToGrid w:val="0"/>
              <w:spacing w:line="360" w:lineRule="auto"/>
              <w:ind w:firstLine="420" w:firstLineChars="200"/>
              <w:outlineLvl w:val="0"/>
              <w:rPr>
                <w:rFonts w:ascii="宋体" w:hAnsi="宋体" w:cs="Arial"/>
                <w:szCs w:val="21"/>
              </w:rPr>
            </w:pPr>
          </w:p>
          <w:p w:rsidR="0044643C" w:rsidP="0044643C" w14:paraId="4F4D1953" w14:textId="77777777">
            <w:pPr>
              <w:adjustRightInd w:val="0"/>
              <w:snapToGrid w:val="0"/>
              <w:spacing w:line="360" w:lineRule="auto"/>
              <w:ind w:firstLine="420" w:firstLineChars="200"/>
              <w:outlineLvl w:val="0"/>
              <w:rPr>
                <w:rFonts w:ascii="宋体" w:hAnsi="宋体" w:cs="Arial"/>
                <w:szCs w:val="21"/>
              </w:rPr>
            </w:pPr>
          </w:p>
          <w:p w:rsidR="0044643C" w:rsidP="0044643C" w14:paraId="5BD15E51" w14:textId="77777777">
            <w:pPr>
              <w:adjustRightInd w:val="0"/>
              <w:snapToGrid w:val="0"/>
              <w:spacing w:line="360" w:lineRule="auto"/>
              <w:ind w:firstLine="420" w:firstLineChars="200"/>
              <w:outlineLvl w:val="0"/>
              <w:rPr>
                <w:rFonts w:ascii="宋体" w:hAnsi="宋体" w:cs="Arial"/>
                <w:szCs w:val="21"/>
              </w:rPr>
            </w:pPr>
          </w:p>
          <w:p w:rsidR="0044643C" w:rsidP="0044643C" w14:paraId="0A1C291D" w14:textId="77777777">
            <w:pPr>
              <w:adjustRightInd w:val="0"/>
              <w:snapToGrid w:val="0"/>
              <w:spacing w:line="360" w:lineRule="auto"/>
              <w:ind w:firstLine="420" w:firstLineChars="200"/>
              <w:outlineLvl w:val="0"/>
              <w:rPr>
                <w:rFonts w:ascii="宋体" w:hAnsi="宋体" w:cs="Arial"/>
                <w:szCs w:val="21"/>
              </w:rPr>
            </w:pPr>
          </w:p>
          <w:p w:rsidR="0044643C" w:rsidRPr="008E75F9" w:rsidP="00EF42CD" w14:paraId="7B124A9D" w14:textId="77777777">
            <w:pPr>
              <w:adjustRightInd w:val="0"/>
              <w:snapToGrid w:val="0"/>
              <w:spacing w:line="360" w:lineRule="auto"/>
              <w:outlineLvl w:val="0"/>
              <w:rPr>
                <w:rFonts w:ascii="宋体" w:hAnsi="宋体" w:cs="Arial"/>
                <w:szCs w:val="21"/>
              </w:rPr>
            </w:pPr>
            <w:r w:rsidRPr="008E75F9">
              <w:rPr>
                <w:rFonts w:ascii="宋体" w:hAnsi="宋体" w:cs="Arial" w:hint="eastAsia"/>
                <w:szCs w:val="21"/>
              </w:rPr>
              <w:t>（四）暂停估值与公告基金份额净值的情形</w:t>
            </w:r>
          </w:p>
          <w:p w:rsidR="008E75F9" w:rsidRPr="00EF42CD" w:rsidP="00EF42CD" w14:paraId="0ABC5C1B" w14:textId="1CF5578E">
            <w:pPr>
              <w:adjustRightInd w:val="0"/>
              <w:snapToGrid w:val="0"/>
              <w:spacing w:line="360" w:lineRule="auto"/>
              <w:outlineLvl w:val="0"/>
              <w:rPr>
                <w:rFonts w:ascii="宋体" w:hAnsi="宋体" w:cs="Arial"/>
                <w:b/>
                <w:szCs w:val="21"/>
              </w:rPr>
            </w:pPr>
            <w:r w:rsidRPr="006736AD">
              <w:rPr>
                <w:rFonts w:ascii="宋体" w:hAnsi="宋体" w:cs="Arial" w:hint="eastAsia"/>
                <w:szCs w:val="21"/>
              </w:rPr>
              <w:t>3.</w:t>
            </w:r>
            <w:r w:rsidRPr="00EF42CD">
              <w:rPr>
                <w:rFonts w:ascii="宋体" w:hAnsi="宋体" w:cs="Arial" w:hint="eastAsia"/>
                <w:b/>
                <w:szCs w:val="21"/>
              </w:rPr>
              <w:t>当前一估值日基金资产净值 50%以上的资产出现无可参考的活跃市场价格且采用估值技术仍导致公允价值存在重大不确定性时，经与基金托管人协商确认后，基金管理人应当暂停估值；</w:t>
            </w:r>
          </w:p>
        </w:tc>
        <w:tc>
          <w:tcPr>
            <w:tcW w:w="4394" w:type="dxa"/>
            <w:tcBorders>
              <w:top w:val="single" w:sz="4" w:space="0" w:color="auto"/>
              <w:left w:val="single" w:sz="4" w:space="0" w:color="auto"/>
              <w:bottom w:val="single" w:sz="4" w:space="0" w:color="auto"/>
              <w:right w:val="single" w:sz="4" w:space="0" w:color="000000"/>
            </w:tcBorders>
          </w:tcPr>
          <w:p w:rsidR="008E75F9" w:rsidRPr="008E75F9" w:rsidP="00EF42CD" w14:paraId="10E44969" w14:textId="77777777">
            <w:pPr>
              <w:adjustRightInd w:val="0"/>
              <w:snapToGrid w:val="0"/>
              <w:spacing w:line="360" w:lineRule="auto"/>
              <w:outlineLvl w:val="0"/>
              <w:rPr>
                <w:rFonts w:ascii="宋体" w:hAnsi="宋体" w:cs="Arial"/>
                <w:szCs w:val="21"/>
              </w:rPr>
            </w:pPr>
            <w:r w:rsidRPr="008E75F9">
              <w:rPr>
                <w:rFonts w:ascii="宋体" w:hAnsi="宋体" w:cs="Arial" w:hint="eastAsia"/>
                <w:szCs w:val="21"/>
              </w:rPr>
              <w:t>（一）基金资产净值的计算、复核与完成的时间及程序</w:t>
            </w:r>
          </w:p>
          <w:p w:rsidR="0044643C" w:rsidP="00EF42CD" w14:paraId="2C7BF686" w14:textId="2BAE3C0D">
            <w:pPr>
              <w:spacing w:line="360" w:lineRule="auto"/>
              <w:rPr>
                <w:rFonts w:ascii="宋体" w:hAnsi="宋体" w:cs="Arial"/>
                <w:b/>
                <w:szCs w:val="21"/>
              </w:rPr>
            </w:pPr>
            <w:r>
              <w:rPr>
                <w:rFonts w:ascii="宋体" w:hAnsi="宋体" w:cs="Arial"/>
                <w:b/>
                <w:szCs w:val="21"/>
              </w:rPr>
              <w:t>……</w:t>
            </w:r>
          </w:p>
          <w:p w:rsidR="008E75F9" w:rsidRPr="000F61F1" w:rsidP="00EF42CD" w14:paraId="7E689815" w14:textId="719459AA">
            <w:pPr>
              <w:spacing w:line="360" w:lineRule="auto"/>
              <w:rPr>
                <w:rFonts w:ascii="宋体" w:hAnsi="宋体" w:cs="Arial"/>
                <w:b/>
                <w:szCs w:val="21"/>
              </w:rPr>
            </w:pPr>
            <w:r>
              <w:rPr>
                <w:rFonts w:ascii="宋体" w:hAnsi="宋体" w:cs="Arial" w:hint="eastAsia"/>
                <w:b/>
                <w:szCs w:val="21"/>
              </w:rPr>
              <w:t>增加：“</w:t>
            </w:r>
            <w:r w:rsidRPr="000F61F1">
              <w:rPr>
                <w:rFonts w:ascii="宋体" w:hAnsi="宋体" w:cs="Arial" w:hint="eastAsia"/>
                <w:b/>
                <w:szCs w:val="21"/>
              </w:rPr>
              <w:t>本基金实施侧袋机制的，应根据本部分的约定对主袋账户资产进行估值并披露主袋账户的基金资产净值和份额净值，暂停披露侧袋账户份额净值。</w:t>
            </w:r>
            <w:r>
              <w:rPr>
                <w:rFonts w:ascii="宋体" w:hAnsi="宋体" w:cs="Arial" w:hint="eastAsia"/>
                <w:b/>
                <w:szCs w:val="21"/>
              </w:rPr>
              <w:t>”</w:t>
            </w:r>
          </w:p>
          <w:p w:rsidR="008E75F9" w:rsidRPr="008E75F9" w:rsidP="00EF42CD" w14:paraId="64820395" w14:textId="77777777">
            <w:pPr>
              <w:adjustRightInd w:val="0"/>
              <w:snapToGrid w:val="0"/>
              <w:spacing w:line="360" w:lineRule="auto"/>
              <w:outlineLvl w:val="0"/>
              <w:rPr>
                <w:rFonts w:ascii="宋体" w:hAnsi="宋体" w:cs="Arial"/>
                <w:szCs w:val="21"/>
              </w:rPr>
            </w:pPr>
            <w:r w:rsidRPr="008E75F9">
              <w:rPr>
                <w:rFonts w:ascii="宋体" w:hAnsi="宋体" w:cs="Arial" w:hint="eastAsia"/>
                <w:szCs w:val="21"/>
              </w:rPr>
              <w:t>（四）暂停估值与公告基金份额净值的情形</w:t>
            </w:r>
          </w:p>
          <w:p w:rsidR="008E75F9" w:rsidRPr="008E75F9" w:rsidP="00EF42CD" w14:paraId="77263AA4" w14:textId="67C75574">
            <w:pPr>
              <w:adjustRightInd w:val="0"/>
              <w:snapToGrid w:val="0"/>
              <w:spacing w:line="360" w:lineRule="auto"/>
              <w:outlineLvl w:val="0"/>
              <w:rPr>
                <w:rFonts w:ascii="宋体" w:hAnsi="宋体"/>
                <w:szCs w:val="21"/>
              </w:rPr>
            </w:pPr>
            <w:r w:rsidRPr="008E75F9">
              <w:rPr>
                <w:rFonts w:ascii="宋体" w:hAnsi="宋体" w:cs="Arial" w:hint="eastAsia"/>
                <w:szCs w:val="21"/>
              </w:rPr>
              <w:t>3.</w:t>
            </w:r>
            <w:r w:rsidRPr="000F61F1">
              <w:rPr>
                <w:rFonts w:ascii="宋体" w:hAnsi="宋体" w:cs="Arial" w:hint="eastAsia"/>
                <w:b/>
                <w:szCs w:val="21"/>
              </w:rPr>
              <w:t>当特定资产占前一估值日基金资产净值50%以上的，经与基金托管人协商确认后，基金管理人应当暂停估值；</w:t>
            </w:r>
          </w:p>
        </w:tc>
      </w:tr>
      <w:tr w14:paraId="6B91DDD1" w14:textId="77777777" w:rsidTr="00ED4C73">
        <w:tblPrEx>
          <w:tblW w:w="10206" w:type="dxa"/>
          <w:tblInd w:w="-572" w:type="dxa"/>
          <w:tblLayout w:type="fixed"/>
          <w:tblLook w:val="04A0"/>
        </w:tblPrEx>
        <w:tc>
          <w:tcPr>
            <w:tcW w:w="1134" w:type="dxa"/>
            <w:tcBorders>
              <w:top w:val="single" w:sz="4" w:space="0" w:color="auto"/>
              <w:left w:val="single" w:sz="4" w:space="0" w:color="000000"/>
              <w:bottom w:val="single" w:sz="4" w:space="0" w:color="auto"/>
              <w:right w:val="single" w:sz="4" w:space="0" w:color="auto"/>
            </w:tcBorders>
            <w:vAlign w:val="center"/>
          </w:tcPr>
          <w:p w:rsidR="008E75F9" w:rsidRPr="008E75F9" w:rsidP="008E75F9" w14:paraId="5E4CA1C5" w14:textId="46FB69C4">
            <w:pPr>
              <w:spacing w:line="360" w:lineRule="auto"/>
              <w:rPr>
                <w:rFonts w:ascii="宋体" w:hAnsi="宋体"/>
                <w:szCs w:val="21"/>
              </w:rPr>
            </w:pPr>
            <w:bookmarkStart w:id="160" w:name="_Toc46167896"/>
            <w:r w:rsidRPr="008E75F9">
              <w:rPr>
                <w:rFonts w:ascii="宋体" w:hAnsi="宋体" w:hint="eastAsia"/>
                <w:szCs w:val="21"/>
              </w:rPr>
              <w:t>九、基金收益分配</w:t>
            </w:r>
            <w:bookmarkEnd w:id="160"/>
          </w:p>
        </w:tc>
        <w:tc>
          <w:tcPr>
            <w:tcW w:w="4678" w:type="dxa"/>
            <w:tcBorders>
              <w:top w:val="single" w:sz="4" w:space="0" w:color="auto"/>
              <w:left w:val="single" w:sz="4" w:space="0" w:color="auto"/>
              <w:bottom w:val="single" w:sz="4" w:space="0" w:color="auto"/>
              <w:right w:val="single" w:sz="4" w:space="0" w:color="auto"/>
            </w:tcBorders>
          </w:tcPr>
          <w:p w:rsidR="005B6F0F" w:rsidRPr="005B6F0F" w:rsidP="00EF42CD" w14:paraId="52873204" w14:textId="77777777">
            <w:pPr>
              <w:adjustRightInd w:val="0"/>
              <w:snapToGrid w:val="0"/>
              <w:spacing w:line="360" w:lineRule="auto"/>
              <w:outlineLvl w:val="0"/>
              <w:rPr>
                <w:rFonts w:ascii="宋体" w:hAnsi="宋体" w:cs="Arial"/>
                <w:szCs w:val="21"/>
              </w:rPr>
            </w:pPr>
            <w:r w:rsidRPr="005B6F0F">
              <w:rPr>
                <w:rFonts w:ascii="宋体" w:hAnsi="宋体" w:cs="Arial" w:hint="eastAsia"/>
                <w:szCs w:val="21"/>
              </w:rPr>
              <w:t>（二）基金收益分配的时间和程序</w:t>
            </w:r>
          </w:p>
          <w:p w:rsidR="008E75F9" w:rsidRPr="005B6F0F" w:rsidP="00EF42CD" w14:paraId="3CE6ED57" w14:textId="1BCC180E">
            <w:pPr>
              <w:adjustRightInd w:val="0"/>
              <w:snapToGrid w:val="0"/>
              <w:spacing w:line="360" w:lineRule="auto"/>
              <w:outlineLvl w:val="0"/>
              <w:rPr>
                <w:rFonts w:ascii="宋体" w:hAnsi="宋体"/>
                <w:szCs w:val="21"/>
              </w:rPr>
            </w:pPr>
            <w:r w:rsidRPr="005B6F0F">
              <w:rPr>
                <w:rFonts w:ascii="宋体" w:hAnsi="宋体" w:cs="Arial"/>
                <w:szCs w:val="21"/>
              </w:rPr>
              <w:t>……</w:t>
            </w:r>
          </w:p>
        </w:tc>
        <w:tc>
          <w:tcPr>
            <w:tcW w:w="4394" w:type="dxa"/>
            <w:tcBorders>
              <w:top w:val="single" w:sz="4" w:space="0" w:color="auto"/>
              <w:left w:val="single" w:sz="4" w:space="0" w:color="auto"/>
              <w:bottom w:val="single" w:sz="4" w:space="0" w:color="auto"/>
              <w:right w:val="single" w:sz="4" w:space="0" w:color="000000"/>
            </w:tcBorders>
          </w:tcPr>
          <w:p w:rsidR="005B6F0F" w:rsidRPr="005B6F0F" w:rsidP="00EF42CD" w14:paraId="605FB3F2" w14:textId="77777777">
            <w:pPr>
              <w:adjustRightInd w:val="0"/>
              <w:snapToGrid w:val="0"/>
              <w:spacing w:line="360" w:lineRule="auto"/>
              <w:outlineLvl w:val="0"/>
              <w:rPr>
                <w:rFonts w:ascii="宋体" w:hAnsi="宋体" w:cs="Arial"/>
                <w:szCs w:val="21"/>
              </w:rPr>
            </w:pPr>
            <w:r w:rsidRPr="005B6F0F">
              <w:rPr>
                <w:rFonts w:ascii="宋体" w:hAnsi="宋体" w:cs="Arial" w:hint="eastAsia"/>
                <w:szCs w:val="21"/>
              </w:rPr>
              <w:t>（二）基金收益分配的时间和程序</w:t>
            </w:r>
          </w:p>
          <w:p w:rsidR="005B6F0F" w:rsidRPr="005B6F0F" w:rsidP="00EF42CD" w14:paraId="01CC96A7" w14:textId="504D7971">
            <w:pPr>
              <w:adjustRightInd w:val="0"/>
              <w:snapToGrid w:val="0"/>
              <w:spacing w:line="360" w:lineRule="auto"/>
              <w:outlineLvl w:val="0"/>
              <w:rPr>
                <w:rFonts w:ascii="宋体" w:hAnsi="宋体" w:cs="Arial"/>
                <w:szCs w:val="21"/>
              </w:rPr>
            </w:pPr>
            <w:r w:rsidRPr="005B6F0F">
              <w:rPr>
                <w:rFonts w:ascii="宋体" w:hAnsi="宋体" w:cs="Arial"/>
                <w:szCs w:val="21"/>
              </w:rPr>
              <w:t>……</w:t>
            </w:r>
          </w:p>
          <w:p w:rsidR="008E75F9" w:rsidRPr="008E75F9" w:rsidP="00EF42CD" w14:paraId="022BF63B" w14:textId="20CCD6A1">
            <w:pPr>
              <w:adjustRightInd w:val="0"/>
              <w:snapToGrid w:val="0"/>
              <w:spacing w:line="360" w:lineRule="auto"/>
              <w:outlineLvl w:val="0"/>
              <w:rPr>
                <w:rFonts w:ascii="宋体" w:hAnsi="宋体" w:cs="Arial"/>
                <w:szCs w:val="21"/>
              </w:rPr>
            </w:pPr>
            <w:r>
              <w:rPr>
                <w:rFonts w:ascii="宋体" w:hAnsi="宋体" w:cs="Arial" w:hint="eastAsia"/>
                <w:b/>
                <w:szCs w:val="21"/>
              </w:rPr>
              <w:t>增加：“</w:t>
            </w:r>
            <w:r w:rsidRPr="000F61F1">
              <w:rPr>
                <w:rFonts w:ascii="宋体" w:hAnsi="宋体" w:cs="Arial" w:hint="eastAsia"/>
                <w:b/>
                <w:bCs/>
                <w:szCs w:val="21"/>
              </w:rPr>
              <w:t>本基金实施侧袋机制的，侧袋账户不进行收益分配，详见招募说明书的规定。</w:t>
            </w:r>
            <w:r>
              <w:rPr>
                <w:rFonts w:ascii="宋体" w:hAnsi="宋体" w:cs="Arial" w:hint="eastAsia"/>
                <w:b/>
                <w:szCs w:val="21"/>
              </w:rPr>
              <w:t>”</w:t>
            </w:r>
          </w:p>
        </w:tc>
      </w:tr>
      <w:tr w14:paraId="41C83BAB" w14:textId="77777777" w:rsidTr="00ED4C73">
        <w:tblPrEx>
          <w:tblW w:w="10206" w:type="dxa"/>
          <w:tblInd w:w="-572" w:type="dxa"/>
          <w:tblLayout w:type="fixed"/>
          <w:tblLook w:val="04A0"/>
        </w:tblPrEx>
        <w:tc>
          <w:tcPr>
            <w:tcW w:w="1134" w:type="dxa"/>
            <w:tcBorders>
              <w:top w:val="single" w:sz="4" w:space="0" w:color="auto"/>
              <w:left w:val="single" w:sz="4" w:space="0" w:color="000000"/>
              <w:bottom w:val="single" w:sz="4" w:space="0" w:color="auto"/>
              <w:right w:val="single" w:sz="4" w:space="0" w:color="auto"/>
            </w:tcBorders>
            <w:vAlign w:val="center"/>
          </w:tcPr>
          <w:p w:rsidR="008E75F9" w:rsidRPr="008E75F9" w:rsidP="008E75F9" w14:paraId="3B95AA04" w14:textId="0FF06915">
            <w:pPr>
              <w:spacing w:line="360" w:lineRule="auto"/>
              <w:rPr>
                <w:rFonts w:ascii="宋体" w:hAnsi="宋体"/>
                <w:szCs w:val="21"/>
              </w:rPr>
            </w:pPr>
            <w:bookmarkStart w:id="161" w:name="_Toc46167897"/>
            <w:r w:rsidRPr="008E75F9">
              <w:rPr>
                <w:rFonts w:ascii="宋体" w:hAnsi="宋体" w:hint="eastAsia"/>
                <w:szCs w:val="21"/>
              </w:rPr>
              <w:t>十、基金信息披露</w:t>
            </w:r>
            <w:bookmarkEnd w:id="161"/>
          </w:p>
        </w:tc>
        <w:tc>
          <w:tcPr>
            <w:tcW w:w="4678" w:type="dxa"/>
            <w:tcBorders>
              <w:top w:val="single" w:sz="4" w:space="0" w:color="auto"/>
              <w:left w:val="single" w:sz="4" w:space="0" w:color="auto"/>
              <w:bottom w:val="single" w:sz="4" w:space="0" w:color="auto"/>
              <w:right w:val="single" w:sz="4" w:space="0" w:color="auto"/>
            </w:tcBorders>
          </w:tcPr>
          <w:p w:rsidR="008E75F9" w:rsidRPr="008E75F9" w:rsidP="008E75F9" w14:paraId="77A83C42" w14:textId="77777777">
            <w:pPr>
              <w:spacing w:line="360" w:lineRule="auto"/>
              <w:rPr>
                <w:rFonts w:ascii="宋体" w:hAnsi="宋体"/>
                <w:szCs w:val="21"/>
              </w:rPr>
            </w:pPr>
          </w:p>
        </w:tc>
        <w:tc>
          <w:tcPr>
            <w:tcW w:w="4394" w:type="dxa"/>
            <w:tcBorders>
              <w:top w:val="single" w:sz="4" w:space="0" w:color="auto"/>
              <w:left w:val="single" w:sz="4" w:space="0" w:color="auto"/>
              <w:bottom w:val="single" w:sz="4" w:space="0" w:color="auto"/>
              <w:right w:val="single" w:sz="4" w:space="0" w:color="000000"/>
            </w:tcBorders>
          </w:tcPr>
          <w:p w:rsidR="008E75F9" w:rsidRPr="000F61F1" w:rsidP="00EF42CD" w14:paraId="3AE58153" w14:textId="3361F218">
            <w:pPr>
              <w:adjustRightInd w:val="0"/>
              <w:snapToGrid w:val="0"/>
              <w:spacing w:line="360" w:lineRule="auto"/>
              <w:outlineLvl w:val="0"/>
              <w:rPr>
                <w:rFonts w:ascii="宋体" w:hAnsi="宋体" w:cs="Arial"/>
                <w:b/>
                <w:szCs w:val="21"/>
              </w:rPr>
            </w:pPr>
            <w:r>
              <w:rPr>
                <w:rFonts w:ascii="宋体" w:hAnsi="宋体" w:cs="Arial" w:hint="eastAsia"/>
                <w:b/>
                <w:szCs w:val="21"/>
              </w:rPr>
              <w:t>增加：“</w:t>
            </w:r>
            <w:r w:rsidRPr="000F61F1">
              <w:rPr>
                <w:rFonts w:ascii="宋体" w:hAnsi="宋体" w:cs="Arial"/>
                <w:b/>
                <w:szCs w:val="21"/>
              </w:rPr>
              <w:t>（四）实施侧袋机制期间的信息披露</w:t>
            </w:r>
          </w:p>
          <w:p w:rsidR="008E75F9" w:rsidRPr="008E75F9" w:rsidP="00EF42CD" w14:paraId="0C1CA3E5" w14:textId="5F793A47">
            <w:pPr>
              <w:adjustRightInd w:val="0"/>
              <w:snapToGrid w:val="0"/>
              <w:spacing w:line="360" w:lineRule="auto"/>
              <w:outlineLvl w:val="0"/>
              <w:rPr>
                <w:rFonts w:ascii="宋体" w:hAnsi="宋体"/>
                <w:szCs w:val="21"/>
              </w:rPr>
            </w:pPr>
            <w:r w:rsidRPr="000F61F1">
              <w:rPr>
                <w:rFonts w:ascii="宋体" w:hAnsi="宋体" w:cs="Arial"/>
                <w:b/>
                <w:szCs w:val="21"/>
              </w:rPr>
              <w:t>本基金实施侧袋机制的，相关信息披露义务人应当根据法律法规、基金合同和招募说明书的规定进行信息披露，详见招募说明书的规定</w:t>
            </w:r>
            <w:r w:rsidRPr="000F61F1">
              <w:rPr>
                <w:rFonts w:ascii="宋体" w:hAnsi="宋体" w:cs="Arial" w:hint="eastAsia"/>
                <w:b/>
                <w:szCs w:val="21"/>
              </w:rPr>
              <w:t>。</w:t>
            </w:r>
            <w:r w:rsidR="00590E94">
              <w:rPr>
                <w:rFonts w:ascii="宋体" w:hAnsi="宋体" w:cs="Arial" w:hint="eastAsia"/>
                <w:b/>
                <w:szCs w:val="21"/>
              </w:rPr>
              <w:t>”</w:t>
            </w:r>
          </w:p>
        </w:tc>
      </w:tr>
      <w:tr w14:paraId="758C3938" w14:textId="77777777" w:rsidTr="00ED4C73">
        <w:tblPrEx>
          <w:tblW w:w="10206" w:type="dxa"/>
          <w:tblInd w:w="-572" w:type="dxa"/>
          <w:tblLayout w:type="fixed"/>
          <w:tblLook w:val="04A0"/>
        </w:tblPrEx>
        <w:tc>
          <w:tcPr>
            <w:tcW w:w="1134" w:type="dxa"/>
            <w:tcBorders>
              <w:top w:val="single" w:sz="4" w:space="0" w:color="auto"/>
              <w:left w:val="single" w:sz="4" w:space="0" w:color="000000"/>
              <w:bottom w:val="single" w:sz="4" w:space="0" w:color="auto"/>
              <w:right w:val="single" w:sz="4" w:space="0" w:color="auto"/>
            </w:tcBorders>
            <w:vAlign w:val="center"/>
          </w:tcPr>
          <w:p w:rsidR="008E75F9" w:rsidRPr="008E75F9" w:rsidP="008E75F9" w14:paraId="6A3D3E72" w14:textId="04986CFD">
            <w:pPr>
              <w:spacing w:line="360" w:lineRule="auto"/>
              <w:rPr>
                <w:rFonts w:ascii="宋体" w:hAnsi="宋体"/>
                <w:szCs w:val="21"/>
              </w:rPr>
            </w:pPr>
            <w:bookmarkStart w:id="162" w:name="_Toc46167898"/>
            <w:r w:rsidRPr="008E75F9">
              <w:rPr>
                <w:rFonts w:ascii="宋体" w:hAnsi="宋体" w:hint="eastAsia"/>
                <w:szCs w:val="21"/>
              </w:rPr>
              <w:t>十一、基金费用</w:t>
            </w:r>
            <w:bookmarkEnd w:id="162"/>
          </w:p>
        </w:tc>
        <w:tc>
          <w:tcPr>
            <w:tcW w:w="4678" w:type="dxa"/>
            <w:tcBorders>
              <w:top w:val="single" w:sz="4" w:space="0" w:color="auto"/>
              <w:left w:val="single" w:sz="4" w:space="0" w:color="auto"/>
              <w:bottom w:val="single" w:sz="4" w:space="0" w:color="auto"/>
              <w:right w:val="single" w:sz="4" w:space="0" w:color="auto"/>
            </w:tcBorders>
          </w:tcPr>
          <w:p w:rsidR="008E75F9" w:rsidRPr="008E75F9" w:rsidP="008E75F9" w14:paraId="4A91953F" w14:textId="77777777">
            <w:pPr>
              <w:spacing w:line="360" w:lineRule="auto"/>
              <w:rPr>
                <w:rFonts w:ascii="宋体" w:hAnsi="宋体"/>
                <w:szCs w:val="21"/>
              </w:rPr>
            </w:pPr>
          </w:p>
        </w:tc>
        <w:tc>
          <w:tcPr>
            <w:tcW w:w="4394" w:type="dxa"/>
            <w:tcBorders>
              <w:top w:val="single" w:sz="4" w:space="0" w:color="auto"/>
              <w:left w:val="single" w:sz="4" w:space="0" w:color="auto"/>
              <w:bottom w:val="single" w:sz="4" w:space="0" w:color="auto"/>
              <w:right w:val="single" w:sz="4" w:space="0" w:color="000000"/>
            </w:tcBorders>
          </w:tcPr>
          <w:p w:rsidR="008E75F9" w:rsidRPr="000F61F1" w:rsidP="00EF42CD" w14:paraId="5CF46134" w14:textId="0E7C81C4">
            <w:pPr>
              <w:adjustRightInd w:val="0"/>
              <w:snapToGrid w:val="0"/>
              <w:spacing w:line="360" w:lineRule="auto"/>
              <w:outlineLvl w:val="0"/>
              <w:rPr>
                <w:rFonts w:ascii="宋体" w:hAnsi="宋体" w:cs="Arial"/>
                <w:b/>
                <w:szCs w:val="21"/>
              </w:rPr>
            </w:pPr>
            <w:r>
              <w:rPr>
                <w:rFonts w:ascii="宋体" w:hAnsi="宋体" w:cs="Arial" w:hint="eastAsia"/>
                <w:b/>
                <w:szCs w:val="21"/>
              </w:rPr>
              <w:t>增加：“</w:t>
            </w:r>
            <w:r w:rsidRPr="000F61F1">
              <w:rPr>
                <w:rFonts w:ascii="宋体" w:hAnsi="宋体" w:cs="Arial" w:hint="eastAsia"/>
                <w:b/>
                <w:szCs w:val="21"/>
              </w:rPr>
              <w:t>（七）实施侧袋机制期间的基金费用</w:t>
            </w:r>
          </w:p>
          <w:p w:rsidR="008E75F9" w:rsidRPr="008E75F9" w:rsidP="00EF42CD" w14:paraId="4E177910" w14:textId="583F2AB6">
            <w:pPr>
              <w:spacing w:line="360" w:lineRule="auto"/>
              <w:rPr>
                <w:rFonts w:ascii="宋体" w:hAnsi="宋体"/>
                <w:szCs w:val="21"/>
              </w:rPr>
            </w:pPr>
            <w:r w:rsidRPr="000F61F1">
              <w:rPr>
                <w:rFonts w:ascii="宋体" w:hAnsi="宋体" w:cs="Arial" w:hint="eastAsia"/>
                <w:b/>
                <w:szCs w:val="21"/>
              </w:rPr>
              <w:t>本基金实施侧袋机制的，与侧袋账户有关的费用可以从侧袋账户中列支，但应待侧袋账户资产变现后方可列支，有关费用可酌情收取或减免，但不得收取管理费，详见招募说明书的规定。</w:t>
            </w:r>
            <w:r w:rsidR="00590E94">
              <w:rPr>
                <w:rFonts w:ascii="宋体" w:hAnsi="宋体" w:cs="Arial" w:hint="eastAsia"/>
                <w:b/>
                <w:szCs w:val="21"/>
              </w:rPr>
              <w:t>”</w:t>
            </w:r>
          </w:p>
        </w:tc>
      </w:tr>
      <w:tr w14:paraId="2FFBA7A5" w14:textId="77777777" w:rsidTr="00ED4C73">
        <w:tblPrEx>
          <w:tblW w:w="10206" w:type="dxa"/>
          <w:tblInd w:w="-572" w:type="dxa"/>
          <w:tblLayout w:type="fixed"/>
          <w:tblLook w:val="04A0"/>
        </w:tblPrEx>
        <w:tc>
          <w:tcPr>
            <w:tcW w:w="1134" w:type="dxa"/>
            <w:tcBorders>
              <w:top w:val="single" w:sz="4" w:space="0" w:color="auto"/>
              <w:left w:val="single" w:sz="4" w:space="0" w:color="000000"/>
              <w:bottom w:val="single" w:sz="4" w:space="0" w:color="auto"/>
              <w:right w:val="single" w:sz="4" w:space="0" w:color="auto"/>
            </w:tcBorders>
            <w:vAlign w:val="center"/>
          </w:tcPr>
          <w:p w:rsidR="008E75F9" w:rsidRPr="008E75F9" w:rsidP="008E75F9" w14:paraId="1D9A947F" w14:textId="7B382C77">
            <w:pPr>
              <w:spacing w:line="360" w:lineRule="auto"/>
              <w:rPr>
                <w:rFonts w:ascii="宋体" w:hAnsi="宋体"/>
                <w:szCs w:val="21"/>
              </w:rPr>
            </w:pPr>
            <w:bookmarkStart w:id="163" w:name="_Toc46167899"/>
            <w:r w:rsidRPr="008E75F9">
              <w:rPr>
                <w:rFonts w:ascii="宋体" w:hAnsi="宋体" w:hint="eastAsia"/>
                <w:szCs w:val="21"/>
              </w:rPr>
              <w:t>十二、基金份额持有人名册的保管</w:t>
            </w:r>
            <w:bookmarkEnd w:id="163"/>
          </w:p>
        </w:tc>
        <w:tc>
          <w:tcPr>
            <w:tcW w:w="4678" w:type="dxa"/>
            <w:tcBorders>
              <w:top w:val="single" w:sz="4" w:space="0" w:color="auto"/>
              <w:left w:val="single" w:sz="4" w:space="0" w:color="auto"/>
              <w:bottom w:val="single" w:sz="4" w:space="0" w:color="auto"/>
              <w:right w:val="single" w:sz="4" w:space="0" w:color="auto"/>
            </w:tcBorders>
          </w:tcPr>
          <w:p w:rsidR="008E75F9" w:rsidRPr="008E75F9" w:rsidP="00EF42CD" w14:paraId="4E3F9E2F" w14:textId="2DEFA12C">
            <w:pPr>
              <w:adjustRightInd w:val="0"/>
              <w:snapToGrid w:val="0"/>
              <w:spacing w:line="360" w:lineRule="auto"/>
              <w:outlineLvl w:val="0"/>
              <w:rPr>
                <w:rFonts w:ascii="宋体" w:hAnsi="宋体"/>
                <w:szCs w:val="21"/>
              </w:rPr>
            </w:pPr>
            <w:r w:rsidRPr="008E75F9">
              <w:rPr>
                <w:rFonts w:ascii="宋体" w:hAnsi="宋体" w:cs="Arial"/>
                <w:szCs w:val="21"/>
              </w:rPr>
              <w:t>……</w:t>
            </w:r>
            <w:r w:rsidRPr="008E75F9">
              <w:rPr>
                <w:rFonts w:ascii="宋体" w:hAnsi="宋体" w:cs="Arial" w:hint="eastAsia"/>
                <w:szCs w:val="21"/>
              </w:rPr>
              <w:t>基金管理人和基金托管人应分别保管基金份额持有人名册，保存期不少于</w:t>
            </w:r>
            <w:r w:rsidRPr="000F61F1">
              <w:rPr>
                <w:rFonts w:ascii="宋体" w:hAnsi="宋体" w:cs="Arial"/>
                <w:b/>
                <w:szCs w:val="21"/>
              </w:rPr>
              <w:t>15</w:t>
            </w:r>
            <w:r w:rsidRPr="008E75F9">
              <w:rPr>
                <w:rFonts w:ascii="宋体" w:hAnsi="宋体" w:cs="Arial"/>
                <w:szCs w:val="21"/>
              </w:rPr>
              <w:t>年</w:t>
            </w:r>
            <w:r w:rsidRPr="008E75F9">
              <w:rPr>
                <w:rFonts w:ascii="宋体" w:hAnsi="宋体" w:cs="Arial" w:hint="eastAsia"/>
                <w:szCs w:val="21"/>
              </w:rPr>
              <w:t>。</w:t>
            </w:r>
          </w:p>
        </w:tc>
        <w:tc>
          <w:tcPr>
            <w:tcW w:w="4394" w:type="dxa"/>
            <w:tcBorders>
              <w:top w:val="single" w:sz="4" w:space="0" w:color="auto"/>
              <w:left w:val="single" w:sz="4" w:space="0" w:color="auto"/>
              <w:bottom w:val="single" w:sz="4" w:space="0" w:color="auto"/>
              <w:right w:val="single" w:sz="4" w:space="0" w:color="000000"/>
            </w:tcBorders>
          </w:tcPr>
          <w:p w:rsidR="008E75F9" w:rsidRPr="008E75F9" w:rsidP="00EF42CD" w14:paraId="79A45271" w14:textId="01F7A49D">
            <w:pPr>
              <w:adjustRightInd w:val="0"/>
              <w:snapToGrid w:val="0"/>
              <w:spacing w:line="360" w:lineRule="auto"/>
              <w:outlineLvl w:val="0"/>
              <w:rPr>
                <w:rFonts w:ascii="宋体" w:hAnsi="宋体"/>
                <w:szCs w:val="21"/>
              </w:rPr>
            </w:pPr>
            <w:r w:rsidRPr="008E75F9">
              <w:rPr>
                <w:rFonts w:ascii="宋体" w:hAnsi="宋体" w:cs="Arial"/>
                <w:szCs w:val="21"/>
              </w:rPr>
              <w:t>……</w:t>
            </w:r>
            <w:r w:rsidRPr="008E75F9">
              <w:rPr>
                <w:rFonts w:ascii="宋体" w:hAnsi="宋体" w:cs="Arial" w:hint="eastAsia"/>
                <w:szCs w:val="21"/>
              </w:rPr>
              <w:t>基金管理人和基金托管人应分别保管基金份额持有人名册，保存期不少于</w:t>
            </w:r>
            <w:r w:rsidRPr="000F61F1">
              <w:rPr>
                <w:rFonts w:ascii="宋体" w:hAnsi="宋体" w:cs="Arial"/>
                <w:b/>
                <w:szCs w:val="21"/>
              </w:rPr>
              <w:t>20</w:t>
            </w:r>
            <w:r w:rsidRPr="008E75F9">
              <w:rPr>
                <w:rFonts w:ascii="宋体" w:hAnsi="宋体" w:cs="Arial"/>
                <w:szCs w:val="21"/>
              </w:rPr>
              <w:t>年</w:t>
            </w:r>
            <w:r w:rsidRPr="008E75F9">
              <w:rPr>
                <w:rFonts w:ascii="宋体" w:hAnsi="宋体" w:cs="Arial" w:hint="eastAsia"/>
                <w:szCs w:val="21"/>
              </w:rPr>
              <w:t>。</w:t>
            </w:r>
          </w:p>
        </w:tc>
      </w:tr>
      <w:tr w14:paraId="65025AF2" w14:textId="77777777" w:rsidTr="00ED4C73">
        <w:tblPrEx>
          <w:tblW w:w="10206" w:type="dxa"/>
          <w:tblInd w:w="-572" w:type="dxa"/>
          <w:tblLayout w:type="fixed"/>
          <w:tblLook w:val="04A0"/>
        </w:tblPrEx>
        <w:tc>
          <w:tcPr>
            <w:tcW w:w="1134" w:type="dxa"/>
            <w:tcBorders>
              <w:top w:val="single" w:sz="4" w:space="0" w:color="auto"/>
              <w:left w:val="single" w:sz="4" w:space="0" w:color="000000"/>
              <w:bottom w:val="single" w:sz="4" w:space="0" w:color="auto"/>
              <w:right w:val="single" w:sz="4" w:space="0" w:color="auto"/>
            </w:tcBorders>
            <w:vAlign w:val="center"/>
          </w:tcPr>
          <w:p w:rsidR="008E75F9" w:rsidRPr="008E75F9" w:rsidP="008E75F9" w14:paraId="1ADDE992" w14:textId="2924A8C3">
            <w:pPr>
              <w:spacing w:line="360" w:lineRule="auto"/>
              <w:rPr>
                <w:rFonts w:ascii="宋体" w:hAnsi="宋体"/>
                <w:szCs w:val="21"/>
              </w:rPr>
            </w:pPr>
            <w:bookmarkStart w:id="164" w:name="_Toc46167900"/>
            <w:r w:rsidRPr="008E75F9">
              <w:rPr>
                <w:rFonts w:ascii="宋体" w:hAnsi="宋体" w:hint="eastAsia"/>
                <w:szCs w:val="21"/>
              </w:rPr>
              <w:t>十三、基金有关文件档案的保存</w:t>
            </w:r>
            <w:bookmarkEnd w:id="164"/>
          </w:p>
          <w:p w:rsidR="008E75F9" w:rsidRPr="008E75F9" w:rsidP="008E75F9" w14:paraId="0002D571" w14:textId="77777777">
            <w:pPr>
              <w:spacing w:line="360" w:lineRule="auto"/>
              <w:rPr>
                <w:rFonts w:ascii="宋体" w:hAnsi="宋体"/>
                <w:szCs w:val="21"/>
              </w:rPr>
            </w:pPr>
          </w:p>
        </w:tc>
        <w:tc>
          <w:tcPr>
            <w:tcW w:w="4678" w:type="dxa"/>
            <w:tcBorders>
              <w:top w:val="single" w:sz="4" w:space="0" w:color="auto"/>
              <w:left w:val="single" w:sz="4" w:space="0" w:color="auto"/>
              <w:bottom w:val="single" w:sz="4" w:space="0" w:color="auto"/>
              <w:right w:val="single" w:sz="4" w:space="0" w:color="auto"/>
            </w:tcBorders>
          </w:tcPr>
          <w:p w:rsidR="008E75F9" w:rsidRPr="008E75F9" w:rsidP="00EF42CD" w14:paraId="226280A3" w14:textId="77777777">
            <w:pPr>
              <w:adjustRightInd w:val="0"/>
              <w:snapToGrid w:val="0"/>
              <w:spacing w:line="360" w:lineRule="auto"/>
              <w:outlineLvl w:val="0"/>
              <w:rPr>
                <w:rFonts w:ascii="宋体" w:hAnsi="宋体"/>
                <w:szCs w:val="21"/>
              </w:rPr>
            </w:pPr>
            <w:r w:rsidRPr="008E75F9">
              <w:rPr>
                <w:rFonts w:ascii="宋体" w:hAnsi="宋体" w:hint="eastAsia"/>
                <w:szCs w:val="21"/>
              </w:rPr>
              <w:t>（一）档案保存</w:t>
            </w:r>
          </w:p>
          <w:p w:rsidR="008E75F9" w:rsidRPr="008E75F9" w:rsidP="00EF42CD" w14:paraId="37EDB945" w14:textId="0B056991">
            <w:pPr>
              <w:adjustRightInd w:val="0"/>
              <w:snapToGrid w:val="0"/>
              <w:spacing w:line="360" w:lineRule="auto"/>
              <w:outlineLvl w:val="0"/>
              <w:rPr>
                <w:rFonts w:ascii="宋体" w:hAnsi="宋体"/>
                <w:szCs w:val="21"/>
              </w:rPr>
            </w:pPr>
            <w:r w:rsidRPr="008E75F9">
              <w:rPr>
                <w:rFonts w:ascii="宋体" w:hAnsi="宋体"/>
                <w:szCs w:val="21"/>
              </w:rPr>
              <w:t>……</w:t>
            </w:r>
            <w:r w:rsidRPr="008E75F9">
              <w:rPr>
                <w:rFonts w:ascii="宋体" w:hAnsi="宋体" w:hint="eastAsia"/>
                <w:szCs w:val="21"/>
              </w:rPr>
              <w:t>保存期限不少于</w:t>
            </w:r>
            <w:r w:rsidRPr="008E75F9">
              <w:rPr>
                <w:rFonts w:ascii="宋体" w:hAnsi="宋体"/>
                <w:b/>
                <w:szCs w:val="21"/>
              </w:rPr>
              <w:t>15</w:t>
            </w:r>
            <w:r w:rsidRPr="008E75F9">
              <w:rPr>
                <w:rFonts w:ascii="宋体" w:hAnsi="宋体" w:hint="eastAsia"/>
                <w:b/>
                <w:szCs w:val="21"/>
              </w:rPr>
              <w:t xml:space="preserve"> </w:t>
            </w:r>
            <w:r w:rsidRPr="008E75F9">
              <w:rPr>
                <w:rFonts w:ascii="宋体" w:hAnsi="宋体" w:hint="eastAsia"/>
                <w:szCs w:val="21"/>
              </w:rPr>
              <w:t>年。</w:t>
            </w:r>
          </w:p>
          <w:p w:rsidR="008E75F9" w:rsidRPr="008E75F9" w:rsidP="00EF42CD" w14:paraId="07C31271" w14:textId="4F49328B">
            <w:pPr>
              <w:adjustRightInd w:val="0"/>
              <w:snapToGrid w:val="0"/>
              <w:spacing w:line="360" w:lineRule="auto"/>
              <w:outlineLvl w:val="0"/>
              <w:rPr>
                <w:rFonts w:ascii="宋体" w:hAnsi="宋体"/>
                <w:szCs w:val="21"/>
              </w:rPr>
            </w:pPr>
            <w:r w:rsidRPr="008E75F9">
              <w:rPr>
                <w:rFonts w:ascii="宋体" w:hAnsi="宋体" w:hint="eastAsia"/>
                <w:szCs w:val="21"/>
              </w:rPr>
              <w:t>（四）基金管理人和基金托管人应按各自职责完整保存原始凭证、记账凭证、基金账册、交易记录和重要合同等，承担保密义务并保存至少</w:t>
            </w:r>
            <w:r w:rsidRPr="008E75F9">
              <w:rPr>
                <w:rFonts w:ascii="宋体" w:hAnsi="宋体"/>
                <w:b/>
                <w:szCs w:val="21"/>
              </w:rPr>
              <w:t>十五</w:t>
            </w:r>
            <w:r w:rsidRPr="008E75F9">
              <w:rPr>
                <w:rFonts w:ascii="宋体" w:hAnsi="宋体" w:hint="eastAsia"/>
                <w:szCs w:val="21"/>
              </w:rPr>
              <w:t>年以上。</w:t>
            </w:r>
          </w:p>
        </w:tc>
        <w:tc>
          <w:tcPr>
            <w:tcW w:w="4394" w:type="dxa"/>
            <w:tcBorders>
              <w:top w:val="single" w:sz="4" w:space="0" w:color="auto"/>
              <w:left w:val="single" w:sz="4" w:space="0" w:color="auto"/>
              <w:bottom w:val="single" w:sz="4" w:space="0" w:color="auto"/>
              <w:right w:val="single" w:sz="4" w:space="0" w:color="000000"/>
            </w:tcBorders>
          </w:tcPr>
          <w:p w:rsidR="008E75F9" w:rsidRPr="008E75F9" w:rsidP="00EF42CD" w14:paraId="036FF651" w14:textId="77777777">
            <w:pPr>
              <w:adjustRightInd w:val="0"/>
              <w:snapToGrid w:val="0"/>
              <w:spacing w:line="360" w:lineRule="auto"/>
              <w:outlineLvl w:val="0"/>
              <w:rPr>
                <w:rFonts w:ascii="宋体" w:hAnsi="宋体"/>
                <w:szCs w:val="21"/>
              </w:rPr>
            </w:pPr>
            <w:r w:rsidRPr="008E75F9">
              <w:rPr>
                <w:rFonts w:ascii="宋体" w:hAnsi="宋体" w:hint="eastAsia"/>
                <w:szCs w:val="21"/>
              </w:rPr>
              <w:t>（一）档案保存</w:t>
            </w:r>
          </w:p>
          <w:p w:rsidR="008E75F9" w:rsidRPr="008E75F9" w:rsidP="00EF42CD" w14:paraId="79492E9B" w14:textId="0A84AFBF">
            <w:pPr>
              <w:adjustRightInd w:val="0"/>
              <w:snapToGrid w:val="0"/>
              <w:spacing w:line="360" w:lineRule="auto"/>
              <w:outlineLvl w:val="0"/>
              <w:rPr>
                <w:rFonts w:ascii="宋体" w:hAnsi="宋体"/>
                <w:szCs w:val="21"/>
              </w:rPr>
            </w:pPr>
            <w:r w:rsidRPr="008E75F9">
              <w:rPr>
                <w:rFonts w:ascii="宋体" w:hAnsi="宋体"/>
                <w:szCs w:val="21"/>
              </w:rPr>
              <w:t>……</w:t>
            </w:r>
            <w:r w:rsidRPr="008E75F9">
              <w:rPr>
                <w:rFonts w:ascii="宋体" w:hAnsi="宋体" w:hint="eastAsia"/>
                <w:szCs w:val="21"/>
              </w:rPr>
              <w:t>保存期限不少于</w:t>
            </w:r>
            <w:r w:rsidRPr="008E75F9">
              <w:rPr>
                <w:rFonts w:ascii="宋体" w:hAnsi="宋体"/>
                <w:b/>
                <w:szCs w:val="21"/>
              </w:rPr>
              <w:t>20</w:t>
            </w:r>
            <w:r w:rsidRPr="008E75F9">
              <w:rPr>
                <w:rFonts w:ascii="宋体" w:hAnsi="宋体" w:hint="eastAsia"/>
                <w:b/>
                <w:szCs w:val="21"/>
              </w:rPr>
              <w:t xml:space="preserve"> </w:t>
            </w:r>
            <w:r w:rsidRPr="008E75F9">
              <w:rPr>
                <w:rFonts w:ascii="宋体" w:hAnsi="宋体" w:hint="eastAsia"/>
                <w:szCs w:val="21"/>
              </w:rPr>
              <w:t>年。</w:t>
            </w:r>
          </w:p>
          <w:p w:rsidR="008E75F9" w:rsidRPr="008E75F9" w:rsidP="00EF42CD" w14:paraId="61A729FB" w14:textId="4624D2A4">
            <w:pPr>
              <w:adjustRightInd w:val="0"/>
              <w:snapToGrid w:val="0"/>
              <w:spacing w:line="360" w:lineRule="auto"/>
              <w:outlineLvl w:val="0"/>
              <w:rPr>
                <w:rFonts w:ascii="宋体" w:hAnsi="宋体"/>
                <w:szCs w:val="21"/>
              </w:rPr>
            </w:pPr>
            <w:r w:rsidRPr="008E75F9">
              <w:rPr>
                <w:rFonts w:ascii="宋体" w:hAnsi="宋体" w:hint="eastAsia"/>
                <w:szCs w:val="21"/>
              </w:rPr>
              <w:t>（四）基金管理人和基金托管人应按各自职责完整保存原始凭证、记账凭证、基金账册、交易记录和重要合同等，承担保密义务并保存至少</w:t>
            </w:r>
            <w:r w:rsidRPr="008E75F9">
              <w:rPr>
                <w:rFonts w:ascii="宋体" w:hAnsi="宋体" w:hint="eastAsia"/>
                <w:b/>
                <w:szCs w:val="21"/>
              </w:rPr>
              <w:t>2</w:t>
            </w:r>
            <w:r w:rsidRPr="008E75F9">
              <w:rPr>
                <w:rFonts w:ascii="宋体" w:hAnsi="宋体"/>
                <w:b/>
                <w:szCs w:val="21"/>
              </w:rPr>
              <w:t>0</w:t>
            </w:r>
            <w:r w:rsidRPr="008E75F9">
              <w:rPr>
                <w:rFonts w:ascii="宋体" w:hAnsi="宋体" w:hint="eastAsia"/>
                <w:szCs w:val="21"/>
              </w:rPr>
              <w:t>年以上。</w:t>
            </w:r>
          </w:p>
        </w:tc>
      </w:tr>
      <w:tr w14:paraId="4F978E8D" w14:textId="77777777" w:rsidTr="00ED4C73">
        <w:tblPrEx>
          <w:tblW w:w="10206" w:type="dxa"/>
          <w:tblInd w:w="-572" w:type="dxa"/>
          <w:tblLayout w:type="fixed"/>
          <w:tblLook w:val="04A0"/>
        </w:tblPrEx>
        <w:trPr>
          <w:trHeight w:val="3038"/>
        </w:trPr>
        <w:tc>
          <w:tcPr>
            <w:tcW w:w="1134" w:type="dxa"/>
            <w:tcBorders>
              <w:top w:val="single" w:sz="4" w:space="0" w:color="auto"/>
              <w:left w:val="single" w:sz="4" w:space="0" w:color="000000"/>
              <w:bottom w:val="single" w:sz="4" w:space="0" w:color="auto"/>
              <w:right w:val="single" w:sz="4" w:space="0" w:color="auto"/>
            </w:tcBorders>
            <w:vAlign w:val="center"/>
          </w:tcPr>
          <w:p w:rsidR="008E75F9" w:rsidRPr="008E75F9" w:rsidP="008E75F9" w14:paraId="20076C08" w14:textId="5AC0B1AF">
            <w:pPr>
              <w:spacing w:line="360" w:lineRule="auto"/>
              <w:rPr>
                <w:rFonts w:ascii="宋体" w:hAnsi="宋体"/>
                <w:szCs w:val="21"/>
              </w:rPr>
            </w:pPr>
            <w:r w:rsidRPr="008E75F9">
              <w:rPr>
                <w:rFonts w:ascii="宋体" w:hAnsi="宋体" w:hint="eastAsia"/>
                <w:szCs w:val="21"/>
              </w:rPr>
              <w:t>十六、托管协议的变更、终止与基金财产的清</w:t>
            </w:r>
            <w:r w:rsidRPr="0093160D" w:rsidR="0093160D">
              <w:rPr>
                <w:rFonts w:ascii="宋体" w:hAnsi="宋体" w:hint="eastAsia"/>
                <w:szCs w:val="21"/>
              </w:rPr>
              <w:t>算</w:t>
            </w:r>
          </w:p>
        </w:tc>
        <w:tc>
          <w:tcPr>
            <w:tcW w:w="4678" w:type="dxa"/>
            <w:tcBorders>
              <w:top w:val="single" w:sz="4" w:space="0" w:color="auto"/>
              <w:left w:val="single" w:sz="4" w:space="0" w:color="auto"/>
              <w:bottom w:val="single" w:sz="4" w:space="0" w:color="auto"/>
              <w:right w:val="single" w:sz="4" w:space="0" w:color="auto"/>
            </w:tcBorders>
          </w:tcPr>
          <w:p w:rsidR="005B6F0F" w:rsidRPr="008E75F9" w:rsidP="00EF42CD" w14:paraId="7F9492B1" w14:textId="77777777">
            <w:pPr>
              <w:adjustRightInd w:val="0"/>
              <w:snapToGrid w:val="0"/>
              <w:spacing w:line="360" w:lineRule="auto"/>
              <w:outlineLvl w:val="0"/>
              <w:rPr>
                <w:rFonts w:ascii="宋体" w:hAnsi="宋体"/>
                <w:szCs w:val="21"/>
              </w:rPr>
            </w:pPr>
            <w:r w:rsidRPr="008E75F9">
              <w:rPr>
                <w:rFonts w:ascii="宋体" w:hAnsi="宋体" w:hint="eastAsia"/>
                <w:szCs w:val="21"/>
              </w:rPr>
              <w:t>（三）基金财产的清算</w:t>
            </w:r>
          </w:p>
          <w:p w:rsidR="0044643C" w:rsidRPr="00145831" w:rsidP="00EF42CD" w14:paraId="3AD69954" w14:textId="77777777">
            <w:pPr>
              <w:adjustRightInd w:val="0"/>
              <w:snapToGrid w:val="0"/>
              <w:spacing w:line="360" w:lineRule="auto"/>
              <w:outlineLvl w:val="0"/>
              <w:rPr>
                <w:rFonts w:ascii="宋体" w:hAnsi="宋体"/>
                <w:szCs w:val="21"/>
              </w:rPr>
            </w:pPr>
            <w:r w:rsidRPr="00145831">
              <w:rPr>
                <w:rFonts w:ascii="宋体" w:hAnsi="宋体" w:hint="eastAsia"/>
                <w:szCs w:val="21"/>
              </w:rPr>
              <w:t>9.基金财产清算账册及文件的保存</w:t>
            </w:r>
          </w:p>
          <w:p w:rsidR="008E75F9" w:rsidRPr="0044643C" w:rsidP="00EF42CD" w14:paraId="57C82082" w14:textId="7CEBB432">
            <w:pPr>
              <w:adjustRightInd w:val="0"/>
              <w:snapToGrid w:val="0"/>
              <w:spacing w:line="360" w:lineRule="auto"/>
              <w:outlineLvl w:val="0"/>
              <w:rPr>
                <w:rFonts w:ascii="宋体" w:hAnsi="宋体"/>
                <w:szCs w:val="21"/>
              </w:rPr>
            </w:pPr>
            <w:r w:rsidRPr="00145831">
              <w:rPr>
                <w:rFonts w:ascii="宋体" w:hAnsi="宋体" w:hint="eastAsia"/>
                <w:szCs w:val="21"/>
              </w:rPr>
              <w:t>基金财产清算账册及有关文件由基金托管人保存</w:t>
            </w:r>
            <w:r w:rsidRPr="005B6F0F">
              <w:rPr>
                <w:rFonts w:ascii="宋体" w:hAnsi="宋体" w:hint="eastAsia"/>
                <w:b/>
                <w:szCs w:val="21"/>
              </w:rPr>
              <w:t>15</w:t>
            </w:r>
            <w:r w:rsidRPr="00145831">
              <w:rPr>
                <w:rFonts w:ascii="宋体" w:hAnsi="宋体" w:hint="eastAsia"/>
                <w:szCs w:val="21"/>
              </w:rPr>
              <w:t>年以上。</w:t>
            </w:r>
          </w:p>
        </w:tc>
        <w:tc>
          <w:tcPr>
            <w:tcW w:w="4394" w:type="dxa"/>
            <w:tcBorders>
              <w:top w:val="single" w:sz="4" w:space="0" w:color="auto"/>
              <w:left w:val="single" w:sz="4" w:space="0" w:color="auto"/>
              <w:bottom w:val="single" w:sz="4" w:space="0" w:color="auto"/>
              <w:right w:val="single" w:sz="4" w:space="0" w:color="000000"/>
            </w:tcBorders>
          </w:tcPr>
          <w:p w:rsidR="008E75F9" w:rsidRPr="008E75F9" w:rsidP="00EF42CD" w14:paraId="6A52A087" w14:textId="77777777">
            <w:pPr>
              <w:adjustRightInd w:val="0"/>
              <w:snapToGrid w:val="0"/>
              <w:spacing w:line="360" w:lineRule="auto"/>
              <w:outlineLvl w:val="0"/>
              <w:rPr>
                <w:rFonts w:ascii="宋体" w:hAnsi="宋体"/>
                <w:szCs w:val="21"/>
              </w:rPr>
            </w:pPr>
            <w:r w:rsidRPr="008E75F9">
              <w:rPr>
                <w:rFonts w:ascii="宋体" w:hAnsi="宋体" w:hint="eastAsia"/>
                <w:szCs w:val="21"/>
              </w:rPr>
              <w:t>（三）基金财产的清算</w:t>
            </w:r>
          </w:p>
          <w:p w:rsidR="008E75F9" w:rsidRPr="008E75F9" w:rsidP="00EF42CD" w14:paraId="70EAA31C" w14:textId="77777777">
            <w:pPr>
              <w:adjustRightInd w:val="0"/>
              <w:snapToGrid w:val="0"/>
              <w:spacing w:line="360" w:lineRule="auto"/>
              <w:outlineLvl w:val="0"/>
              <w:rPr>
                <w:rFonts w:ascii="宋体" w:hAnsi="宋体"/>
                <w:szCs w:val="21"/>
              </w:rPr>
            </w:pPr>
            <w:r w:rsidRPr="008E75F9">
              <w:rPr>
                <w:rFonts w:ascii="宋体" w:hAnsi="宋体" w:hint="eastAsia"/>
                <w:szCs w:val="21"/>
              </w:rPr>
              <w:t>9.基金财产清算账册及文件的保存</w:t>
            </w:r>
          </w:p>
          <w:p w:rsidR="008E75F9" w:rsidRPr="008E75F9" w14:paraId="3393FE82" w14:textId="0DB1B6BF">
            <w:pPr>
              <w:adjustRightInd w:val="0"/>
              <w:snapToGrid w:val="0"/>
              <w:spacing w:line="360" w:lineRule="auto"/>
              <w:outlineLvl w:val="0"/>
              <w:rPr>
                <w:rFonts w:ascii="宋体" w:hAnsi="宋体"/>
                <w:szCs w:val="21"/>
              </w:rPr>
            </w:pPr>
            <w:r w:rsidRPr="008E75F9">
              <w:rPr>
                <w:rFonts w:ascii="宋体" w:hAnsi="宋体" w:hint="eastAsia"/>
                <w:szCs w:val="21"/>
              </w:rPr>
              <w:t>基金财产清算账册及有关文件由基金托管人保存</w:t>
            </w:r>
            <w:r w:rsidRPr="008E75F9">
              <w:rPr>
                <w:rFonts w:ascii="宋体" w:hAnsi="宋体"/>
                <w:b/>
                <w:szCs w:val="21"/>
              </w:rPr>
              <w:t>20</w:t>
            </w:r>
            <w:r w:rsidRPr="008E75F9">
              <w:rPr>
                <w:rFonts w:ascii="宋体" w:hAnsi="宋体" w:hint="eastAsia"/>
                <w:szCs w:val="21"/>
              </w:rPr>
              <w:t>年以上。</w:t>
            </w:r>
          </w:p>
        </w:tc>
      </w:tr>
    </w:tbl>
    <w:p w:rsidR="009532B1" w:rsidRPr="009532B1" w:rsidP="009532B1" w14:paraId="667909CF" w14:textId="77777777">
      <w:pPr>
        <w:spacing w:line="360" w:lineRule="auto"/>
        <w:rPr>
          <w:rFonts w:ascii="宋体" w:hAnsi="宋体"/>
          <w:szCs w:val="21"/>
        </w:rPr>
      </w:pPr>
    </w:p>
    <w:p w:rsidR="009532B1" w:rsidRPr="009532B1" w:rsidP="009532B1" w14:paraId="4C7A3173" w14:textId="77777777">
      <w:pPr>
        <w:spacing w:line="360" w:lineRule="auto"/>
        <w:rPr>
          <w:rFonts w:ascii="宋体" w:hAnsi="宋体"/>
          <w:szCs w:val="21"/>
        </w:rPr>
      </w:pPr>
    </w:p>
    <w:p w:rsidR="008F1B9F" w:rsidRPr="009532B1" w:rsidP="00210FBA" w14:paraId="63E06120" w14:textId="77777777">
      <w:pPr>
        <w:spacing w:line="360" w:lineRule="auto"/>
        <w:rPr>
          <w:rFonts w:ascii="宋体" w:hAnsi="宋体"/>
          <w:szCs w:val="21"/>
        </w:rPr>
      </w:pPr>
    </w:p>
    <w:sectPr w:rsidSect="00557AFB">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0820252"/>
      <w:docPartObj>
        <w:docPartGallery w:val="Page Numbers (Bottom of Page)"/>
        <w:docPartUnique/>
      </w:docPartObj>
    </w:sdtPr>
    <w:sdtContent>
      <w:p w:rsidR="00C75729" w14:paraId="098A6542" w14:textId="51649F67">
        <w:pPr>
          <w:jc w:val="center"/>
        </w:pPr>
        <w:r>
          <w:fldChar w:fldCharType="begin"/>
        </w:r>
        <w:r>
          <w:instrText xml:space="preserve"> PAGE   \* MERGEFORMAT </w:instrText>
        </w:r>
        <w:r>
          <w:fldChar w:fldCharType="separate"/>
        </w:r>
        <w:r w:rsidRPr="00E67F41" w:rsidR="00E67F41">
          <w:rPr>
            <w:noProof/>
            <w:lang w:val="zh-CN"/>
          </w:rPr>
          <w:t>11</w:t>
        </w:r>
        <w:r>
          <w:rPr>
            <w:noProof/>
            <w:lang w:val="zh-CN"/>
          </w:rPr>
          <w:fldChar w:fldCharType="end"/>
        </w:r>
      </w:p>
    </w:sdtContent>
  </w:sdt>
  <w:p w:rsidR="00C75729" w14:paraId="1D5B58DD" w14:textId="77777777"/>
</w:ft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程才">
    <w15:presenceInfo w15:providerId="None" w15:userId="程才"/>
  </w15:person>
  <w15:person w15:author="王洋洋">
    <w15:presenceInfo w15:providerId="None" w15:userId="王洋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DD6"/>
    <w:rsid w:val="00000885"/>
    <w:rsid w:val="00000F99"/>
    <w:rsid w:val="00002AEE"/>
    <w:rsid w:val="00005F47"/>
    <w:rsid w:val="000067C0"/>
    <w:rsid w:val="00006E72"/>
    <w:rsid w:val="00007821"/>
    <w:rsid w:val="000143C5"/>
    <w:rsid w:val="00021C32"/>
    <w:rsid w:val="00021CD7"/>
    <w:rsid w:val="00025232"/>
    <w:rsid w:val="00025A6B"/>
    <w:rsid w:val="00025BC0"/>
    <w:rsid w:val="00025C1E"/>
    <w:rsid w:val="0003216A"/>
    <w:rsid w:val="00032310"/>
    <w:rsid w:val="000331FB"/>
    <w:rsid w:val="000374A1"/>
    <w:rsid w:val="00037EAD"/>
    <w:rsid w:val="000417BC"/>
    <w:rsid w:val="000477E6"/>
    <w:rsid w:val="000544FF"/>
    <w:rsid w:val="00054F43"/>
    <w:rsid w:val="00055292"/>
    <w:rsid w:val="00055932"/>
    <w:rsid w:val="00057C93"/>
    <w:rsid w:val="000613CC"/>
    <w:rsid w:val="00062AAF"/>
    <w:rsid w:val="00063606"/>
    <w:rsid w:val="00063868"/>
    <w:rsid w:val="00064299"/>
    <w:rsid w:val="00064B8C"/>
    <w:rsid w:val="000654EE"/>
    <w:rsid w:val="00065F8A"/>
    <w:rsid w:val="0006691B"/>
    <w:rsid w:val="00070342"/>
    <w:rsid w:val="00070C40"/>
    <w:rsid w:val="00070F51"/>
    <w:rsid w:val="00071FAA"/>
    <w:rsid w:val="00075B16"/>
    <w:rsid w:val="00075D91"/>
    <w:rsid w:val="00075F97"/>
    <w:rsid w:val="00080137"/>
    <w:rsid w:val="00082888"/>
    <w:rsid w:val="00082FBF"/>
    <w:rsid w:val="000860E3"/>
    <w:rsid w:val="000906B8"/>
    <w:rsid w:val="0009093D"/>
    <w:rsid w:val="000920A9"/>
    <w:rsid w:val="00093125"/>
    <w:rsid w:val="00093DA0"/>
    <w:rsid w:val="00094AB2"/>
    <w:rsid w:val="000957EC"/>
    <w:rsid w:val="000974DD"/>
    <w:rsid w:val="00097732"/>
    <w:rsid w:val="00097846"/>
    <w:rsid w:val="000A090E"/>
    <w:rsid w:val="000A0DEC"/>
    <w:rsid w:val="000A2558"/>
    <w:rsid w:val="000A2BAF"/>
    <w:rsid w:val="000A6D82"/>
    <w:rsid w:val="000B28AC"/>
    <w:rsid w:val="000B4B32"/>
    <w:rsid w:val="000B5DD6"/>
    <w:rsid w:val="000C003E"/>
    <w:rsid w:val="000C144E"/>
    <w:rsid w:val="000C26C3"/>
    <w:rsid w:val="000C5B9A"/>
    <w:rsid w:val="000C7141"/>
    <w:rsid w:val="000C7568"/>
    <w:rsid w:val="000C7ACF"/>
    <w:rsid w:val="000D0495"/>
    <w:rsid w:val="000D0B6C"/>
    <w:rsid w:val="000D375D"/>
    <w:rsid w:val="000D4488"/>
    <w:rsid w:val="000D6105"/>
    <w:rsid w:val="000E0DC1"/>
    <w:rsid w:val="000E1003"/>
    <w:rsid w:val="000E17CC"/>
    <w:rsid w:val="000E2F3A"/>
    <w:rsid w:val="000E3BF2"/>
    <w:rsid w:val="000E4834"/>
    <w:rsid w:val="000E55EF"/>
    <w:rsid w:val="000E5B71"/>
    <w:rsid w:val="000E6DCE"/>
    <w:rsid w:val="000E71EE"/>
    <w:rsid w:val="000F18A5"/>
    <w:rsid w:val="000F3F45"/>
    <w:rsid w:val="000F48C5"/>
    <w:rsid w:val="000F61F1"/>
    <w:rsid w:val="000F63EC"/>
    <w:rsid w:val="0010104F"/>
    <w:rsid w:val="001011EB"/>
    <w:rsid w:val="001030B7"/>
    <w:rsid w:val="00105C16"/>
    <w:rsid w:val="00106D71"/>
    <w:rsid w:val="001079CA"/>
    <w:rsid w:val="0011165C"/>
    <w:rsid w:val="00113E6E"/>
    <w:rsid w:val="00114C67"/>
    <w:rsid w:val="00115436"/>
    <w:rsid w:val="00125547"/>
    <w:rsid w:val="00125F94"/>
    <w:rsid w:val="001264A0"/>
    <w:rsid w:val="0013105E"/>
    <w:rsid w:val="00133532"/>
    <w:rsid w:val="00133B0C"/>
    <w:rsid w:val="001412C3"/>
    <w:rsid w:val="00141D87"/>
    <w:rsid w:val="00142188"/>
    <w:rsid w:val="00144F55"/>
    <w:rsid w:val="00145831"/>
    <w:rsid w:val="00146192"/>
    <w:rsid w:val="00146E03"/>
    <w:rsid w:val="00153169"/>
    <w:rsid w:val="0015552D"/>
    <w:rsid w:val="001557BE"/>
    <w:rsid w:val="0016195F"/>
    <w:rsid w:val="00164245"/>
    <w:rsid w:val="00165395"/>
    <w:rsid w:val="00165C1E"/>
    <w:rsid w:val="00166DDC"/>
    <w:rsid w:val="0016792B"/>
    <w:rsid w:val="00174B1A"/>
    <w:rsid w:val="00175374"/>
    <w:rsid w:val="001760A2"/>
    <w:rsid w:val="00180373"/>
    <w:rsid w:val="00181DEA"/>
    <w:rsid w:val="0018323F"/>
    <w:rsid w:val="001852BE"/>
    <w:rsid w:val="00196E04"/>
    <w:rsid w:val="001A0279"/>
    <w:rsid w:val="001A3321"/>
    <w:rsid w:val="001A5D28"/>
    <w:rsid w:val="001A63E3"/>
    <w:rsid w:val="001B01EC"/>
    <w:rsid w:val="001B09F1"/>
    <w:rsid w:val="001B1024"/>
    <w:rsid w:val="001B10A3"/>
    <w:rsid w:val="001B5AB9"/>
    <w:rsid w:val="001C204E"/>
    <w:rsid w:val="001D74DA"/>
    <w:rsid w:val="001D76EB"/>
    <w:rsid w:val="001E12F1"/>
    <w:rsid w:val="001E1AB8"/>
    <w:rsid w:val="001E249A"/>
    <w:rsid w:val="001E4FEC"/>
    <w:rsid w:val="001F1D55"/>
    <w:rsid w:val="001F3B5F"/>
    <w:rsid w:val="001F7DCF"/>
    <w:rsid w:val="00206A3F"/>
    <w:rsid w:val="00210FBA"/>
    <w:rsid w:val="00213F4D"/>
    <w:rsid w:val="00215053"/>
    <w:rsid w:val="00216DDD"/>
    <w:rsid w:val="002235E6"/>
    <w:rsid w:val="00223F5B"/>
    <w:rsid w:val="00227F30"/>
    <w:rsid w:val="00232D8F"/>
    <w:rsid w:val="0023319B"/>
    <w:rsid w:val="00233633"/>
    <w:rsid w:val="00233647"/>
    <w:rsid w:val="0023419B"/>
    <w:rsid w:val="002343BF"/>
    <w:rsid w:val="00234C6A"/>
    <w:rsid w:val="00240F44"/>
    <w:rsid w:val="002474F6"/>
    <w:rsid w:val="00252F10"/>
    <w:rsid w:val="00253768"/>
    <w:rsid w:val="00254882"/>
    <w:rsid w:val="00254C6D"/>
    <w:rsid w:val="002567F0"/>
    <w:rsid w:val="00261201"/>
    <w:rsid w:val="0026149B"/>
    <w:rsid w:val="00264A59"/>
    <w:rsid w:val="0026523F"/>
    <w:rsid w:val="002670BB"/>
    <w:rsid w:val="00274146"/>
    <w:rsid w:val="00274395"/>
    <w:rsid w:val="0027469F"/>
    <w:rsid w:val="002758CD"/>
    <w:rsid w:val="002763F8"/>
    <w:rsid w:val="00276967"/>
    <w:rsid w:val="002773A7"/>
    <w:rsid w:val="0027759A"/>
    <w:rsid w:val="0028007D"/>
    <w:rsid w:val="00280F8D"/>
    <w:rsid w:val="00285476"/>
    <w:rsid w:val="002879E4"/>
    <w:rsid w:val="00290974"/>
    <w:rsid w:val="00291C8B"/>
    <w:rsid w:val="00294A1F"/>
    <w:rsid w:val="002958D5"/>
    <w:rsid w:val="00297EDD"/>
    <w:rsid w:val="00297FDA"/>
    <w:rsid w:val="002A0A9F"/>
    <w:rsid w:val="002A5A23"/>
    <w:rsid w:val="002B1AB2"/>
    <w:rsid w:val="002B1B24"/>
    <w:rsid w:val="002B2B82"/>
    <w:rsid w:val="002B3431"/>
    <w:rsid w:val="002C1B34"/>
    <w:rsid w:val="002C4947"/>
    <w:rsid w:val="002C4CF2"/>
    <w:rsid w:val="002C4E4D"/>
    <w:rsid w:val="002C6AF6"/>
    <w:rsid w:val="002D5043"/>
    <w:rsid w:val="002D5DA1"/>
    <w:rsid w:val="002D612F"/>
    <w:rsid w:val="002D7C7F"/>
    <w:rsid w:val="002E0018"/>
    <w:rsid w:val="002E11D7"/>
    <w:rsid w:val="002E3EF6"/>
    <w:rsid w:val="002E5D85"/>
    <w:rsid w:val="002E6338"/>
    <w:rsid w:val="002F4251"/>
    <w:rsid w:val="00306208"/>
    <w:rsid w:val="00306B0D"/>
    <w:rsid w:val="00307CAE"/>
    <w:rsid w:val="003103CC"/>
    <w:rsid w:val="0031045D"/>
    <w:rsid w:val="0031126C"/>
    <w:rsid w:val="00312A15"/>
    <w:rsid w:val="00313EEA"/>
    <w:rsid w:val="00314258"/>
    <w:rsid w:val="00314E1A"/>
    <w:rsid w:val="003153B6"/>
    <w:rsid w:val="00315FEF"/>
    <w:rsid w:val="003160FB"/>
    <w:rsid w:val="003165A2"/>
    <w:rsid w:val="0032219A"/>
    <w:rsid w:val="0032388A"/>
    <w:rsid w:val="003239A3"/>
    <w:rsid w:val="003251DD"/>
    <w:rsid w:val="0032730E"/>
    <w:rsid w:val="00331B7C"/>
    <w:rsid w:val="00332C62"/>
    <w:rsid w:val="00333CE9"/>
    <w:rsid w:val="003371D4"/>
    <w:rsid w:val="00340C29"/>
    <w:rsid w:val="00342B4E"/>
    <w:rsid w:val="0034318E"/>
    <w:rsid w:val="00343509"/>
    <w:rsid w:val="00343D26"/>
    <w:rsid w:val="00345CE3"/>
    <w:rsid w:val="003523C3"/>
    <w:rsid w:val="00354074"/>
    <w:rsid w:val="00354261"/>
    <w:rsid w:val="00354F65"/>
    <w:rsid w:val="0035550E"/>
    <w:rsid w:val="00355BCD"/>
    <w:rsid w:val="00361BD0"/>
    <w:rsid w:val="00364155"/>
    <w:rsid w:val="00365521"/>
    <w:rsid w:val="00366E30"/>
    <w:rsid w:val="00371D7F"/>
    <w:rsid w:val="00372446"/>
    <w:rsid w:val="00375739"/>
    <w:rsid w:val="00376CBC"/>
    <w:rsid w:val="00381C47"/>
    <w:rsid w:val="00384E79"/>
    <w:rsid w:val="00385EC0"/>
    <w:rsid w:val="003860CC"/>
    <w:rsid w:val="0039546D"/>
    <w:rsid w:val="003A3B4E"/>
    <w:rsid w:val="003A48D4"/>
    <w:rsid w:val="003A7DBA"/>
    <w:rsid w:val="003B05EF"/>
    <w:rsid w:val="003B0BFD"/>
    <w:rsid w:val="003B1BBF"/>
    <w:rsid w:val="003B2799"/>
    <w:rsid w:val="003B5CD3"/>
    <w:rsid w:val="003C1A44"/>
    <w:rsid w:val="003C27A6"/>
    <w:rsid w:val="003C3EFC"/>
    <w:rsid w:val="003C6A6F"/>
    <w:rsid w:val="003D0A8F"/>
    <w:rsid w:val="003D1373"/>
    <w:rsid w:val="003D51AC"/>
    <w:rsid w:val="003D608B"/>
    <w:rsid w:val="003D67D4"/>
    <w:rsid w:val="003D6BFE"/>
    <w:rsid w:val="003E0082"/>
    <w:rsid w:val="003E030D"/>
    <w:rsid w:val="003E50E4"/>
    <w:rsid w:val="003E55F2"/>
    <w:rsid w:val="003E6ABA"/>
    <w:rsid w:val="003E73DB"/>
    <w:rsid w:val="003E78BA"/>
    <w:rsid w:val="003F0F8B"/>
    <w:rsid w:val="003F1C00"/>
    <w:rsid w:val="003F2DBF"/>
    <w:rsid w:val="003F42BB"/>
    <w:rsid w:val="004023DC"/>
    <w:rsid w:val="00403D96"/>
    <w:rsid w:val="00404177"/>
    <w:rsid w:val="00406FF7"/>
    <w:rsid w:val="00410CE1"/>
    <w:rsid w:val="004111DD"/>
    <w:rsid w:val="00415DD0"/>
    <w:rsid w:val="004169B5"/>
    <w:rsid w:val="00416A9B"/>
    <w:rsid w:val="00421044"/>
    <w:rsid w:val="004225C0"/>
    <w:rsid w:val="00424328"/>
    <w:rsid w:val="0042498D"/>
    <w:rsid w:val="00424F23"/>
    <w:rsid w:val="00426609"/>
    <w:rsid w:val="0042668A"/>
    <w:rsid w:val="004269DB"/>
    <w:rsid w:val="004316BD"/>
    <w:rsid w:val="00432DB9"/>
    <w:rsid w:val="00435D9D"/>
    <w:rsid w:val="00436D94"/>
    <w:rsid w:val="00436E56"/>
    <w:rsid w:val="0043711B"/>
    <w:rsid w:val="00440D44"/>
    <w:rsid w:val="0044643C"/>
    <w:rsid w:val="00451764"/>
    <w:rsid w:val="00456015"/>
    <w:rsid w:val="00460420"/>
    <w:rsid w:val="0046144B"/>
    <w:rsid w:val="00461C87"/>
    <w:rsid w:val="0046253E"/>
    <w:rsid w:val="00462CA0"/>
    <w:rsid w:val="004636DB"/>
    <w:rsid w:val="004656AE"/>
    <w:rsid w:val="004716B9"/>
    <w:rsid w:val="00475A99"/>
    <w:rsid w:val="0047604F"/>
    <w:rsid w:val="004818B2"/>
    <w:rsid w:val="004854B2"/>
    <w:rsid w:val="00485516"/>
    <w:rsid w:val="004876CA"/>
    <w:rsid w:val="004878BD"/>
    <w:rsid w:val="00491CCC"/>
    <w:rsid w:val="004945CE"/>
    <w:rsid w:val="00495405"/>
    <w:rsid w:val="0049652A"/>
    <w:rsid w:val="004A0305"/>
    <w:rsid w:val="004A0541"/>
    <w:rsid w:val="004A2070"/>
    <w:rsid w:val="004A2322"/>
    <w:rsid w:val="004A3324"/>
    <w:rsid w:val="004A4097"/>
    <w:rsid w:val="004A5A49"/>
    <w:rsid w:val="004B3318"/>
    <w:rsid w:val="004C153E"/>
    <w:rsid w:val="004C1641"/>
    <w:rsid w:val="004C28E0"/>
    <w:rsid w:val="004D1AA3"/>
    <w:rsid w:val="004D6284"/>
    <w:rsid w:val="004D6CD3"/>
    <w:rsid w:val="004D6CEB"/>
    <w:rsid w:val="004E03A3"/>
    <w:rsid w:val="004E1208"/>
    <w:rsid w:val="004E3E6D"/>
    <w:rsid w:val="004F1488"/>
    <w:rsid w:val="004F2602"/>
    <w:rsid w:val="004F45EF"/>
    <w:rsid w:val="004F5707"/>
    <w:rsid w:val="004F7028"/>
    <w:rsid w:val="00500DA6"/>
    <w:rsid w:val="005011FD"/>
    <w:rsid w:val="00502D91"/>
    <w:rsid w:val="005053DF"/>
    <w:rsid w:val="0050582C"/>
    <w:rsid w:val="00507CB2"/>
    <w:rsid w:val="0051534E"/>
    <w:rsid w:val="00515B6F"/>
    <w:rsid w:val="0052113C"/>
    <w:rsid w:val="00521380"/>
    <w:rsid w:val="00522118"/>
    <w:rsid w:val="005248BD"/>
    <w:rsid w:val="00524E43"/>
    <w:rsid w:val="0052513A"/>
    <w:rsid w:val="00526047"/>
    <w:rsid w:val="00527223"/>
    <w:rsid w:val="0052740A"/>
    <w:rsid w:val="005347A1"/>
    <w:rsid w:val="0053509B"/>
    <w:rsid w:val="00536668"/>
    <w:rsid w:val="00537930"/>
    <w:rsid w:val="00537AA9"/>
    <w:rsid w:val="00537ADB"/>
    <w:rsid w:val="00537BEC"/>
    <w:rsid w:val="00537C11"/>
    <w:rsid w:val="00540ED3"/>
    <w:rsid w:val="00542189"/>
    <w:rsid w:val="00551FAC"/>
    <w:rsid w:val="00553186"/>
    <w:rsid w:val="005558EA"/>
    <w:rsid w:val="0055665E"/>
    <w:rsid w:val="00557AFB"/>
    <w:rsid w:val="00557B09"/>
    <w:rsid w:val="00563002"/>
    <w:rsid w:val="0056355B"/>
    <w:rsid w:val="005639A7"/>
    <w:rsid w:val="00563C56"/>
    <w:rsid w:val="00564061"/>
    <w:rsid w:val="00566326"/>
    <w:rsid w:val="00570660"/>
    <w:rsid w:val="00570F96"/>
    <w:rsid w:val="00574224"/>
    <w:rsid w:val="00580033"/>
    <w:rsid w:val="0058350F"/>
    <w:rsid w:val="00584948"/>
    <w:rsid w:val="00587FAB"/>
    <w:rsid w:val="00590E94"/>
    <w:rsid w:val="00595D35"/>
    <w:rsid w:val="00596155"/>
    <w:rsid w:val="005A0DA7"/>
    <w:rsid w:val="005A407E"/>
    <w:rsid w:val="005A5CDE"/>
    <w:rsid w:val="005A6DF8"/>
    <w:rsid w:val="005B0F0F"/>
    <w:rsid w:val="005B13D0"/>
    <w:rsid w:val="005B43FC"/>
    <w:rsid w:val="005B4F4F"/>
    <w:rsid w:val="005B5150"/>
    <w:rsid w:val="005B6F0F"/>
    <w:rsid w:val="005B73DC"/>
    <w:rsid w:val="005B790B"/>
    <w:rsid w:val="005C0078"/>
    <w:rsid w:val="005C181C"/>
    <w:rsid w:val="005C1F2A"/>
    <w:rsid w:val="005C333B"/>
    <w:rsid w:val="005C367D"/>
    <w:rsid w:val="005C6D87"/>
    <w:rsid w:val="005D53EB"/>
    <w:rsid w:val="005D6656"/>
    <w:rsid w:val="005D68B8"/>
    <w:rsid w:val="005D7D96"/>
    <w:rsid w:val="005E1D3D"/>
    <w:rsid w:val="005E2287"/>
    <w:rsid w:val="005E26E5"/>
    <w:rsid w:val="005E365D"/>
    <w:rsid w:val="005E7F46"/>
    <w:rsid w:val="005F298B"/>
    <w:rsid w:val="005F2F22"/>
    <w:rsid w:val="005F3A18"/>
    <w:rsid w:val="005F3EBA"/>
    <w:rsid w:val="005F7DBE"/>
    <w:rsid w:val="006007F5"/>
    <w:rsid w:val="00601C1D"/>
    <w:rsid w:val="00604736"/>
    <w:rsid w:val="00613C69"/>
    <w:rsid w:val="00614FEC"/>
    <w:rsid w:val="00615E1C"/>
    <w:rsid w:val="006167AD"/>
    <w:rsid w:val="006202F6"/>
    <w:rsid w:val="00622CCE"/>
    <w:rsid w:val="00625913"/>
    <w:rsid w:val="0063178E"/>
    <w:rsid w:val="006353BE"/>
    <w:rsid w:val="006369EA"/>
    <w:rsid w:val="006376AF"/>
    <w:rsid w:val="006506AC"/>
    <w:rsid w:val="00653523"/>
    <w:rsid w:val="006553FA"/>
    <w:rsid w:val="00656387"/>
    <w:rsid w:val="00656994"/>
    <w:rsid w:val="00656D75"/>
    <w:rsid w:val="00660331"/>
    <w:rsid w:val="00660D12"/>
    <w:rsid w:val="00661380"/>
    <w:rsid w:val="00661535"/>
    <w:rsid w:val="00662987"/>
    <w:rsid w:val="00664B9E"/>
    <w:rsid w:val="0066516F"/>
    <w:rsid w:val="0066683B"/>
    <w:rsid w:val="00666887"/>
    <w:rsid w:val="00672C37"/>
    <w:rsid w:val="006736AD"/>
    <w:rsid w:val="00675F10"/>
    <w:rsid w:val="006814A6"/>
    <w:rsid w:val="00685544"/>
    <w:rsid w:val="00690823"/>
    <w:rsid w:val="006923CC"/>
    <w:rsid w:val="006953AF"/>
    <w:rsid w:val="00695DDA"/>
    <w:rsid w:val="00695F79"/>
    <w:rsid w:val="0069730F"/>
    <w:rsid w:val="006977F1"/>
    <w:rsid w:val="00697DA7"/>
    <w:rsid w:val="006A0586"/>
    <w:rsid w:val="006A31D6"/>
    <w:rsid w:val="006A5BA2"/>
    <w:rsid w:val="006B23C6"/>
    <w:rsid w:val="006B3227"/>
    <w:rsid w:val="006B4D41"/>
    <w:rsid w:val="006B5678"/>
    <w:rsid w:val="006B66D5"/>
    <w:rsid w:val="006B6C93"/>
    <w:rsid w:val="006C330F"/>
    <w:rsid w:val="006D0306"/>
    <w:rsid w:val="006D2FE0"/>
    <w:rsid w:val="006D4F4A"/>
    <w:rsid w:val="006E0E30"/>
    <w:rsid w:val="006E1812"/>
    <w:rsid w:val="006E272F"/>
    <w:rsid w:val="006E398D"/>
    <w:rsid w:val="006E58C5"/>
    <w:rsid w:val="006F04A8"/>
    <w:rsid w:val="006F06EE"/>
    <w:rsid w:val="006F34B2"/>
    <w:rsid w:val="006F5D4B"/>
    <w:rsid w:val="00702959"/>
    <w:rsid w:val="0070364A"/>
    <w:rsid w:val="00703F51"/>
    <w:rsid w:val="00704098"/>
    <w:rsid w:val="0070553B"/>
    <w:rsid w:val="0071372A"/>
    <w:rsid w:val="00714D96"/>
    <w:rsid w:val="007207B1"/>
    <w:rsid w:val="0072281E"/>
    <w:rsid w:val="00723ABF"/>
    <w:rsid w:val="00724741"/>
    <w:rsid w:val="0072797F"/>
    <w:rsid w:val="0073104B"/>
    <w:rsid w:val="0073152F"/>
    <w:rsid w:val="007316F8"/>
    <w:rsid w:val="00732140"/>
    <w:rsid w:val="00732F47"/>
    <w:rsid w:val="00733917"/>
    <w:rsid w:val="0073589B"/>
    <w:rsid w:val="00736E75"/>
    <w:rsid w:val="00740C88"/>
    <w:rsid w:val="00742A2E"/>
    <w:rsid w:val="0075090B"/>
    <w:rsid w:val="0075099F"/>
    <w:rsid w:val="00751A51"/>
    <w:rsid w:val="00752B05"/>
    <w:rsid w:val="00760C68"/>
    <w:rsid w:val="00760DE4"/>
    <w:rsid w:val="007617F3"/>
    <w:rsid w:val="00761E96"/>
    <w:rsid w:val="00765E2A"/>
    <w:rsid w:val="00766684"/>
    <w:rsid w:val="007672D3"/>
    <w:rsid w:val="007673E6"/>
    <w:rsid w:val="00767F26"/>
    <w:rsid w:val="00770275"/>
    <w:rsid w:val="00770FFA"/>
    <w:rsid w:val="007713BA"/>
    <w:rsid w:val="007715CB"/>
    <w:rsid w:val="007716E9"/>
    <w:rsid w:val="00773AA9"/>
    <w:rsid w:val="00775537"/>
    <w:rsid w:val="007765C0"/>
    <w:rsid w:val="00780B15"/>
    <w:rsid w:val="007810D0"/>
    <w:rsid w:val="00783745"/>
    <w:rsid w:val="00783FBA"/>
    <w:rsid w:val="00785B8D"/>
    <w:rsid w:val="0079022B"/>
    <w:rsid w:val="0079176E"/>
    <w:rsid w:val="0079559F"/>
    <w:rsid w:val="007A28D9"/>
    <w:rsid w:val="007A4C0A"/>
    <w:rsid w:val="007A61EE"/>
    <w:rsid w:val="007A67CC"/>
    <w:rsid w:val="007B0D59"/>
    <w:rsid w:val="007B15F6"/>
    <w:rsid w:val="007B3457"/>
    <w:rsid w:val="007B6D4C"/>
    <w:rsid w:val="007B78B9"/>
    <w:rsid w:val="007C12DC"/>
    <w:rsid w:val="007C5082"/>
    <w:rsid w:val="007C60C3"/>
    <w:rsid w:val="007D3FF9"/>
    <w:rsid w:val="007D40FD"/>
    <w:rsid w:val="007D4290"/>
    <w:rsid w:val="007D5C9B"/>
    <w:rsid w:val="007D6F85"/>
    <w:rsid w:val="007D718B"/>
    <w:rsid w:val="007E1727"/>
    <w:rsid w:val="007E3338"/>
    <w:rsid w:val="007E3A79"/>
    <w:rsid w:val="007E694C"/>
    <w:rsid w:val="007F04B9"/>
    <w:rsid w:val="007F455D"/>
    <w:rsid w:val="007F5894"/>
    <w:rsid w:val="008011E1"/>
    <w:rsid w:val="008022EC"/>
    <w:rsid w:val="00802833"/>
    <w:rsid w:val="008032C5"/>
    <w:rsid w:val="008036B6"/>
    <w:rsid w:val="00804661"/>
    <w:rsid w:val="008101AD"/>
    <w:rsid w:val="00810932"/>
    <w:rsid w:val="00811284"/>
    <w:rsid w:val="00811516"/>
    <w:rsid w:val="00812BE2"/>
    <w:rsid w:val="00812FBC"/>
    <w:rsid w:val="00817743"/>
    <w:rsid w:val="008209AC"/>
    <w:rsid w:val="00821408"/>
    <w:rsid w:val="00821615"/>
    <w:rsid w:val="00821C10"/>
    <w:rsid w:val="00822881"/>
    <w:rsid w:val="00822DFF"/>
    <w:rsid w:val="00826895"/>
    <w:rsid w:val="00826FA0"/>
    <w:rsid w:val="00826FBA"/>
    <w:rsid w:val="00827EAF"/>
    <w:rsid w:val="008326CB"/>
    <w:rsid w:val="00832E01"/>
    <w:rsid w:val="0083409D"/>
    <w:rsid w:val="00840D1D"/>
    <w:rsid w:val="008416E1"/>
    <w:rsid w:val="008428F5"/>
    <w:rsid w:val="008432F6"/>
    <w:rsid w:val="008435A7"/>
    <w:rsid w:val="00844F43"/>
    <w:rsid w:val="008467BB"/>
    <w:rsid w:val="00846B65"/>
    <w:rsid w:val="0084799E"/>
    <w:rsid w:val="00855577"/>
    <w:rsid w:val="00856681"/>
    <w:rsid w:val="00856939"/>
    <w:rsid w:val="00857E7C"/>
    <w:rsid w:val="00865DE9"/>
    <w:rsid w:val="008670FD"/>
    <w:rsid w:val="00867CF8"/>
    <w:rsid w:val="00867D46"/>
    <w:rsid w:val="00876789"/>
    <w:rsid w:val="00880087"/>
    <w:rsid w:val="00880929"/>
    <w:rsid w:val="008815AB"/>
    <w:rsid w:val="00881945"/>
    <w:rsid w:val="008827D3"/>
    <w:rsid w:val="00883E18"/>
    <w:rsid w:val="00885C12"/>
    <w:rsid w:val="008867C3"/>
    <w:rsid w:val="00890A2E"/>
    <w:rsid w:val="00890E26"/>
    <w:rsid w:val="008916E4"/>
    <w:rsid w:val="00892E7C"/>
    <w:rsid w:val="0089343E"/>
    <w:rsid w:val="00893BA4"/>
    <w:rsid w:val="00893D99"/>
    <w:rsid w:val="00894108"/>
    <w:rsid w:val="008978EF"/>
    <w:rsid w:val="00897AA7"/>
    <w:rsid w:val="00897E49"/>
    <w:rsid w:val="008A01DB"/>
    <w:rsid w:val="008A1932"/>
    <w:rsid w:val="008A2837"/>
    <w:rsid w:val="008A2A43"/>
    <w:rsid w:val="008A301D"/>
    <w:rsid w:val="008A457E"/>
    <w:rsid w:val="008A59FA"/>
    <w:rsid w:val="008A5EFD"/>
    <w:rsid w:val="008A7FE1"/>
    <w:rsid w:val="008B12BC"/>
    <w:rsid w:val="008B5C38"/>
    <w:rsid w:val="008C0648"/>
    <w:rsid w:val="008C1E24"/>
    <w:rsid w:val="008C1F06"/>
    <w:rsid w:val="008C37D5"/>
    <w:rsid w:val="008C5A00"/>
    <w:rsid w:val="008D09DB"/>
    <w:rsid w:val="008D3D80"/>
    <w:rsid w:val="008D6C90"/>
    <w:rsid w:val="008E0D2B"/>
    <w:rsid w:val="008E1B5A"/>
    <w:rsid w:val="008E5AB8"/>
    <w:rsid w:val="008E6558"/>
    <w:rsid w:val="008E75F9"/>
    <w:rsid w:val="008F1B9F"/>
    <w:rsid w:val="008F2B4C"/>
    <w:rsid w:val="008F4AEC"/>
    <w:rsid w:val="008F565D"/>
    <w:rsid w:val="00900BAC"/>
    <w:rsid w:val="00902F5A"/>
    <w:rsid w:val="00905D6B"/>
    <w:rsid w:val="00906B55"/>
    <w:rsid w:val="00913B18"/>
    <w:rsid w:val="00913D9A"/>
    <w:rsid w:val="00916501"/>
    <w:rsid w:val="00916AE4"/>
    <w:rsid w:val="009172ED"/>
    <w:rsid w:val="009229DE"/>
    <w:rsid w:val="0093160D"/>
    <w:rsid w:val="00932408"/>
    <w:rsid w:val="00933CCE"/>
    <w:rsid w:val="00935A13"/>
    <w:rsid w:val="00936C91"/>
    <w:rsid w:val="009370A7"/>
    <w:rsid w:val="009370CF"/>
    <w:rsid w:val="009422EE"/>
    <w:rsid w:val="009425A7"/>
    <w:rsid w:val="00946EA6"/>
    <w:rsid w:val="00947FD1"/>
    <w:rsid w:val="0095219B"/>
    <w:rsid w:val="0095320C"/>
    <w:rsid w:val="009532B1"/>
    <w:rsid w:val="00953CA0"/>
    <w:rsid w:val="00956AEE"/>
    <w:rsid w:val="0095782F"/>
    <w:rsid w:val="00957840"/>
    <w:rsid w:val="00962C77"/>
    <w:rsid w:val="009642C2"/>
    <w:rsid w:val="009648F6"/>
    <w:rsid w:val="00965227"/>
    <w:rsid w:val="00966590"/>
    <w:rsid w:val="009677B0"/>
    <w:rsid w:val="00972825"/>
    <w:rsid w:val="00972B08"/>
    <w:rsid w:val="00973C95"/>
    <w:rsid w:val="009808C2"/>
    <w:rsid w:val="00980BC4"/>
    <w:rsid w:val="009829CB"/>
    <w:rsid w:val="00984568"/>
    <w:rsid w:val="00984B46"/>
    <w:rsid w:val="0098506D"/>
    <w:rsid w:val="0098643F"/>
    <w:rsid w:val="0098722D"/>
    <w:rsid w:val="00990BC3"/>
    <w:rsid w:val="00992E63"/>
    <w:rsid w:val="00993288"/>
    <w:rsid w:val="009943F9"/>
    <w:rsid w:val="009977BD"/>
    <w:rsid w:val="00997827"/>
    <w:rsid w:val="00997E7D"/>
    <w:rsid w:val="009A029D"/>
    <w:rsid w:val="009A44F9"/>
    <w:rsid w:val="009A748C"/>
    <w:rsid w:val="009A7BA2"/>
    <w:rsid w:val="009B1269"/>
    <w:rsid w:val="009B5C9F"/>
    <w:rsid w:val="009B5E86"/>
    <w:rsid w:val="009B7DDA"/>
    <w:rsid w:val="009C51AA"/>
    <w:rsid w:val="009C562F"/>
    <w:rsid w:val="009C7BC8"/>
    <w:rsid w:val="009D1F57"/>
    <w:rsid w:val="009D6C6C"/>
    <w:rsid w:val="009E1B17"/>
    <w:rsid w:val="009F5623"/>
    <w:rsid w:val="009F720C"/>
    <w:rsid w:val="009F72B7"/>
    <w:rsid w:val="00A04E34"/>
    <w:rsid w:val="00A05666"/>
    <w:rsid w:val="00A06DBB"/>
    <w:rsid w:val="00A12B53"/>
    <w:rsid w:val="00A14CB0"/>
    <w:rsid w:val="00A157D5"/>
    <w:rsid w:val="00A200A1"/>
    <w:rsid w:val="00A3074D"/>
    <w:rsid w:val="00A32742"/>
    <w:rsid w:val="00A356B4"/>
    <w:rsid w:val="00A36B09"/>
    <w:rsid w:val="00A3756E"/>
    <w:rsid w:val="00A41E5C"/>
    <w:rsid w:val="00A4418F"/>
    <w:rsid w:val="00A52614"/>
    <w:rsid w:val="00A52E65"/>
    <w:rsid w:val="00A542E8"/>
    <w:rsid w:val="00A55169"/>
    <w:rsid w:val="00A570D8"/>
    <w:rsid w:val="00A5797C"/>
    <w:rsid w:val="00A65CAD"/>
    <w:rsid w:val="00A71B24"/>
    <w:rsid w:val="00A72924"/>
    <w:rsid w:val="00A7434D"/>
    <w:rsid w:val="00A74B8C"/>
    <w:rsid w:val="00A74D24"/>
    <w:rsid w:val="00A76275"/>
    <w:rsid w:val="00A76C49"/>
    <w:rsid w:val="00A77DCF"/>
    <w:rsid w:val="00A77EC5"/>
    <w:rsid w:val="00A82787"/>
    <w:rsid w:val="00A832DB"/>
    <w:rsid w:val="00A873B1"/>
    <w:rsid w:val="00A878E5"/>
    <w:rsid w:val="00A92407"/>
    <w:rsid w:val="00A94F0B"/>
    <w:rsid w:val="00A954E7"/>
    <w:rsid w:val="00A96D40"/>
    <w:rsid w:val="00A973A0"/>
    <w:rsid w:val="00A9787C"/>
    <w:rsid w:val="00AA2C83"/>
    <w:rsid w:val="00AA32A1"/>
    <w:rsid w:val="00AA36AA"/>
    <w:rsid w:val="00AA48DE"/>
    <w:rsid w:val="00AB1666"/>
    <w:rsid w:val="00AB1CAC"/>
    <w:rsid w:val="00AB3329"/>
    <w:rsid w:val="00AB60F7"/>
    <w:rsid w:val="00AB71F5"/>
    <w:rsid w:val="00AC2A81"/>
    <w:rsid w:val="00AC2DB3"/>
    <w:rsid w:val="00AC2E1B"/>
    <w:rsid w:val="00AC556D"/>
    <w:rsid w:val="00AC59F8"/>
    <w:rsid w:val="00AC5DD7"/>
    <w:rsid w:val="00AC6E10"/>
    <w:rsid w:val="00AD27C0"/>
    <w:rsid w:val="00AD35C0"/>
    <w:rsid w:val="00AD522E"/>
    <w:rsid w:val="00AD700C"/>
    <w:rsid w:val="00AD7BF4"/>
    <w:rsid w:val="00AE17B7"/>
    <w:rsid w:val="00AE261A"/>
    <w:rsid w:val="00AE380F"/>
    <w:rsid w:val="00AE47C9"/>
    <w:rsid w:val="00AE62A1"/>
    <w:rsid w:val="00AF004A"/>
    <w:rsid w:val="00AF0C8D"/>
    <w:rsid w:val="00AF1580"/>
    <w:rsid w:val="00AF180C"/>
    <w:rsid w:val="00AF574E"/>
    <w:rsid w:val="00AF5BDE"/>
    <w:rsid w:val="00AF69D2"/>
    <w:rsid w:val="00B003F6"/>
    <w:rsid w:val="00B0251E"/>
    <w:rsid w:val="00B03365"/>
    <w:rsid w:val="00B03505"/>
    <w:rsid w:val="00B049AF"/>
    <w:rsid w:val="00B075EC"/>
    <w:rsid w:val="00B12079"/>
    <w:rsid w:val="00B13FE8"/>
    <w:rsid w:val="00B16A43"/>
    <w:rsid w:val="00B201E7"/>
    <w:rsid w:val="00B2133A"/>
    <w:rsid w:val="00B2273A"/>
    <w:rsid w:val="00B24D2E"/>
    <w:rsid w:val="00B25644"/>
    <w:rsid w:val="00B319A9"/>
    <w:rsid w:val="00B338C3"/>
    <w:rsid w:val="00B362E1"/>
    <w:rsid w:val="00B368AA"/>
    <w:rsid w:val="00B40354"/>
    <w:rsid w:val="00B45A2C"/>
    <w:rsid w:val="00B460AA"/>
    <w:rsid w:val="00B5061F"/>
    <w:rsid w:val="00B529ED"/>
    <w:rsid w:val="00B52D12"/>
    <w:rsid w:val="00B536C7"/>
    <w:rsid w:val="00B55331"/>
    <w:rsid w:val="00B564A3"/>
    <w:rsid w:val="00B602E8"/>
    <w:rsid w:val="00B65109"/>
    <w:rsid w:val="00B702B2"/>
    <w:rsid w:val="00B71EE8"/>
    <w:rsid w:val="00B7249C"/>
    <w:rsid w:val="00B730BD"/>
    <w:rsid w:val="00B75E66"/>
    <w:rsid w:val="00B86D2B"/>
    <w:rsid w:val="00B9130E"/>
    <w:rsid w:val="00B91717"/>
    <w:rsid w:val="00B91CE1"/>
    <w:rsid w:val="00B94A34"/>
    <w:rsid w:val="00B97226"/>
    <w:rsid w:val="00BA140F"/>
    <w:rsid w:val="00BA1B66"/>
    <w:rsid w:val="00BA2AA8"/>
    <w:rsid w:val="00BA4FAD"/>
    <w:rsid w:val="00BA64B5"/>
    <w:rsid w:val="00BB5794"/>
    <w:rsid w:val="00BB6404"/>
    <w:rsid w:val="00BB7F4E"/>
    <w:rsid w:val="00BC026B"/>
    <w:rsid w:val="00BC14B6"/>
    <w:rsid w:val="00BC1F59"/>
    <w:rsid w:val="00BC4C95"/>
    <w:rsid w:val="00BC64E7"/>
    <w:rsid w:val="00BD002D"/>
    <w:rsid w:val="00BD0A13"/>
    <w:rsid w:val="00BD1FDA"/>
    <w:rsid w:val="00BD3333"/>
    <w:rsid w:val="00BD3EE6"/>
    <w:rsid w:val="00BD69A3"/>
    <w:rsid w:val="00BE17CA"/>
    <w:rsid w:val="00BE2C75"/>
    <w:rsid w:val="00BE3BB0"/>
    <w:rsid w:val="00BE4297"/>
    <w:rsid w:val="00BE6E5C"/>
    <w:rsid w:val="00BF144F"/>
    <w:rsid w:val="00BF7B26"/>
    <w:rsid w:val="00C00E44"/>
    <w:rsid w:val="00C01560"/>
    <w:rsid w:val="00C023D9"/>
    <w:rsid w:val="00C0675D"/>
    <w:rsid w:val="00C07985"/>
    <w:rsid w:val="00C102F9"/>
    <w:rsid w:val="00C1560E"/>
    <w:rsid w:val="00C159BF"/>
    <w:rsid w:val="00C15C0C"/>
    <w:rsid w:val="00C17B4F"/>
    <w:rsid w:val="00C17F47"/>
    <w:rsid w:val="00C20B7B"/>
    <w:rsid w:val="00C31272"/>
    <w:rsid w:val="00C33E1D"/>
    <w:rsid w:val="00C358F4"/>
    <w:rsid w:val="00C35D7C"/>
    <w:rsid w:val="00C52658"/>
    <w:rsid w:val="00C52E92"/>
    <w:rsid w:val="00C547D4"/>
    <w:rsid w:val="00C54FEF"/>
    <w:rsid w:val="00C56B03"/>
    <w:rsid w:val="00C57843"/>
    <w:rsid w:val="00C60CC3"/>
    <w:rsid w:val="00C60D7B"/>
    <w:rsid w:val="00C6284F"/>
    <w:rsid w:val="00C666F3"/>
    <w:rsid w:val="00C6774E"/>
    <w:rsid w:val="00C75729"/>
    <w:rsid w:val="00C76006"/>
    <w:rsid w:val="00C7672A"/>
    <w:rsid w:val="00C778A9"/>
    <w:rsid w:val="00C80AED"/>
    <w:rsid w:val="00C847D1"/>
    <w:rsid w:val="00C87A89"/>
    <w:rsid w:val="00C9085E"/>
    <w:rsid w:val="00C92D0C"/>
    <w:rsid w:val="00C979D1"/>
    <w:rsid w:val="00CA0B9E"/>
    <w:rsid w:val="00CA4932"/>
    <w:rsid w:val="00CA5D17"/>
    <w:rsid w:val="00CA5E06"/>
    <w:rsid w:val="00CA6E40"/>
    <w:rsid w:val="00CA7DB5"/>
    <w:rsid w:val="00CB0E1B"/>
    <w:rsid w:val="00CB0E30"/>
    <w:rsid w:val="00CB1A70"/>
    <w:rsid w:val="00CB40E8"/>
    <w:rsid w:val="00CC077E"/>
    <w:rsid w:val="00CC07F4"/>
    <w:rsid w:val="00CC36E7"/>
    <w:rsid w:val="00CC3B78"/>
    <w:rsid w:val="00CC3CBF"/>
    <w:rsid w:val="00CC43DD"/>
    <w:rsid w:val="00CC5332"/>
    <w:rsid w:val="00CC643B"/>
    <w:rsid w:val="00CC6ED3"/>
    <w:rsid w:val="00CD1264"/>
    <w:rsid w:val="00CD2418"/>
    <w:rsid w:val="00CD3D0F"/>
    <w:rsid w:val="00CD65A7"/>
    <w:rsid w:val="00CD7A45"/>
    <w:rsid w:val="00CE12CB"/>
    <w:rsid w:val="00CE21B7"/>
    <w:rsid w:val="00CE43D2"/>
    <w:rsid w:val="00CE62AF"/>
    <w:rsid w:val="00CE6E32"/>
    <w:rsid w:val="00CE7DC0"/>
    <w:rsid w:val="00CF099A"/>
    <w:rsid w:val="00CF1869"/>
    <w:rsid w:val="00CF333F"/>
    <w:rsid w:val="00CF5138"/>
    <w:rsid w:val="00D02582"/>
    <w:rsid w:val="00D043C4"/>
    <w:rsid w:val="00D04C0A"/>
    <w:rsid w:val="00D05376"/>
    <w:rsid w:val="00D0785B"/>
    <w:rsid w:val="00D07E27"/>
    <w:rsid w:val="00D11EA4"/>
    <w:rsid w:val="00D126A0"/>
    <w:rsid w:val="00D141D1"/>
    <w:rsid w:val="00D14324"/>
    <w:rsid w:val="00D14A0E"/>
    <w:rsid w:val="00D1773F"/>
    <w:rsid w:val="00D207DB"/>
    <w:rsid w:val="00D2095E"/>
    <w:rsid w:val="00D20D46"/>
    <w:rsid w:val="00D21242"/>
    <w:rsid w:val="00D21250"/>
    <w:rsid w:val="00D21553"/>
    <w:rsid w:val="00D307EC"/>
    <w:rsid w:val="00D3261B"/>
    <w:rsid w:val="00D32A87"/>
    <w:rsid w:val="00D339FA"/>
    <w:rsid w:val="00D34F9D"/>
    <w:rsid w:val="00D35C97"/>
    <w:rsid w:val="00D35DA3"/>
    <w:rsid w:val="00D36916"/>
    <w:rsid w:val="00D441D2"/>
    <w:rsid w:val="00D44B1D"/>
    <w:rsid w:val="00D44B95"/>
    <w:rsid w:val="00D45EC9"/>
    <w:rsid w:val="00D4659D"/>
    <w:rsid w:val="00D475C2"/>
    <w:rsid w:val="00D529D8"/>
    <w:rsid w:val="00D57259"/>
    <w:rsid w:val="00D61A30"/>
    <w:rsid w:val="00D6648D"/>
    <w:rsid w:val="00D72289"/>
    <w:rsid w:val="00D76677"/>
    <w:rsid w:val="00D770B7"/>
    <w:rsid w:val="00D8291C"/>
    <w:rsid w:val="00D85C9F"/>
    <w:rsid w:val="00D90B7F"/>
    <w:rsid w:val="00D913FA"/>
    <w:rsid w:val="00D91456"/>
    <w:rsid w:val="00D91D80"/>
    <w:rsid w:val="00D91EDE"/>
    <w:rsid w:val="00D93F83"/>
    <w:rsid w:val="00D94106"/>
    <w:rsid w:val="00D95C1E"/>
    <w:rsid w:val="00D9744D"/>
    <w:rsid w:val="00D976FF"/>
    <w:rsid w:val="00DA266D"/>
    <w:rsid w:val="00DA4BBA"/>
    <w:rsid w:val="00DB01DD"/>
    <w:rsid w:val="00DB0CBD"/>
    <w:rsid w:val="00DB1B17"/>
    <w:rsid w:val="00DB1EDE"/>
    <w:rsid w:val="00DB1FD1"/>
    <w:rsid w:val="00DB2C2F"/>
    <w:rsid w:val="00DB2C5A"/>
    <w:rsid w:val="00DB3073"/>
    <w:rsid w:val="00DB348C"/>
    <w:rsid w:val="00DC0D7F"/>
    <w:rsid w:val="00DC579D"/>
    <w:rsid w:val="00DC659D"/>
    <w:rsid w:val="00DC7AC6"/>
    <w:rsid w:val="00DD52E3"/>
    <w:rsid w:val="00DD557C"/>
    <w:rsid w:val="00DD670D"/>
    <w:rsid w:val="00DD7B3F"/>
    <w:rsid w:val="00DE59DE"/>
    <w:rsid w:val="00DE63DE"/>
    <w:rsid w:val="00DE727A"/>
    <w:rsid w:val="00DF19FF"/>
    <w:rsid w:val="00DF1BBE"/>
    <w:rsid w:val="00DF292C"/>
    <w:rsid w:val="00DF59A5"/>
    <w:rsid w:val="00DF7EA5"/>
    <w:rsid w:val="00E0047E"/>
    <w:rsid w:val="00E0060B"/>
    <w:rsid w:val="00E00D3E"/>
    <w:rsid w:val="00E01676"/>
    <w:rsid w:val="00E02587"/>
    <w:rsid w:val="00E02937"/>
    <w:rsid w:val="00E05D4F"/>
    <w:rsid w:val="00E068D2"/>
    <w:rsid w:val="00E0752A"/>
    <w:rsid w:val="00E16E0B"/>
    <w:rsid w:val="00E2032A"/>
    <w:rsid w:val="00E21961"/>
    <w:rsid w:val="00E25E0E"/>
    <w:rsid w:val="00E32368"/>
    <w:rsid w:val="00E330DB"/>
    <w:rsid w:val="00E33B09"/>
    <w:rsid w:val="00E3547D"/>
    <w:rsid w:val="00E373CB"/>
    <w:rsid w:val="00E37B38"/>
    <w:rsid w:val="00E4320A"/>
    <w:rsid w:val="00E43EBD"/>
    <w:rsid w:val="00E47603"/>
    <w:rsid w:val="00E51606"/>
    <w:rsid w:val="00E51648"/>
    <w:rsid w:val="00E52195"/>
    <w:rsid w:val="00E5248C"/>
    <w:rsid w:val="00E53956"/>
    <w:rsid w:val="00E5414B"/>
    <w:rsid w:val="00E54349"/>
    <w:rsid w:val="00E558F7"/>
    <w:rsid w:val="00E600D2"/>
    <w:rsid w:val="00E6034B"/>
    <w:rsid w:val="00E61E0B"/>
    <w:rsid w:val="00E64252"/>
    <w:rsid w:val="00E666C2"/>
    <w:rsid w:val="00E66E46"/>
    <w:rsid w:val="00E67F41"/>
    <w:rsid w:val="00E7294C"/>
    <w:rsid w:val="00E74245"/>
    <w:rsid w:val="00E7453C"/>
    <w:rsid w:val="00E76099"/>
    <w:rsid w:val="00E80007"/>
    <w:rsid w:val="00E8271F"/>
    <w:rsid w:val="00E83370"/>
    <w:rsid w:val="00E83E00"/>
    <w:rsid w:val="00E84F64"/>
    <w:rsid w:val="00E858B3"/>
    <w:rsid w:val="00E85CBD"/>
    <w:rsid w:val="00E9234B"/>
    <w:rsid w:val="00E94A14"/>
    <w:rsid w:val="00E967AF"/>
    <w:rsid w:val="00EA1975"/>
    <w:rsid w:val="00EA79EF"/>
    <w:rsid w:val="00EB1B60"/>
    <w:rsid w:val="00EB1F3C"/>
    <w:rsid w:val="00EC633B"/>
    <w:rsid w:val="00ED0AB5"/>
    <w:rsid w:val="00ED3B57"/>
    <w:rsid w:val="00ED4C4A"/>
    <w:rsid w:val="00ED4C73"/>
    <w:rsid w:val="00ED7CA9"/>
    <w:rsid w:val="00EE0D0B"/>
    <w:rsid w:val="00EE2229"/>
    <w:rsid w:val="00EE2E2C"/>
    <w:rsid w:val="00EE31EE"/>
    <w:rsid w:val="00EE4F50"/>
    <w:rsid w:val="00EE62B2"/>
    <w:rsid w:val="00EF0ACA"/>
    <w:rsid w:val="00EF2C02"/>
    <w:rsid w:val="00EF42CD"/>
    <w:rsid w:val="00EF7CE0"/>
    <w:rsid w:val="00F063D7"/>
    <w:rsid w:val="00F066C9"/>
    <w:rsid w:val="00F1026E"/>
    <w:rsid w:val="00F1239C"/>
    <w:rsid w:val="00F15A31"/>
    <w:rsid w:val="00F1643B"/>
    <w:rsid w:val="00F17E29"/>
    <w:rsid w:val="00F2244A"/>
    <w:rsid w:val="00F22B42"/>
    <w:rsid w:val="00F263F2"/>
    <w:rsid w:val="00F26F8A"/>
    <w:rsid w:val="00F27EF3"/>
    <w:rsid w:val="00F300CB"/>
    <w:rsid w:val="00F31090"/>
    <w:rsid w:val="00F325D6"/>
    <w:rsid w:val="00F32875"/>
    <w:rsid w:val="00F34E3F"/>
    <w:rsid w:val="00F360A0"/>
    <w:rsid w:val="00F371F0"/>
    <w:rsid w:val="00F37DE0"/>
    <w:rsid w:val="00F4061F"/>
    <w:rsid w:val="00F41242"/>
    <w:rsid w:val="00F41718"/>
    <w:rsid w:val="00F43CF2"/>
    <w:rsid w:val="00F44885"/>
    <w:rsid w:val="00F45A25"/>
    <w:rsid w:val="00F46741"/>
    <w:rsid w:val="00F5277B"/>
    <w:rsid w:val="00F5555A"/>
    <w:rsid w:val="00F55A12"/>
    <w:rsid w:val="00F56886"/>
    <w:rsid w:val="00F615A3"/>
    <w:rsid w:val="00F6175C"/>
    <w:rsid w:val="00F624CF"/>
    <w:rsid w:val="00F6536A"/>
    <w:rsid w:val="00F728C1"/>
    <w:rsid w:val="00F73324"/>
    <w:rsid w:val="00F80226"/>
    <w:rsid w:val="00F809F7"/>
    <w:rsid w:val="00F825EF"/>
    <w:rsid w:val="00F82B9D"/>
    <w:rsid w:val="00F83284"/>
    <w:rsid w:val="00F83390"/>
    <w:rsid w:val="00F85200"/>
    <w:rsid w:val="00F855C8"/>
    <w:rsid w:val="00F85E49"/>
    <w:rsid w:val="00F85E9B"/>
    <w:rsid w:val="00F9133E"/>
    <w:rsid w:val="00F91E82"/>
    <w:rsid w:val="00F923F7"/>
    <w:rsid w:val="00F93027"/>
    <w:rsid w:val="00F93486"/>
    <w:rsid w:val="00F95AC3"/>
    <w:rsid w:val="00FA0752"/>
    <w:rsid w:val="00FA38E3"/>
    <w:rsid w:val="00FB2D7A"/>
    <w:rsid w:val="00FB3AD9"/>
    <w:rsid w:val="00FB53A7"/>
    <w:rsid w:val="00FB5552"/>
    <w:rsid w:val="00FB7A87"/>
    <w:rsid w:val="00FB7CC8"/>
    <w:rsid w:val="00FC31DB"/>
    <w:rsid w:val="00FC348A"/>
    <w:rsid w:val="00FC423D"/>
    <w:rsid w:val="00FC52D2"/>
    <w:rsid w:val="00FC651B"/>
    <w:rsid w:val="00FC7993"/>
    <w:rsid w:val="00FC7E99"/>
    <w:rsid w:val="00FD068E"/>
    <w:rsid w:val="00FD0B0E"/>
    <w:rsid w:val="00FD20DD"/>
    <w:rsid w:val="00FD384A"/>
    <w:rsid w:val="00FD3ABE"/>
    <w:rsid w:val="00FD3B94"/>
    <w:rsid w:val="00FE2B53"/>
    <w:rsid w:val="00FE2ECB"/>
    <w:rsid w:val="00FE73AF"/>
    <w:rsid w:val="00FE7CEE"/>
    <w:rsid w:val="00FF0297"/>
    <w:rsid w:val="00FF0EF9"/>
    <w:rsid w:val="00FF2D07"/>
    <w:rsid w:val="00FF2D75"/>
    <w:rsid w:val="00FF7028"/>
    <w:rsid w:val="00FF72E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915EA3B3-B810-40DB-A6C5-93D9D017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DD6"/>
    <w:pPr>
      <w:widowControl w:val="0"/>
      <w:jc w:val="both"/>
    </w:pPr>
    <w:rPr>
      <w:rFonts w:ascii="Times New Roman" w:eastAsia="宋体" w:hAnsi="Times New Roman" w:cs="Times New Roman"/>
      <w:szCs w:val="24"/>
    </w:rPr>
  </w:style>
  <w:style w:type="paragraph" w:styleId="Heading1">
    <w:name w:val="heading 1"/>
    <w:basedOn w:val="Normal"/>
    <w:next w:val="Normal"/>
    <w:link w:val="1Char"/>
    <w:qFormat/>
    <w:rsid w:val="009172ED"/>
    <w:pPr>
      <w:keepNext/>
      <w:keepLines/>
      <w:spacing w:before="120" w:after="120" w:line="360" w:lineRule="auto"/>
      <w:outlineLvl w:val="0"/>
    </w:pPr>
    <w:rPr>
      <w:rFonts w:ascii="宋体"/>
      <w:b/>
      <w:color w:val="000000"/>
      <w:kern w:val="0"/>
      <w:sz w:val="24"/>
      <w:szCs w:val="20"/>
    </w:rPr>
  </w:style>
  <w:style w:type="paragraph" w:styleId="Heading2">
    <w:name w:val="heading 2"/>
    <w:aliases w:val="2,Chapter X.X. Statement,H2,Header 2,Heading 2 CCBS,Heading 2 Hidden,Level 2 Head,h2,heading 2,l2,标题 2 Char Char"/>
    <w:basedOn w:val="Normal"/>
    <w:next w:val="Normal"/>
    <w:link w:val="2Char"/>
    <w:unhideWhenUsed/>
    <w:qFormat/>
    <w:rsid w:val="0072281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DD6"/>
    <w:pPr>
      <w:ind w:firstLine="420" w:firstLineChars="200"/>
    </w:pPr>
  </w:style>
  <w:style w:type="paragraph" w:styleId="BalloonText">
    <w:name w:val="Balloon Text"/>
    <w:basedOn w:val="Normal"/>
    <w:link w:val="Char"/>
    <w:uiPriority w:val="99"/>
    <w:semiHidden/>
    <w:unhideWhenUsed/>
    <w:rsid w:val="008C1E24"/>
    <w:rPr>
      <w:sz w:val="18"/>
      <w:szCs w:val="18"/>
    </w:rPr>
  </w:style>
  <w:style w:type="character" w:customStyle="1" w:styleId="Char">
    <w:name w:val="批注框文本 Char"/>
    <w:basedOn w:val="DefaultParagraphFont"/>
    <w:link w:val="BalloonText"/>
    <w:uiPriority w:val="99"/>
    <w:semiHidden/>
    <w:rsid w:val="008C1E24"/>
    <w:rPr>
      <w:rFonts w:ascii="Times New Roman" w:eastAsia="宋体" w:hAnsi="Times New Roman" w:cs="Times New Roman"/>
      <w:sz w:val="18"/>
      <w:szCs w:val="18"/>
    </w:rPr>
  </w:style>
  <w:style w:type="character" w:styleId="CommentReference">
    <w:name w:val="annotation reference"/>
    <w:basedOn w:val="DefaultParagraphFont"/>
    <w:uiPriority w:val="99"/>
    <w:semiHidden/>
    <w:unhideWhenUsed/>
    <w:rsid w:val="00DD557C"/>
    <w:rPr>
      <w:sz w:val="21"/>
      <w:szCs w:val="21"/>
    </w:rPr>
  </w:style>
  <w:style w:type="paragraph" w:styleId="CommentText">
    <w:name w:val="annotation text"/>
    <w:basedOn w:val="Normal"/>
    <w:link w:val="Char0"/>
    <w:uiPriority w:val="99"/>
    <w:semiHidden/>
    <w:unhideWhenUsed/>
    <w:rsid w:val="00DD557C"/>
    <w:pPr>
      <w:jc w:val="left"/>
    </w:pPr>
  </w:style>
  <w:style w:type="character" w:customStyle="1" w:styleId="Char0">
    <w:name w:val="批注文字 Char"/>
    <w:basedOn w:val="DefaultParagraphFont"/>
    <w:link w:val="CommentText"/>
    <w:uiPriority w:val="99"/>
    <w:semiHidden/>
    <w:rsid w:val="00DD557C"/>
    <w:rPr>
      <w:rFonts w:ascii="Times New Roman" w:eastAsia="宋体" w:hAnsi="Times New Roman" w:cs="Times New Roman"/>
      <w:szCs w:val="24"/>
    </w:rPr>
  </w:style>
  <w:style w:type="paragraph" w:styleId="CommentSubject">
    <w:name w:val="annotation subject"/>
    <w:basedOn w:val="CommentText"/>
    <w:next w:val="CommentText"/>
    <w:link w:val="Char1"/>
    <w:uiPriority w:val="99"/>
    <w:semiHidden/>
    <w:unhideWhenUsed/>
    <w:rsid w:val="00DD557C"/>
    <w:rPr>
      <w:b/>
      <w:bCs/>
    </w:rPr>
  </w:style>
  <w:style w:type="character" w:customStyle="1" w:styleId="Char1">
    <w:name w:val="批注主题 Char"/>
    <w:basedOn w:val="Char0"/>
    <w:link w:val="CommentSubject"/>
    <w:uiPriority w:val="99"/>
    <w:semiHidden/>
    <w:rsid w:val="00DD557C"/>
    <w:rPr>
      <w:rFonts w:ascii="Times New Roman" w:eastAsia="宋体" w:hAnsi="Times New Roman" w:cs="Times New Roman"/>
      <w:b/>
      <w:bCs/>
      <w:szCs w:val="24"/>
    </w:rPr>
  </w:style>
  <w:style w:type="paragraph" w:styleId="Header">
    <w:name w:val="header"/>
    <w:basedOn w:val="Normal"/>
    <w:link w:val="Char2"/>
    <w:uiPriority w:val="99"/>
    <w:unhideWhenUsed/>
    <w:rsid w:val="001B5AB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DefaultParagraphFont"/>
    <w:link w:val="Header"/>
    <w:uiPriority w:val="99"/>
    <w:rsid w:val="001B5AB9"/>
    <w:rPr>
      <w:rFonts w:ascii="Times New Roman" w:eastAsia="宋体" w:hAnsi="Times New Roman" w:cs="Times New Roman"/>
      <w:sz w:val="18"/>
      <w:szCs w:val="18"/>
    </w:rPr>
  </w:style>
  <w:style w:type="paragraph" w:styleId="Footer">
    <w:name w:val="footer"/>
    <w:basedOn w:val="Normal"/>
    <w:link w:val="Char3"/>
    <w:uiPriority w:val="99"/>
    <w:unhideWhenUsed/>
    <w:rsid w:val="001B5AB9"/>
    <w:pPr>
      <w:tabs>
        <w:tab w:val="center" w:pos="4153"/>
        <w:tab w:val="right" w:pos="8306"/>
      </w:tabs>
      <w:snapToGrid w:val="0"/>
      <w:jc w:val="left"/>
    </w:pPr>
    <w:rPr>
      <w:sz w:val="18"/>
      <w:szCs w:val="18"/>
    </w:rPr>
  </w:style>
  <w:style w:type="character" w:customStyle="1" w:styleId="Char3">
    <w:name w:val="页脚 Char"/>
    <w:basedOn w:val="DefaultParagraphFont"/>
    <w:link w:val="Footer"/>
    <w:uiPriority w:val="99"/>
    <w:rsid w:val="001B5AB9"/>
    <w:rPr>
      <w:rFonts w:ascii="Times New Roman" w:eastAsia="宋体" w:hAnsi="Times New Roman" w:cs="Times New Roman"/>
      <w:sz w:val="18"/>
      <w:szCs w:val="18"/>
    </w:rPr>
  </w:style>
  <w:style w:type="paragraph" w:styleId="Subtitle">
    <w:name w:val="Subtitle"/>
    <w:basedOn w:val="Normal"/>
    <w:next w:val="Normal"/>
    <w:link w:val="Char4"/>
    <w:qFormat/>
    <w:rsid w:val="003103CC"/>
    <w:pPr>
      <w:spacing w:before="240" w:after="60" w:line="312" w:lineRule="auto"/>
      <w:jc w:val="center"/>
      <w:outlineLvl w:val="1"/>
    </w:pPr>
    <w:rPr>
      <w:rFonts w:ascii="Calibri Light" w:hAnsi="Calibri Light"/>
      <w:b/>
      <w:bCs/>
      <w:kern w:val="28"/>
      <w:sz w:val="32"/>
      <w:szCs w:val="32"/>
    </w:rPr>
  </w:style>
  <w:style w:type="character" w:customStyle="1" w:styleId="Char4">
    <w:name w:val="副标题 Char"/>
    <w:basedOn w:val="DefaultParagraphFont"/>
    <w:link w:val="Subtitle"/>
    <w:rsid w:val="003103CC"/>
    <w:rPr>
      <w:rFonts w:ascii="Calibri Light" w:eastAsia="宋体" w:hAnsi="Calibri Light" w:cs="Times New Roman"/>
      <w:b/>
      <w:bCs/>
      <w:kern w:val="28"/>
      <w:sz w:val="32"/>
      <w:szCs w:val="32"/>
    </w:rPr>
  </w:style>
  <w:style w:type="paragraph" w:styleId="PlainText">
    <w:name w:val="Plain Text"/>
    <w:basedOn w:val="Normal"/>
    <w:link w:val="Char5"/>
    <w:rsid w:val="003103CC"/>
    <w:rPr>
      <w:rFonts w:ascii="宋体" w:hAnsi="Courier New" w:cs="Courier New"/>
      <w:szCs w:val="21"/>
    </w:rPr>
  </w:style>
  <w:style w:type="character" w:customStyle="1" w:styleId="Char5">
    <w:name w:val="纯文本 Char"/>
    <w:basedOn w:val="DefaultParagraphFont"/>
    <w:link w:val="PlainText"/>
    <w:rsid w:val="003103CC"/>
    <w:rPr>
      <w:rFonts w:ascii="宋体" w:eastAsia="宋体" w:hAnsi="Courier New" w:cs="Courier New"/>
      <w:szCs w:val="21"/>
    </w:rPr>
  </w:style>
  <w:style w:type="paragraph" w:styleId="Revision">
    <w:name w:val="Revision"/>
    <w:hidden/>
    <w:uiPriority w:val="99"/>
    <w:semiHidden/>
    <w:rsid w:val="008A01DB"/>
    <w:rPr>
      <w:rFonts w:ascii="Times New Roman" w:eastAsia="宋体" w:hAnsi="Times New Roman" w:cs="Times New Roman"/>
      <w:szCs w:val="24"/>
    </w:rPr>
  </w:style>
  <w:style w:type="character" w:customStyle="1" w:styleId="1Char">
    <w:name w:val="标题 1 Char"/>
    <w:basedOn w:val="DefaultParagraphFont"/>
    <w:link w:val="Heading1"/>
    <w:rsid w:val="009172ED"/>
    <w:rPr>
      <w:rFonts w:ascii="宋体" w:eastAsia="宋体" w:hAnsi="Times New Roman" w:cs="Times New Roman"/>
      <w:b/>
      <w:color w:val="000000"/>
      <w:kern w:val="0"/>
      <w:sz w:val="24"/>
      <w:szCs w:val="20"/>
    </w:rPr>
  </w:style>
  <w:style w:type="paragraph" w:styleId="NormalIndent">
    <w:name w:val="Normal Indent"/>
    <w:aliases w:val="正文非缩进,段1,特点,表正文"/>
    <w:basedOn w:val="Normal"/>
    <w:uiPriority w:val="99"/>
    <w:qFormat/>
    <w:rsid w:val="0072281E"/>
    <w:pPr>
      <w:ind w:firstLine="420" w:firstLineChars="200"/>
    </w:pPr>
  </w:style>
  <w:style w:type="character" w:customStyle="1" w:styleId="2Char">
    <w:name w:val="标题 2 Char"/>
    <w:aliases w:val="2 Char,Chapter X.X. Statement Char,H2 Char,Header 2 Char,Heading 2 CCBS Char,Heading 2 Hidden Char,Level 2 Head Char,h2 Char,heading 2 Char,l2 Char,标题 2 Char Char Char"/>
    <w:basedOn w:val="DefaultParagraphFont"/>
    <w:link w:val="Heading2"/>
    <w:rsid w:val="0072281E"/>
    <w:rPr>
      <w:rFonts w:asciiTheme="majorHAnsi" w:eastAsiaTheme="majorEastAsia" w:hAnsiTheme="majorHAnsi" w:cstheme="majorBidi"/>
      <w:b/>
      <w:bCs/>
      <w:sz w:val="32"/>
      <w:szCs w:val="32"/>
    </w:rPr>
  </w:style>
  <w:style w:type="paragraph" w:styleId="TOC1">
    <w:name w:val="toc 1"/>
    <w:basedOn w:val="Normal"/>
    <w:next w:val="Normal"/>
    <w:rsid w:val="00913D9A"/>
    <w:pPr>
      <w:tabs>
        <w:tab w:val="right" w:leader="dot" w:pos="8296"/>
      </w:tabs>
      <w:spacing w:line="360" w:lineRule="auto"/>
    </w:pPr>
    <w:rPr>
      <w:szCs w:val="20"/>
    </w:rPr>
  </w:style>
  <w:style w:type="character" w:styleId="Hyperlink">
    <w:name w:val="Hyperlink"/>
    <w:basedOn w:val="DefaultParagraphFont"/>
    <w:uiPriority w:val="99"/>
    <w:unhideWhenUsed/>
    <w:rsid w:val="00913D9A"/>
    <w:rPr>
      <w:color w:val="0563C1" w:themeColor="hyperlink"/>
      <w:u w:val="single"/>
    </w:rPr>
  </w:style>
  <w:style w:type="paragraph" w:styleId="BodyTextIndent">
    <w:name w:val="Body Text Indent"/>
    <w:basedOn w:val="Normal"/>
    <w:link w:val="Char6"/>
    <w:rsid w:val="00332C62"/>
    <w:pPr>
      <w:spacing w:line="400" w:lineRule="exact"/>
      <w:ind w:firstLine="538" w:firstLineChars="192"/>
    </w:pPr>
    <w:rPr>
      <w:rFonts w:ascii="仿宋_GB2312" w:eastAsia="仿宋_GB2312" w:hAnsi="宋体"/>
      <w:color w:val="000000"/>
      <w:sz w:val="28"/>
    </w:rPr>
  </w:style>
  <w:style w:type="character" w:customStyle="1" w:styleId="Char6">
    <w:name w:val="正文文本缩进 Char"/>
    <w:basedOn w:val="DefaultParagraphFont"/>
    <w:link w:val="BodyTextIndent"/>
    <w:rsid w:val="00332C62"/>
    <w:rPr>
      <w:rFonts w:ascii="仿宋_GB2312" w:eastAsia="仿宋_GB2312" w:hAnsi="宋体" w:cs="Times New Roman"/>
      <w:color w:val="000000"/>
      <w:sz w:val="28"/>
      <w:szCs w:val="24"/>
    </w:rPr>
  </w:style>
  <w:style w:type="character" w:customStyle="1" w:styleId="text-only">
    <w:name w:val="text-only"/>
    <w:basedOn w:val="DefaultParagraphFont"/>
    <w:rsid w:val="00D14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 Id="rId7" Type="http://schemas.microsoft.com/office/2011/relationships/people" Target="peop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11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