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6 -->
  <w:body>
    <w:p w:rsidR="008472DB" w:rsidRPr="000F7509" w:rsidP="00DA1037">
      <w:pPr>
        <w:pStyle w:val="Defaul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0F7509">
        <w:rPr>
          <w:rFonts w:asciiTheme="minorEastAsia" w:eastAsiaTheme="minorEastAsia" w:hAnsiTheme="minorEastAsia" w:hint="eastAsia"/>
          <w:b/>
          <w:sz w:val="30"/>
          <w:szCs w:val="30"/>
        </w:rPr>
        <w:t>易方达增强回报债券型证券投资基金暂停机构客户申购、转换转入及定期定额投资业务的公告</w:t>
      </w:r>
    </w:p>
    <w:p w:rsidR="00D327FA" w:rsidP="008472DB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公告送出日期：</w:t>
      </w:r>
      <w:r w:rsidR="00C046E8">
        <w:rPr>
          <w:rFonts w:asciiTheme="minorEastAsia" w:eastAsiaTheme="minorEastAsia" w:hAnsiTheme="minorEastAsia"/>
          <w:b/>
          <w:color w:val="000000"/>
          <w:sz w:val="24"/>
          <w:szCs w:val="24"/>
        </w:rPr>
        <w:t>202</w:t>
      </w:r>
      <w:r w:rsidR="0070288C">
        <w:rPr>
          <w:rFonts w:asciiTheme="minorEastAsia" w:eastAsiaTheme="minorEastAsia" w:hAnsiTheme="minorEastAsia"/>
          <w:b/>
          <w:color w:val="000000"/>
          <w:sz w:val="24"/>
          <w:szCs w:val="24"/>
        </w:rPr>
        <w:t>4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年</w:t>
      </w:r>
      <w:r w:rsidR="0070288C">
        <w:rPr>
          <w:rFonts w:asciiTheme="minorEastAsia" w:eastAsiaTheme="minorEastAsia" w:hAnsiTheme="minorEastAsia"/>
          <w:b/>
          <w:color w:val="000000"/>
          <w:sz w:val="24"/>
          <w:szCs w:val="24"/>
        </w:rPr>
        <w:t>7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月</w:t>
      </w:r>
      <w:r>
        <w:rPr>
          <w:rFonts w:asciiTheme="minorEastAsia" w:eastAsiaTheme="minorEastAsia" w:hAnsiTheme="minorEastAsia"/>
          <w:b/>
          <w:color w:val="000000"/>
          <w:sz w:val="24"/>
          <w:szCs w:val="24"/>
        </w:rPr>
        <w:t>16</w:t>
      </w:r>
      <w:r w:rsidRPr="000F7509">
        <w:rPr>
          <w:rFonts w:asciiTheme="minorEastAsia" w:eastAsiaTheme="minorEastAsia" w:hAnsiTheme="minorEastAsia"/>
          <w:b/>
          <w:color w:val="000000"/>
          <w:sz w:val="24"/>
          <w:szCs w:val="24"/>
        </w:rPr>
        <w:t>日</w:t>
      </w:r>
    </w:p>
    <w:p w:rsidR="000F7509" w:rsidRPr="000F7509" w:rsidP="008472DB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D327FA" w:rsidRPr="000F7509" w:rsidP="000F7509">
      <w:pPr>
        <w:pStyle w:val="Heading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bookmarkStart w:id="0" w:name="_Toc275961405"/>
      <w:r>
        <w:rPr>
          <w:rFonts w:ascii="宋体" w:hAnsi="宋体"/>
          <w:bCs w:val="0"/>
          <w:sz w:val="24"/>
          <w:szCs w:val="24"/>
        </w:rPr>
        <w:t>1</w:t>
      </w:r>
      <w:r>
        <w:rPr>
          <w:rFonts w:ascii="宋体" w:hAnsi="宋体" w:hint="eastAsia"/>
          <w:bCs w:val="0"/>
          <w:sz w:val="24"/>
          <w:szCs w:val="24"/>
        </w:rPr>
        <w:t>.</w:t>
      </w:r>
      <w:r w:rsidRPr="000F7509">
        <w:rPr>
          <w:rFonts w:ascii="宋体" w:hAnsi="宋体"/>
          <w:bCs w:val="0"/>
          <w:sz w:val="24"/>
          <w:szCs w:val="24"/>
        </w:rPr>
        <w:t>公告基本信息</w:t>
      </w:r>
      <w:bookmarkEnd w:id="0"/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4"/>
        <w:gridCol w:w="2268"/>
        <w:gridCol w:w="2268"/>
        <w:gridCol w:w="2328"/>
      </w:tblGrid>
      <w:tr w:rsidTr="00763886">
        <w:tblPrEx>
          <w:tblW w:w="910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2244" w:type="dxa"/>
          </w:tcPr>
          <w:p w:rsidR="00AF6DB9" w:rsidRPr="000F7509" w:rsidP="00AF6DB9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基金名称</w:t>
            </w:r>
          </w:p>
        </w:tc>
        <w:tc>
          <w:tcPr>
            <w:tcW w:w="6864" w:type="dxa"/>
            <w:gridSpan w:val="3"/>
          </w:tcPr>
          <w:p w:rsidR="00AF6DB9" w:rsidRPr="000F7509" w:rsidP="00AF6DB9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易方达增强回报债券型证券投资基金</w:t>
            </w:r>
          </w:p>
        </w:tc>
      </w:tr>
      <w:tr w:rsidTr="00B34509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2244" w:type="dxa"/>
          </w:tcPr>
          <w:p w:rsidR="00AF6DB9" w:rsidRPr="000F7509" w:rsidP="00AF6DB9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基金简称</w:t>
            </w:r>
          </w:p>
        </w:tc>
        <w:tc>
          <w:tcPr>
            <w:tcW w:w="6864" w:type="dxa"/>
            <w:gridSpan w:val="3"/>
          </w:tcPr>
          <w:p w:rsidR="00AF6DB9" w:rsidRPr="000F7509" w:rsidP="00AF6DB9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易方达增强回报债券</w:t>
            </w:r>
          </w:p>
        </w:tc>
      </w:tr>
      <w:tr w:rsidTr="0021790E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2244" w:type="dxa"/>
            <w:vAlign w:val="center"/>
          </w:tcPr>
          <w:p w:rsidR="00AF6DB9" w:rsidRPr="000F7509" w:rsidP="00AF6DB9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基金主代码</w:t>
            </w:r>
          </w:p>
        </w:tc>
        <w:tc>
          <w:tcPr>
            <w:tcW w:w="6864" w:type="dxa"/>
            <w:gridSpan w:val="3"/>
            <w:vAlign w:val="center"/>
          </w:tcPr>
          <w:p w:rsidR="00AF6DB9" w:rsidRPr="000F7509" w:rsidP="00AF6DB9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110017</w:t>
            </w:r>
          </w:p>
        </w:tc>
      </w:tr>
      <w:tr w:rsidTr="007F38CD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2244" w:type="dxa"/>
          </w:tcPr>
          <w:p w:rsidR="00AF6DB9" w:rsidRPr="000F7509" w:rsidP="00AF6DB9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基金管理人名称</w:t>
            </w:r>
          </w:p>
        </w:tc>
        <w:tc>
          <w:tcPr>
            <w:tcW w:w="6864" w:type="dxa"/>
            <w:gridSpan w:val="3"/>
          </w:tcPr>
          <w:p w:rsidR="00AF6DB9" w:rsidRPr="000F7509" w:rsidP="00AF6DB9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易方达基金管理有限公司</w:t>
            </w:r>
          </w:p>
        </w:tc>
      </w:tr>
      <w:tr w:rsidTr="00F63BCA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2244" w:type="dxa"/>
          </w:tcPr>
          <w:p w:rsidR="00AF6DB9" w:rsidRPr="000F7509" w:rsidP="00AF6DB9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公告依据</w:t>
            </w:r>
          </w:p>
        </w:tc>
        <w:tc>
          <w:tcPr>
            <w:tcW w:w="6864" w:type="dxa"/>
            <w:gridSpan w:val="3"/>
          </w:tcPr>
          <w:p w:rsidR="00AF6DB9" w:rsidRPr="000F7509" w:rsidP="00AF6DB9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《易方达增强回报债券型证券投资基金基金合同》</w:t>
            </w:r>
            <w:r w:rsidRPr="000F7509">
              <w:rPr>
                <w:rFonts w:eastAsia="宋体"/>
                <w:sz w:val="24"/>
                <w:szCs w:val="24"/>
              </w:rPr>
              <w:t>《易方达增强回报债券型证券投资基金更新的招募说明书》</w:t>
            </w:r>
          </w:p>
        </w:tc>
      </w:tr>
      <w:tr w:rsidTr="00FA1E5C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2244" w:type="dxa"/>
            <w:vMerge w:val="restart"/>
            <w:vAlign w:val="center"/>
          </w:tcPr>
          <w:p w:rsidR="00FA1E5C" w:rsidRPr="000F7509" w:rsidP="00524AC7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暂停相关业务的起始日及原因说明</w:t>
            </w:r>
          </w:p>
        </w:tc>
        <w:tc>
          <w:tcPr>
            <w:tcW w:w="2268" w:type="dxa"/>
          </w:tcPr>
          <w:p w:rsidR="00FA1E5C" w:rsidRPr="000F750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暂停申购起始日</w:t>
            </w:r>
          </w:p>
        </w:tc>
        <w:tc>
          <w:tcPr>
            <w:tcW w:w="4596" w:type="dxa"/>
            <w:gridSpan w:val="2"/>
            <w:vAlign w:val="center"/>
          </w:tcPr>
          <w:p w:rsidR="00FA1E5C" w:rsidRPr="000F7509" w:rsidP="001D4FE9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202</w:t>
            </w:r>
            <w:r w:rsidR="0070288C">
              <w:rPr>
                <w:rFonts w:eastAsia="宋体"/>
                <w:sz w:val="24"/>
                <w:szCs w:val="24"/>
              </w:rPr>
              <w:t>4</w:t>
            </w:r>
            <w:r w:rsidRPr="000F7509">
              <w:rPr>
                <w:rFonts w:eastAsia="宋体" w:hint="eastAsia"/>
                <w:sz w:val="24"/>
                <w:szCs w:val="24"/>
              </w:rPr>
              <w:t>年</w:t>
            </w:r>
            <w:r w:rsidR="0070288C">
              <w:rPr>
                <w:rFonts w:eastAsia="宋体"/>
                <w:sz w:val="24"/>
                <w:szCs w:val="24"/>
              </w:rPr>
              <w:t>7</w:t>
            </w:r>
            <w:r w:rsidRPr="000F7509">
              <w:rPr>
                <w:rFonts w:eastAsia="宋体" w:hint="eastAsia"/>
                <w:sz w:val="24"/>
                <w:szCs w:val="24"/>
              </w:rPr>
              <w:t>月</w:t>
            </w:r>
            <w:r w:rsidR="0070288C">
              <w:rPr>
                <w:rFonts w:eastAsia="宋体"/>
                <w:sz w:val="24"/>
                <w:szCs w:val="24"/>
              </w:rPr>
              <w:t>16</w:t>
            </w:r>
            <w:r w:rsidRPr="000F7509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Tr="00FA1E5C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2244" w:type="dxa"/>
            <w:vMerge/>
          </w:tcPr>
          <w:p w:rsidR="0070288C" w:rsidRPr="000F7509" w:rsidP="0070288C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288C" w:rsidRPr="000F7509" w:rsidP="0070288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暂停转换转入起始日</w:t>
            </w:r>
          </w:p>
        </w:tc>
        <w:tc>
          <w:tcPr>
            <w:tcW w:w="4596" w:type="dxa"/>
            <w:gridSpan w:val="2"/>
            <w:vAlign w:val="center"/>
          </w:tcPr>
          <w:p w:rsidR="0070288C" w:rsidRPr="000F7509" w:rsidP="0070288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202</w:t>
            </w:r>
            <w:r>
              <w:rPr>
                <w:rFonts w:eastAsia="宋体"/>
                <w:sz w:val="24"/>
                <w:szCs w:val="24"/>
              </w:rPr>
              <w:t>4</w:t>
            </w:r>
            <w:r w:rsidRPr="000F7509"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>7</w:t>
            </w:r>
            <w:r w:rsidRPr="000F7509"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>16</w:t>
            </w:r>
            <w:r w:rsidRPr="000F7509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Tr="00FA1E5C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2244" w:type="dxa"/>
            <w:vMerge/>
          </w:tcPr>
          <w:p w:rsidR="0070288C" w:rsidRPr="000F7509" w:rsidP="0070288C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288C" w:rsidRPr="000F7509" w:rsidP="0070288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暂停</w:t>
            </w:r>
            <w:r>
              <w:rPr>
                <w:rFonts w:eastAsia="宋体" w:hint="eastAsia"/>
                <w:sz w:val="24"/>
                <w:szCs w:val="24"/>
              </w:rPr>
              <w:t>定期</w:t>
            </w:r>
            <w:r>
              <w:rPr>
                <w:rFonts w:eastAsia="宋体"/>
                <w:sz w:val="24"/>
                <w:szCs w:val="24"/>
              </w:rPr>
              <w:t>定额</w:t>
            </w:r>
            <w:r>
              <w:rPr>
                <w:rFonts w:eastAsia="宋体" w:hint="eastAsia"/>
                <w:sz w:val="24"/>
                <w:szCs w:val="24"/>
              </w:rPr>
              <w:t>投资</w:t>
            </w:r>
            <w:r w:rsidRPr="000F7509">
              <w:rPr>
                <w:rFonts w:eastAsia="宋体"/>
                <w:sz w:val="24"/>
                <w:szCs w:val="24"/>
              </w:rPr>
              <w:t>起始日</w:t>
            </w:r>
          </w:p>
        </w:tc>
        <w:tc>
          <w:tcPr>
            <w:tcW w:w="4596" w:type="dxa"/>
            <w:gridSpan w:val="2"/>
            <w:vAlign w:val="center"/>
          </w:tcPr>
          <w:p w:rsidR="0070288C" w:rsidRPr="000F7509" w:rsidP="0070288C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202</w:t>
            </w:r>
            <w:r>
              <w:rPr>
                <w:rFonts w:eastAsia="宋体"/>
                <w:sz w:val="24"/>
                <w:szCs w:val="24"/>
              </w:rPr>
              <w:t>4</w:t>
            </w:r>
            <w:r w:rsidRPr="000F7509"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>7</w:t>
            </w:r>
            <w:r w:rsidRPr="000F7509"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>16</w:t>
            </w:r>
            <w:r w:rsidRPr="000F7509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Tr="00FA1E5C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2244" w:type="dxa"/>
            <w:vMerge/>
          </w:tcPr>
          <w:p w:rsidR="00FA1E5C" w:rsidRPr="000F7509" w:rsidP="00FA1E5C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1E5C" w:rsidRPr="000F7509" w:rsidP="00FD3AB0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暂停</w:t>
            </w:r>
            <w:r w:rsidRPr="000F7509">
              <w:rPr>
                <w:rFonts w:eastAsia="宋体"/>
                <w:sz w:val="24"/>
                <w:szCs w:val="24"/>
              </w:rPr>
              <w:t>申购</w:t>
            </w:r>
            <w:r>
              <w:rPr>
                <w:rFonts w:eastAsia="宋体"/>
                <w:sz w:val="24"/>
                <w:szCs w:val="24"/>
              </w:rPr>
              <w:t>、</w:t>
            </w:r>
            <w:r w:rsidRPr="000F7509">
              <w:rPr>
                <w:rFonts w:eastAsia="宋体"/>
                <w:sz w:val="24"/>
                <w:szCs w:val="24"/>
              </w:rPr>
              <w:t>转换转入</w:t>
            </w:r>
            <w:r w:rsidR="006B7DCB">
              <w:rPr>
                <w:rFonts w:eastAsia="宋体" w:hint="eastAsia"/>
                <w:sz w:val="24"/>
                <w:szCs w:val="24"/>
              </w:rPr>
              <w:t>、</w:t>
            </w:r>
            <w:r w:rsidR="006B7DCB">
              <w:rPr>
                <w:rFonts w:eastAsia="宋体"/>
                <w:sz w:val="24"/>
                <w:szCs w:val="24"/>
              </w:rPr>
              <w:t>定期定额</w:t>
            </w:r>
            <w:r w:rsidR="006B7DCB">
              <w:rPr>
                <w:rFonts w:eastAsia="宋体" w:hint="eastAsia"/>
                <w:sz w:val="24"/>
                <w:szCs w:val="24"/>
              </w:rPr>
              <w:t>投资</w:t>
            </w:r>
            <w:r w:rsidRPr="000F7509">
              <w:rPr>
                <w:rFonts w:eastAsia="宋体"/>
                <w:sz w:val="24"/>
                <w:szCs w:val="24"/>
              </w:rPr>
              <w:t>的原因说明</w:t>
            </w:r>
          </w:p>
        </w:tc>
        <w:tc>
          <w:tcPr>
            <w:tcW w:w="4596" w:type="dxa"/>
            <w:gridSpan w:val="2"/>
          </w:tcPr>
          <w:p w:rsidR="00FA1E5C" w:rsidRPr="000F750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为了基金的平稳运作，保护基金份额持有人利益</w:t>
            </w:r>
          </w:p>
        </w:tc>
      </w:tr>
      <w:tr w:rsidTr="00FA1E5C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4512" w:type="dxa"/>
            <w:gridSpan w:val="2"/>
            <w:vAlign w:val="center"/>
          </w:tcPr>
          <w:p w:rsidR="00AF6DB9" w:rsidRPr="000F7509" w:rsidP="00AF6DB9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下属分级基金的基金简称</w:t>
            </w:r>
          </w:p>
        </w:tc>
        <w:tc>
          <w:tcPr>
            <w:tcW w:w="2268" w:type="dxa"/>
            <w:vAlign w:val="center"/>
          </w:tcPr>
          <w:p w:rsidR="00AF6DB9" w:rsidRPr="000F7509" w:rsidP="00AF6DB9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易方达增强回报债券</w:t>
            </w:r>
            <w:r w:rsidRPr="000F7509">
              <w:rPr>
                <w:rFonts w:eastAsia="宋体"/>
                <w:sz w:val="24"/>
                <w:szCs w:val="24"/>
              </w:rPr>
              <w:t>A</w:t>
            </w:r>
          </w:p>
        </w:tc>
        <w:tc>
          <w:tcPr>
            <w:tcW w:w="2328" w:type="dxa"/>
            <w:vAlign w:val="center"/>
          </w:tcPr>
          <w:p w:rsidR="00AF6DB9" w:rsidRPr="000F7509" w:rsidP="00AF6DB9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易方达增强回报债券</w:t>
            </w:r>
            <w:r w:rsidRPr="000F7509">
              <w:rPr>
                <w:rFonts w:eastAsia="宋体"/>
                <w:sz w:val="24"/>
                <w:szCs w:val="24"/>
              </w:rPr>
              <w:t>B</w:t>
            </w:r>
          </w:p>
        </w:tc>
      </w:tr>
      <w:tr w:rsidTr="00FA1E5C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4512" w:type="dxa"/>
            <w:gridSpan w:val="2"/>
            <w:vAlign w:val="center"/>
          </w:tcPr>
          <w:p w:rsidR="00AF6DB9" w:rsidRPr="000F7509" w:rsidP="00AF6DB9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下属分级基金的交易代码</w:t>
            </w:r>
          </w:p>
        </w:tc>
        <w:tc>
          <w:tcPr>
            <w:tcW w:w="2268" w:type="dxa"/>
            <w:vAlign w:val="center"/>
          </w:tcPr>
          <w:p w:rsidR="00AF6DB9" w:rsidRPr="000F7509" w:rsidP="00AF6DB9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110017</w:t>
            </w:r>
          </w:p>
        </w:tc>
        <w:tc>
          <w:tcPr>
            <w:tcW w:w="2328" w:type="dxa"/>
            <w:vAlign w:val="center"/>
          </w:tcPr>
          <w:p w:rsidR="00AF6DB9" w:rsidRPr="000F7509" w:rsidP="00AF6DB9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110018</w:t>
            </w:r>
          </w:p>
        </w:tc>
      </w:tr>
      <w:tr w:rsidTr="00FA1E5C">
        <w:tblPrEx>
          <w:tblW w:w="9108" w:type="dxa"/>
          <w:jc w:val="center"/>
          <w:tblLayout w:type="fixed"/>
          <w:tblLook w:val="0000"/>
        </w:tblPrEx>
        <w:trPr>
          <w:jc w:val="center"/>
        </w:trPr>
        <w:tc>
          <w:tcPr>
            <w:tcW w:w="4512" w:type="dxa"/>
            <w:gridSpan w:val="2"/>
          </w:tcPr>
          <w:p w:rsidR="00BA6967" w:rsidRPr="000F7509" w:rsidP="00524AC7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该分级基金是否暂停申购</w:t>
            </w:r>
            <w:r w:rsidR="00A53731">
              <w:rPr>
                <w:rFonts w:eastAsia="宋体"/>
                <w:sz w:val="24"/>
                <w:szCs w:val="24"/>
              </w:rPr>
              <w:t>、</w:t>
            </w:r>
            <w:r w:rsidR="00366FB3">
              <w:rPr>
                <w:rFonts w:eastAsia="宋体"/>
                <w:sz w:val="24"/>
                <w:szCs w:val="24"/>
              </w:rPr>
              <w:t>转换转入</w:t>
            </w:r>
            <w:r w:rsidRPr="00524AC7" w:rsidR="00524AC7">
              <w:rPr>
                <w:rFonts w:eastAsia="宋体" w:hint="eastAsia"/>
                <w:sz w:val="24"/>
                <w:szCs w:val="24"/>
              </w:rPr>
              <w:t>、定期定额投资</w:t>
            </w:r>
          </w:p>
        </w:tc>
        <w:tc>
          <w:tcPr>
            <w:tcW w:w="2268" w:type="dxa"/>
            <w:vAlign w:val="center"/>
          </w:tcPr>
          <w:p w:rsidR="00BA6967" w:rsidRPr="000F750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是</w:t>
            </w:r>
          </w:p>
        </w:tc>
        <w:tc>
          <w:tcPr>
            <w:tcW w:w="2328" w:type="dxa"/>
            <w:vAlign w:val="center"/>
          </w:tcPr>
          <w:p w:rsidR="00BA6967" w:rsidRPr="000F7509" w:rsidP="00FA1E5C">
            <w:pPr>
              <w:rPr>
                <w:rFonts w:eastAsia="宋体"/>
                <w:sz w:val="24"/>
                <w:szCs w:val="24"/>
              </w:rPr>
            </w:pPr>
            <w:r w:rsidRPr="000F7509">
              <w:rPr>
                <w:rFonts w:eastAsia="宋体"/>
                <w:sz w:val="24"/>
                <w:szCs w:val="24"/>
              </w:rPr>
              <w:t>是</w:t>
            </w:r>
          </w:p>
        </w:tc>
      </w:tr>
    </w:tbl>
    <w:p w:rsidR="00F67C94" w:rsidRPr="000F7509" w:rsidP="00F67C94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注：</w:t>
      </w:r>
      <w:r w:rsidRPr="00366FB3" w:rsid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根据法律法规和基金合同的相关规定，易方达基金管理有限公司（以下简称</w:t>
      </w:r>
      <w:r w:rsidRPr="00366FB3" w:rsidR="00366FB3">
        <w:rPr>
          <w:rFonts w:asciiTheme="minorEastAsia" w:eastAsiaTheme="minorEastAsia" w:hAnsiTheme="minorEastAsia"/>
          <w:color w:val="000000"/>
          <w:sz w:val="24"/>
          <w:szCs w:val="24"/>
        </w:rPr>
        <w:t>“</w:t>
      </w:r>
      <w:r w:rsidRPr="00366FB3" w:rsid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本公司</w:t>
      </w:r>
      <w:r w:rsidRPr="00366FB3" w:rsidR="00366FB3">
        <w:rPr>
          <w:rFonts w:asciiTheme="minorEastAsia" w:eastAsiaTheme="minorEastAsia" w:hAnsiTheme="minorEastAsia"/>
          <w:color w:val="000000"/>
          <w:sz w:val="24"/>
          <w:szCs w:val="24"/>
        </w:rPr>
        <w:t>”</w:t>
      </w:r>
      <w:r w:rsidRPr="00366FB3" w:rsid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）决定自</w:t>
      </w:r>
      <w:r w:rsidR="0070288C">
        <w:rPr>
          <w:rFonts w:asciiTheme="minorEastAsia" w:eastAsiaTheme="minorEastAsia" w:hAnsiTheme="minorEastAsia"/>
          <w:color w:val="000000"/>
          <w:sz w:val="24"/>
          <w:szCs w:val="24"/>
        </w:rPr>
        <w:t>2024</w:t>
      </w:r>
      <w:r w:rsidRPr="00366FB3" w:rsid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年</w:t>
      </w:r>
      <w:r w:rsidR="0070288C">
        <w:rPr>
          <w:rFonts w:asciiTheme="minorEastAsia" w:eastAsiaTheme="minorEastAsia" w:hAnsiTheme="minorEastAsia" w:hint="eastAsia"/>
          <w:color w:val="000000"/>
          <w:sz w:val="24"/>
          <w:szCs w:val="24"/>
        </w:rPr>
        <w:t>7</w:t>
      </w:r>
      <w:r w:rsidRPr="00366FB3" w:rsid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月</w:t>
      </w:r>
      <w:r w:rsidR="0070288C">
        <w:rPr>
          <w:rFonts w:asciiTheme="minorEastAsia" w:eastAsiaTheme="minorEastAsia" w:hAnsiTheme="minorEastAsia"/>
          <w:color w:val="000000"/>
          <w:sz w:val="24"/>
          <w:szCs w:val="24"/>
        </w:rPr>
        <w:t>16</w:t>
      </w:r>
      <w:r w:rsidRPr="00366FB3" w:rsidR="00366FB3">
        <w:rPr>
          <w:rFonts w:asciiTheme="minorEastAsia" w:eastAsiaTheme="minorEastAsia" w:hAnsiTheme="minorEastAsia" w:hint="eastAsia"/>
          <w:color w:val="000000"/>
          <w:sz w:val="24"/>
          <w:szCs w:val="24"/>
        </w:rPr>
        <w:t>日起</w:t>
      </w: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暂停易方达增强回报债券型证券投资基金</w:t>
      </w: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A</w:t>
      </w: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类基金份额、</w:t>
      </w: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B</w:t>
      </w: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类基金份额机构客户</w:t>
      </w:r>
      <w:r w:rsidR="001D0D24">
        <w:rPr>
          <w:rFonts w:asciiTheme="minorEastAsia" w:eastAsiaTheme="minorEastAsia" w:hAnsiTheme="minorEastAsia"/>
          <w:color w:val="000000"/>
          <w:sz w:val="24"/>
          <w:szCs w:val="24"/>
        </w:rPr>
        <w:t>在全部销售机构</w:t>
      </w: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的申购、转换转入和定期定额投资业务，恢复办理机构客户申购、转换转入和定期定额投资业务的具体时间将另行公告。</w:t>
      </w:r>
    </w:p>
    <w:p w:rsidR="000F7509" w:rsidRPr="0036784E" w:rsidP="00D327FA">
      <w:pPr>
        <w:spacing w:line="560" w:lineRule="exact"/>
        <w:rPr>
          <w:rFonts w:asciiTheme="minorEastAsia" w:eastAsiaTheme="minorEastAsia" w:hAnsiTheme="minorEastAsia"/>
          <w:sz w:val="21"/>
          <w:szCs w:val="21"/>
        </w:rPr>
      </w:pPr>
    </w:p>
    <w:p w:rsidR="00D327FA" w:rsidRPr="000F7509" w:rsidP="000F7509">
      <w:pPr>
        <w:pStyle w:val="Heading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bookmarkStart w:id="1" w:name="_Toc275961406"/>
      <w:r w:rsidRPr="000F7509">
        <w:rPr>
          <w:rFonts w:ascii="宋体" w:hAnsi="宋体"/>
          <w:bCs w:val="0"/>
          <w:sz w:val="24"/>
          <w:szCs w:val="24"/>
        </w:rPr>
        <w:t>2</w:t>
      </w:r>
      <w:r w:rsidR="000F7509">
        <w:rPr>
          <w:rFonts w:ascii="宋体" w:hAnsi="宋体" w:hint="eastAsia"/>
          <w:bCs w:val="0"/>
          <w:sz w:val="24"/>
          <w:szCs w:val="24"/>
        </w:rPr>
        <w:t>.</w:t>
      </w:r>
      <w:r w:rsidRPr="000F7509">
        <w:rPr>
          <w:rFonts w:ascii="宋体" w:hAnsi="宋体"/>
          <w:bCs w:val="0"/>
          <w:sz w:val="24"/>
          <w:szCs w:val="24"/>
        </w:rPr>
        <w:t>其他需要提示的事项</w:t>
      </w:r>
      <w:bookmarkEnd w:id="1"/>
    </w:p>
    <w:p w:rsidR="0070288C" w:rsidP="0070288C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投资者可通过本基金各销售机构及以下途径咨询有关详情：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</w:p>
    <w:p w:rsidR="0070288C" w:rsidP="0070288C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（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1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）易方达基金管理有限公司网站：</w:t>
      </w:r>
      <w:hyperlink r:id="rId4" w:history="1">
        <w:r w:rsidRPr="00746D00">
          <w:rPr>
            <w:rStyle w:val="Hyperlink"/>
            <w:rFonts w:asciiTheme="minorEastAsia" w:eastAsiaTheme="minorEastAsia" w:hAnsiTheme="minorEastAsia"/>
            <w:sz w:val="24"/>
            <w:szCs w:val="24"/>
          </w:rPr>
          <w:t>www.efunds.com.cn</w:t>
        </w:r>
      </w:hyperlink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；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</w:p>
    <w:p w:rsidR="0070288C" w:rsidP="0070288C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（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2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）易方达基金管理有限公司客户服务热线：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400 881 8088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。</w:t>
      </w: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 xml:space="preserve"> </w:t>
      </w:r>
    </w:p>
    <w:p w:rsidR="0070288C" w:rsidP="0070288C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897A2D">
        <w:rPr>
          <w:rFonts w:asciiTheme="minorEastAsia" w:eastAsiaTheme="minorEastAsia" w:hAnsiTheme="minorEastAsia"/>
          <w:color w:val="000000"/>
          <w:sz w:val="24"/>
          <w:szCs w:val="24"/>
        </w:rPr>
        <w:t>特此公告。</w:t>
      </w:r>
    </w:p>
    <w:p w:rsidR="0070288C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385C33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              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易方达基金管理有限公司</w:t>
      </w:r>
    </w:p>
    <w:p w:rsidR="00D327FA" w:rsidRPr="000F7509" w:rsidP="000F7509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</w:t>
      </w:r>
      <w:r w:rsidR="0070288C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2024</w:t>
      </w: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年</w:t>
      </w:r>
      <w:r w:rsidR="0070288C">
        <w:rPr>
          <w:rFonts w:asciiTheme="minorEastAsia" w:eastAsiaTheme="minorEastAsia" w:hAnsiTheme="minorEastAsia"/>
          <w:color w:val="000000"/>
          <w:sz w:val="24"/>
          <w:szCs w:val="24"/>
        </w:rPr>
        <w:t>7</w:t>
      </w:r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月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16</w:t>
      </w:r>
      <w:bookmarkStart w:id="2" w:name="_GoBack"/>
      <w:bookmarkEnd w:id="2"/>
      <w:r w:rsidRPr="000F7509">
        <w:rPr>
          <w:rFonts w:asciiTheme="minorEastAsia" w:eastAsiaTheme="minorEastAsia" w:hAnsiTheme="minorEastAsia"/>
          <w:color w:val="000000"/>
          <w:sz w:val="24"/>
          <w:szCs w:val="24"/>
        </w:rPr>
        <w:t>日</w:t>
      </w:r>
    </w:p>
    <w:p w:rsidR="00364C2A"/>
    <w:sectPr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D327FA"/>
    <w:rsid w:val="00012E55"/>
    <w:rsid w:val="00020378"/>
    <w:rsid w:val="00041353"/>
    <w:rsid w:val="00083627"/>
    <w:rsid w:val="000912A5"/>
    <w:rsid w:val="000B00CF"/>
    <w:rsid w:val="000E4CBF"/>
    <w:rsid w:val="000F2A7E"/>
    <w:rsid w:val="000F7509"/>
    <w:rsid w:val="001169BB"/>
    <w:rsid w:val="00180DA3"/>
    <w:rsid w:val="001B4F9F"/>
    <w:rsid w:val="001D0D24"/>
    <w:rsid w:val="001D4FE9"/>
    <w:rsid w:val="00214951"/>
    <w:rsid w:val="00245724"/>
    <w:rsid w:val="00254D16"/>
    <w:rsid w:val="002935EF"/>
    <w:rsid w:val="00297148"/>
    <w:rsid w:val="002C49A6"/>
    <w:rsid w:val="002F4156"/>
    <w:rsid w:val="002F7241"/>
    <w:rsid w:val="00327DA7"/>
    <w:rsid w:val="0033513C"/>
    <w:rsid w:val="00364C2A"/>
    <w:rsid w:val="00366FB3"/>
    <w:rsid w:val="0036784E"/>
    <w:rsid w:val="00385C33"/>
    <w:rsid w:val="003D4F2A"/>
    <w:rsid w:val="00443EBF"/>
    <w:rsid w:val="004966BA"/>
    <w:rsid w:val="004A1EE7"/>
    <w:rsid w:val="004B147D"/>
    <w:rsid w:val="004D6346"/>
    <w:rsid w:val="004F0521"/>
    <w:rsid w:val="004F51E8"/>
    <w:rsid w:val="00510615"/>
    <w:rsid w:val="00524AC7"/>
    <w:rsid w:val="00551213"/>
    <w:rsid w:val="00564298"/>
    <w:rsid w:val="005B490D"/>
    <w:rsid w:val="005B7F1C"/>
    <w:rsid w:val="005D09DC"/>
    <w:rsid w:val="005D7F05"/>
    <w:rsid w:val="00646522"/>
    <w:rsid w:val="0066120F"/>
    <w:rsid w:val="006B7DCB"/>
    <w:rsid w:val="0070288C"/>
    <w:rsid w:val="00717BD4"/>
    <w:rsid w:val="00746D00"/>
    <w:rsid w:val="00770DB7"/>
    <w:rsid w:val="007B1D31"/>
    <w:rsid w:val="00801733"/>
    <w:rsid w:val="00827D4A"/>
    <w:rsid w:val="0083445C"/>
    <w:rsid w:val="00841AFE"/>
    <w:rsid w:val="00844AD4"/>
    <w:rsid w:val="008472DB"/>
    <w:rsid w:val="00864C8C"/>
    <w:rsid w:val="0087684F"/>
    <w:rsid w:val="00897A2D"/>
    <w:rsid w:val="008A147C"/>
    <w:rsid w:val="008A677B"/>
    <w:rsid w:val="008D3261"/>
    <w:rsid w:val="008F029A"/>
    <w:rsid w:val="008F225D"/>
    <w:rsid w:val="00934D7A"/>
    <w:rsid w:val="00945440"/>
    <w:rsid w:val="00955F07"/>
    <w:rsid w:val="00956B0F"/>
    <w:rsid w:val="009C5858"/>
    <w:rsid w:val="009D1A2F"/>
    <w:rsid w:val="009F5CCD"/>
    <w:rsid w:val="00A516C4"/>
    <w:rsid w:val="00A53731"/>
    <w:rsid w:val="00AF6DB9"/>
    <w:rsid w:val="00B101F7"/>
    <w:rsid w:val="00B5053A"/>
    <w:rsid w:val="00BA6967"/>
    <w:rsid w:val="00BC4C23"/>
    <w:rsid w:val="00BD601B"/>
    <w:rsid w:val="00BD6D93"/>
    <w:rsid w:val="00C046E8"/>
    <w:rsid w:val="00C7571F"/>
    <w:rsid w:val="00D114B7"/>
    <w:rsid w:val="00D327FA"/>
    <w:rsid w:val="00D33E60"/>
    <w:rsid w:val="00DA1037"/>
    <w:rsid w:val="00DB4D5E"/>
    <w:rsid w:val="00DD7C4B"/>
    <w:rsid w:val="00E17678"/>
    <w:rsid w:val="00E3657D"/>
    <w:rsid w:val="00E72255"/>
    <w:rsid w:val="00E8550B"/>
    <w:rsid w:val="00EE1823"/>
    <w:rsid w:val="00F5252D"/>
    <w:rsid w:val="00F56CEF"/>
    <w:rsid w:val="00F64447"/>
    <w:rsid w:val="00F67C94"/>
    <w:rsid w:val="00F95610"/>
    <w:rsid w:val="00FA1E5C"/>
    <w:rsid w:val="00FD3AB0"/>
    <w:rsid w:val="00FD742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5D033A-6455-4804-94E3-E24CCB80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Heading1">
    <w:name w:val="heading 1"/>
    <w:basedOn w:val="Normal"/>
    <w:next w:val="Normal"/>
    <w:link w:val="1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2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Heading3">
    <w:name w:val="heading 3"/>
    <w:basedOn w:val="Normal"/>
    <w:next w:val="Normal"/>
    <w:link w:val="3"/>
    <w:qFormat/>
    <w:rsid w:val="000F7509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basedOn w:val="DefaultParagraphFont"/>
    <w:link w:val="Heading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">
    <w:name w:val="标题 2 字符"/>
    <w:basedOn w:val="DefaultParagraphFont"/>
    <w:link w:val="Heading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FootnoteReference">
    <w:name w:val="footnote reference"/>
    <w:basedOn w:val="DefaultParagraphFont"/>
    <w:rsid w:val="00D327FA"/>
    <w:rPr>
      <w:vertAlign w:val="superscript"/>
    </w:rPr>
  </w:style>
  <w:style w:type="paragraph" w:styleId="FootnoteText">
    <w:name w:val="footnote text"/>
    <w:basedOn w:val="Normal"/>
    <w:link w:val="a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">
    <w:name w:val="脚注文本 字符"/>
    <w:basedOn w:val="DefaultParagraphFont"/>
    <w:link w:val="FootnoteText"/>
    <w:rsid w:val="00D327FA"/>
    <w:rPr>
      <w:rFonts w:ascii="Times New Roman" w:eastAsia="宋体" w:hAnsi="Times New Roman" w:cs="Times New Roman"/>
      <w:sz w:val="1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F64447"/>
    <w:rPr>
      <w:sz w:val="18"/>
      <w:szCs w:val="18"/>
    </w:rPr>
  </w:style>
  <w:style w:type="character" w:customStyle="1" w:styleId="a0">
    <w:name w:val="批注框文本 字符"/>
    <w:basedOn w:val="DefaultParagraphFont"/>
    <w:link w:val="BalloonText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1">
    <w:name w:val="页眉 字符"/>
    <w:basedOn w:val="DefaultParagraphFont"/>
    <w:link w:val="Header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Footer">
    <w:name w:val="footer"/>
    <w:basedOn w:val="Normal"/>
    <w:link w:val="a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2">
    <w:name w:val="页脚 字符"/>
    <w:basedOn w:val="DefaultParagraphFont"/>
    <w:link w:val="Footer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DocumentMap">
    <w:name w:val="Document Map"/>
    <w:basedOn w:val="Normal"/>
    <w:link w:val="a3"/>
    <w:uiPriority w:val="99"/>
    <w:semiHidden/>
    <w:unhideWhenUsed/>
    <w:rsid w:val="000F7509"/>
    <w:rPr>
      <w:rFonts w:ascii="宋体" w:eastAsia="宋体"/>
      <w:sz w:val="18"/>
      <w:szCs w:val="18"/>
    </w:rPr>
  </w:style>
  <w:style w:type="character" w:customStyle="1" w:styleId="a3">
    <w:name w:val="文档结构图 字符"/>
    <w:basedOn w:val="DefaultParagraphFont"/>
    <w:link w:val="DocumentMap"/>
    <w:uiPriority w:val="99"/>
    <w:semiHidden/>
    <w:rsid w:val="000F7509"/>
    <w:rPr>
      <w:rFonts w:ascii="宋体" w:eastAsia="宋体" w:hAnsi="Times New Roman" w:cs="Times New Roman"/>
      <w:sz w:val="18"/>
      <w:szCs w:val="18"/>
    </w:rPr>
  </w:style>
  <w:style w:type="character" w:customStyle="1" w:styleId="3">
    <w:name w:val="标题 3 字符"/>
    <w:basedOn w:val="DefaultParagraphFont"/>
    <w:link w:val="Heading3"/>
    <w:rsid w:val="000F7509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Default">
    <w:name w:val="Default"/>
    <w:rsid w:val="00C046E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2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efunds.com.c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