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DE021C" w:rsidP="00DE021C">
      <w:pPr>
        <w:widowControl/>
        <w:spacing w:before="100" w:beforeAutospacing="1" w:after="100" w:afterAutospacing="1"/>
        <w:jc w:val="center"/>
        <w:rPr>
          <w:rFonts w:ascii="宋体" w:hAnsi="宋体" w:cs="宋体"/>
          <w:kern w:val="0"/>
          <w:sz w:val="24"/>
        </w:rPr>
      </w:pPr>
      <w:r>
        <w:rPr>
          <w:rFonts w:ascii="宋体" w:hAnsi="宋体" w:cs="宋体" w:hint="eastAsia"/>
          <w:b/>
          <w:bCs/>
          <w:kern w:val="0"/>
          <w:sz w:val="24"/>
        </w:rPr>
        <w:t>易方达基金管理有限公司关于公司旗下部分基金估值调整情况的公告</w:t>
      </w:r>
    </w:p>
    <w:p w:rsidR="00DE021C" w:rsidRPr="00DE021C" w:rsidP="00DE021C">
      <w:pPr>
        <w:spacing w:line="360" w:lineRule="auto"/>
        <w:ind w:firstLine="482"/>
        <w:rPr>
          <w:kern w:val="0"/>
          <w:sz w:val="24"/>
        </w:rPr>
      </w:pPr>
      <w:r>
        <w:rPr>
          <w:rFonts w:hint="eastAsia"/>
          <w:kern w:val="0"/>
          <w:sz w:val="24"/>
        </w:rPr>
        <w:t>根据《中国证监会关于证券投资基金估值业务的指导意见》（中国证券监督管理委员会公告</w:t>
      </w:r>
      <w:r>
        <w:rPr>
          <w:kern w:val="0"/>
          <w:sz w:val="24"/>
        </w:rPr>
        <w:t>[2017]13</w:t>
      </w:r>
      <w:r>
        <w:rPr>
          <w:rFonts w:hint="eastAsia"/>
          <w:kern w:val="0"/>
          <w:sz w:val="24"/>
        </w:rPr>
        <w:t>号）的有关规定，经与基金托管人协商一致，自</w:t>
      </w:r>
      <w:r>
        <w:rPr>
          <w:color w:val="000000" w:themeColor="text1"/>
          <w:sz w:val="24"/>
        </w:rPr>
        <w:t>2024</w:t>
      </w:r>
      <w:r>
        <w:rPr>
          <w:rFonts w:hint="eastAsia"/>
          <w:color w:val="000000" w:themeColor="text1"/>
          <w:sz w:val="24"/>
        </w:rPr>
        <w:t>年</w:t>
      </w:r>
      <w:r>
        <w:rPr>
          <w:color w:val="000000" w:themeColor="text1"/>
          <w:sz w:val="24"/>
        </w:rPr>
        <w:t>7</w:t>
      </w:r>
      <w:r>
        <w:rPr>
          <w:rFonts w:hint="eastAsia"/>
          <w:color w:val="000000" w:themeColor="text1"/>
          <w:sz w:val="24"/>
        </w:rPr>
        <w:t>月</w:t>
      </w:r>
      <w:r>
        <w:rPr>
          <w:color w:val="000000" w:themeColor="text1"/>
          <w:sz w:val="24"/>
        </w:rPr>
        <w:t>12</w:t>
      </w:r>
      <w:r>
        <w:rPr>
          <w:rFonts w:hint="eastAsia"/>
          <w:color w:val="000000" w:themeColor="text1"/>
          <w:sz w:val="24"/>
        </w:rPr>
        <w:t>日起</w:t>
      </w:r>
      <w:r>
        <w:rPr>
          <w:rFonts w:hint="eastAsia"/>
          <w:kern w:val="0"/>
          <w:sz w:val="24"/>
        </w:rPr>
        <w:t>，易方达基金管理有限公司</w:t>
      </w:r>
      <w:r w:rsidRPr="00DE021C">
        <w:rPr>
          <w:rFonts w:hint="eastAsia"/>
          <w:kern w:val="0"/>
          <w:sz w:val="24"/>
        </w:rPr>
        <w:t>对</w:t>
      </w:r>
      <w:r w:rsidRPr="0073776E" w:rsidR="00516D6E">
        <w:rPr>
          <w:rFonts w:hint="eastAsia"/>
          <w:kern w:val="0"/>
          <w:sz w:val="24"/>
        </w:rPr>
        <w:t>易方达</w:t>
      </w:r>
      <w:bookmarkStart w:id="0" w:name="_GoBack"/>
      <w:bookmarkEnd w:id="0"/>
      <w:r w:rsidRPr="0073776E" w:rsidR="00516D6E">
        <w:rPr>
          <w:rFonts w:hint="eastAsia"/>
          <w:kern w:val="0"/>
          <w:sz w:val="24"/>
        </w:rPr>
        <w:t>香港恒生综合小型股指数证券投资基金（</w:t>
      </w:r>
      <w:r w:rsidRPr="0073776E" w:rsidR="00516D6E">
        <w:rPr>
          <w:rFonts w:hint="eastAsia"/>
          <w:kern w:val="0"/>
          <w:sz w:val="24"/>
        </w:rPr>
        <w:t>LOF</w:t>
      </w:r>
      <w:r w:rsidRPr="0073776E" w:rsidR="00516D6E">
        <w:rPr>
          <w:rFonts w:hint="eastAsia"/>
          <w:kern w:val="0"/>
          <w:sz w:val="24"/>
        </w:rPr>
        <w:t>）</w:t>
      </w:r>
      <w:r w:rsidRPr="00C40D94" w:rsidR="00C40D94">
        <w:rPr>
          <w:rFonts w:hint="eastAsia"/>
          <w:kern w:val="0"/>
          <w:sz w:val="24"/>
        </w:rPr>
        <w:t>（场内简称：港股小盘</w:t>
      </w:r>
      <w:r w:rsidRPr="00C40D94" w:rsidR="00C40D94">
        <w:rPr>
          <w:rFonts w:hint="eastAsia"/>
          <w:kern w:val="0"/>
          <w:sz w:val="24"/>
        </w:rPr>
        <w:t>LOF</w:t>
      </w:r>
      <w:r w:rsidRPr="00C40D94" w:rsidR="00C40D94">
        <w:rPr>
          <w:rFonts w:hint="eastAsia"/>
          <w:kern w:val="0"/>
          <w:sz w:val="24"/>
        </w:rPr>
        <w:t>）</w:t>
      </w:r>
      <w:r w:rsidRPr="0073776E" w:rsidR="00516D6E">
        <w:rPr>
          <w:rFonts w:hint="eastAsia"/>
          <w:kern w:val="0"/>
          <w:sz w:val="24"/>
        </w:rPr>
        <w:t>、易方达中证港股通医药卫生综合交易型开放式指数证券投资基金</w:t>
      </w:r>
      <w:r w:rsidRPr="00C40D94" w:rsidR="00C40D94">
        <w:rPr>
          <w:rFonts w:hint="eastAsia"/>
          <w:kern w:val="0"/>
          <w:sz w:val="24"/>
        </w:rPr>
        <w:t>（场内简称：港股医药、港股通医药</w:t>
      </w:r>
      <w:r w:rsidRPr="00C40D94" w:rsidR="00C40D94">
        <w:rPr>
          <w:rFonts w:hint="eastAsia"/>
          <w:kern w:val="0"/>
          <w:sz w:val="24"/>
        </w:rPr>
        <w:t>ETF</w:t>
      </w:r>
      <w:r w:rsidRPr="00C40D94" w:rsidR="00C40D94">
        <w:rPr>
          <w:rFonts w:hint="eastAsia"/>
          <w:kern w:val="0"/>
          <w:sz w:val="24"/>
        </w:rPr>
        <w:t>）</w:t>
      </w:r>
      <w:r w:rsidRPr="0073776E">
        <w:rPr>
          <w:rFonts w:hint="eastAsia"/>
          <w:kern w:val="0"/>
          <w:sz w:val="24"/>
        </w:rPr>
        <w:t>持有的“诺辉健康（代码：</w:t>
      </w:r>
      <w:r w:rsidRPr="0073776E">
        <w:rPr>
          <w:rFonts w:hint="eastAsia"/>
          <w:kern w:val="0"/>
          <w:sz w:val="24"/>
        </w:rPr>
        <w:t>6606.HK</w:t>
      </w:r>
      <w:r w:rsidRPr="0073776E">
        <w:rPr>
          <w:rFonts w:hint="eastAsia"/>
          <w:kern w:val="0"/>
          <w:sz w:val="24"/>
        </w:rPr>
        <w:t>）”进行估值调整，估值价格调整为</w:t>
      </w:r>
      <w:r w:rsidRPr="0073776E">
        <w:rPr>
          <w:kern w:val="0"/>
          <w:sz w:val="24"/>
        </w:rPr>
        <w:t>8.28</w:t>
      </w:r>
      <w:r w:rsidRPr="0073776E">
        <w:rPr>
          <w:rFonts w:hint="eastAsia"/>
          <w:kern w:val="0"/>
          <w:sz w:val="24"/>
        </w:rPr>
        <w:t>港元</w:t>
      </w:r>
      <w:r w:rsidRPr="0073776E">
        <w:rPr>
          <w:rFonts w:hint="eastAsia"/>
          <w:kern w:val="0"/>
          <w:sz w:val="24"/>
        </w:rPr>
        <w:t>/</w:t>
      </w:r>
      <w:r w:rsidRPr="0073776E">
        <w:rPr>
          <w:rFonts w:hint="eastAsia"/>
          <w:kern w:val="0"/>
          <w:sz w:val="24"/>
        </w:rPr>
        <w:t>股。</w:t>
      </w:r>
    </w:p>
    <w:p w:rsidR="00DE021C" w:rsidP="00DE021C">
      <w:pPr>
        <w:spacing w:line="360" w:lineRule="auto"/>
        <w:ind w:firstLine="482"/>
        <w:rPr>
          <w:kern w:val="0"/>
          <w:sz w:val="24"/>
        </w:rPr>
      </w:pPr>
      <w:r w:rsidRPr="00DE021C">
        <w:rPr>
          <w:rFonts w:hint="eastAsia"/>
          <w:kern w:val="0"/>
          <w:sz w:val="24"/>
        </w:rPr>
        <w:t>待上述股票复牌且其交易体现了活跃市场交易特征后，将恢复采用当日收盘价格进行估值，届时将不再另行公告。</w:t>
      </w:r>
    </w:p>
    <w:p w:rsidR="00DE021C" w:rsidP="00DE021C">
      <w:pPr>
        <w:spacing w:line="360" w:lineRule="auto"/>
        <w:ind w:firstLine="482"/>
        <w:rPr>
          <w:kern w:val="0"/>
          <w:sz w:val="24"/>
        </w:rPr>
      </w:pPr>
      <w:r>
        <w:rPr>
          <w:rFonts w:hint="eastAsia"/>
          <w:kern w:val="0"/>
          <w:sz w:val="24"/>
        </w:rPr>
        <w:t>投资者可登陆基金管理人网站（</w:t>
      </w:r>
      <w:r>
        <w:rPr>
          <w:kern w:val="0"/>
          <w:sz w:val="24"/>
        </w:rPr>
        <w:t>www.efunds.com.cn</w:t>
      </w:r>
      <w:r>
        <w:rPr>
          <w:rFonts w:hint="eastAsia"/>
          <w:kern w:val="0"/>
          <w:sz w:val="24"/>
        </w:rPr>
        <w:t>）或拨打客户服务热线</w:t>
      </w:r>
      <w:r>
        <w:rPr>
          <w:kern w:val="0"/>
          <w:sz w:val="24"/>
        </w:rPr>
        <w:t>40088-18088</w:t>
      </w:r>
      <w:r>
        <w:rPr>
          <w:rFonts w:hint="eastAsia"/>
          <w:kern w:val="0"/>
          <w:sz w:val="24"/>
        </w:rPr>
        <w:t>咨询有关信息。</w:t>
      </w:r>
    </w:p>
    <w:p w:rsidR="00DE021C" w:rsidP="00DE021C">
      <w:pPr>
        <w:tabs>
          <w:tab w:val="left" w:pos="2985"/>
        </w:tabs>
        <w:spacing w:line="360" w:lineRule="auto"/>
        <w:ind w:firstLine="482"/>
        <w:rPr>
          <w:kern w:val="0"/>
          <w:sz w:val="24"/>
        </w:rPr>
      </w:pPr>
      <w:r>
        <w:rPr>
          <w:rFonts w:hint="eastAsia"/>
          <w:kern w:val="0"/>
          <w:sz w:val="24"/>
        </w:rPr>
        <w:t>特此公告。</w:t>
      </w:r>
      <w:r>
        <w:rPr>
          <w:kern w:val="0"/>
          <w:sz w:val="24"/>
        </w:rPr>
        <w:tab/>
      </w:r>
    </w:p>
    <w:p w:rsidR="00DE021C" w:rsidP="00DE021C">
      <w:pPr>
        <w:wordWrap w:val="0"/>
        <w:spacing w:line="360" w:lineRule="auto"/>
        <w:jc w:val="right"/>
        <w:rPr>
          <w:kern w:val="0"/>
          <w:sz w:val="24"/>
        </w:rPr>
      </w:pPr>
      <w:r>
        <w:rPr>
          <w:rFonts w:hint="eastAsia"/>
          <w:kern w:val="0"/>
          <w:sz w:val="24"/>
        </w:rPr>
        <w:t>易方达基金管理有限公司</w:t>
      </w:r>
    </w:p>
    <w:p w:rsidR="00DE021C" w:rsidP="00DE021C">
      <w:pPr>
        <w:jc w:val="right"/>
        <w:rPr>
          <w:color w:val="000000" w:themeColor="text1"/>
          <w:sz w:val="24"/>
        </w:rPr>
      </w:pPr>
      <w:r>
        <w:rPr>
          <w:color w:val="000000" w:themeColor="text1"/>
          <w:sz w:val="24"/>
        </w:rPr>
        <w:t>2024</w:t>
      </w:r>
      <w:r>
        <w:rPr>
          <w:rFonts w:hint="eastAsia"/>
          <w:color w:val="000000" w:themeColor="text1"/>
          <w:sz w:val="24"/>
        </w:rPr>
        <w:t>年</w:t>
      </w:r>
      <w:r>
        <w:rPr>
          <w:color w:val="000000" w:themeColor="text1"/>
          <w:sz w:val="24"/>
        </w:rPr>
        <w:t>7</w:t>
      </w:r>
      <w:r>
        <w:rPr>
          <w:rFonts w:hint="eastAsia"/>
          <w:color w:val="000000" w:themeColor="text1"/>
          <w:sz w:val="24"/>
        </w:rPr>
        <w:t>月</w:t>
      </w:r>
      <w:r>
        <w:rPr>
          <w:color w:val="000000" w:themeColor="text1"/>
          <w:sz w:val="24"/>
        </w:rPr>
        <w:t>13</w:t>
      </w:r>
      <w:r>
        <w:rPr>
          <w:rFonts w:hint="eastAsia"/>
          <w:color w:val="000000" w:themeColor="text1"/>
          <w:sz w:val="24"/>
        </w:rPr>
        <w:t>日</w:t>
      </w:r>
    </w:p>
    <w:p w:rsidR="005F3E62"/>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1C"/>
    <w:rsid w:val="001B3FEE"/>
    <w:rsid w:val="00276B07"/>
    <w:rsid w:val="0047453F"/>
    <w:rsid w:val="004C440D"/>
    <w:rsid w:val="00516D6E"/>
    <w:rsid w:val="005F3E62"/>
    <w:rsid w:val="0073776E"/>
    <w:rsid w:val="00A32C2B"/>
    <w:rsid w:val="00C40D94"/>
    <w:rsid w:val="00DE021C"/>
    <w:rsid w:val="00E82CB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F784D433-B62A-4C22-90ED-8E47393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21C"/>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C40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C40D94"/>
    <w:rPr>
      <w:rFonts w:ascii="Times New Roman" w:eastAsia="宋体" w:hAnsi="Times New Roman" w:cs="Times New Roman"/>
      <w:sz w:val="18"/>
      <w:szCs w:val="18"/>
    </w:rPr>
  </w:style>
  <w:style w:type="paragraph" w:styleId="Footer">
    <w:name w:val="footer"/>
    <w:basedOn w:val="Normal"/>
    <w:link w:val="Char0"/>
    <w:uiPriority w:val="99"/>
    <w:unhideWhenUsed/>
    <w:rsid w:val="00C40D9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C40D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