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1B0A9A" w:rsidRDefault="001B0A9A" w:rsidP="000A6534">
      <w:pPr>
        <w:jc w:val="center"/>
        <w:rPr>
          <w:rFonts w:ascii="宋体" w:hAnsi="宋体"/>
          <w:b/>
          <w:bCs/>
          <w:sz w:val="28"/>
          <w:szCs w:val="30"/>
        </w:rPr>
      </w:pPr>
    </w:p>
    <w:p w:rsidR="001B0A9A" w:rsidRDefault="001B0A9A" w:rsidP="000A6534">
      <w:pPr>
        <w:jc w:val="center"/>
        <w:rPr>
          <w:rFonts w:ascii="宋体" w:hAnsi="宋体"/>
          <w:b/>
          <w:bCs/>
          <w:sz w:val="28"/>
          <w:szCs w:val="30"/>
        </w:rPr>
      </w:pPr>
    </w:p>
    <w:p w:rsidR="001B0A9A" w:rsidRDefault="001B0A9A" w:rsidP="000A6534">
      <w:pPr>
        <w:jc w:val="center"/>
        <w:rPr>
          <w:rFonts w:ascii="宋体" w:hAnsi="宋体"/>
          <w:b/>
          <w:bCs/>
          <w:sz w:val="28"/>
          <w:szCs w:val="30"/>
        </w:rPr>
      </w:pPr>
    </w:p>
    <w:p w:rsidR="001B0A9A" w:rsidRDefault="001B0A9A" w:rsidP="000A6534">
      <w:pPr>
        <w:jc w:val="center"/>
        <w:rPr>
          <w:rFonts w:ascii="宋体" w:hAnsi="宋体" w:hint="eastAsia"/>
          <w:b/>
          <w:bCs/>
          <w:sz w:val="28"/>
          <w:szCs w:val="30"/>
        </w:rPr>
      </w:pPr>
    </w:p>
    <w:p w:rsidR="001B0A9A" w:rsidRDefault="00AE3F5B" w:rsidP="0044723E">
      <w:pPr>
        <w:jc w:val="center"/>
        <w:rPr>
          <w:rFonts w:ascii="宋体" w:hAnsi="宋体"/>
          <w:b/>
          <w:bCs/>
          <w:sz w:val="48"/>
          <w:szCs w:val="30"/>
        </w:rPr>
      </w:pPr>
      <w:r w:rsidRPr="0044723E">
        <w:rPr>
          <w:rFonts w:ascii="宋体" w:hAnsi="宋体"/>
          <w:b/>
          <w:bCs/>
          <w:sz w:val="48"/>
          <w:szCs w:val="30"/>
        </w:rPr>
        <w:t xml:space="preserve"> </w:t>
      </w:r>
      <w:r w:rsidR="00C55414">
        <w:rPr>
          <w:rFonts w:ascii="宋体" w:hAnsi="宋体" w:hint="eastAsia"/>
          <w:b/>
          <w:bCs/>
          <w:sz w:val="48"/>
          <w:szCs w:val="30"/>
        </w:rPr>
        <w:t>南方现金增利基金收益支付公告</w:t>
      </w:r>
    </w:p>
    <w:p w:rsidR="0044723E" w:rsidRPr="0044723E" w:rsidRDefault="00C55414" w:rsidP="0044723E">
      <w:pPr>
        <w:jc w:val="center"/>
        <w:rPr>
          <w:rFonts w:ascii="宋体" w:hAnsi="宋体"/>
          <w:b/>
          <w:bCs/>
          <w:sz w:val="48"/>
          <w:szCs w:val="30"/>
        </w:rPr>
      </w:pPr>
      <w:r>
        <w:rPr>
          <w:rFonts w:ascii="宋体" w:hAnsi="宋体"/>
          <w:b/>
          <w:bCs/>
          <w:sz w:val="48"/>
          <w:szCs w:val="30"/>
        </w:rPr>
        <w:t>(2024年第7号)</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D17C56" w:rsidP="00D17C56">
      <w:pPr>
        <w:jc w:val="center"/>
        <w:rPr>
          <w:rFonts w:ascii="宋体" w:hAnsi="宋体"/>
          <w:b/>
          <w:bCs/>
          <w:sz w:val="28"/>
          <w:szCs w:val="30"/>
        </w:rPr>
      </w:pP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3433CF" w:rsidRDefault="003433CF" w:rsidP="003433CF">
      <w:pPr>
        <w:jc w:val="center"/>
        <w:rPr>
          <w:rFonts w:ascii="宋体" w:hAnsi="宋体" w:hint="eastAsia"/>
          <w:sz w:val="28"/>
          <w:szCs w:val="30"/>
        </w:rPr>
      </w:pPr>
      <w:bookmarkStart w:id="2" w:name="_GoBack"/>
      <w:bookmarkEnd w:id="2"/>
    </w:p>
    <w:p w:rsidR="00EF763C" w:rsidRDefault="0075037B" w:rsidP="00A94D0E">
      <w:pPr>
        <w:ind w:firstLineChars="600" w:firstLine="1687"/>
        <w:rPr>
          <w:rFonts w:ascii="宋体" w:hAnsi="宋体"/>
          <w:b/>
          <w:bCs/>
          <w:sz w:val="28"/>
          <w:szCs w:val="30"/>
        </w:rPr>
      </w:pPr>
      <w:r>
        <w:rPr>
          <w:rFonts w:ascii="宋体" w:hAnsi="宋体" w:hint="eastAsia"/>
          <w:b/>
          <w:bCs/>
          <w:sz w:val="28"/>
          <w:szCs w:val="30"/>
        </w:rPr>
        <w:t>公告</w:t>
      </w:r>
      <w:r w:rsidR="00AE3F5B" w:rsidRPr="00425AEE">
        <w:rPr>
          <w:rFonts w:ascii="宋体" w:hAnsi="宋体" w:hint="eastAsia"/>
          <w:b/>
          <w:bCs/>
          <w:sz w:val="28"/>
          <w:szCs w:val="30"/>
        </w:rPr>
        <w:t>送出日期：</w:t>
      </w:r>
      <w:r w:rsidR="00C55414">
        <w:rPr>
          <w:rFonts w:ascii="宋体" w:hAnsi="宋体"/>
          <w:b/>
          <w:bCs/>
          <w:sz w:val="28"/>
          <w:szCs w:val="30"/>
        </w:rPr>
        <w:t>2024年7月13日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E46AD4" w:rsidRDefault="005805A4" w:rsidP="00C55414">
      <w:pPr>
        <w:pStyle w:val="-1"/>
        <w:ind w:left="281" w:hanging="281"/>
      </w:pPr>
      <w:r>
        <w:br w:type="page"/>
      </w:r>
      <w:proofErr w:type="spellStart"/>
      <w:r w:rsidR="00C55414">
        <w:rPr>
          <w:rFonts w:hint="eastAsia"/>
        </w:rPr>
        <w:lastRenderedPageBreak/>
        <w:t>公告基本信息</w:t>
      </w:r>
      <w:proofErr w:type="spellEnd"/>
    </w:p>
    <w:tbl>
      <w:tblPr>
        <w:tblStyle w:val="-noheader"/>
        <w:tblW w:w="0" w:type="auto"/>
        <w:tblLayout w:type="fixed"/>
        <w:tblLook w:val="04A0" w:firstRow="1" w:lastRow="0" w:firstColumn="1" w:lastColumn="0" w:noHBand="0" w:noVBand="1"/>
      </w:tblPr>
      <w:tblGrid>
        <w:gridCol w:w="4261"/>
        <w:gridCol w:w="4261"/>
      </w:tblGrid>
      <w:tr w:rsidR="00C55414" w:rsidTr="00C55414">
        <w:tc>
          <w:tcPr>
            <w:tcW w:w="4261" w:type="dxa"/>
          </w:tcPr>
          <w:p w:rsidR="00C55414" w:rsidRDefault="00C55414" w:rsidP="00C55414">
            <w:pPr>
              <w:jc w:val="left"/>
            </w:pPr>
            <w:r>
              <w:rPr>
                <w:rFonts w:hint="eastAsia"/>
              </w:rPr>
              <w:t>基金名称</w:t>
            </w:r>
          </w:p>
        </w:tc>
        <w:tc>
          <w:tcPr>
            <w:tcW w:w="4261" w:type="dxa"/>
          </w:tcPr>
          <w:p w:rsidR="00C55414" w:rsidRDefault="00C55414" w:rsidP="00C55414">
            <w:pPr>
              <w:jc w:val="left"/>
            </w:pPr>
            <w:r>
              <w:rPr>
                <w:rFonts w:hint="eastAsia"/>
              </w:rPr>
              <w:t>南方现金增利基金</w:t>
            </w:r>
          </w:p>
        </w:tc>
      </w:tr>
      <w:tr w:rsidR="00C55414" w:rsidTr="00C55414">
        <w:tc>
          <w:tcPr>
            <w:tcW w:w="4261" w:type="dxa"/>
          </w:tcPr>
          <w:p w:rsidR="00C55414" w:rsidRDefault="00C55414" w:rsidP="00C55414">
            <w:pPr>
              <w:jc w:val="left"/>
            </w:pPr>
            <w:r>
              <w:rPr>
                <w:rFonts w:hint="eastAsia"/>
              </w:rPr>
              <w:t>基金简称</w:t>
            </w:r>
          </w:p>
        </w:tc>
        <w:tc>
          <w:tcPr>
            <w:tcW w:w="4261" w:type="dxa"/>
          </w:tcPr>
          <w:p w:rsidR="00C55414" w:rsidRDefault="00C55414" w:rsidP="00C55414">
            <w:pPr>
              <w:jc w:val="left"/>
            </w:pPr>
            <w:r>
              <w:rPr>
                <w:rFonts w:hint="eastAsia"/>
              </w:rPr>
              <w:t>南方现金增利货币</w:t>
            </w:r>
          </w:p>
        </w:tc>
      </w:tr>
      <w:tr w:rsidR="00C55414" w:rsidTr="00C55414">
        <w:tc>
          <w:tcPr>
            <w:tcW w:w="4261" w:type="dxa"/>
          </w:tcPr>
          <w:p w:rsidR="00C55414" w:rsidRDefault="00C55414" w:rsidP="00C55414">
            <w:pPr>
              <w:jc w:val="left"/>
            </w:pPr>
            <w:r>
              <w:rPr>
                <w:rFonts w:hint="eastAsia"/>
              </w:rPr>
              <w:t>基金主代码</w:t>
            </w:r>
          </w:p>
        </w:tc>
        <w:tc>
          <w:tcPr>
            <w:tcW w:w="4261" w:type="dxa"/>
          </w:tcPr>
          <w:p w:rsidR="00C55414" w:rsidRDefault="00C55414" w:rsidP="00C55414">
            <w:pPr>
              <w:jc w:val="left"/>
            </w:pPr>
            <w:r>
              <w:t>202301</w:t>
            </w:r>
          </w:p>
        </w:tc>
      </w:tr>
      <w:tr w:rsidR="00C55414" w:rsidTr="00C55414">
        <w:tc>
          <w:tcPr>
            <w:tcW w:w="4261" w:type="dxa"/>
          </w:tcPr>
          <w:p w:rsidR="00C55414" w:rsidRDefault="00C55414" w:rsidP="00C55414">
            <w:pPr>
              <w:jc w:val="left"/>
            </w:pPr>
            <w:r>
              <w:rPr>
                <w:rFonts w:hint="eastAsia"/>
              </w:rPr>
              <w:t>基金合同生效日</w:t>
            </w:r>
          </w:p>
        </w:tc>
        <w:tc>
          <w:tcPr>
            <w:tcW w:w="4261" w:type="dxa"/>
          </w:tcPr>
          <w:p w:rsidR="00C55414" w:rsidRDefault="00C55414" w:rsidP="00C55414">
            <w:pPr>
              <w:jc w:val="left"/>
            </w:pPr>
            <w:r>
              <w:rPr>
                <w:rFonts w:hint="eastAsia"/>
              </w:rPr>
              <w:t>2004</w:t>
            </w:r>
            <w:r>
              <w:rPr>
                <w:rFonts w:hint="eastAsia"/>
              </w:rPr>
              <w:t>年</w:t>
            </w:r>
            <w:r>
              <w:rPr>
                <w:rFonts w:hint="eastAsia"/>
              </w:rPr>
              <w:t>3</w:t>
            </w:r>
            <w:r>
              <w:rPr>
                <w:rFonts w:hint="eastAsia"/>
              </w:rPr>
              <w:t>月</w:t>
            </w:r>
            <w:r>
              <w:rPr>
                <w:rFonts w:hint="eastAsia"/>
              </w:rPr>
              <w:t>5</w:t>
            </w:r>
            <w:r>
              <w:rPr>
                <w:rFonts w:hint="eastAsia"/>
              </w:rPr>
              <w:t>日</w:t>
            </w:r>
          </w:p>
        </w:tc>
      </w:tr>
      <w:tr w:rsidR="00C55414" w:rsidTr="00C55414">
        <w:tc>
          <w:tcPr>
            <w:tcW w:w="4261" w:type="dxa"/>
          </w:tcPr>
          <w:p w:rsidR="00C55414" w:rsidRDefault="00C55414" w:rsidP="00C55414">
            <w:pPr>
              <w:jc w:val="left"/>
            </w:pPr>
            <w:r>
              <w:rPr>
                <w:rFonts w:hint="eastAsia"/>
              </w:rPr>
              <w:t>基金管理人名称</w:t>
            </w:r>
          </w:p>
        </w:tc>
        <w:tc>
          <w:tcPr>
            <w:tcW w:w="4261" w:type="dxa"/>
          </w:tcPr>
          <w:p w:rsidR="00C55414" w:rsidRDefault="00C55414" w:rsidP="00C55414">
            <w:pPr>
              <w:jc w:val="left"/>
            </w:pPr>
            <w:r>
              <w:rPr>
                <w:rFonts w:hint="eastAsia"/>
              </w:rPr>
              <w:t>南方基金管理股份有限公司</w:t>
            </w:r>
          </w:p>
        </w:tc>
      </w:tr>
      <w:tr w:rsidR="00C55414" w:rsidTr="00C55414">
        <w:tc>
          <w:tcPr>
            <w:tcW w:w="4261" w:type="dxa"/>
          </w:tcPr>
          <w:p w:rsidR="00C55414" w:rsidRDefault="00C55414" w:rsidP="00C55414">
            <w:pPr>
              <w:jc w:val="left"/>
            </w:pPr>
            <w:r>
              <w:rPr>
                <w:rFonts w:hint="eastAsia"/>
              </w:rPr>
              <w:t>公告依据</w:t>
            </w:r>
          </w:p>
        </w:tc>
        <w:tc>
          <w:tcPr>
            <w:tcW w:w="4261" w:type="dxa"/>
          </w:tcPr>
          <w:p w:rsidR="00C55414" w:rsidRDefault="00C55414" w:rsidP="00C55414">
            <w:pPr>
              <w:jc w:val="left"/>
            </w:pPr>
            <w:r>
              <w:rPr>
                <w:rFonts w:hint="eastAsia"/>
              </w:rPr>
              <w:t>《南方现金增利基金基金合同》</w:t>
            </w:r>
          </w:p>
        </w:tc>
      </w:tr>
      <w:tr w:rsidR="00C55414" w:rsidTr="00C55414">
        <w:tc>
          <w:tcPr>
            <w:tcW w:w="4261" w:type="dxa"/>
          </w:tcPr>
          <w:p w:rsidR="00C55414" w:rsidRDefault="00C55414" w:rsidP="00C55414">
            <w:pPr>
              <w:jc w:val="left"/>
            </w:pPr>
            <w:r>
              <w:rPr>
                <w:rFonts w:hint="eastAsia"/>
              </w:rPr>
              <w:t>收益集中支付并自动结转为基金份额的日期</w:t>
            </w:r>
          </w:p>
        </w:tc>
        <w:tc>
          <w:tcPr>
            <w:tcW w:w="4261" w:type="dxa"/>
          </w:tcPr>
          <w:p w:rsidR="00C55414" w:rsidRDefault="00C55414" w:rsidP="00C55414">
            <w:pPr>
              <w:jc w:val="left"/>
            </w:pPr>
            <w:r>
              <w:rPr>
                <w:rFonts w:hint="eastAsia"/>
              </w:rPr>
              <w:t>2024</w:t>
            </w:r>
            <w:r>
              <w:rPr>
                <w:rFonts w:hint="eastAsia"/>
              </w:rPr>
              <w:t>年</w:t>
            </w:r>
            <w:r>
              <w:rPr>
                <w:rFonts w:hint="eastAsia"/>
              </w:rPr>
              <w:t>7</w:t>
            </w:r>
            <w:r>
              <w:rPr>
                <w:rFonts w:hint="eastAsia"/>
              </w:rPr>
              <w:t>月</w:t>
            </w:r>
            <w:r>
              <w:rPr>
                <w:rFonts w:hint="eastAsia"/>
              </w:rPr>
              <w:t>15</w:t>
            </w:r>
            <w:r>
              <w:rPr>
                <w:rFonts w:hint="eastAsia"/>
              </w:rPr>
              <w:t>日</w:t>
            </w:r>
          </w:p>
        </w:tc>
      </w:tr>
      <w:tr w:rsidR="00C55414" w:rsidTr="00C55414">
        <w:tc>
          <w:tcPr>
            <w:tcW w:w="4261" w:type="dxa"/>
          </w:tcPr>
          <w:p w:rsidR="00C55414" w:rsidRDefault="00C55414" w:rsidP="00C55414">
            <w:pPr>
              <w:jc w:val="left"/>
            </w:pPr>
            <w:r>
              <w:rPr>
                <w:rFonts w:hint="eastAsia"/>
              </w:rPr>
              <w:t>收益累计期间</w:t>
            </w:r>
          </w:p>
        </w:tc>
        <w:tc>
          <w:tcPr>
            <w:tcW w:w="4261" w:type="dxa"/>
          </w:tcPr>
          <w:p w:rsidR="00C55414" w:rsidRDefault="00C55414" w:rsidP="00C55414">
            <w:pPr>
              <w:jc w:val="left"/>
            </w:pPr>
            <w:r>
              <w:rPr>
                <w:rFonts w:hint="eastAsia"/>
              </w:rPr>
              <w:t>自</w:t>
            </w:r>
            <w:r>
              <w:rPr>
                <w:rFonts w:hint="eastAsia"/>
              </w:rPr>
              <w:t>2024</w:t>
            </w:r>
            <w:r>
              <w:rPr>
                <w:rFonts w:hint="eastAsia"/>
              </w:rPr>
              <w:t>年</w:t>
            </w:r>
            <w:r>
              <w:rPr>
                <w:rFonts w:hint="eastAsia"/>
              </w:rPr>
              <w:t>6</w:t>
            </w:r>
            <w:r>
              <w:rPr>
                <w:rFonts w:hint="eastAsia"/>
              </w:rPr>
              <w:t>月</w:t>
            </w:r>
            <w:r>
              <w:rPr>
                <w:rFonts w:hint="eastAsia"/>
              </w:rPr>
              <w:t>17</w:t>
            </w:r>
            <w:r>
              <w:rPr>
                <w:rFonts w:hint="eastAsia"/>
              </w:rPr>
              <w:t>日</w:t>
            </w:r>
          </w:p>
          <w:p w:rsidR="00C55414" w:rsidRDefault="00C55414" w:rsidP="00C55414">
            <w:pPr>
              <w:jc w:val="left"/>
            </w:pPr>
            <w:r>
              <w:rPr>
                <w:rFonts w:hint="eastAsia"/>
              </w:rPr>
              <w:t xml:space="preserve">  </w:t>
            </w:r>
            <w:r>
              <w:rPr>
                <w:rFonts w:hint="eastAsia"/>
              </w:rPr>
              <w:t>至</w:t>
            </w:r>
            <w:r>
              <w:rPr>
                <w:rFonts w:hint="eastAsia"/>
              </w:rPr>
              <w:t>2024</w:t>
            </w:r>
            <w:r>
              <w:rPr>
                <w:rFonts w:hint="eastAsia"/>
              </w:rPr>
              <w:t>年</w:t>
            </w:r>
            <w:r>
              <w:rPr>
                <w:rFonts w:hint="eastAsia"/>
              </w:rPr>
              <w:t>7</w:t>
            </w:r>
            <w:r>
              <w:rPr>
                <w:rFonts w:hint="eastAsia"/>
              </w:rPr>
              <w:t>月</w:t>
            </w:r>
            <w:r>
              <w:rPr>
                <w:rFonts w:hint="eastAsia"/>
              </w:rPr>
              <w:t>15</w:t>
            </w:r>
            <w:r>
              <w:rPr>
                <w:rFonts w:hint="eastAsia"/>
              </w:rPr>
              <w:t>日止</w:t>
            </w:r>
          </w:p>
        </w:tc>
      </w:tr>
    </w:tbl>
    <w:p w:rsidR="00C55414" w:rsidRDefault="00C55414" w:rsidP="00C55414">
      <w:pPr>
        <w:pStyle w:val="-1"/>
        <w:ind w:left="281" w:hanging="281"/>
      </w:pPr>
      <w:proofErr w:type="spellStart"/>
      <w:r>
        <w:rPr>
          <w:rFonts w:hint="eastAsia"/>
        </w:rPr>
        <w:t>与收益支付相关的其他信息</w:t>
      </w:r>
      <w:proofErr w:type="spellEnd"/>
    </w:p>
    <w:tbl>
      <w:tblPr>
        <w:tblStyle w:val="-noheader"/>
        <w:tblW w:w="0" w:type="auto"/>
        <w:tblLayout w:type="fixed"/>
        <w:tblLook w:val="04A0" w:firstRow="1" w:lastRow="0" w:firstColumn="1" w:lastColumn="0" w:noHBand="0" w:noVBand="1"/>
      </w:tblPr>
      <w:tblGrid>
        <w:gridCol w:w="4261"/>
        <w:gridCol w:w="4261"/>
      </w:tblGrid>
      <w:tr w:rsidR="00C55414" w:rsidTr="00C55414">
        <w:tc>
          <w:tcPr>
            <w:tcW w:w="4261" w:type="dxa"/>
          </w:tcPr>
          <w:p w:rsidR="00C55414" w:rsidRDefault="00C55414" w:rsidP="00C55414">
            <w:pPr>
              <w:jc w:val="left"/>
            </w:pPr>
            <w:r>
              <w:rPr>
                <w:rFonts w:hint="eastAsia"/>
              </w:rPr>
              <w:t>累计收益计算公式</w:t>
            </w:r>
          </w:p>
        </w:tc>
        <w:tc>
          <w:tcPr>
            <w:tcW w:w="4261" w:type="dxa"/>
          </w:tcPr>
          <w:p w:rsidR="00C55414" w:rsidRDefault="00C55414" w:rsidP="00C55414">
            <w:r>
              <w:rPr>
                <w:rFonts w:hint="eastAsia"/>
              </w:rPr>
              <w:t>投资者累计收益</w:t>
            </w:r>
            <w:r>
              <w:rPr>
                <w:rFonts w:hint="eastAsia"/>
              </w:rPr>
              <w:t>=</w:t>
            </w:r>
            <w:r>
              <w:rPr>
                <w:rFonts w:hint="eastAsia"/>
              </w:rPr>
              <w:t>∑投资者日收益（即投资者</w:t>
            </w:r>
            <w:proofErr w:type="gramStart"/>
            <w:r>
              <w:rPr>
                <w:rFonts w:hint="eastAsia"/>
              </w:rPr>
              <w:t>日收益</w:t>
            </w:r>
            <w:proofErr w:type="gramEnd"/>
            <w:r>
              <w:rPr>
                <w:rFonts w:hint="eastAsia"/>
              </w:rPr>
              <w:t>逐日累加），投资者</w:t>
            </w:r>
            <w:proofErr w:type="gramStart"/>
            <w:r>
              <w:rPr>
                <w:rFonts w:hint="eastAsia"/>
              </w:rPr>
              <w:t>日收益</w:t>
            </w:r>
            <w:proofErr w:type="gramEnd"/>
            <w:r>
              <w:rPr>
                <w:rFonts w:hint="eastAsia"/>
              </w:rPr>
              <w:t>=</w:t>
            </w:r>
            <w:r>
              <w:rPr>
                <w:rFonts w:hint="eastAsia"/>
              </w:rPr>
              <w:t>投资者当日持有的基金份额</w:t>
            </w:r>
            <w:r>
              <w:rPr>
                <w:rFonts w:hint="eastAsia"/>
              </w:rPr>
              <w:t>/10000*</w:t>
            </w:r>
            <w:r>
              <w:rPr>
                <w:rFonts w:hint="eastAsia"/>
              </w:rPr>
              <w:t>当日每万份基金份额收益（保留到分，即保留两位小数后去尾）。</w:t>
            </w:r>
          </w:p>
        </w:tc>
      </w:tr>
      <w:tr w:rsidR="00C55414" w:rsidTr="00C55414">
        <w:tc>
          <w:tcPr>
            <w:tcW w:w="4261" w:type="dxa"/>
          </w:tcPr>
          <w:p w:rsidR="00C55414" w:rsidRDefault="00C55414" w:rsidP="00C55414">
            <w:pPr>
              <w:jc w:val="left"/>
            </w:pPr>
            <w:r>
              <w:rPr>
                <w:rFonts w:hint="eastAsia"/>
              </w:rPr>
              <w:t>收益结转的基金份额可赎回起始日</w:t>
            </w:r>
          </w:p>
        </w:tc>
        <w:tc>
          <w:tcPr>
            <w:tcW w:w="4261" w:type="dxa"/>
          </w:tcPr>
          <w:p w:rsidR="00C55414" w:rsidRDefault="00C55414" w:rsidP="00C55414">
            <w:pPr>
              <w:jc w:val="left"/>
            </w:pPr>
            <w:r>
              <w:rPr>
                <w:rFonts w:hint="eastAsia"/>
              </w:rPr>
              <w:t>2024</w:t>
            </w:r>
            <w:r>
              <w:rPr>
                <w:rFonts w:hint="eastAsia"/>
              </w:rPr>
              <w:t>年</w:t>
            </w:r>
            <w:r>
              <w:rPr>
                <w:rFonts w:hint="eastAsia"/>
              </w:rPr>
              <w:t>7</w:t>
            </w:r>
            <w:r>
              <w:rPr>
                <w:rFonts w:hint="eastAsia"/>
              </w:rPr>
              <w:t>月</w:t>
            </w:r>
            <w:r>
              <w:rPr>
                <w:rFonts w:hint="eastAsia"/>
              </w:rPr>
              <w:t>17</w:t>
            </w:r>
            <w:r>
              <w:rPr>
                <w:rFonts w:hint="eastAsia"/>
              </w:rPr>
              <w:t>日</w:t>
            </w:r>
          </w:p>
        </w:tc>
      </w:tr>
      <w:tr w:rsidR="00C55414" w:rsidTr="00C55414">
        <w:tc>
          <w:tcPr>
            <w:tcW w:w="4261" w:type="dxa"/>
          </w:tcPr>
          <w:p w:rsidR="00C55414" w:rsidRDefault="00C55414" w:rsidP="00C55414">
            <w:pPr>
              <w:jc w:val="left"/>
            </w:pPr>
            <w:r>
              <w:rPr>
                <w:rFonts w:hint="eastAsia"/>
              </w:rPr>
              <w:t>收益支付对象</w:t>
            </w:r>
          </w:p>
        </w:tc>
        <w:tc>
          <w:tcPr>
            <w:tcW w:w="4261" w:type="dxa"/>
          </w:tcPr>
          <w:p w:rsidR="00C55414" w:rsidRDefault="00C55414" w:rsidP="00C55414">
            <w:pPr>
              <w:jc w:val="left"/>
            </w:pPr>
            <w:r>
              <w:rPr>
                <w:rFonts w:hint="eastAsia"/>
              </w:rPr>
              <w:t>收益支付日在南方基金管理股份有限公司登记在册的本基金全体持有人。</w:t>
            </w:r>
          </w:p>
        </w:tc>
      </w:tr>
      <w:tr w:rsidR="00C55414" w:rsidTr="00C55414">
        <w:tc>
          <w:tcPr>
            <w:tcW w:w="4261" w:type="dxa"/>
          </w:tcPr>
          <w:p w:rsidR="00C55414" w:rsidRDefault="00C55414" w:rsidP="00C55414">
            <w:pPr>
              <w:jc w:val="left"/>
            </w:pPr>
            <w:r>
              <w:rPr>
                <w:rFonts w:hint="eastAsia"/>
              </w:rPr>
              <w:t>收益支付办法</w:t>
            </w:r>
          </w:p>
        </w:tc>
        <w:tc>
          <w:tcPr>
            <w:tcW w:w="4261" w:type="dxa"/>
          </w:tcPr>
          <w:p w:rsidR="00C55414" w:rsidRDefault="00C55414" w:rsidP="00C55414">
            <w:r>
              <w:rPr>
                <w:rFonts w:hint="eastAsia"/>
              </w:rPr>
              <w:t>本基金收益支付方式默认为收益再投资方式，投资者收益结转的基金份额将于</w:t>
            </w:r>
            <w:r>
              <w:rPr>
                <w:rFonts w:hint="eastAsia"/>
              </w:rPr>
              <w:t>2024</w:t>
            </w:r>
            <w:r>
              <w:rPr>
                <w:rFonts w:hint="eastAsia"/>
              </w:rPr>
              <w:t>年</w:t>
            </w:r>
            <w:r>
              <w:rPr>
                <w:rFonts w:hint="eastAsia"/>
              </w:rPr>
              <w:t>7</w:t>
            </w:r>
            <w:r>
              <w:rPr>
                <w:rFonts w:hint="eastAsia"/>
              </w:rPr>
              <w:t>月</w:t>
            </w:r>
            <w:r>
              <w:rPr>
                <w:rFonts w:hint="eastAsia"/>
              </w:rPr>
              <w:t>16</w:t>
            </w:r>
            <w:r>
              <w:rPr>
                <w:rFonts w:hint="eastAsia"/>
              </w:rPr>
              <w:t>日直接计入其基金账户，</w:t>
            </w:r>
            <w:r>
              <w:rPr>
                <w:rFonts w:hint="eastAsia"/>
              </w:rPr>
              <w:t>2024</w:t>
            </w:r>
            <w:r>
              <w:rPr>
                <w:rFonts w:hint="eastAsia"/>
              </w:rPr>
              <w:t>年</w:t>
            </w:r>
            <w:r>
              <w:rPr>
                <w:rFonts w:hint="eastAsia"/>
              </w:rPr>
              <w:t>7</w:t>
            </w:r>
            <w:r>
              <w:rPr>
                <w:rFonts w:hint="eastAsia"/>
              </w:rPr>
              <w:t>月</w:t>
            </w:r>
            <w:r>
              <w:rPr>
                <w:rFonts w:hint="eastAsia"/>
              </w:rPr>
              <w:t>17</w:t>
            </w:r>
            <w:r>
              <w:rPr>
                <w:rFonts w:hint="eastAsia"/>
              </w:rPr>
              <w:t>日起可查询及赎回。</w:t>
            </w:r>
          </w:p>
        </w:tc>
      </w:tr>
      <w:tr w:rsidR="00C55414" w:rsidTr="00C55414">
        <w:tc>
          <w:tcPr>
            <w:tcW w:w="4261" w:type="dxa"/>
          </w:tcPr>
          <w:p w:rsidR="00C55414" w:rsidRDefault="00C55414" w:rsidP="00C55414">
            <w:pPr>
              <w:jc w:val="left"/>
            </w:pPr>
            <w:r>
              <w:rPr>
                <w:rFonts w:hint="eastAsia"/>
              </w:rPr>
              <w:t>税收相关事项的说明</w:t>
            </w:r>
          </w:p>
        </w:tc>
        <w:tc>
          <w:tcPr>
            <w:tcW w:w="4261" w:type="dxa"/>
          </w:tcPr>
          <w:p w:rsidR="00C55414" w:rsidRDefault="00C55414" w:rsidP="00C55414">
            <w:r>
              <w:rPr>
                <w:rFonts w:hint="eastAsia"/>
              </w:rPr>
              <w:t>根据财政部、国家税务总局《关于开放式证券投资基金有关税收问题的通知》（财税字</w:t>
            </w:r>
            <w:r>
              <w:rPr>
                <w:rFonts w:hint="eastAsia"/>
              </w:rPr>
              <w:t>[2002]128</w:t>
            </w:r>
            <w:r>
              <w:rPr>
                <w:rFonts w:hint="eastAsia"/>
              </w:rPr>
              <w:t>号），对投资者（包括个人和机构投资者）从基金分配中取得的收入，暂不征收个人所得税和企业所得税。</w:t>
            </w:r>
          </w:p>
        </w:tc>
      </w:tr>
      <w:tr w:rsidR="00C55414" w:rsidTr="00C55414">
        <w:tc>
          <w:tcPr>
            <w:tcW w:w="4261" w:type="dxa"/>
          </w:tcPr>
          <w:p w:rsidR="00C55414" w:rsidRDefault="00C55414" w:rsidP="00C55414">
            <w:pPr>
              <w:jc w:val="left"/>
            </w:pPr>
            <w:r>
              <w:rPr>
                <w:rFonts w:hint="eastAsia"/>
              </w:rPr>
              <w:t>费用相关事项的说明</w:t>
            </w:r>
          </w:p>
        </w:tc>
        <w:tc>
          <w:tcPr>
            <w:tcW w:w="4261" w:type="dxa"/>
          </w:tcPr>
          <w:p w:rsidR="00C55414" w:rsidRDefault="00C55414" w:rsidP="00C55414">
            <w:pPr>
              <w:jc w:val="left"/>
            </w:pPr>
            <w:r>
              <w:rPr>
                <w:rFonts w:hint="eastAsia"/>
              </w:rPr>
              <w:t>本基金本次收益分配免收分红手续费和再投资手续费。</w:t>
            </w:r>
          </w:p>
        </w:tc>
      </w:tr>
    </w:tbl>
    <w:p w:rsidR="00C55414" w:rsidRDefault="00C55414" w:rsidP="00C55414">
      <w:pPr>
        <w:pStyle w:val="-1"/>
        <w:ind w:left="281" w:hanging="281"/>
      </w:pPr>
      <w:proofErr w:type="spellStart"/>
      <w:r>
        <w:rPr>
          <w:rFonts w:hint="eastAsia"/>
        </w:rPr>
        <w:t>其他需要提示的事项</w:t>
      </w:r>
      <w:proofErr w:type="spellEnd"/>
    </w:p>
    <w:p w:rsidR="00C55414" w:rsidRDefault="00C55414" w:rsidP="00C55414">
      <w:pPr>
        <w:pStyle w:val="-"/>
        <w:ind w:firstLine="420"/>
      </w:pPr>
      <w:r>
        <w:rPr>
          <w:rFonts w:hint="eastAsia"/>
        </w:rPr>
        <w:t>1、投资者于2024年7月15日申购的基金份额不享有当日收益,赎回的基金份额享有当日收益；</w:t>
      </w:r>
    </w:p>
    <w:p w:rsidR="00C55414" w:rsidRDefault="00C55414" w:rsidP="00C55414">
      <w:pPr>
        <w:pStyle w:val="-"/>
        <w:ind w:firstLine="420"/>
      </w:pPr>
      <w:r>
        <w:rPr>
          <w:rFonts w:hint="eastAsia"/>
        </w:rPr>
        <w:t>2、本基金投资者的累计收益将于每月中旬集中支付并按1元面值自动转为基金份额；</w:t>
      </w:r>
    </w:p>
    <w:p w:rsidR="00C55414" w:rsidRDefault="00C55414" w:rsidP="00C55414">
      <w:pPr>
        <w:pStyle w:val="-"/>
        <w:ind w:firstLine="420"/>
      </w:pPr>
      <w:r>
        <w:rPr>
          <w:rFonts w:hint="eastAsia"/>
        </w:rPr>
        <w:lastRenderedPageBreak/>
        <w:t>3、本基金的收益支付方式为按月支付，在部分销售机构可能会显示为按日支付模式，且当日收益可在两个工作日后赎回。不论销售机构如何显示，本基金实际当日收益需在每月月中集中支付后方能参与下一日的收益分配。</w:t>
      </w:r>
    </w:p>
    <w:p w:rsidR="00C55414" w:rsidRPr="00D86D2A" w:rsidRDefault="00C55414" w:rsidP="00C55414"/>
    <w:p w:rsidR="00A11620" w:rsidRDefault="00A11620" w:rsidP="00F8552E">
      <w:pPr>
        <w:snapToGrid w:val="0"/>
        <w:spacing w:line="360" w:lineRule="auto"/>
      </w:pPr>
    </w:p>
    <w:p w:rsidR="00C7329B" w:rsidRPr="00F441E4" w:rsidRDefault="00C7329B" w:rsidP="008E6C56">
      <w:pPr>
        <w:jc w:val="left"/>
      </w:pPr>
    </w:p>
    <w:sectPr w:rsidR="00C7329B" w:rsidRPr="00F441E4" w:rsidSect="00225D7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414" w:rsidRDefault="00C55414" w:rsidP="00D17C56">
      <w:r>
        <w:separator/>
      </w:r>
    </w:p>
  </w:endnote>
  <w:endnote w:type="continuationSeparator" w:id="0">
    <w:p w:rsidR="00C55414" w:rsidRDefault="00C55414"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414" w:rsidRDefault="00C5541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AD5334" w:rsidRPr="00AD5334">
      <w:rPr>
        <w:rFonts w:ascii="宋体" w:hAnsi="宋体"/>
        <w:bCs/>
        <w:noProof/>
        <w:lang w:val="zh-CN"/>
      </w:rPr>
      <w:t>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AD5334">
      <w:rPr>
        <w:rFonts w:ascii="宋体" w:hAnsi="宋体"/>
        <w:bCs/>
        <w:noProof/>
      </w:rPr>
      <w:instrText>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AD5334">
      <w:rPr>
        <w:rFonts w:ascii="宋体" w:hAnsi="宋体"/>
        <w:bCs/>
        <w:noProof/>
      </w:rPr>
      <w:t>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414" w:rsidRDefault="00C5541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414" w:rsidRDefault="00C55414" w:rsidP="00D17C56">
      <w:r>
        <w:separator/>
      </w:r>
    </w:p>
  </w:footnote>
  <w:footnote w:type="continuationSeparator" w:id="0">
    <w:p w:rsidR="00C55414" w:rsidRDefault="00C55414"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414" w:rsidRDefault="00C5541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C55414" w:rsidP="00AE3F5B">
    <w:pPr>
      <w:pStyle w:val="a7"/>
      <w:pBdr>
        <w:bottom w:val="single" w:sz="4" w:space="1" w:color="auto"/>
      </w:pBdr>
      <w:jc w:val="right"/>
    </w:pPr>
    <w:r>
      <w:rPr>
        <w:rFonts w:hint="eastAsia"/>
      </w:rPr>
      <w:t>南方现金增利基金收益支付公告</w:t>
    </w:r>
    <w:r>
      <w:rPr>
        <w:rFonts w:hint="eastAsia"/>
      </w:rPr>
      <w:t>(2024</w:t>
    </w:r>
    <w:r>
      <w:rPr>
        <w:rFonts w:hint="eastAsia"/>
      </w:rPr>
      <w:t>年第</w:t>
    </w:r>
    <w:r>
      <w:rPr>
        <w:rFonts w:hint="eastAsia"/>
      </w:rPr>
      <w:t>7</w:t>
    </w:r>
    <w:r>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D"/>
    <w:rsid w:val="00101D33"/>
    <w:rsid w:val="001201F8"/>
    <w:rsid w:val="00125BAB"/>
    <w:rsid w:val="001426F0"/>
    <w:rsid w:val="0017625F"/>
    <w:rsid w:val="00187B2C"/>
    <w:rsid w:val="001A65EF"/>
    <w:rsid w:val="001B0A9A"/>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37B"/>
    <w:rsid w:val="00750C9A"/>
    <w:rsid w:val="0078485C"/>
    <w:rsid w:val="00791182"/>
    <w:rsid w:val="00797EC6"/>
    <w:rsid w:val="007D4AC7"/>
    <w:rsid w:val="007F6905"/>
    <w:rsid w:val="00800FA0"/>
    <w:rsid w:val="00823E12"/>
    <w:rsid w:val="00887CEB"/>
    <w:rsid w:val="008B3EBC"/>
    <w:rsid w:val="008C2BFC"/>
    <w:rsid w:val="008E6C56"/>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309E"/>
    <w:rsid w:val="00A94D0E"/>
    <w:rsid w:val="00AC2797"/>
    <w:rsid w:val="00AC3470"/>
    <w:rsid w:val="00AD5334"/>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C23B75"/>
    <w:rsid w:val="00C24CE9"/>
    <w:rsid w:val="00C27E02"/>
    <w:rsid w:val="00C30704"/>
    <w:rsid w:val="00C40EF3"/>
    <w:rsid w:val="00C54775"/>
    <w:rsid w:val="00C55414"/>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C6F86"/>
    <w:rsid w:val="00ED2C2C"/>
    <w:rsid w:val="00EE12CF"/>
    <w:rsid w:val="00EF763C"/>
    <w:rsid w:val="00F00FCB"/>
    <w:rsid w:val="00F03A80"/>
    <w:rsid w:val="00F27CBE"/>
    <w:rsid w:val="00F441E4"/>
    <w:rsid w:val="00F448CB"/>
    <w:rsid w:val="00F45ADF"/>
    <w:rsid w:val="00F47050"/>
    <w:rsid w:val="00F513F8"/>
    <w:rsid w:val="00F8552E"/>
    <w:rsid w:val="00FB358D"/>
    <w:rsid w:val="00FB641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54E698"/>
  <w15:docId w15:val="{890021C8-E7F3-43E1-99B5-C4541FB4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4364D-A937-4EF4-A354-C5A266F0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127</Characters>
  <Application>Microsoft Office Word</Application>
  <DocSecurity>0</DocSecurity>
  <Lines>1</Lines>
  <Paragraphs>1</Paragraphs>
  <ScaleCrop>false</ScaleCrop>
  <Company>MC SYSTEM</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毛文秀</cp:lastModifiedBy>
  <cp:revision>3</cp:revision>
  <cp:lastPrinted>2024-07-01T06:26:00Z</cp:lastPrinted>
  <dcterms:created xsi:type="dcterms:W3CDTF">2024-07-01T06:26:00Z</dcterms:created>
  <dcterms:modified xsi:type="dcterms:W3CDTF">2024-07-01T06:27:00Z</dcterms:modified>
</cp:coreProperties>
</file>