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4964EB" w:rsidRPr="00771C21" w:rsidP="004964EB">
      <w:pPr>
        <w:widowControl/>
        <w:jc w:val="center"/>
        <w:rPr>
          <w:rFonts w:ascii="Times New Roman" w:eastAsia="宋体" w:hAnsi="Times New Roman" w:cs="Times New Roman"/>
          <w:b/>
          <w:spacing w:val="-5"/>
          <w:kern w:val="0"/>
          <w:sz w:val="28"/>
          <w:szCs w:val="28"/>
        </w:rPr>
      </w:pPr>
      <w:r w:rsidRPr="00C67C77">
        <w:rPr>
          <w:rFonts w:ascii="Times New Roman" w:eastAsia="宋体" w:hAnsi="Times New Roman" w:cs="Times New Roman" w:hint="eastAsia"/>
          <w:b/>
          <w:spacing w:val="-5"/>
          <w:kern w:val="0"/>
          <w:sz w:val="28"/>
          <w:szCs w:val="28"/>
        </w:rPr>
        <w:t>易方达黄金主题证券投资基金（</w:t>
      </w:r>
      <w:r w:rsidRPr="00C67C77">
        <w:rPr>
          <w:rFonts w:ascii="Times New Roman" w:eastAsia="宋体" w:hAnsi="Times New Roman" w:cs="Times New Roman"/>
          <w:b/>
          <w:spacing w:val="-5"/>
          <w:kern w:val="0"/>
          <w:sz w:val="28"/>
          <w:szCs w:val="28"/>
        </w:rPr>
        <w:t>LOF</w:t>
      </w:r>
      <w:r w:rsidRPr="00C67C77">
        <w:rPr>
          <w:rFonts w:ascii="Times New Roman" w:eastAsia="宋体" w:hAnsi="Times New Roman" w:cs="Times New Roman" w:hint="eastAsia"/>
          <w:b/>
          <w:spacing w:val="-5"/>
          <w:kern w:val="0"/>
          <w:sz w:val="28"/>
          <w:szCs w:val="28"/>
        </w:rPr>
        <w:t>）</w:t>
      </w:r>
      <w:r>
        <w:rPr>
          <w:rFonts w:ascii="Times New Roman" w:eastAsia="宋体" w:hAnsi="Times New Roman" w:cs="Times New Roman" w:hint="eastAsia"/>
          <w:b/>
          <w:spacing w:val="-5"/>
          <w:kern w:val="0"/>
          <w:sz w:val="28"/>
          <w:szCs w:val="28"/>
        </w:rPr>
        <w:t>溢价风险提示</w:t>
      </w:r>
      <w:r w:rsidRPr="00771C21">
        <w:rPr>
          <w:rFonts w:ascii="Times New Roman" w:eastAsia="宋体" w:hAnsi="Times New Roman" w:cs="Times New Roman" w:hint="eastAsia"/>
          <w:b/>
          <w:spacing w:val="-5"/>
          <w:kern w:val="0"/>
          <w:sz w:val="28"/>
          <w:szCs w:val="28"/>
        </w:rPr>
        <w:t>公告</w:t>
      </w:r>
    </w:p>
    <w:p w:rsidR="004964EB" w:rsidRPr="00360423" w:rsidP="004964EB">
      <w:pPr>
        <w:spacing w:line="360" w:lineRule="auto"/>
        <w:rPr>
          <w:rFonts w:ascii="宋体" w:hAnsi="宋体" w:cs="Arial"/>
          <w:color w:val="000000"/>
          <w:szCs w:val="21"/>
        </w:rPr>
      </w:pPr>
    </w:p>
    <w:p w:rsidR="00360423" w:rsidP="00360423">
      <w:pPr>
        <w:spacing w:line="360" w:lineRule="auto"/>
        <w:ind w:firstLine="420" w:firstLineChars="200"/>
        <w:rPr>
          <w:rFonts w:ascii="宋体" w:hAnsi="宋体" w:cs="Arial"/>
          <w:color w:val="000000"/>
          <w:szCs w:val="21"/>
        </w:rPr>
      </w:pPr>
      <w:r w:rsidRPr="00360423">
        <w:rPr>
          <w:rFonts w:ascii="宋体" w:hAnsi="宋体" w:cs="Arial"/>
          <w:color w:val="000000"/>
          <w:szCs w:val="21"/>
        </w:rPr>
        <w:t>近期，易方达基金管理有限公司</w:t>
      </w:r>
      <w:r w:rsidRPr="00360423">
        <w:rPr>
          <w:rFonts w:ascii="宋体" w:hAnsi="宋体" w:cs="Arial"/>
          <w:color w:val="000000"/>
          <w:szCs w:val="21"/>
        </w:rPr>
        <w:t>(</w:t>
      </w:r>
      <w:r w:rsidRPr="00360423">
        <w:rPr>
          <w:rFonts w:ascii="宋体" w:hAnsi="宋体" w:cs="Arial"/>
          <w:color w:val="000000"/>
          <w:szCs w:val="21"/>
        </w:rPr>
        <w:t>以下简称</w:t>
      </w:r>
      <w:r w:rsidRPr="00360423">
        <w:rPr>
          <w:rFonts w:ascii="宋体" w:hAnsi="宋体" w:cs="Arial"/>
          <w:color w:val="000000"/>
          <w:szCs w:val="21"/>
        </w:rPr>
        <w:t>“</w:t>
      </w:r>
      <w:r w:rsidRPr="00360423">
        <w:rPr>
          <w:rFonts w:ascii="宋体" w:hAnsi="宋体" w:cs="Arial"/>
          <w:color w:val="000000"/>
          <w:szCs w:val="21"/>
        </w:rPr>
        <w:t>本基金管理人</w:t>
      </w:r>
      <w:r w:rsidRPr="00360423">
        <w:rPr>
          <w:rFonts w:ascii="宋体" w:hAnsi="宋体" w:cs="Arial"/>
          <w:color w:val="000000"/>
          <w:szCs w:val="21"/>
        </w:rPr>
        <w:t>”)</w:t>
      </w:r>
      <w:r w:rsidRPr="00360423">
        <w:rPr>
          <w:rFonts w:ascii="宋体" w:hAnsi="宋体" w:cs="Arial"/>
          <w:color w:val="000000"/>
          <w:szCs w:val="21"/>
        </w:rPr>
        <w:t>旗下易方达黄金主题证券</w:t>
      </w:r>
      <w:r w:rsidRPr="00360423">
        <w:rPr>
          <w:rFonts w:ascii="宋体" w:hAnsi="宋体" w:cs="Arial"/>
          <w:color w:val="000000"/>
          <w:szCs w:val="21"/>
        </w:rPr>
        <w:t xml:space="preserve"> </w:t>
      </w:r>
      <w:r w:rsidRPr="00360423">
        <w:rPr>
          <w:rFonts w:ascii="宋体" w:hAnsi="宋体" w:cs="Arial"/>
          <w:color w:val="000000"/>
          <w:szCs w:val="21"/>
        </w:rPr>
        <w:t>投资基金（</w:t>
      </w:r>
      <w:r w:rsidRPr="00360423">
        <w:rPr>
          <w:rFonts w:ascii="宋体" w:hAnsi="宋体" w:cs="Arial"/>
          <w:color w:val="000000"/>
          <w:szCs w:val="21"/>
        </w:rPr>
        <w:t>LOF</w:t>
      </w:r>
      <w:r w:rsidRPr="00360423">
        <w:rPr>
          <w:rFonts w:ascii="宋体" w:hAnsi="宋体" w:cs="Arial"/>
          <w:color w:val="000000"/>
          <w:szCs w:val="21"/>
        </w:rPr>
        <w:t>）</w:t>
      </w:r>
      <w:r>
        <w:rPr>
          <w:rFonts w:ascii="宋体" w:hAnsi="宋体" w:cs="Arial"/>
          <w:color w:val="000000"/>
          <w:szCs w:val="21"/>
        </w:rPr>
        <w:t>A</w:t>
      </w:r>
      <w:r w:rsidRPr="00360423">
        <w:rPr>
          <w:rFonts w:ascii="宋体" w:hAnsi="宋体" w:cs="Arial"/>
          <w:color w:val="000000"/>
          <w:szCs w:val="21"/>
        </w:rPr>
        <w:t>类人民币份额（基金代码：</w:t>
      </w:r>
      <w:r w:rsidRPr="00360423">
        <w:rPr>
          <w:rFonts w:ascii="宋体" w:hAnsi="宋体" w:cs="Arial"/>
          <w:color w:val="000000"/>
          <w:szCs w:val="21"/>
        </w:rPr>
        <w:t>161116</w:t>
      </w:r>
      <w:r w:rsidRPr="00360423">
        <w:rPr>
          <w:rFonts w:ascii="宋体" w:hAnsi="宋体" w:cs="Arial"/>
          <w:color w:val="000000"/>
          <w:szCs w:val="21"/>
        </w:rPr>
        <w:t>，场内简称：黄金主题</w:t>
      </w:r>
      <w:r w:rsidRPr="00360423">
        <w:rPr>
          <w:rFonts w:ascii="宋体" w:hAnsi="宋体" w:cs="Arial"/>
          <w:color w:val="000000"/>
          <w:szCs w:val="21"/>
        </w:rPr>
        <w:t>LOF</w:t>
      </w:r>
      <w:r w:rsidRPr="00360423">
        <w:rPr>
          <w:rFonts w:ascii="宋体" w:hAnsi="宋体" w:cs="Arial"/>
          <w:color w:val="000000"/>
          <w:szCs w:val="21"/>
        </w:rPr>
        <w:t>，以下简称</w:t>
      </w:r>
      <w:r w:rsidRPr="00360423">
        <w:rPr>
          <w:rFonts w:ascii="宋体" w:hAnsi="宋体" w:cs="Arial"/>
          <w:color w:val="000000"/>
          <w:szCs w:val="21"/>
        </w:rPr>
        <w:t>“</w:t>
      </w:r>
      <w:r w:rsidRPr="00360423">
        <w:rPr>
          <w:rFonts w:ascii="宋体" w:hAnsi="宋体" w:cs="Arial"/>
          <w:color w:val="000000"/>
          <w:szCs w:val="21"/>
        </w:rPr>
        <w:t>本基金</w:t>
      </w:r>
      <w:r w:rsidRPr="00360423">
        <w:rPr>
          <w:rFonts w:ascii="宋体" w:hAnsi="宋体" w:cs="Arial"/>
          <w:color w:val="000000"/>
          <w:szCs w:val="21"/>
        </w:rPr>
        <w:t>”</w:t>
      </w:r>
      <w:r w:rsidRPr="00360423">
        <w:rPr>
          <w:rFonts w:ascii="宋体" w:hAnsi="宋体" w:cs="Arial"/>
          <w:color w:val="000000"/>
          <w:szCs w:val="21"/>
        </w:rPr>
        <w:t>）二级市场交易价格明显高于基金份额净值。</w:t>
      </w:r>
      <w:r w:rsidRPr="00360423">
        <w:rPr>
          <w:rFonts w:ascii="宋体" w:hAnsi="宋体" w:cs="Arial"/>
          <w:color w:val="000000"/>
          <w:szCs w:val="21"/>
        </w:rPr>
        <w:t>2024</w:t>
      </w:r>
      <w:r w:rsidRPr="00360423">
        <w:rPr>
          <w:rFonts w:ascii="宋体" w:hAnsi="宋体" w:cs="Arial"/>
          <w:color w:val="000000"/>
          <w:szCs w:val="21"/>
        </w:rPr>
        <w:t>年</w:t>
      </w:r>
      <w:r>
        <w:rPr>
          <w:rFonts w:ascii="宋体" w:hAnsi="宋体" w:cs="Arial" w:hint="eastAsia"/>
          <w:color w:val="000000"/>
          <w:szCs w:val="21"/>
        </w:rPr>
        <w:t>7</w:t>
      </w:r>
      <w:r w:rsidRPr="00360423">
        <w:rPr>
          <w:rFonts w:ascii="宋体" w:hAnsi="宋体" w:cs="Arial"/>
          <w:color w:val="000000"/>
          <w:szCs w:val="21"/>
        </w:rPr>
        <w:t>月</w:t>
      </w:r>
      <w:r w:rsidR="008020E4">
        <w:rPr>
          <w:rFonts w:ascii="宋体" w:hAnsi="宋体" w:cs="Arial"/>
          <w:color w:val="000000"/>
          <w:szCs w:val="21"/>
        </w:rPr>
        <w:t>9</w:t>
      </w:r>
      <w:r w:rsidRPr="00360423">
        <w:rPr>
          <w:rFonts w:ascii="宋体" w:hAnsi="宋体" w:cs="Arial"/>
          <w:color w:val="000000"/>
          <w:szCs w:val="21"/>
        </w:rPr>
        <w:t>日，本基金基金份</w:t>
      </w:r>
      <w:r w:rsidRPr="00360423">
        <w:rPr>
          <w:rFonts w:ascii="宋体" w:hAnsi="宋体" w:cs="Arial"/>
          <w:color w:val="000000"/>
          <w:szCs w:val="21"/>
        </w:rPr>
        <w:t>额</w:t>
      </w:r>
      <w:r w:rsidRPr="00360423">
        <w:rPr>
          <w:rFonts w:ascii="宋体" w:hAnsi="宋体" w:cs="Arial"/>
          <w:color w:val="000000"/>
          <w:szCs w:val="21"/>
        </w:rPr>
        <w:t>净值为</w:t>
      </w:r>
      <w:r w:rsidR="008020E4">
        <w:rPr>
          <w:rFonts w:ascii="宋体" w:hAnsi="宋体" w:cs="Arial"/>
          <w:color w:val="000000"/>
          <w:szCs w:val="21"/>
        </w:rPr>
        <w:t>0.969</w:t>
      </w:r>
      <w:r w:rsidRPr="00360423">
        <w:rPr>
          <w:rFonts w:ascii="宋体" w:hAnsi="宋体" w:cs="Arial"/>
          <w:color w:val="000000"/>
          <w:szCs w:val="21"/>
        </w:rPr>
        <w:t>元，截至</w:t>
      </w:r>
      <w:r>
        <w:rPr>
          <w:rFonts w:ascii="宋体" w:hAnsi="宋体" w:cs="Arial"/>
          <w:color w:val="000000"/>
          <w:szCs w:val="21"/>
        </w:rPr>
        <w:t>2024</w:t>
      </w:r>
      <w:r w:rsidRPr="00360423">
        <w:rPr>
          <w:rFonts w:ascii="宋体" w:hAnsi="宋体" w:cs="Arial"/>
          <w:color w:val="000000"/>
          <w:szCs w:val="21"/>
        </w:rPr>
        <w:t>年</w:t>
      </w:r>
      <w:r>
        <w:rPr>
          <w:rFonts w:ascii="宋体" w:hAnsi="宋体" w:cs="Arial" w:hint="eastAsia"/>
          <w:color w:val="000000"/>
          <w:szCs w:val="21"/>
        </w:rPr>
        <w:t>7</w:t>
      </w:r>
      <w:r w:rsidRPr="00360423">
        <w:rPr>
          <w:rFonts w:ascii="宋体" w:hAnsi="宋体" w:cs="Arial"/>
          <w:color w:val="000000"/>
          <w:szCs w:val="21"/>
        </w:rPr>
        <w:t>月</w:t>
      </w:r>
      <w:r w:rsidR="008020E4">
        <w:rPr>
          <w:rFonts w:ascii="宋体" w:hAnsi="宋体" w:cs="Arial"/>
          <w:color w:val="000000"/>
          <w:szCs w:val="21"/>
        </w:rPr>
        <w:t>11</w:t>
      </w:r>
      <w:r w:rsidRPr="00360423">
        <w:rPr>
          <w:rFonts w:ascii="宋体" w:hAnsi="宋体" w:cs="Arial"/>
          <w:color w:val="000000"/>
          <w:szCs w:val="21"/>
        </w:rPr>
        <w:t>日，本基金在二级市场的收盘价为</w:t>
      </w:r>
      <w:r w:rsidR="008020E4">
        <w:rPr>
          <w:rFonts w:ascii="宋体" w:hAnsi="宋体" w:cs="Arial"/>
          <w:color w:val="000000"/>
          <w:szCs w:val="21"/>
        </w:rPr>
        <w:t>1.1</w:t>
      </w:r>
      <w:r>
        <w:rPr>
          <w:rFonts w:ascii="宋体" w:hAnsi="宋体" w:cs="Arial"/>
          <w:color w:val="000000"/>
          <w:szCs w:val="21"/>
        </w:rPr>
        <w:t>1</w:t>
      </w:r>
      <w:bookmarkStart w:id="0" w:name="_GoBack"/>
      <w:bookmarkEnd w:id="0"/>
      <w:r w:rsidR="008020E4">
        <w:rPr>
          <w:rFonts w:ascii="宋体" w:hAnsi="宋体" w:cs="Arial"/>
          <w:color w:val="000000"/>
          <w:szCs w:val="21"/>
        </w:rPr>
        <w:t>7</w:t>
      </w:r>
      <w:r w:rsidRPr="00360423">
        <w:rPr>
          <w:rFonts w:ascii="宋体" w:hAnsi="宋体" w:cs="Arial"/>
          <w:color w:val="000000"/>
          <w:szCs w:val="21"/>
        </w:rPr>
        <w:t>元。</w:t>
      </w:r>
      <w:r w:rsidRPr="00360423">
        <w:rPr>
          <w:rFonts w:ascii="宋体" w:hAnsi="宋体" w:cs="Arial"/>
          <w:b/>
          <w:color w:val="000000"/>
          <w:szCs w:val="21"/>
        </w:rPr>
        <w:t>特此</w:t>
      </w:r>
      <w:r w:rsidRPr="00360423">
        <w:rPr>
          <w:rFonts w:ascii="宋体" w:hAnsi="宋体" w:cs="Arial"/>
          <w:b/>
          <w:color w:val="000000"/>
          <w:szCs w:val="21"/>
        </w:rPr>
        <w:t>提</w:t>
      </w:r>
      <w:r w:rsidRPr="00360423">
        <w:rPr>
          <w:rFonts w:ascii="宋体" w:hAnsi="宋体" w:cs="Arial"/>
          <w:b/>
          <w:color w:val="000000"/>
          <w:szCs w:val="21"/>
        </w:rPr>
        <w:t>示投资者关注二级市场交易价格溢价风险，投资者如果高溢价买入，可能面临较大损失。</w:t>
      </w:r>
      <w:r w:rsidRPr="00360423">
        <w:rPr>
          <w:rFonts w:ascii="宋体" w:hAnsi="宋体" w:cs="Arial"/>
          <w:b/>
          <w:color w:val="000000"/>
          <w:szCs w:val="21"/>
        </w:rPr>
        <w:t xml:space="preserve"> </w:t>
      </w:r>
    </w:p>
    <w:p w:rsidR="009E7694" w:rsidP="00360423">
      <w:pPr>
        <w:spacing w:line="360" w:lineRule="auto"/>
        <w:ind w:firstLine="420" w:firstLineChars="200"/>
        <w:rPr>
          <w:rFonts w:ascii="宋体" w:hAnsi="宋体" w:cs="Arial"/>
          <w:color w:val="000000"/>
          <w:szCs w:val="21"/>
        </w:rPr>
      </w:pPr>
      <w:r w:rsidRPr="00360423">
        <w:rPr>
          <w:rFonts w:ascii="宋体" w:hAnsi="宋体" w:cs="Arial"/>
          <w:color w:val="000000"/>
          <w:szCs w:val="21"/>
        </w:rPr>
        <w:t>为此，本基金管理人声明如下：</w:t>
      </w:r>
      <w:r w:rsidRPr="00360423">
        <w:rPr>
          <w:rFonts w:ascii="宋体" w:hAnsi="宋体" w:cs="Arial"/>
          <w:color w:val="000000"/>
          <w:szCs w:val="21"/>
        </w:rPr>
        <w:t xml:space="preserve"> </w:t>
      </w:r>
    </w:p>
    <w:p w:rsidR="009E7694" w:rsidP="00360423">
      <w:pPr>
        <w:spacing w:line="360" w:lineRule="auto"/>
        <w:ind w:firstLine="420" w:firstLineChars="200"/>
        <w:rPr>
          <w:rFonts w:ascii="宋体" w:hAnsi="宋体" w:cs="Arial"/>
          <w:color w:val="000000"/>
          <w:szCs w:val="21"/>
        </w:rPr>
      </w:pPr>
      <w:r w:rsidRPr="00360423">
        <w:rPr>
          <w:rFonts w:ascii="宋体" w:hAnsi="宋体" w:cs="Arial"/>
          <w:color w:val="000000"/>
          <w:szCs w:val="21"/>
        </w:rPr>
        <w:t>1</w:t>
      </w:r>
      <w:r w:rsidRPr="00360423">
        <w:rPr>
          <w:rFonts w:ascii="宋体" w:hAnsi="宋体" w:cs="Arial"/>
          <w:color w:val="000000"/>
          <w:szCs w:val="21"/>
        </w:rPr>
        <w:t>、本基金为上市开放式基金，除可在二级市场交易外，投资人还可以申购、赎回本基</w:t>
      </w:r>
      <w:r w:rsidRPr="00360423">
        <w:rPr>
          <w:rFonts w:ascii="宋体" w:hAnsi="宋体" w:cs="Arial"/>
          <w:color w:val="000000"/>
          <w:szCs w:val="21"/>
        </w:rPr>
        <w:t>金，申购、赎回价格以申请当日收市后计算的基金份额净值进行计算，投资者可通过基金管</w:t>
      </w:r>
      <w:r w:rsidRPr="00360423">
        <w:rPr>
          <w:rFonts w:ascii="宋体" w:hAnsi="宋体" w:cs="Arial"/>
          <w:color w:val="000000"/>
          <w:szCs w:val="21"/>
        </w:rPr>
        <w:t xml:space="preserve"> </w:t>
      </w:r>
      <w:r w:rsidRPr="00360423">
        <w:rPr>
          <w:rFonts w:ascii="宋体" w:hAnsi="宋体" w:cs="Arial"/>
          <w:color w:val="000000"/>
          <w:szCs w:val="21"/>
        </w:rPr>
        <w:t>理人网站或交易行情系统查询本基金的最新份额净值。根据相关公告，本基金</w:t>
      </w:r>
      <w:r>
        <w:rPr>
          <w:rFonts w:ascii="宋体" w:hAnsi="宋体" w:cs="Arial"/>
          <w:color w:val="000000"/>
          <w:szCs w:val="21"/>
        </w:rPr>
        <w:t>A</w:t>
      </w:r>
      <w:r w:rsidRPr="00360423">
        <w:rPr>
          <w:rFonts w:ascii="宋体" w:hAnsi="宋体" w:cs="Arial"/>
          <w:color w:val="000000"/>
          <w:szCs w:val="21"/>
        </w:rPr>
        <w:t>类人民币</w:t>
      </w:r>
      <w:r w:rsidRPr="00360423">
        <w:rPr>
          <w:rFonts w:ascii="宋体" w:hAnsi="宋体" w:cs="Arial"/>
          <w:color w:val="000000"/>
          <w:szCs w:val="21"/>
        </w:rPr>
        <w:t xml:space="preserve"> </w:t>
      </w:r>
      <w:r w:rsidRPr="00360423">
        <w:rPr>
          <w:rFonts w:ascii="宋体" w:hAnsi="宋体" w:cs="Arial"/>
          <w:color w:val="000000"/>
          <w:szCs w:val="21"/>
        </w:rPr>
        <w:t>份额自</w:t>
      </w:r>
      <w:r>
        <w:rPr>
          <w:rFonts w:ascii="宋体" w:hAnsi="宋体" w:cs="Arial"/>
          <w:color w:val="000000"/>
          <w:szCs w:val="21"/>
        </w:rPr>
        <w:t>2024</w:t>
      </w:r>
      <w:r w:rsidRPr="00360423">
        <w:rPr>
          <w:rFonts w:ascii="宋体" w:hAnsi="宋体" w:cs="Arial"/>
          <w:color w:val="000000"/>
          <w:szCs w:val="21"/>
        </w:rPr>
        <w:t>年</w:t>
      </w:r>
      <w:r>
        <w:rPr>
          <w:rFonts w:ascii="宋体" w:hAnsi="宋体" w:cs="Arial"/>
          <w:color w:val="000000"/>
          <w:szCs w:val="21"/>
        </w:rPr>
        <w:t>4</w:t>
      </w:r>
      <w:r w:rsidRPr="00360423">
        <w:rPr>
          <w:rFonts w:ascii="宋体" w:hAnsi="宋体" w:cs="Arial"/>
          <w:color w:val="000000"/>
          <w:szCs w:val="21"/>
        </w:rPr>
        <w:t>月</w:t>
      </w:r>
      <w:r>
        <w:rPr>
          <w:rFonts w:ascii="宋体" w:hAnsi="宋体" w:cs="Arial"/>
          <w:color w:val="000000"/>
          <w:szCs w:val="21"/>
        </w:rPr>
        <w:t>25</w:t>
      </w:r>
      <w:r w:rsidRPr="00360423">
        <w:rPr>
          <w:rFonts w:ascii="宋体" w:hAnsi="宋体" w:cs="Arial"/>
          <w:color w:val="000000"/>
          <w:szCs w:val="21"/>
        </w:rPr>
        <w:t>日起暂停申购及定期定额投资业务，本基金恢复办理申购及定期定额投资业务的时间将另行公告。</w:t>
      </w:r>
      <w:r w:rsidRPr="00360423">
        <w:rPr>
          <w:rFonts w:ascii="宋体" w:hAnsi="宋体" w:cs="Arial"/>
          <w:color w:val="000000"/>
          <w:szCs w:val="21"/>
        </w:rPr>
        <w:t xml:space="preserve"> </w:t>
      </w:r>
    </w:p>
    <w:p w:rsidR="009E7694" w:rsidP="00360423">
      <w:pPr>
        <w:spacing w:line="360" w:lineRule="auto"/>
        <w:ind w:firstLine="420" w:firstLineChars="200"/>
        <w:rPr>
          <w:rFonts w:ascii="宋体" w:hAnsi="宋体" w:cs="Arial"/>
          <w:color w:val="000000"/>
          <w:szCs w:val="21"/>
        </w:rPr>
      </w:pPr>
      <w:r w:rsidRPr="00360423">
        <w:rPr>
          <w:rFonts w:ascii="宋体" w:hAnsi="宋体" w:cs="Arial"/>
          <w:color w:val="000000"/>
          <w:szCs w:val="21"/>
        </w:rPr>
        <w:t>2</w:t>
      </w:r>
      <w:r w:rsidRPr="00360423">
        <w:rPr>
          <w:rFonts w:ascii="宋体" w:hAnsi="宋体" w:cs="Arial"/>
          <w:color w:val="000000"/>
          <w:szCs w:val="21"/>
        </w:rPr>
        <w:t>、截至目前，本基金运作正常。本基金管理人仍将严格按照法律法规及基金合同的相</w:t>
      </w:r>
      <w:r w:rsidRPr="00360423">
        <w:rPr>
          <w:rFonts w:ascii="宋体" w:hAnsi="宋体" w:cs="Arial"/>
          <w:color w:val="000000"/>
          <w:szCs w:val="21"/>
        </w:rPr>
        <w:t>关规定进行投资运作。</w:t>
      </w:r>
    </w:p>
    <w:p w:rsidR="009E7694" w:rsidP="00360423">
      <w:pPr>
        <w:spacing w:line="360" w:lineRule="auto"/>
        <w:ind w:firstLine="420" w:firstLineChars="200"/>
        <w:rPr>
          <w:rFonts w:ascii="宋体" w:hAnsi="宋体" w:cs="Arial"/>
          <w:color w:val="000000"/>
          <w:szCs w:val="21"/>
        </w:rPr>
      </w:pPr>
      <w:r w:rsidRPr="00360423">
        <w:rPr>
          <w:rFonts w:ascii="宋体" w:hAnsi="宋体" w:cs="Arial"/>
          <w:color w:val="000000"/>
          <w:szCs w:val="21"/>
        </w:rPr>
        <w:t>3</w:t>
      </w:r>
      <w:r w:rsidRPr="00360423">
        <w:rPr>
          <w:rFonts w:ascii="宋体" w:hAnsi="宋体" w:cs="Arial"/>
          <w:color w:val="000000"/>
          <w:szCs w:val="21"/>
        </w:rPr>
        <w:t>、截至目前，本基金无其他</w:t>
      </w:r>
      <w:r w:rsidRPr="00360423">
        <w:rPr>
          <w:rFonts w:ascii="宋体" w:hAnsi="宋体" w:cs="Arial"/>
          <w:color w:val="000000"/>
          <w:szCs w:val="21"/>
        </w:rPr>
        <w:t>应披露而未披露的重大信息。本基金管理人仍将严格按照</w:t>
      </w:r>
      <w:r w:rsidRPr="00360423">
        <w:rPr>
          <w:rFonts w:ascii="宋体" w:hAnsi="宋体" w:cs="Arial"/>
          <w:color w:val="000000"/>
          <w:szCs w:val="21"/>
        </w:rPr>
        <w:t>有关规定和要求，及时做好信息披露工作。</w:t>
      </w:r>
    </w:p>
    <w:p w:rsidR="009E7694" w:rsidP="00360423">
      <w:pPr>
        <w:spacing w:line="360" w:lineRule="auto"/>
        <w:ind w:firstLine="420" w:firstLineChars="200"/>
        <w:rPr>
          <w:rFonts w:ascii="宋体" w:hAnsi="宋体" w:cs="Arial"/>
          <w:color w:val="000000"/>
          <w:szCs w:val="21"/>
        </w:rPr>
      </w:pPr>
      <w:r w:rsidRPr="00360423">
        <w:rPr>
          <w:rFonts w:ascii="宋体" w:hAnsi="宋体" w:cs="Arial"/>
          <w:color w:val="000000"/>
          <w:szCs w:val="21"/>
        </w:rPr>
        <w:t>4</w:t>
      </w:r>
      <w:r w:rsidRPr="00360423">
        <w:rPr>
          <w:rFonts w:ascii="宋体" w:hAnsi="宋体" w:cs="Arial"/>
          <w:color w:val="000000"/>
          <w:szCs w:val="21"/>
        </w:rPr>
        <w:t>、本基金二级市场的交易价格，除了有基金份额净值波动的风险外，还会受到市场供</w:t>
      </w:r>
      <w:r w:rsidRPr="00360423">
        <w:rPr>
          <w:rFonts w:ascii="宋体" w:hAnsi="宋体" w:cs="Arial"/>
          <w:color w:val="000000"/>
          <w:szCs w:val="21"/>
        </w:rPr>
        <w:t>求关系、系统性风险、流动性风险等其他因素的影响，可能使投资者面临损失。</w:t>
      </w:r>
      <w:r w:rsidRPr="00360423">
        <w:rPr>
          <w:rFonts w:ascii="宋体" w:hAnsi="宋体" w:cs="Arial"/>
          <w:color w:val="000000"/>
          <w:szCs w:val="21"/>
        </w:rPr>
        <w:t xml:space="preserve"> </w:t>
      </w:r>
    </w:p>
    <w:p w:rsidR="009E7694" w:rsidP="00360423">
      <w:pPr>
        <w:spacing w:line="360" w:lineRule="auto"/>
        <w:ind w:firstLine="420" w:firstLineChars="200"/>
        <w:rPr>
          <w:rFonts w:ascii="宋体" w:hAnsi="宋体" w:cs="Arial"/>
          <w:color w:val="000000"/>
          <w:szCs w:val="21"/>
        </w:rPr>
      </w:pPr>
      <w:r w:rsidRPr="00360423">
        <w:rPr>
          <w:rFonts w:ascii="宋体" w:hAnsi="宋体" w:cs="Arial"/>
          <w:color w:val="000000"/>
          <w:szCs w:val="21"/>
        </w:rPr>
        <w:t>风险提示：基金管理人承诺以诚实信用、勤勉尽责的原则管理和运用基金资产，但不保</w:t>
      </w:r>
      <w:r w:rsidRPr="00360423">
        <w:rPr>
          <w:rFonts w:ascii="宋体" w:hAnsi="宋体" w:cs="Arial"/>
          <w:color w:val="000000"/>
          <w:szCs w:val="21"/>
        </w:rPr>
        <w:t>证基金一定盈利，也不保证最低收益。销售机构根据法规要求对投资者类别、风险承受能力</w:t>
      </w:r>
      <w:r w:rsidRPr="00360423">
        <w:rPr>
          <w:rFonts w:ascii="宋体" w:hAnsi="宋体" w:cs="Arial"/>
          <w:color w:val="000000"/>
          <w:szCs w:val="21"/>
        </w:rPr>
        <w:t>和基金的风险等级进行划分，并提出适当性匹配意见。投资者在投资基金前应认真阅读基金</w:t>
      </w:r>
      <w:r w:rsidRPr="00360423">
        <w:rPr>
          <w:rFonts w:ascii="宋体" w:hAnsi="宋体" w:cs="Arial"/>
          <w:color w:val="000000"/>
          <w:szCs w:val="21"/>
        </w:rPr>
        <w:t>合同、招募说明书（更新）和</w:t>
      </w:r>
      <w:r w:rsidRPr="00360423">
        <w:rPr>
          <w:rFonts w:ascii="宋体" w:hAnsi="宋体" w:cs="Arial"/>
          <w:color w:val="000000"/>
          <w:szCs w:val="21"/>
        </w:rPr>
        <w:t>基金产品资料概要（更新）等基金法律文件，全面认识基金产</w:t>
      </w:r>
      <w:r w:rsidRPr="00360423">
        <w:rPr>
          <w:rFonts w:ascii="宋体" w:hAnsi="宋体" w:cs="Arial"/>
          <w:color w:val="000000"/>
          <w:szCs w:val="21"/>
        </w:rPr>
        <w:t>品的风险收益特征，在了解产品情况及销售机构适当性意见的基础上，根据自身的风险承受</w:t>
      </w:r>
      <w:r w:rsidRPr="00360423">
        <w:rPr>
          <w:rFonts w:ascii="宋体" w:hAnsi="宋体" w:cs="Arial"/>
          <w:color w:val="000000"/>
          <w:szCs w:val="21"/>
        </w:rPr>
        <w:t>能力、投资期限和投资目标，对基金投资</w:t>
      </w:r>
      <w:r w:rsidRPr="00360423">
        <w:rPr>
          <w:rFonts w:ascii="宋体" w:hAnsi="宋体" w:cs="Arial"/>
          <w:color w:val="000000"/>
          <w:szCs w:val="21"/>
        </w:rPr>
        <w:t>作出</w:t>
      </w:r>
      <w:r w:rsidRPr="00360423">
        <w:rPr>
          <w:rFonts w:ascii="宋体" w:hAnsi="宋体" w:cs="Arial"/>
          <w:color w:val="000000"/>
          <w:szCs w:val="21"/>
        </w:rPr>
        <w:t>独立决策，选择合适的基金产品。基金管理人</w:t>
      </w:r>
      <w:r w:rsidRPr="00360423">
        <w:rPr>
          <w:rFonts w:ascii="宋体" w:hAnsi="宋体" w:cs="Arial"/>
          <w:color w:val="000000"/>
          <w:szCs w:val="21"/>
        </w:rPr>
        <w:t>提醒投资者基金投资的</w:t>
      </w:r>
      <w:r w:rsidRPr="00360423">
        <w:rPr>
          <w:rFonts w:ascii="宋体" w:hAnsi="宋体" w:cs="Arial"/>
          <w:color w:val="000000"/>
          <w:szCs w:val="21"/>
        </w:rPr>
        <w:t>“</w:t>
      </w:r>
      <w:r w:rsidRPr="00360423">
        <w:rPr>
          <w:rFonts w:ascii="宋体" w:hAnsi="宋体" w:cs="Arial"/>
          <w:color w:val="000000"/>
          <w:szCs w:val="21"/>
        </w:rPr>
        <w:t>买者自负</w:t>
      </w:r>
      <w:r w:rsidRPr="00360423">
        <w:rPr>
          <w:rFonts w:ascii="宋体" w:hAnsi="宋体" w:cs="Arial"/>
          <w:color w:val="000000"/>
          <w:szCs w:val="21"/>
        </w:rPr>
        <w:t>”</w:t>
      </w:r>
      <w:r w:rsidRPr="00360423">
        <w:rPr>
          <w:rFonts w:ascii="宋体" w:hAnsi="宋体" w:cs="Arial"/>
          <w:color w:val="000000"/>
          <w:szCs w:val="21"/>
        </w:rPr>
        <w:t>原则，在投资者</w:t>
      </w:r>
      <w:r w:rsidRPr="00360423">
        <w:rPr>
          <w:rFonts w:ascii="宋体" w:hAnsi="宋体" w:cs="Arial"/>
          <w:color w:val="000000"/>
          <w:szCs w:val="21"/>
        </w:rPr>
        <w:t>作出</w:t>
      </w:r>
      <w:r w:rsidRPr="00360423">
        <w:rPr>
          <w:rFonts w:ascii="宋体" w:hAnsi="宋体" w:cs="Arial"/>
          <w:color w:val="000000"/>
          <w:szCs w:val="21"/>
        </w:rPr>
        <w:t>投资决策后，基金运营状况与基金</w:t>
      </w:r>
      <w:r w:rsidRPr="00360423">
        <w:rPr>
          <w:rFonts w:ascii="宋体" w:hAnsi="宋体" w:cs="Arial"/>
          <w:color w:val="000000"/>
          <w:szCs w:val="21"/>
        </w:rPr>
        <w:t>净值变化引致的投资风险，由投资者自行负责。</w:t>
      </w:r>
    </w:p>
    <w:p w:rsidR="004964EB" w:rsidRPr="00BF4C31" w:rsidP="00360423">
      <w:pPr>
        <w:spacing w:line="360" w:lineRule="auto"/>
        <w:ind w:firstLine="420" w:firstLineChars="200"/>
        <w:rPr>
          <w:rFonts w:ascii="宋体" w:hAnsi="宋体" w:cs="Arial"/>
          <w:color w:val="000000"/>
          <w:szCs w:val="21"/>
        </w:rPr>
      </w:pPr>
      <w:r w:rsidRPr="00360423">
        <w:rPr>
          <w:rFonts w:ascii="宋体" w:hAnsi="宋体" w:cs="Arial"/>
          <w:color w:val="000000"/>
          <w:szCs w:val="21"/>
        </w:rPr>
        <w:t xml:space="preserve"> </w:t>
      </w:r>
      <w:r w:rsidRPr="00360423">
        <w:rPr>
          <w:rFonts w:ascii="宋体" w:hAnsi="宋体" w:cs="Arial"/>
          <w:color w:val="000000"/>
          <w:szCs w:val="21"/>
        </w:rPr>
        <w:t>特此公告。</w:t>
      </w:r>
      <w:r w:rsidRPr="00BF4C31">
        <w:rPr>
          <w:rFonts w:ascii="宋体" w:hAnsi="宋体" w:cs="Arial" w:hint="eastAsia"/>
          <w:color w:val="000000"/>
          <w:szCs w:val="21"/>
        </w:rPr>
        <w:t xml:space="preserve">     </w:t>
      </w:r>
    </w:p>
    <w:p w:rsidR="004964EB" w:rsidRPr="00203705" w:rsidP="004964EB">
      <w:pPr>
        <w:spacing w:line="360" w:lineRule="auto"/>
        <w:rPr>
          <w:rFonts w:ascii="宋体" w:hAnsi="宋体" w:cs="Arial"/>
          <w:color w:val="000000"/>
          <w:szCs w:val="21"/>
        </w:rPr>
      </w:pPr>
      <w:r w:rsidRPr="00203705">
        <w:rPr>
          <w:rFonts w:ascii="宋体" w:hAnsi="宋体" w:cs="Arial" w:hint="eastAsia"/>
          <w:color w:val="000000"/>
          <w:szCs w:val="21"/>
        </w:rPr>
        <w:t> </w:t>
      </w:r>
    </w:p>
    <w:p w:rsidR="004964EB" w:rsidRPr="00203705" w:rsidP="004964EB">
      <w:pPr>
        <w:spacing w:line="360" w:lineRule="auto"/>
        <w:jc w:val="righ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易方达</w:t>
      </w:r>
      <w:r w:rsidRPr="00203705">
        <w:rPr>
          <w:rFonts w:ascii="宋体" w:hAnsi="宋体" w:cs="Arial" w:hint="eastAsia"/>
          <w:color w:val="000000"/>
          <w:szCs w:val="21"/>
        </w:rPr>
        <w:t>基金管理有限公司</w:t>
      </w:r>
    </w:p>
    <w:p w:rsidR="00BD1028" w:rsidRPr="004964EB" w:rsidP="004964EB">
      <w:pPr>
        <w:spacing w:line="360" w:lineRule="auto"/>
        <w:jc w:val="right"/>
        <w:rPr>
          <w:rFonts w:ascii="宋体" w:hAnsi="宋体" w:cs="Arial"/>
          <w:color w:val="000000"/>
          <w:szCs w:val="21"/>
        </w:rPr>
      </w:pPr>
      <w:r w:rsidRPr="00C67C77">
        <w:rPr>
          <w:rFonts w:ascii="宋体" w:hAnsi="宋体" w:cs="Arial"/>
          <w:color w:val="000000"/>
          <w:szCs w:val="21"/>
        </w:rPr>
        <w:t>202</w:t>
      </w:r>
      <w:r w:rsidR="009E7694">
        <w:rPr>
          <w:rFonts w:ascii="宋体" w:hAnsi="宋体" w:cs="Arial"/>
          <w:color w:val="000000"/>
          <w:szCs w:val="21"/>
        </w:rPr>
        <w:t>4</w:t>
      </w:r>
      <w:r w:rsidRPr="00C67C77">
        <w:rPr>
          <w:rFonts w:ascii="宋体" w:hAnsi="宋体" w:cs="Arial" w:hint="eastAsia"/>
          <w:color w:val="000000"/>
          <w:szCs w:val="21"/>
        </w:rPr>
        <w:t>年</w:t>
      </w:r>
      <w:r w:rsidR="009E7694">
        <w:rPr>
          <w:rFonts w:ascii="宋体" w:hAnsi="宋体" w:cs="Arial"/>
          <w:color w:val="000000"/>
          <w:szCs w:val="21"/>
        </w:rPr>
        <w:t>7</w:t>
      </w:r>
      <w:r w:rsidRPr="00C67C77">
        <w:rPr>
          <w:rFonts w:ascii="宋体" w:hAnsi="宋体" w:cs="Arial" w:hint="eastAsia"/>
          <w:color w:val="000000"/>
          <w:szCs w:val="21"/>
        </w:rPr>
        <w:t>月</w:t>
      </w:r>
      <w:r w:rsidR="008020E4">
        <w:rPr>
          <w:rFonts w:ascii="宋体" w:hAnsi="宋体" w:cs="Arial"/>
          <w:color w:val="000000"/>
          <w:szCs w:val="21"/>
        </w:rPr>
        <w:t>12</w:t>
      </w:r>
      <w:r w:rsidRPr="00C67C77">
        <w:rPr>
          <w:rFonts w:ascii="宋体" w:hAnsi="宋体" w:cs="Arial" w:hint="eastAsia"/>
          <w:color w:val="000000"/>
          <w:szCs w:val="21"/>
        </w:rPr>
        <w:t>日</w:t>
      </w:r>
    </w:p>
    <w:sectPr w:rsidSect="004E5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EB"/>
    <w:rsid w:val="00027932"/>
    <w:rsid w:val="00031EC3"/>
    <w:rsid w:val="00047009"/>
    <w:rsid w:val="000639F3"/>
    <w:rsid w:val="000B1C54"/>
    <w:rsid w:val="000B5E55"/>
    <w:rsid w:val="000D4D46"/>
    <w:rsid w:val="000E7CC8"/>
    <w:rsid w:val="000F3434"/>
    <w:rsid w:val="001037EE"/>
    <w:rsid w:val="00111956"/>
    <w:rsid w:val="001223BF"/>
    <w:rsid w:val="00127ADF"/>
    <w:rsid w:val="0015545A"/>
    <w:rsid w:val="00161B97"/>
    <w:rsid w:val="001A317A"/>
    <w:rsid w:val="001A35FA"/>
    <w:rsid w:val="001B3166"/>
    <w:rsid w:val="001E5959"/>
    <w:rsid w:val="001F7C88"/>
    <w:rsid w:val="00202AFE"/>
    <w:rsid w:val="00203705"/>
    <w:rsid w:val="00206C81"/>
    <w:rsid w:val="00217FA6"/>
    <w:rsid w:val="00296748"/>
    <w:rsid w:val="002B0A36"/>
    <w:rsid w:val="002C535B"/>
    <w:rsid w:val="002D39B1"/>
    <w:rsid w:val="0030405D"/>
    <w:rsid w:val="003235D5"/>
    <w:rsid w:val="00355C86"/>
    <w:rsid w:val="00360423"/>
    <w:rsid w:val="00361C73"/>
    <w:rsid w:val="003A6652"/>
    <w:rsid w:val="003B04EB"/>
    <w:rsid w:val="003C17F2"/>
    <w:rsid w:val="003C3301"/>
    <w:rsid w:val="003D33D0"/>
    <w:rsid w:val="003E2306"/>
    <w:rsid w:val="003F132D"/>
    <w:rsid w:val="00403481"/>
    <w:rsid w:val="00410A3E"/>
    <w:rsid w:val="004151B2"/>
    <w:rsid w:val="004168F4"/>
    <w:rsid w:val="00462997"/>
    <w:rsid w:val="004964EB"/>
    <w:rsid w:val="004A00E2"/>
    <w:rsid w:val="004B0241"/>
    <w:rsid w:val="004B4B53"/>
    <w:rsid w:val="004C4272"/>
    <w:rsid w:val="004D0F2F"/>
    <w:rsid w:val="004E2EEC"/>
    <w:rsid w:val="004F0125"/>
    <w:rsid w:val="00500C19"/>
    <w:rsid w:val="00507044"/>
    <w:rsid w:val="00507DC2"/>
    <w:rsid w:val="00563DEA"/>
    <w:rsid w:val="005700BB"/>
    <w:rsid w:val="00596D7B"/>
    <w:rsid w:val="005D6A06"/>
    <w:rsid w:val="005E7342"/>
    <w:rsid w:val="005F4B09"/>
    <w:rsid w:val="00601801"/>
    <w:rsid w:val="00610F05"/>
    <w:rsid w:val="00624CBC"/>
    <w:rsid w:val="00624EA3"/>
    <w:rsid w:val="00637D8D"/>
    <w:rsid w:val="00644DC8"/>
    <w:rsid w:val="0067348F"/>
    <w:rsid w:val="0069636B"/>
    <w:rsid w:val="006A1378"/>
    <w:rsid w:val="006C6A46"/>
    <w:rsid w:val="006D2798"/>
    <w:rsid w:val="006D2B4B"/>
    <w:rsid w:val="006F2E6A"/>
    <w:rsid w:val="00704B24"/>
    <w:rsid w:val="0071439E"/>
    <w:rsid w:val="0075075C"/>
    <w:rsid w:val="00754CB7"/>
    <w:rsid w:val="00763161"/>
    <w:rsid w:val="00771C21"/>
    <w:rsid w:val="007728CE"/>
    <w:rsid w:val="007816B6"/>
    <w:rsid w:val="007B3D07"/>
    <w:rsid w:val="007C4308"/>
    <w:rsid w:val="007E3C4E"/>
    <w:rsid w:val="008020E4"/>
    <w:rsid w:val="00813D48"/>
    <w:rsid w:val="00867876"/>
    <w:rsid w:val="008B35C7"/>
    <w:rsid w:val="008B478F"/>
    <w:rsid w:val="008C06FF"/>
    <w:rsid w:val="008C3F88"/>
    <w:rsid w:val="008F33E4"/>
    <w:rsid w:val="00912CB7"/>
    <w:rsid w:val="00920E4C"/>
    <w:rsid w:val="00993FEA"/>
    <w:rsid w:val="009944E3"/>
    <w:rsid w:val="009A744E"/>
    <w:rsid w:val="009A7BD2"/>
    <w:rsid w:val="009B274D"/>
    <w:rsid w:val="009E7694"/>
    <w:rsid w:val="009F68B5"/>
    <w:rsid w:val="00A03846"/>
    <w:rsid w:val="00A21735"/>
    <w:rsid w:val="00A23910"/>
    <w:rsid w:val="00A454E1"/>
    <w:rsid w:val="00A476E4"/>
    <w:rsid w:val="00AB39EA"/>
    <w:rsid w:val="00AD1F91"/>
    <w:rsid w:val="00AD5170"/>
    <w:rsid w:val="00AE5265"/>
    <w:rsid w:val="00AF4C0D"/>
    <w:rsid w:val="00B0361B"/>
    <w:rsid w:val="00B044FD"/>
    <w:rsid w:val="00B21D2E"/>
    <w:rsid w:val="00B324B6"/>
    <w:rsid w:val="00B32E8F"/>
    <w:rsid w:val="00B434BC"/>
    <w:rsid w:val="00B44F1D"/>
    <w:rsid w:val="00B55272"/>
    <w:rsid w:val="00B709F1"/>
    <w:rsid w:val="00B917EE"/>
    <w:rsid w:val="00B953C4"/>
    <w:rsid w:val="00BB5610"/>
    <w:rsid w:val="00BB56B7"/>
    <w:rsid w:val="00BC128C"/>
    <w:rsid w:val="00BD1028"/>
    <w:rsid w:val="00BD44C3"/>
    <w:rsid w:val="00BF4C31"/>
    <w:rsid w:val="00BF625A"/>
    <w:rsid w:val="00C021DB"/>
    <w:rsid w:val="00C037B2"/>
    <w:rsid w:val="00C05E6D"/>
    <w:rsid w:val="00C06BCB"/>
    <w:rsid w:val="00C67C77"/>
    <w:rsid w:val="00C72CB2"/>
    <w:rsid w:val="00C80F97"/>
    <w:rsid w:val="00C81842"/>
    <w:rsid w:val="00CA4F08"/>
    <w:rsid w:val="00CA77FD"/>
    <w:rsid w:val="00CB4F02"/>
    <w:rsid w:val="00CD3BCB"/>
    <w:rsid w:val="00CE7F7C"/>
    <w:rsid w:val="00CF1BBA"/>
    <w:rsid w:val="00D12796"/>
    <w:rsid w:val="00D13283"/>
    <w:rsid w:val="00D14B49"/>
    <w:rsid w:val="00D21247"/>
    <w:rsid w:val="00D303D3"/>
    <w:rsid w:val="00D4028A"/>
    <w:rsid w:val="00D561EF"/>
    <w:rsid w:val="00D66C66"/>
    <w:rsid w:val="00D70076"/>
    <w:rsid w:val="00DC433B"/>
    <w:rsid w:val="00E005D2"/>
    <w:rsid w:val="00E06763"/>
    <w:rsid w:val="00E12E7C"/>
    <w:rsid w:val="00E13792"/>
    <w:rsid w:val="00E20EB7"/>
    <w:rsid w:val="00E23BAE"/>
    <w:rsid w:val="00E272A5"/>
    <w:rsid w:val="00E308EC"/>
    <w:rsid w:val="00E37C4F"/>
    <w:rsid w:val="00E40A11"/>
    <w:rsid w:val="00E4186E"/>
    <w:rsid w:val="00E639A6"/>
    <w:rsid w:val="00E63F50"/>
    <w:rsid w:val="00E70928"/>
    <w:rsid w:val="00EA1215"/>
    <w:rsid w:val="00EC1019"/>
    <w:rsid w:val="00ED5DD7"/>
    <w:rsid w:val="00F02A13"/>
    <w:rsid w:val="00F050D2"/>
    <w:rsid w:val="00F07915"/>
    <w:rsid w:val="00F12CC4"/>
    <w:rsid w:val="00F614E1"/>
    <w:rsid w:val="00FB0668"/>
    <w:rsid w:val="00FD4FC6"/>
    <w:rsid w:val="00FE7935"/>
    <w:rsid w:val="00FF3101"/>
  </w:rsids>
  <w:docVars>
    <w:docVar w:name="APWAFVersion" w:val="5.0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142DC8-A835-42E7-8D39-AB5C3425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4E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D39B1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uiPriority w:val="99"/>
    <w:semiHidden/>
    <w:rsid w:val="002D39B1"/>
    <w:rPr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5E7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rsid w:val="005E7342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rsid w:val="005E7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5E73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