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3F0B40">
      <w:pPr>
        <w:widowControl/>
        <w:jc w:val="center"/>
        <w:rPr>
          <w:rFonts w:eastAsiaTheme="minorEastAsia"/>
          <w:b/>
          <w:kern w:val="0"/>
          <w:sz w:val="30"/>
          <w:szCs w:val="30"/>
        </w:rPr>
      </w:pPr>
      <w:r>
        <w:rPr>
          <w:rFonts w:eastAsiaTheme="minorEastAsia"/>
          <w:b/>
          <w:kern w:val="0"/>
          <w:sz w:val="30"/>
          <w:szCs w:val="30"/>
        </w:rPr>
        <w:t>易方达裕祥回报债券型证券投资基金分红公告</w:t>
      </w:r>
    </w:p>
    <w:p w:rsidR="003F0B40">
      <w:pPr>
        <w:spacing w:line="560" w:lineRule="exact"/>
        <w:jc w:val="center"/>
        <w:rPr>
          <w:rFonts w:eastAsiaTheme="minorEastAsia"/>
          <w:b/>
          <w:color w:val="000000"/>
          <w:sz w:val="24"/>
          <w:szCs w:val="24"/>
        </w:rPr>
      </w:pPr>
      <w:r>
        <w:rPr>
          <w:rFonts w:eastAsiaTheme="minorEastAsia"/>
          <w:b/>
          <w:color w:val="000000"/>
          <w:sz w:val="24"/>
          <w:szCs w:val="24"/>
        </w:rPr>
        <w:t>公告送出日期：</w:t>
      </w:r>
      <w:r>
        <w:rPr>
          <w:rFonts w:eastAsiaTheme="minorEastAsia"/>
          <w:b/>
          <w:color w:val="000000"/>
          <w:sz w:val="24"/>
          <w:szCs w:val="24"/>
        </w:rPr>
        <w:t>2024</w:t>
      </w:r>
      <w:r>
        <w:rPr>
          <w:rFonts w:eastAsiaTheme="minorEastAsia"/>
          <w:b/>
          <w:color w:val="000000"/>
          <w:sz w:val="24"/>
          <w:szCs w:val="24"/>
        </w:rPr>
        <w:t>年</w:t>
      </w:r>
      <w:r>
        <w:rPr>
          <w:rFonts w:eastAsiaTheme="minorEastAsia"/>
          <w:b/>
          <w:color w:val="000000"/>
          <w:sz w:val="24"/>
          <w:szCs w:val="24"/>
        </w:rPr>
        <w:t>7</w:t>
      </w:r>
      <w:r>
        <w:rPr>
          <w:rFonts w:eastAsiaTheme="minorEastAsia"/>
          <w:b/>
          <w:color w:val="000000"/>
          <w:sz w:val="24"/>
          <w:szCs w:val="24"/>
        </w:rPr>
        <w:t>月</w:t>
      </w:r>
      <w:r>
        <w:rPr>
          <w:rFonts w:eastAsiaTheme="minorEastAsia"/>
          <w:b/>
          <w:color w:val="000000"/>
          <w:sz w:val="24"/>
          <w:szCs w:val="24"/>
        </w:rPr>
        <w:t>12</w:t>
      </w:r>
      <w:r>
        <w:rPr>
          <w:rFonts w:eastAsiaTheme="minorEastAsia"/>
          <w:b/>
          <w:color w:val="000000"/>
          <w:sz w:val="24"/>
          <w:szCs w:val="24"/>
        </w:rPr>
        <w:t>日</w:t>
      </w:r>
    </w:p>
    <w:p w:rsidR="003F0B40">
      <w:pPr>
        <w:spacing w:line="360" w:lineRule="auto"/>
        <w:jc w:val="center"/>
        <w:rPr>
          <w:rFonts w:eastAsiaTheme="minorEastAsia"/>
          <w:color w:val="000000"/>
          <w:sz w:val="24"/>
        </w:rPr>
      </w:pPr>
    </w:p>
    <w:p w:rsidR="003F0B40">
      <w:pPr>
        <w:pStyle w:val="Heading3"/>
        <w:keepNext w:val="0"/>
        <w:keepLines w:val="0"/>
        <w:spacing w:before="0" w:after="0" w:line="360" w:lineRule="auto"/>
        <w:rPr>
          <w:rFonts w:eastAsiaTheme="minorEastAsia"/>
          <w:bCs w:val="0"/>
          <w:sz w:val="24"/>
          <w:szCs w:val="24"/>
        </w:rPr>
      </w:pPr>
      <w:bookmarkStart w:id="0" w:name="_Toc275961418"/>
      <w:r>
        <w:rPr>
          <w:rFonts w:eastAsiaTheme="minorEastAsia"/>
          <w:bCs w:val="0"/>
          <w:sz w:val="24"/>
          <w:szCs w:val="24"/>
        </w:rPr>
        <w:t>1.</w:t>
      </w:r>
      <w:r>
        <w:rPr>
          <w:rFonts w:eastAsiaTheme="minorEastAsia"/>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214"/>
        <w:gridCol w:w="2706"/>
        <w:gridCol w:w="2706"/>
      </w:tblGrid>
      <w:tr>
        <w:tblPrEx>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基金名称</w:t>
            </w:r>
          </w:p>
        </w:tc>
        <w:tc>
          <w:tcPr>
            <w:tcW w:w="5412" w:type="dxa"/>
            <w:gridSpan w:val="2"/>
            <w:vAlign w:val="center"/>
          </w:tcPr>
          <w:p w:rsidR="003F0B40">
            <w:pPr>
              <w:rPr>
                <w:rFonts w:eastAsiaTheme="minorEastAsia"/>
                <w:sz w:val="24"/>
                <w:szCs w:val="24"/>
              </w:rPr>
            </w:pPr>
            <w:r>
              <w:rPr>
                <w:rFonts w:eastAsiaTheme="minorEastAsia"/>
                <w:sz w:val="24"/>
                <w:szCs w:val="24"/>
              </w:rPr>
              <w:t>易方达裕祥回报债券型证券投资基金</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基金简称</w:t>
            </w:r>
          </w:p>
        </w:tc>
        <w:tc>
          <w:tcPr>
            <w:tcW w:w="5412" w:type="dxa"/>
            <w:gridSpan w:val="2"/>
            <w:vAlign w:val="center"/>
          </w:tcPr>
          <w:p w:rsidR="003F0B40">
            <w:pPr>
              <w:rPr>
                <w:rFonts w:eastAsiaTheme="minorEastAsia"/>
                <w:sz w:val="24"/>
                <w:szCs w:val="24"/>
              </w:rPr>
            </w:pPr>
            <w:r>
              <w:rPr>
                <w:rFonts w:eastAsiaTheme="minorEastAsia"/>
                <w:sz w:val="24"/>
                <w:szCs w:val="24"/>
              </w:rPr>
              <w:t>易方达裕祥回报债券</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基金主代码</w:t>
            </w:r>
          </w:p>
        </w:tc>
        <w:tc>
          <w:tcPr>
            <w:tcW w:w="5412" w:type="dxa"/>
            <w:gridSpan w:val="2"/>
            <w:vAlign w:val="center"/>
          </w:tcPr>
          <w:p w:rsidR="003F0B40">
            <w:pPr>
              <w:rPr>
                <w:rFonts w:eastAsiaTheme="minorEastAsia"/>
                <w:sz w:val="24"/>
                <w:szCs w:val="24"/>
              </w:rPr>
            </w:pPr>
            <w:r>
              <w:rPr>
                <w:rFonts w:eastAsiaTheme="minorEastAsia"/>
                <w:sz w:val="24"/>
                <w:szCs w:val="24"/>
              </w:rPr>
              <w:t>002351</w:t>
            </w:r>
          </w:p>
        </w:tc>
      </w:tr>
      <w:tr>
        <w:tblPrEx>
          <w:tblW w:w="9606" w:type="dxa"/>
          <w:jc w:val="center"/>
          <w:tblLayout w:type="fixed"/>
          <w:tblLook w:val="04A0"/>
        </w:tblPrEx>
        <w:trPr>
          <w:jc w:val="center"/>
        </w:trPr>
        <w:tc>
          <w:tcPr>
            <w:tcW w:w="4194" w:type="dxa"/>
            <w:gridSpan w:val="2"/>
            <w:vAlign w:val="center"/>
          </w:tcPr>
          <w:p w:rsidR="003F0B40">
            <w:pPr>
              <w:rPr>
                <w:rFonts w:eastAsiaTheme="minorEastAsia"/>
                <w:sz w:val="24"/>
                <w:szCs w:val="24"/>
              </w:rPr>
            </w:pPr>
            <w:r>
              <w:rPr>
                <w:rFonts w:eastAsiaTheme="minorEastAsia"/>
                <w:sz w:val="24"/>
                <w:szCs w:val="24"/>
              </w:rPr>
              <w:t>基金合同生效日</w:t>
            </w:r>
          </w:p>
        </w:tc>
        <w:tc>
          <w:tcPr>
            <w:tcW w:w="5412" w:type="dxa"/>
            <w:gridSpan w:val="2"/>
            <w:vAlign w:val="center"/>
          </w:tcPr>
          <w:p w:rsidR="003F0B40">
            <w:pPr>
              <w:rPr>
                <w:rFonts w:eastAsiaTheme="minorEastAsia"/>
                <w:sz w:val="24"/>
                <w:szCs w:val="24"/>
              </w:rPr>
            </w:pPr>
            <w:r>
              <w:rPr>
                <w:rFonts w:eastAsiaTheme="minorEastAsia"/>
                <w:sz w:val="24"/>
                <w:szCs w:val="24"/>
              </w:rPr>
              <w:t>2016</w:t>
            </w:r>
            <w:r>
              <w:rPr>
                <w:rFonts w:eastAsiaTheme="minorEastAsia"/>
                <w:sz w:val="24"/>
                <w:szCs w:val="24"/>
              </w:rPr>
              <w:t>年</w:t>
            </w:r>
            <w:r>
              <w:rPr>
                <w:rFonts w:eastAsiaTheme="minorEastAsia"/>
                <w:sz w:val="24"/>
                <w:szCs w:val="24"/>
              </w:rPr>
              <w:t>1</w:t>
            </w:r>
            <w:r>
              <w:rPr>
                <w:rFonts w:eastAsiaTheme="minorEastAsia"/>
                <w:sz w:val="24"/>
                <w:szCs w:val="24"/>
              </w:rPr>
              <w:t>月</w:t>
            </w:r>
            <w:r>
              <w:rPr>
                <w:rFonts w:eastAsiaTheme="minorEastAsia"/>
                <w:sz w:val="24"/>
                <w:szCs w:val="24"/>
              </w:rPr>
              <w:t>22</w:t>
            </w:r>
            <w:r>
              <w:rPr>
                <w:rFonts w:eastAsiaTheme="minorEastAsia"/>
                <w:sz w:val="24"/>
                <w:szCs w:val="24"/>
              </w:rPr>
              <w:t>日</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基金管理人名称</w:t>
            </w:r>
          </w:p>
        </w:tc>
        <w:tc>
          <w:tcPr>
            <w:tcW w:w="5412" w:type="dxa"/>
            <w:gridSpan w:val="2"/>
            <w:vAlign w:val="center"/>
          </w:tcPr>
          <w:p w:rsidR="003F0B40">
            <w:pPr>
              <w:rPr>
                <w:rFonts w:eastAsiaTheme="minorEastAsia"/>
                <w:sz w:val="24"/>
                <w:szCs w:val="24"/>
              </w:rPr>
            </w:pPr>
            <w:r>
              <w:rPr>
                <w:rFonts w:eastAsiaTheme="minorEastAsia"/>
                <w:sz w:val="24"/>
                <w:szCs w:val="24"/>
              </w:rPr>
              <w:t>易方达基金管理有限公司</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基金托管人名称</w:t>
            </w:r>
          </w:p>
        </w:tc>
        <w:tc>
          <w:tcPr>
            <w:tcW w:w="5412" w:type="dxa"/>
            <w:gridSpan w:val="2"/>
            <w:vAlign w:val="center"/>
          </w:tcPr>
          <w:p w:rsidR="003F0B40">
            <w:pPr>
              <w:rPr>
                <w:rFonts w:eastAsiaTheme="minorEastAsia"/>
                <w:sz w:val="24"/>
                <w:szCs w:val="24"/>
              </w:rPr>
            </w:pPr>
            <w:r>
              <w:rPr>
                <w:rFonts w:eastAsiaTheme="minorEastAsia"/>
                <w:sz w:val="24"/>
                <w:szCs w:val="24"/>
              </w:rPr>
              <w:t>上海浦东发展银行股份有限公司</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公告依据</w:t>
            </w:r>
          </w:p>
        </w:tc>
        <w:tc>
          <w:tcPr>
            <w:tcW w:w="5412" w:type="dxa"/>
            <w:gridSpan w:val="2"/>
            <w:vAlign w:val="center"/>
          </w:tcPr>
          <w:p w:rsidR="003F0B40">
            <w:pPr>
              <w:rPr>
                <w:rFonts w:eastAsiaTheme="minorEastAsia"/>
                <w:sz w:val="24"/>
                <w:szCs w:val="24"/>
              </w:rPr>
            </w:pPr>
            <w:r>
              <w:rPr>
                <w:rFonts w:eastAsiaTheme="minorEastAsia"/>
                <w:sz w:val="24"/>
                <w:szCs w:val="24"/>
              </w:rPr>
              <w:t>《公开募集证券投资基金信息披露管理办法》、《易方达裕祥回报债券型证券投资基金基金合同》、《易方达裕祥回报债券型证券投资基金更新的招募说明书》</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收益分配基准日</w:t>
            </w:r>
          </w:p>
        </w:tc>
        <w:tc>
          <w:tcPr>
            <w:tcW w:w="5412" w:type="dxa"/>
            <w:gridSpan w:val="2"/>
          </w:tcPr>
          <w:p w:rsidR="003F0B40">
            <w:pPr>
              <w:rPr>
                <w:rFonts w:eastAsiaTheme="minorEastAsia"/>
                <w:sz w:val="24"/>
                <w:szCs w:val="24"/>
              </w:rPr>
            </w:pP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8</w:t>
            </w:r>
            <w:r>
              <w:rPr>
                <w:rFonts w:eastAsiaTheme="minorEastAsia"/>
                <w:sz w:val="24"/>
                <w:szCs w:val="24"/>
              </w:rPr>
              <w:t>日</w:t>
            </w:r>
          </w:p>
        </w:tc>
      </w:tr>
      <w:tr>
        <w:tblPrEx>
          <w:tblW w:w="9606" w:type="dxa"/>
          <w:jc w:val="center"/>
          <w:tblLayout w:type="fixed"/>
          <w:tblLook w:val="04A0"/>
        </w:tblPrEx>
        <w:trPr>
          <w:jc w:val="center"/>
        </w:trPr>
        <w:tc>
          <w:tcPr>
            <w:tcW w:w="4194" w:type="dxa"/>
            <w:gridSpan w:val="2"/>
            <w:vAlign w:val="center"/>
          </w:tcPr>
          <w:p w:rsidR="003F0B40">
            <w:pPr>
              <w:rPr>
                <w:rFonts w:eastAsiaTheme="minorEastAsia"/>
                <w:sz w:val="24"/>
                <w:szCs w:val="24"/>
              </w:rPr>
            </w:pPr>
            <w:r>
              <w:rPr>
                <w:rFonts w:eastAsiaTheme="minorEastAsia"/>
                <w:sz w:val="24"/>
                <w:szCs w:val="24"/>
              </w:rPr>
              <w:t>有关年度分红次数的说明</w:t>
            </w:r>
          </w:p>
        </w:tc>
        <w:tc>
          <w:tcPr>
            <w:tcW w:w="5412" w:type="dxa"/>
            <w:gridSpan w:val="2"/>
            <w:vAlign w:val="center"/>
          </w:tcPr>
          <w:p w:rsidR="003F0B40">
            <w:pPr>
              <w:rPr>
                <w:rFonts w:eastAsiaTheme="minorEastAsia"/>
                <w:sz w:val="24"/>
                <w:szCs w:val="24"/>
              </w:rPr>
            </w:pPr>
            <w:r>
              <w:rPr>
                <w:rFonts w:eastAsiaTheme="minorEastAsia"/>
                <w:sz w:val="24"/>
                <w:szCs w:val="24"/>
              </w:rPr>
              <w:t>本次分红为</w:t>
            </w:r>
            <w:r>
              <w:rPr>
                <w:rFonts w:eastAsiaTheme="minorEastAsia"/>
                <w:sz w:val="24"/>
                <w:szCs w:val="24"/>
              </w:rPr>
              <w:t>2024</w:t>
            </w:r>
            <w:r>
              <w:rPr>
                <w:rFonts w:eastAsiaTheme="minorEastAsia"/>
                <w:sz w:val="24"/>
                <w:szCs w:val="24"/>
              </w:rPr>
              <w:t>年度的第</w:t>
            </w:r>
            <w:r>
              <w:rPr>
                <w:rFonts w:eastAsiaTheme="minorEastAsia"/>
                <w:sz w:val="24"/>
                <w:szCs w:val="24"/>
              </w:rPr>
              <w:t>1</w:t>
            </w:r>
            <w:r>
              <w:rPr>
                <w:rFonts w:eastAsiaTheme="minorEastAsia"/>
                <w:sz w:val="24"/>
                <w:szCs w:val="24"/>
              </w:rPr>
              <w:t>次分红</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下属分级基金的基金简称</w:t>
            </w:r>
          </w:p>
        </w:tc>
        <w:tc>
          <w:tcPr>
            <w:tcW w:w="2706" w:type="dxa"/>
          </w:tcPr>
          <w:p w:rsidR="003F0B40">
            <w:pPr>
              <w:rPr>
                <w:rFonts w:eastAsiaTheme="minorEastAsia"/>
                <w:sz w:val="24"/>
                <w:szCs w:val="24"/>
              </w:rPr>
            </w:pPr>
            <w:r>
              <w:rPr>
                <w:rFonts w:eastAsiaTheme="minorEastAsia"/>
                <w:sz w:val="24"/>
                <w:szCs w:val="24"/>
              </w:rPr>
              <w:t>易方达裕祥回报债券</w:t>
            </w:r>
            <w:r>
              <w:rPr>
                <w:rFonts w:eastAsiaTheme="minorEastAsia"/>
                <w:sz w:val="24"/>
                <w:szCs w:val="24"/>
              </w:rPr>
              <w:t>A</w:t>
            </w:r>
          </w:p>
        </w:tc>
        <w:tc>
          <w:tcPr>
            <w:tcW w:w="2706" w:type="dxa"/>
          </w:tcPr>
          <w:p w:rsidR="003F0B40">
            <w:pPr>
              <w:rPr>
                <w:rFonts w:eastAsiaTheme="minorEastAsia"/>
                <w:sz w:val="24"/>
                <w:szCs w:val="24"/>
              </w:rPr>
            </w:pPr>
            <w:r>
              <w:rPr>
                <w:rFonts w:eastAsiaTheme="minorEastAsia"/>
                <w:sz w:val="24"/>
                <w:szCs w:val="24"/>
              </w:rPr>
              <w:t>易方达裕祥回报债券</w:t>
            </w:r>
            <w:r>
              <w:rPr>
                <w:rFonts w:eastAsiaTheme="minorEastAsia"/>
                <w:sz w:val="24"/>
                <w:szCs w:val="24"/>
              </w:rPr>
              <w:t>C</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下属分级基金的交易代码</w:t>
            </w:r>
          </w:p>
        </w:tc>
        <w:tc>
          <w:tcPr>
            <w:tcW w:w="2706" w:type="dxa"/>
          </w:tcPr>
          <w:p w:rsidR="003F0B40">
            <w:pPr>
              <w:rPr>
                <w:rFonts w:eastAsiaTheme="minorEastAsia"/>
                <w:sz w:val="24"/>
                <w:szCs w:val="24"/>
              </w:rPr>
            </w:pPr>
            <w:r>
              <w:rPr>
                <w:rFonts w:eastAsiaTheme="minorEastAsia"/>
                <w:sz w:val="24"/>
                <w:szCs w:val="24"/>
              </w:rPr>
              <w:t>002351</w:t>
            </w:r>
          </w:p>
        </w:tc>
        <w:tc>
          <w:tcPr>
            <w:tcW w:w="2706" w:type="dxa"/>
          </w:tcPr>
          <w:p w:rsidR="003F0B40">
            <w:pPr>
              <w:rPr>
                <w:rFonts w:eastAsiaTheme="minorEastAsia"/>
                <w:sz w:val="24"/>
                <w:szCs w:val="24"/>
              </w:rPr>
            </w:pPr>
            <w:r>
              <w:rPr>
                <w:rFonts w:eastAsiaTheme="minorEastAsia"/>
                <w:sz w:val="24"/>
                <w:szCs w:val="24"/>
              </w:rPr>
              <w:t>017420</w:t>
            </w:r>
          </w:p>
        </w:tc>
      </w:tr>
      <w:tr>
        <w:tblPrEx>
          <w:tblW w:w="9606" w:type="dxa"/>
          <w:jc w:val="center"/>
          <w:tblLayout w:type="fixed"/>
          <w:tblLook w:val="04A0"/>
        </w:tblPrEx>
        <w:trPr>
          <w:jc w:val="center"/>
        </w:trPr>
        <w:tc>
          <w:tcPr>
            <w:tcW w:w="1980" w:type="dxa"/>
            <w:vMerge w:val="restart"/>
            <w:vAlign w:val="center"/>
          </w:tcPr>
          <w:p w:rsidR="003F0B40">
            <w:pPr>
              <w:rPr>
                <w:rFonts w:eastAsiaTheme="minorEastAsia"/>
                <w:sz w:val="24"/>
                <w:szCs w:val="24"/>
              </w:rPr>
            </w:pPr>
            <w:r>
              <w:rPr>
                <w:rFonts w:eastAsiaTheme="minorEastAsia"/>
                <w:sz w:val="24"/>
                <w:szCs w:val="24"/>
              </w:rPr>
              <w:t>截止基准日下属分级基金的相关指标</w:t>
            </w:r>
          </w:p>
        </w:tc>
        <w:tc>
          <w:tcPr>
            <w:tcW w:w="2214" w:type="dxa"/>
          </w:tcPr>
          <w:p w:rsidR="003F0B40">
            <w:pPr>
              <w:rPr>
                <w:rFonts w:eastAsiaTheme="minorEastAsia"/>
                <w:sz w:val="24"/>
                <w:szCs w:val="24"/>
              </w:rPr>
            </w:pPr>
            <w:r>
              <w:rPr>
                <w:rFonts w:eastAsiaTheme="minorEastAsia"/>
                <w:sz w:val="24"/>
                <w:szCs w:val="24"/>
              </w:rPr>
              <w:t>基准日下属分级基金份额净值（单位：</w:t>
            </w:r>
            <w:r>
              <w:rPr>
                <w:rFonts w:eastAsia="宋体" w:hint="eastAsia"/>
                <w:sz w:val="24"/>
                <w:szCs w:val="24"/>
              </w:rPr>
              <w:t>人民币</w:t>
            </w:r>
            <w:r>
              <w:rPr>
                <w:rFonts w:eastAsiaTheme="minorEastAsia"/>
                <w:sz w:val="24"/>
                <w:szCs w:val="24"/>
              </w:rPr>
              <w:t>元）</w:t>
            </w:r>
          </w:p>
        </w:tc>
        <w:tc>
          <w:tcPr>
            <w:tcW w:w="2706" w:type="dxa"/>
          </w:tcPr>
          <w:p w:rsidR="003F0B40">
            <w:pPr>
              <w:rPr>
                <w:rFonts w:eastAsiaTheme="minorEastAsia"/>
                <w:sz w:val="24"/>
                <w:szCs w:val="24"/>
              </w:rPr>
            </w:pPr>
            <w:r>
              <w:rPr>
                <w:rFonts w:eastAsiaTheme="minorEastAsia"/>
                <w:sz w:val="24"/>
                <w:szCs w:val="24"/>
              </w:rPr>
              <w:t>1.606</w:t>
            </w:r>
          </w:p>
        </w:tc>
        <w:tc>
          <w:tcPr>
            <w:tcW w:w="2706" w:type="dxa"/>
          </w:tcPr>
          <w:p w:rsidR="003F0B40">
            <w:pPr>
              <w:rPr>
                <w:rFonts w:eastAsiaTheme="minorEastAsia"/>
                <w:sz w:val="24"/>
                <w:szCs w:val="24"/>
              </w:rPr>
            </w:pPr>
            <w:r>
              <w:rPr>
                <w:rFonts w:eastAsiaTheme="minorEastAsia"/>
                <w:sz w:val="24"/>
                <w:szCs w:val="24"/>
              </w:rPr>
              <w:t>1.599</w:t>
            </w:r>
          </w:p>
        </w:tc>
      </w:tr>
      <w:tr>
        <w:tblPrEx>
          <w:tblW w:w="9606" w:type="dxa"/>
          <w:jc w:val="center"/>
          <w:tblLayout w:type="fixed"/>
          <w:tblLook w:val="04A0"/>
        </w:tblPrEx>
        <w:trPr>
          <w:trHeight w:val="405"/>
          <w:jc w:val="center"/>
        </w:trPr>
        <w:tc>
          <w:tcPr>
            <w:tcW w:w="1980" w:type="dxa"/>
            <w:vMerge/>
          </w:tcPr>
          <w:p w:rsidR="003F0B40">
            <w:pPr>
              <w:rPr>
                <w:rFonts w:eastAsiaTheme="minorEastAsia"/>
                <w:sz w:val="24"/>
                <w:szCs w:val="24"/>
              </w:rPr>
            </w:pPr>
          </w:p>
        </w:tc>
        <w:tc>
          <w:tcPr>
            <w:tcW w:w="2214" w:type="dxa"/>
            <w:vAlign w:val="center"/>
          </w:tcPr>
          <w:p w:rsidR="003F0B40">
            <w:pPr>
              <w:rPr>
                <w:rFonts w:eastAsiaTheme="minorEastAsia"/>
                <w:sz w:val="24"/>
                <w:szCs w:val="24"/>
              </w:rPr>
            </w:pPr>
            <w:r>
              <w:rPr>
                <w:rFonts w:eastAsiaTheme="minorEastAsia"/>
                <w:sz w:val="24"/>
                <w:szCs w:val="24"/>
              </w:rPr>
              <w:t>基准日下属分级基金可供分配利润（单位：</w:t>
            </w:r>
            <w:r>
              <w:rPr>
                <w:rFonts w:eastAsia="宋体" w:hint="eastAsia"/>
                <w:sz w:val="24"/>
                <w:szCs w:val="24"/>
              </w:rPr>
              <w:t>人民币</w:t>
            </w:r>
            <w:r>
              <w:rPr>
                <w:rFonts w:eastAsiaTheme="minorEastAsia"/>
                <w:sz w:val="24"/>
                <w:szCs w:val="24"/>
              </w:rPr>
              <w:t>元）</w:t>
            </w:r>
          </w:p>
        </w:tc>
        <w:tc>
          <w:tcPr>
            <w:tcW w:w="2706" w:type="dxa"/>
          </w:tcPr>
          <w:p w:rsidR="003F0B40">
            <w:pPr>
              <w:rPr>
                <w:rFonts w:eastAsiaTheme="minorEastAsia"/>
                <w:sz w:val="24"/>
                <w:szCs w:val="24"/>
              </w:rPr>
            </w:pPr>
            <w:r>
              <w:rPr>
                <w:rFonts w:eastAsiaTheme="minorEastAsia"/>
                <w:sz w:val="24"/>
                <w:szCs w:val="24"/>
              </w:rPr>
              <w:t>3,444,511,911.58</w:t>
            </w:r>
          </w:p>
        </w:tc>
        <w:tc>
          <w:tcPr>
            <w:tcW w:w="2706" w:type="dxa"/>
          </w:tcPr>
          <w:p w:rsidR="003F0B40">
            <w:pPr>
              <w:rPr>
                <w:rFonts w:eastAsiaTheme="minorEastAsia"/>
                <w:sz w:val="24"/>
                <w:szCs w:val="24"/>
              </w:rPr>
            </w:pPr>
            <w:r>
              <w:rPr>
                <w:rFonts w:eastAsiaTheme="minorEastAsia"/>
                <w:sz w:val="24"/>
                <w:szCs w:val="24"/>
              </w:rPr>
              <w:t>193,556,476.20</w:t>
            </w:r>
          </w:p>
        </w:tc>
      </w:tr>
      <w:tr>
        <w:tblPrEx>
          <w:tblW w:w="9606" w:type="dxa"/>
          <w:jc w:val="center"/>
          <w:tblLayout w:type="fixed"/>
          <w:tblLook w:val="04A0"/>
        </w:tblPrEx>
        <w:trPr>
          <w:jc w:val="center"/>
        </w:trPr>
        <w:tc>
          <w:tcPr>
            <w:tcW w:w="1980" w:type="dxa"/>
            <w:vMerge/>
          </w:tcPr>
          <w:p w:rsidR="00BA30AE"/>
        </w:tc>
        <w:tc>
          <w:tcPr>
            <w:tcW w:w="2214" w:type="dxa"/>
            <w:vAlign w:val="center"/>
          </w:tcPr>
          <w:p w:rsidR="00BA30AE">
            <w:pPr>
              <w:jc w:val="left"/>
            </w:pPr>
            <w:r>
              <w:rPr>
                <w:rFonts w:eastAsiaTheme="minorEastAsia"/>
                <w:sz w:val="24"/>
                <w:szCs w:val="24"/>
              </w:rPr>
              <w:t>截止基准日按照基金合同约定的分红比例计算的应分配金额（单位：人民币元）</w:t>
            </w:r>
          </w:p>
        </w:tc>
        <w:tc>
          <w:tcPr>
            <w:tcW w:w="2706" w:type="dxa"/>
            <w:vAlign w:val="center"/>
          </w:tcPr>
          <w:p w:rsidR="00BA30AE">
            <w:pPr>
              <w:jc w:val="left"/>
            </w:pPr>
            <w:r>
              <w:rPr>
                <w:rFonts w:eastAsiaTheme="minorEastAsia"/>
                <w:sz w:val="24"/>
                <w:szCs w:val="24"/>
              </w:rPr>
              <w:t>-</w:t>
            </w:r>
          </w:p>
        </w:tc>
        <w:tc>
          <w:tcPr>
            <w:tcW w:w="2706" w:type="dxa"/>
            <w:vAlign w:val="center"/>
          </w:tcPr>
          <w:p w:rsidR="00BA30AE">
            <w:pPr>
              <w:jc w:val="left"/>
            </w:pPr>
            <w:r>
              <w:rPr>
                <w:rFonts w:eastAsiaTheme="minorEastAsia"/>
                <w:sz w:val="24"/>
                <w:szCs w:val="24"/>
              </w:rPr>
              <w:t>-</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本次下属分级基金分红方案（单位：</w:t>
            </w:r>
            <w:r>
              <w:rPr>
                <w:rFonts w:eastAsia="宋体" w:hint="eastAsia"/>
                <w:sz w:val="24"/>
                <w:szCs w:val="24"/>
              </w:rPr>
              <w:t>人民币</w:t>
            </w:r>
            <w:r>
              <w:rPr>
                <w:rFonts w:eastAsiaTheme="minorEastAsia"/>
                <w:sz w:val="24"/>
                <w:szCs w:val="24"/>
              </w:rPr>
              <w:t>元</w:t>
            </w:r>
            <w:r>
              <w:rPr>
                <w:rFonts w:eastAsiaTheme="minorEastAsia"/>
                <w:sz w:val="24"/>
                <w:szCs w:val="24"/>
              </w:rPr>
              <w:t>/10</w:t>
            </w:r>
            <w:r>
              <w:rPr>
                <w:rFonts w:eastAsiaTheme="minorEastAsia"/>
                <w:sz w:val="24"/>
                <w:szCs w:val="24"/>
              </w:rPr>
              <w:t>份基金份额）</w:t>
            </w:r>
          </w:p>
        </w:tc>
        <w:tc>
          <w:tcPr>
            <w:tcW w:w="2706" w:type="dxa"/>
          </w:tcPr>
          <w:p w:rsidR="003F0B40">
            <w:pPr>
              <w:rPr>
                <w:rFonts w:eastAsiaTheme="minorEastAsia"/>
                <w:sz w:val="24"/>
                <w:szCs w:val="24"/>
              </w:rPr>
            </w:pPr>
            <w:r>
              <w:rPr>
                <w:rFonts w:eastAsiaTheme="minorEastAsia"/>
                <w:sz w:val="24"/>
                <w:szCs w:val="24"/>
              </w:rPr>
              <w:t>0.460</w:t>
            </w:r>
          </w:p>
        </w:tc>
        <w:tc>
          <w:tcPr>
            <w:tcW w:w="2706" w:type="dxa"/>
          </w:tcPr>
          <w:p w:rsidR="003F0B40">
            <w:pPr>
              <w:rPr>
                <w:rFonts w:eastAsiaTheme="minorEastAsia"/>
                <w:sz w:val="24"/>
                <w:szCs w:val="24"/>
              </w:rPr>
            </w:pPr>
            <w:r>
              <w:rPr>
                <w:rFonts w:eastAsiaTheme="minorEastAsia"/>
                <w:sz w:val="24"/>
                <w:szCs w:val="24"/>
              </w:rPr>
              <w:t>0.460</w:t>
            </w:r>
          </w:p>
        </w:tc>
      </w:tr>
    </w:tbl>
    <w:p w:rsidR="003F0B40">
      <w:pPr>
        <w:spacing w:line="360" w:lineRule="auto"/>
        <w:rPr>
          <w:rFonts w:eastAsiaTheme="minorEastAsia"/>
          <w:sz w:val="24"/>
          <w:szCs w:val="24"/>
        </w:rPr>
      </w:pPr>
    </w:p>
    <w:p w:rsidR="003F0B40">
      <w:pPr>
        <w:pStyle w:val="Heading3"/>
        <w:keepNext w:val="0"/>
        <w:keepLines w:val="0"/>
        <w:spacing w:before="0" w:after="0" w:line="360" w:lineRule="auto"/>
        <w:rPr>
          <w:rFonts w:eastAsiaTheme="minorEastAsia"/>
          <w:bCs w:val="0"/>
          <w:sz w:val="24"/>
          <w:szCs w:val="24"/>
        </w:rPr>
      </w:pPr>
      <w:bookmarkStart w:id="1" w:name="_Toc275961419"/>
      <w:r>
        <w:rPr>
          <w:rFonts w:eastAsiaTheme="minorEastAsia"/>
          <w:bCs w:val="0"/>
          <w:sz w:val="24"/>
          <w:szCs w:val="24"/>
        </w:rPr>
        <w:t>2.</w:t>
      </w:r>
      <w:r>
        <w:rPr>
          <w:rFonts w:eastAsiaTheme="minorEastAsia"/>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2"/>
        <w:gridCol w:w="5978"/>
      </w:tblGrid>
      <w:tr>
        <w:tblPrEx>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权益登记日</w:t>
            </w:r>
          </w:p>
        </w:tc>
        <w:tc>
          <w:tcPr>
            <w:tcW w:w="5978" w:type="dxa"/>
          </w:tcPr>
          <w:p w:rsidR="003F0B40">
            <w:pPr>
              <w:rPr>
                <w:rFonts w:eastAsiaTheme="minorEastAsia"/>
                <w:sz w:val="24"/>
                <w:szCs w:val="24"/>
              </w:rPr>
            </w:pP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15</w:t>
            </w:r>
            <w:r>
              <w:rPr>
                <w:rFonts w:eastAsiaTheme="minorEastAsia"/>
                <w:sz w:val="24"/>
                <w:szCs w:val="24"/>
              </w:rPr>
              <w:t>日</w:t>
            </w:r>
          </w:p>
        </w:tc>
      </w:tr>
      <w:tr w:rsidTr="00192DE5">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除息日</w:t>
            </w:r>
          </w:p>
        </w:tc>
        <w:tc>
          <w:tcPr>
            <w:tcW w:w="2989" w:type="dxa"/>
          </w:tcPr>
          <w:p w:rsidR="003F0B40">
            <w:pPr>
              <w:rPr>
                <w:rFonts w:eastAsiaTheme="minorEastAsia" w:hint="eastAsia"/>
                <w:sz w:val="24"/>
                <w:szCs w:val="24"/>
              </w:rPr>
            </w:pP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15</w:t>
            </w:r>
            <w:r w:rsidR="00192DE5">
              <w:rPr>
                <w:rFonts w:eastAsiaTheme="minorEastAsia"/>
                <w:sz w:val="24"/>
                <w:szCs w:val="24"/>
              </w:rPr>
              <w:t>日</w:t>
            </w:r>
            <w:bookmarkStart w:id="2" w:name="_GoBack"/>
            <w:bookmarkEnd w:id="2"/>
          </w:p>
        </w:tc>
      </w:tr>
      <w:tr>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现金红利发放日</w:t>
            </w:r>
          </w:p>
        </w:tc>
        <w:tc>
          <w:tcPr>
            <w:tcW w:w="5978" w:type="dxa"/>
          </w:tcPr>
          <w:p w:rsidR="003F0B40">
            <w:pPr>
              <w:rPr>
                <w:rFonts w:eastAsiaTheme="minorEastAsia"/>
                <w:sz w:val="24"/>
                <w:szCs w:val="24"/>
              </w:rPr>
            </w:pP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16</w:t>
            </w:r>
            <w:r>
              <w:rPr>
                <w:rFonts w:eastAsiaTheme="minorEastAsia"/>
                <w:sz w:val="24"/>
                <w:szCs w:val="24"/>
              </w:rPr>
              <w:t>日</w:t>
            </w:r>
          </w:p>
        </w:tc>
      </w:tr>
      <w:tr>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分红对象</w:t>
            </w:r>
          </w:p>
        </w:tc>
        <w:tc>
          <w:tcPr>
            <w:tcW w:w="5978" w:type="dxa"/>
            <w:shd w:val="clear" w:color="auto" w:fill="auto"/>
          </w:tcPr>
          <w:p w:rsidR="003F0B40">
            <w:pPr>
              <w:rPr>
                <w:rFonts w:eastAsiaTheme="minorEastAsia"/>
                <w:sz w:val="24"/>
                <w:szCs w:val="24"/>
              </w:rPr>
            </w:pPr>
            <w:r>
              <w:rPr>
                <w:rFonts w:eastAsiaTheme="minorEastAsia"/>
                <w:sz w:val="24"/>
                <w:szCs w:val="24"/>
              </w:rPr>
              <w:t>权益登记日在易方达基金管理有限公司登记在册的本基金全体持有人。</w:t>
            </w:r>
          </w:p>
        </w:tc>
      </w:tr>
      <w:tr>
        <w:tblPrEx>
          <w:tblW w:w="9320" w:type="dxa"/>
          <w:jc w:val="center"/>
          <w:tblLayout w:type="fixed"/>
          <w:tblLook w:val="04A0"/>
        </w:tblPrEx>
        <w:trPr>
          <w:jc w:val="center"/>
        </w:trPr>
        <w:tc>
          <w:tcPr>
            <w:tcW w:w="3342" w:type="dxa"/>
            <w:shd w:val="clear" w:color="auto" w:fill="auto"/>
            <w:vAlign w:val="center"/>
          </w:tcPr>
          <w:p w:rsidR="003F0B40">
            <w:pPr>
              <w:rPr>
                <w:rFonts w:eastAsiaTheme="minorEastAsia"/>
                <w:sz w:val="24"/>
                <w:szCs w:val="24"/>
              </w:rPr>
            </w:pPr>
            <w:r>
              <w:rPr>
                <w:rFonts w:eastAsiaTheme="minorEastAsia"/>
                <w:sz w:val="24"/>
                <w:szCs w:val="24"/>
              </w:rPr>
              <w:t>红利再投资相关事项的说明</w:t>
            </w:r>
          </w:p>
        </w:tc>
        <w:tc>
          <w:tcPr>
            <w:tcW w:w="5978" w:type="dxa"/>
            <w:shd w:val="clear" w:color="auto" w:fill="auto"/>
          </w:tcPr>
          <w:p w:rsidR="003F0B40">
            <w:pPr>
              <w:rPr>
                <w:rFonts w:eastAsiaTheme="minorEastAsia"/>
                <w:sz w:val="24"/>
                <w:szCs w:val="24"/>
              </w:rPr>
            </w:pPr>
            <w:r>
              <w:rPr>
                <w:rFonts w:eastAsiaTheme="minorEastAsia"/>
                <w:sz w:val="24"/>
                <w:szCs w:val="24"/>
              </w:rPr>
              <w:t>选择红利再投资方式的投资者红利再投资所得的基金份额将按</w:t>
            </w: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15</w:t>
            </w:r>
            <w:r>
              <w:rPr>
                <w:rFonts w:eastAsiaTheme="minorEastAsia"/>
                <w:sz w:val="24"/>
                <w:szCs w:val="24"/>
              </w:rPr>
              <w:t>日的基金份额净值计算确定，本</w:t>
            </w:r>
            <w:r>
              <w:rPr>
                <w:rFonts w:eastAsiaTheme="minorEastAsia"/>
                <w:sz w:val="24"/>
                <w:szCs w:val="24"/>
              </w:rPr>
              <w:t>公司将于红利发放日对红利再投资的基金份额进行确认并通知各销售机构，本次红利再投资所得份额的持有期限自红利发放日开始计算。</w:t>
            </w: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17</w:t>
            </w:r>
            <w:r>
              <w:rPr>
                <w:rFonts w:eastAsiaTheme="minorEastAsia"/>
                <w:sz w:val="24"/>
                <w:szCs w:val="24"/>
              </w:rPr>
              <w:t>日起投资者可以查询、赎回。权益登记日之前（不含权益登记日）办理了转托管转出尚未办理转托管转入的基金份额，其分红方式按照红利再投资处理。</w:t>
            </w:r>
          </w:p>
        </w:tc>
      </w:tr>
      <w:tr>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税收相关事项的说明</w:t>
            </w:r>
          </w:p>
        </w:tc>
        <w:tc>
          <w:tcPr>
            <w:tcW w:w="5978" w:type="dxa"/>
            <w:shd w:val="clear" w:color="auto" w:fill="auto"/>
          </w:tcPr>
          <w:p w:rsidR="003F0B40">
            <w:pPr>
              <w:rPr>
                <w:rFonts w:eastAsiaTheme="minorEastAsia"/>
                <w:sz w:val="24"/>
                <w:szCs w:val="24"/>
              </w:rPr>
            </w:pPr>
            <w:r>
              <w:rPr>
                <w:rFonts w:eastAsiaTheme="minorEastAsia"/>
                <w:sz w:val="24"/>
                <w:szCs w:val="24"/>
              </w:rPr>
              <w:t>根据相关法律法规规定，基金向投资者分配的基金收益，暂不征收所得税。</w:t>
            </w:r>
          </w:p>
        </w:tc>
      </w:tr>
      <w:tr>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费用相关事项的说明</w:t>
            </w:r>
          </w:p>
        </w:tc>
        <w:tc>
          <w:tcPr>
            <w:tcW w:w="5978" w:type="dxa"/>
            <w:shd w:val="clear" w:color="auto" w:fill="auto"/>
          </w:tcPr>
          <w:p w:rsidR="003F0B40">
            <w:pPr>
              <w:rPr>
                <w:rFonts w:eastAsiaTheme="minorEastAsia"/>
                <w:sz w:val="24"/>
                <w:szCs w:val="24"/>
              </w:rPr>
            </w:pPr>
            <w:r>
              <w:rPr>
                <w:rFonts w:eastAsiaTheme="minorEastAsia"/>
                <w:sz w:val="24"/>
                <w:szCs w:val="24"/>
              </w:rPr>
              <w:t>本基金本次分红免收分红手续费；选择红利再投资方式的投资者其红利再投资所得的基金份额免收申购费用。</w:t>
            </w:r>
          </w:p>
        </w:tc>
      </w:tr>
    </w:tbl>
    <w:p w:rsidR="00BA30AE">
      <w:pPr>
        <w:spacing w:line="360" w:lineRule="auto"/>
        <w:ind w:firstLine="480" w:firstLineChars="200"/>
        <w:rPr>
          <w:rFonts w:eastAsiaTheme="minorEastAsia"/>
          <w:color w:val="000000"/>
          <w:sz w:val="24"/>
          <w:szCs w:val="24"/>
        </w:rPr>
      </w:pPr>
      <w:r>
        <w:rPr>
          <w:rFonts w:eastAsiaTheme="minorEastAsia"/>
          <w:color w:val="000000"/>
          <w:sz w:val="24"/>
          <w:szCs w:val="24"/>
        </w:rPr>
        <w:t>注：（</w:t>
      </w:r>
      <w:r>
        <w:rPr>
          <w:rFonts w:eastAsiaTheme="minorEastAsia"/>
          <w:color w:val="000000"/>
          <w:sz w:val="24"/>
          <w:szCs w:val="24"/>
        </w:rPr>
        <w:t>1</w:t>
      </w:r>
      <w:r>
        <w:rPr>
          <w:rFonts w:eastAsiaTheme="minorEastAsia"/>
          <w:color w:val="000000"/>
          <w:sz w:val="24"/>
          <w:szCs w:val="24"/>
        </w:rPr>
        <w:t>）选择现金红利方式的投资者的红利款将于</w:t>
      </w:r>
      <w:r>
        <w:rPr>
          <w:rFonts w:eastAsiaTheme="minorEastAsia"/>
          <w:color w:val="000000"/>
          <w:sz w:val="24"/>
          <w:szCs w:val="24"/>
        </w:rPr>
        <w:t>2024</w:t>
      </w:r>
      <w:r>
        <w:rPr>
          <w:rFonts w:eastAsiaTheme="minorEastAsia"/>
          <w:color w:val="000000"/>
          <w:sz w:val="24"/>
          <w:szCs w:val="24"/>
        </w:rPr>
        <w:t>年</w:t>
      </w:r>
      <w:r>
        <w:rPr>
          <w:rFonts w:eastAsiaTheme="minorEastAsia"/>
          <w:color w:val="000000"/>
          <w:sz w:val="24"/>
          <w:szCs w:val="24"/>
        </w:rPr>
        <w:t>7</w:t>
      </w:r>
      <w:r>
        <w:rPr>
          <w:rFonts w:eastAsiaTheme="minorEastAsia"/>
          <w:color w:val="000000"/>
          <w:sz w:val="24"/>
          <w:szCs w:val="24"/>
        </w:rPr>
        <w:t>月</w:t>
      </w:r>
      <w:r>
        <w:rPr>
          <w:rFonts w:eastAsiaTheme="minorEastAsia"/>
          <w:color w:val="000000"/>
          <w:sz w:val="24"/>
          <w:szCs w:val="24"/>
        </w:rPr>
        <w:t>16</w:t>
      </w:r>
      <w:r>
        <w:rPr>
          <w:rFonts w:eastAsiaTheme="minorEastAsia"/>
          <w:color w:val="000000"/>
          <w:sz w:val="24"/>
          <w:szCs w:val="24"/>
        </w:rPr>
        <w:t>日自基金托管账户划出。</w:t>
      </w:r>
    </w:p>
    <w:p w:rsidR="003F0B40">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2</w:t>
      </w:r>
      <w:r>
        <w:rPr>
          <w:rFonts w:eastAsiaTheme="minorEastAsia"/>
          <w:color w:val="000000"/>
          <w:sz w:val="24"/>
          <w:szCs w:val="24"/>
        </w:rPr>
        <w:t>）冻结基金份额的红利发放按照《易方达基金管理有限公司开放式基金业务规则》的相关规定处理。</w:t>
      </w:r>
    </w:p>
    <w:p w:rsidR="003F0B40">
      <w:pPr>
        <w:spacing w:line="360" w:lineRule="auto"/>
        <w:rPr>
          <w:rFonts w:eastAsiaTheme="minorEastAsia"/>
          <w:color w:val="000000"/>
          <w:sz w:val="24"/>
          <w:szCs w:val="24"/>
        </w:rPr>
      </w:pPr>
    </w:p>
    <w:p w:rsidR="003F0B40">
      <w:pPr>
        <w:pStyle w:val="Heading3"/>
        <w:keepNext w:val="0"/>
        <w:keepLines w:val="0"/>
        <w:spacing w:before="0" w:after="0" w:line="360" w:lineRule="auto"/>
        <w:rPr>
          <w:rFonts w:eastAsiaTheme="minorEastAsia"/>
          <w:bCs w:val="0"/>
          <w:sz w:val="24"/>
          <w:szCs w:val="24"/>
        </w:rPr>
      </w:pPr>
      <w:bookmarkStart w:id="3" w:name="_Toc275961420"/>
      <w:r>
        <w:rPr>
          <w:rFonts w:eastAsiaTheme="minorEastAsia"/>
          <w:bCs w:val="0"/>
          <w:sz w:val="24"/>
          <w:szCs w:val="24"/>
        </w:rPr>
        <w:t>3.</w:t>
      </w:r>
      <w:r>
        <w:rPr>
          <w:rFonts w:eastAsiaTheme="minorEastAsia"/>
          <w:bCs w:val="0"/>
          <w:sz w:val="24"/>
          <w:szCs w:val="24"/>
        </w:rPr>
        <w:t>其他需要提示的事项</w:t>
      </w:r>
      <w:bookmarkEnd w:id="3"/>
    </w:p>
    <w:p w:rsidR="00BA30AE">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1</w:t>
      </w:r>
      <w:r>
        <w:rPr>
          <w:rFonts w:eastAsiaTheme="minorEastAsia"/>
          <w:color w:val="000000"/>
          <w:sz w:val="24"/>
          <w:szCs w:val="24"/>
        </w:rPr>
        <w:t>）权益登记日申请申购或转换转入的基金份额不享有本次分红权益，权益登记日申请赎回或转换转出的基金份额享有本次分红权益。</w:t>
      </w:r>
      <w:r>
        <w:rPr>
          <w:rFonts w:eastAsiaTheme="minorEastAsia"/>
          <w:color w:val="000000"/>
          <w:sz w:val="24"/>
          <w:szCs w:val="24"/>
        </w:rPr>
        <w:t xml:space="preserve"> </w:t>
      </w:r>
    </w:p>
    <w:p w:rsidR="00BA30AE">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2</w:t>
      </w:r>
      <w:r>
        <w:rPr>
          <w:rFonts w:eastAsiaTheme="minorEastAsia"/>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销售机构办理变更手续，投资者在权益登记日前一工作日交易时间结束后提交的修改分红方式申请对本次分红无效。</w:t>
      </w:r>
    </w:p>
    <w:p w:rsidR="00BA30AE">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3</w:t>
      </w:r>
      <w:r>
        <w:rPr>
          <w:rFonts w:eastAsiaTheme="minorEastAsia"/>
          <w:color w:val="000000"/>
          <w:sz w:val="24"/>
          <w:szCs w:val="24"/>
        </w:rPr>
        <w:t>）投资者可以通过拨打易方达基金管理有限公司客户服务热线</w:t>
      </w:r>
      <w:r>
        <w:rPr>
          <w:rFonts w:eastAsiaTheme="minorEastAsia"/>
          <w:color w:val="000000"/>
          <w:sz w:val="24"/>
          <w:szCs w:val="24"/>
        </w:rPr>
        <w:t>40088-18088</w:t>
      </w:r>
      <w:r>
        <w:rPr>
          <w:rFonts w:eastAsiaTheme="minorEastAsia"/>
          <w:color w:val="000000"/>
          <w:sz w:val="24"/>
          <w:szCs w:val="24"/>
        </w:rPr>
        <w:t>，或登陆网站</w:t>
      </w:r>
      <w:r>
        <w:rPr>
          <w:rFonts w:eastAsiaTheme="minorEastAsia"/>
          <w:color w:val="000000"/>
          <w:sz w:val="24"/>
          <w:szCs w:val="24"/>
        </w:rPr>
        <w:t>www.efunds.com.cn</w:t>
      </w:r>
      <w:r>
        <w:rPr>
          <w:rFonts w:eastAsiaTheme="minorEastAsia"/>
          <w:color w:val="000000"/>
          <w:sz w:val="24"/>
          <w:szCs w:val="24"/>
        </w:rPr>
        <w:t>了解相关情况。投资者也可以前往本基金有关销售机构进行咨询。本基金的销售机构详见基金管理人网站公示。</w:t>
      </w:r>
    </w:p>
    <w:p w:rsidR="003F0B40">
      <w:pPr>
        <w:spacing w:line="360" w:lineRule="auto"/>
        <w:ind w:firstLine="480" w:firstLineChars="200"/>
        <w:rPr>
          <w:rFonts w:eastAsiaTheme="minorEastAsia"/>
          <w:color w:val="000000"/>
          <w:sz w:val="24"/>
          <w:szCs w:val="24"/>
        </w:rPr>
      </w:pPr>
      <w:r>
        <w:rPr>
          <w:rFonts w:eastAsiaTheme="minorEastAsia"/>
          <w:color w:val="000000"/>
          <w:sz w:val="24"/>
          <w:szCs w:val="24"/>
        </w:rPr>
        <w:t>特此公告。</w:t>
      </w:r>
    </w:p>
    <w:p w:rsidR="003F0B40">
      <w:pPr>
        <w:spacing w:line="360" w:lineRule="auto"/>
        <w:ind w:firstLine="480" w:firstLineChars="200"/>
        <w:rPr>
          <w:rFonts w:eastAsiaTheme="minorEastAsia"/>
          <w:color w:val="000000"/>
          <w:sz w:val="24"/>
          <w:szCs w:val="24"/>
        </w:rPr>
      </w:pPr>
    </w:p>
    <w:p w:rsidR="003F0B40">
      <w:pPr>
        <w:spacing w:line="360" w:lineRule="auto"/>
        <w:ind w:firstLine="480" w:firstLineChars="200"/>
        <w:rPr>
          <w:rFonts w:eastAsiaTheme="minorEastAsia"/>
          <w:color w:val="000000"/>
          <w:sz w:val="24"/>
          <w:szCs w:val="24"/>
        </w:rPr>
      </w:pPr>
    </w:p>
    <w:p w:rsidR="003F0B40">
      <w:pPr>
        <w:spacing w:line="360" w:lineRule="auto"/>
        <w:ind w:firstLine="480" w:firstLineChars="200"/>
        <w:rPr>
          <w:rFonts w:eastAsiaTheme="minorEastAsia"/>
          <w:color w:val="000000"/>
          <w:sz w:val="24"/>
          <w:szCs w:val="24"/>
        </w:rPr>
      </w:pPr>
    </w:p>
    <w:p w:rsidR="003F0B40">
      <w:pPr>
        <w:spacing w:line="360" w:lineRule="auto"/>
        <w:ind w:firstLine="480" w:firstLineChars="200"/>
        <w:rPr>
          <w:rFonts w:eastAsiaTheme="minorEastAsia"/>
          <w:color w:val="000000"/>
          <w:sz w:val="24"/>
          <w:szCs w:val="24"/>
        </w:rPr>
      </w:pPr>
    </w:p>
    <w:p w:rsidR="003F0B40">
      <w:pPr>
        <w:spacing w:line="360" w:lineRule="auto"/>
        <w:ind w:firstLine="480" w:firstLineChars="200"/>
        <w:jc w:val="right"/>
        <w:rPr>
          <w:rFonts w:eastAsiaTheme="minorEastAsia"/>
          <w:color w:val="000000"/>
          <w:sz w:val="24"/>
          <w:szCs w:val="24"/>
        </w:rPr>
      </w:pPr>
      <w:r>
        <w:rPr>
          <w:rFonts w:eastAsiaTheme="minorEastAsia"/>
          <w:color w:val="000000"/>
          <w:sz w:val="24"/>
          <w:szCs w:val="24"/>
        </w:rPr>
        <w:t>易方达基金管理有限公司</w:t>
      </w:r>
    </w:p>
    <w:p w:rsidR="003F0B40">
      <w:pPr>
        <w:spacing w:line="360" w:lineRule="auto"/>
        <w:ind w:firstLine="480" w:firstLineChars="200"/>
        <w:jc w:val="right"/>
        <w:rPr>
          <w:rFonts w:eastAsiaTheme="minorEastAsia"/>
          <w:color w:val="000000"/>
          <w:sz w:val="24"/>
          <w:szCs w:val="24"/>
        </w:rPr>
      </w:pPr>
      <w:r>
        <w:rPr>
          <w:rFonts w:eastAsiaTheme="minorEastAsia"/>
          <w:color w:val="000000"/>
          <w:sz w:val="24"/>
          <w:szCs w:val="24"/>
        </w:rPr>
        <w:t>2024</w:t>
      </w:r>
      <w:r>
        <w:rPr>
          <w:rFonts w:eastAsiaTheme="minorEastAsia"/>
          <w:color w:val="000000"/>
          <w:sz w:val="24"/>
          <w:szCs w:val="24"/>
        </w:rPr>
        <w:t>年</w:t>
      </w:r>
      <w:r>
        <w:rPr>
          <w:rFonts w:eastAsiaTheme="minorEastAsia"/>
          <w:color w:val="000000"/>
          <w:sz w:val="24"/>
          <w:szCs w:val="24"/>
        </w:rPr>
        <w:t>7</w:t>
      </w:r>
      <w:r>
        <w:rPr>
          <w:rFonts w:eastAsiaTheme="minorEastAsia"/>
          <w:color w:val="000000"/>
          <w:sz w:val="24"/>
          <w:szCs w:val="24"/>
        </w:rPr>
        <w:t>月</w:t>
      </w:r>
      <w:r>
        <w:rPr>
          <w:rFonts w:eastAsiaTheme="minorEastAsia"/>
          <w:color w:val="000000"/>
          <w:sz w:val="24"/>
          <w:szCs w:val="24"/>
        </w:rPr>
        <w:t>12</w:t>
      </w:r>
      <w:r>
        <w:rPr>
          <w:rFonts w:eastAsiaTheme="minorEastAsia"/>
          <w:color w:val="000000"/>
          <w:sz w:val="24"/>
          <w:szCs w:val="24"/>
        </w:rPr>
        <w:t>日</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36"/>
    <w:rsid w:val="00041353"/>
    <w:rsid w:val="00057AC1"/>
    <w:rsid w:val="0007182D"/>
    <w:rsid w:val="00085F5C"/>
    <w:rsid w:val="0009778C"/>
    <w:rsid w:val="000A19B2"/>
    <w:rsid w:val="000C169A"/>
    <w:rsid w:val="000C39F6"/>
    <w:rsid w:val="000D6418"/>
    <w:rsid w:val="00111BD0"/>
    <w:rsid w:val="00135CA1"/>
    <w:rsid w:val="0016074B"/>
    <w:rsid w:val="00160D71"/>
    <w:rsid w:val="00172E10"/>
    <w:rsid w:val="00192DE5"/>
    <w:rsid w:val="001A61DE"/>
    <w:rsid w:val="001D7FD5"/>
    <w:rsid w:val="00226206"/>
    <w:rsid w:val="00242E4D"/>
    <w:rsid w:val="00266A99"/>
    <w:rsid w:val="00284B1B"/>
    <w:rsid w:val="002A63B7"/>
    <w:rsid w:val="002D73E6"/>
    <w:rsid w:val="003160F8"/>
    <w:rsid w:val="0032061C"/>
    <w:rsid w:val="00362297"/>
    <w:rsid w:val="0039192C"/>
    <w:rsid w:val="003C10C0"/>
    <w:rsid w:val="003C26AF"/>
    <w:rsid w:val="003E51F2"/>
    <w:rsid w:val="003F0B40"/>
    <w:rsid w:val="00410642"/>
    <w:rsid w:val="00413675"/>
    <w:rsid w:val="00486934"/>
    <w:rsid w:val="004966BA"/>
    <w:rsid w:val="004E68DA"/>
    <w:rsid w:val="0050279B"/>
    <w:rsid w:val="00506E3A"/>
    <w:rsid w:val="005715B6"/>
    <w:rsid w:val="00582D89"/>
    <w:rsid w:val="005C74A7"/>
    <w:rsid w:val="00602C3F"/>
    <w:rsid w:val="00606D8B"/>
    <w:rsid w:val="0068321B"/>
    <w:rsid w:val="00687863"/>
    <w:rsid w:val="006A2E06"/>
    <w:rsid w:val="00721B55"/>
    <w:rsid w:val="007457E4"/>
    <w:rsid w:val="007C7B20"/>
    <w:rsid w:val="00812228"/>
    <w:rsid w:val="00865457"/>
    <w:rsid w:val="00880E4A"/>
    <w:rsid w:val="00893436"/>
    <w:rsid w:val="008D1F66"/>
    <w:rsid w:val="009302F7"/>
    <w:rsid w:val="0096162B"/>
    <w:rsid w:val="009732A4"/>
    <w:rsid w:val="00987A3A"/>
    <w:rsid w:val="0099338F"/>
    <w:rsid w:val="009B4BCB"/>
    <w:rsid w:val="009F297D"/>
    <w:rsid w:val="00A119F6"/>
    <w:rsid w:val="00A67015"/>
    <w:rsid w:val="00A72716"/>
    <w:rsid w:val="00A81C93"/>
    <w:rsid w:val="00A83087"/>
    <w:rsid w:val="00AC470F"/>
    <w:rsid w:val="00B14D73"/>
    <w:rsid w:val="00B21A32"/>
    <w:rsid w:val="00B44BBE"/>
    <w:rsid w:val="00B60712"/>
    <w:rsid w:val="00B77B08"/>
    <w:rsid w:val="00BA30AE"/>
    <w:rsid w:val="00BA7F58"/>
    <w:rsid w:val="00BB421F"/>
    <w:rsid w:val="00BD7533"/>
    <w:rsid w:val="00BE444C"/>
    <w:rsid w:val="00BF5698"/>
    <w:rsid w:val="00C33DDD"/>
    <w:rsid w:val="00CB3D18"/>
    <w:rsid w:val="00CC333F"/>
    <w:rsid w:val="00CC53FB"/>
    <w:rsid w:val="00CD4F08"/>
    <w:rsid w:val="00D15CCB"/>
    <w:rsid w:val="00D20292"/>
    <w:rsid w:val="00D82E8A"/>
    <w:rsid w:val="00D93DD8"/>
    <w:rsid w:val="00DA77C4"/>
    <w:rsid w:val="00DB6924"/>
    <w:rsid w:val="00E100B9"/>
    <w:rsid w:val="00E24390"/>
    <w:rsid w:val="00E379B4"/>
    <w:rsid w:val="00E500FF"/>
    <w:rsid w:val="00E7403D"/>
    <w:rsid w:val="00E8116A"/>
    <w:rsid w:val="00F0033B"/>
    <w:rsid w:val="00F055D7"/>
    <w:rsid w:val="00F4212E"/>
    <w:rsid w:val="00F45E48"/>
    <w:rsid w:val="00FB4F60"/>
    <w:rsid w:val="00FC4488"/>
    <w:rsid w:val="00FC5715"/>
    <w:rsid w:val="00FE209B"/>
    <w:rsid w:val="00FF0BA4"/>
    <w:rsid w:val="48A4630C"/>
  </w:rsids>
  <w:docVars>
    <w:docVar w:name="commondata" w:val="eyJoZGlkIjoiMTJhZTk1MWY4NzMzYjcxOGVmMzMxMmE4MGEzYWZmOT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88BDB604-9272-4A7B-A7CF-2DB838BE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方正仿宋简体" w:hAnsi="Times New Roman" w:cs="Times New Roman"/>
      <w:kern w:val="2"/>
      <w:sz w:val="32"/>
    </w:rPr>
  </w:style>
  <w:style w:type="paragraph" w:styleId="Heading1">
    <w:name w:val="heading 1"/>
    <w:basedOn w:val="Normal"/>
    <w:next w:val="Normal"/>
    <w:link w:val="1"/>
    <w:qFormat/>
    <w:pPr>
      <w:keepNext/>
      <w:keepLines/>
      <w:spacing w:before="340" w:after="330" w:line="578" w:lineRule="auto"/>
      <w:outlineLvl w:val="0"/>
    </w:pPr>
    <w:rPr>
      <w:rFonts w:eastAsia="宋体"/>
      <w:b/>
      <w:bCs/>
      <w:kern w:val="44"/>
      <w:sz w:val="44"/>
      <w:szCs w:val="44"/>
    </w:rPr>
  </w:style>
  <w:style w:type="paragraph" w:styleId="Heading2">
    <w:name w:val="heading 2"/>
    <w:basedOn w:val="Normal"/>
    <w:next w:val="Normal"/>
    <w:link w:val="2"/>
    <w:qFormat/>
    <w:pPr>
      <w:keepNext/>
      <w:keepLines/>
      <w:spacing w:before="260" w:after="260" w:line="416" w:lineRule="auto"/>
      <w:outlineLvl w:val="1"/>
    </w:pPr>
    <w:rPr>
      <w:rFonts w:ascii="Arial" w:eastAsia="黑体" w:hAnsi="Arial"/>
      <w:b/>
      <w:bCs/>
      <w:szCs w:val="32"/>
    </w:rPr>
  </w:style>
  <w:style w:type="paragraph" w:styleId="Heading3">
    <w:name w:val="heading 3"/>
    <w:basedOn w:val="Normal"/>
    <w:next w:val="Normal"/>
    <w:link w:val="3"/>
    <w:qFormat/>
    <w:pPr>
      <w:keepNext/>
      <w:keepLines/>
      <w:spacing w:before="260" w:after="260" w:line="416" w:lineRule="auto"/>
      <w:outlineLvl w:val="2"/>
    </w:pPr>
    <w:rPr>
      <w:rFonts w:eastAsia="宋体"/>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a0"/>
    <w:uiPriority w:val="99"/>
    <w:semiHidden/>
    <w:unhideWhenUsed/>
    <w:qFormat/>
    <w:rPr>
      <w:rFonts w:ascii="宋体" w:eastAsia="宋体"/>
      <w:sz w:val="18"/>
      <w:szCs w:val="18"/>
    </w:rPr>
  </w:style>
  <w:style w:type="paragraph" w:styleId="BalloonText">
    <w:name w:val="Balloon Text"/>
    <w:basedOn w:val="Normal"/>
    <w:link w:val="a3"/>
    <w:uiPriority w:val="99"/>
    <w:semiHidden/>
    <w:unhideWhenUsed/>
    <w:qFormat/>
    <w:rPr>
      <w:sz w:val="18"/>
      <w:szCs w:val="18"/>
    </w:rPr>
  </w:style>
  <w:style w:type="paragraph" w:styleId="Footer">
    <w:name w:val="footer"/>
    <w:basedOn w:val="Normal"/>
    <w:link w:val="a2"/>
    <w:uiPriority w:val="99"/>
    <w:unhideWhenUsed/>
    <w:pPr>
      <w:tabs>
        <w:tab w:val="center" w:pos="4153"/>
        <w:tab w:val="right" w:pos="8306"/>
      </w:tabs>
      <w:snapToGrid w:val="0"/>
      <w:jc w:val="left"/>
    </w:pPr>
    <w:rPr>
      <w:sz w:val="18"/>
      <w:szCs w:val="18"/>
    </w:rPr>
  </w:style>
  <w:style w:type="paragraph" w:styleId="Header">
    <w:name w:val="header"/>
    <w:basedOn w:val="Normal"/>
    <w:link w:val="a1"/>
    <w:uiPriority w:val="99"/>
    <w:unhideWhenUsed/>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a"/>
    <w:qFormat/>
    <w:pPr>
      <w:snapToGrid w:val="0"/>
      <w:jc w:val="left"/>
    </w:pPr>
    <w:rPr>
      <w:rFonts w:eastAsia="宋体"/>
      <w:sz w:val="18"/>
    </w:rPr>
  </w:style>
  <w:style w:type="character" w:styleId="FootnoteReference">
    <w:name w:val="footnote reference"/>
    <w:basedOn w:val="DefaultParagraphFont"/>
    <w:qFormat/>
    <w:rPr>
      <w:vertAlign w:val="superscript"/>
    </w:rPr>
  </w:style>
  <w:style w:type="character" w:customStyle="1" w:styleId="1">
    <w:name w:val="标题 1 字符"/>
    <w:basedOn w:val="DefaultParagraphFont"/>
    <w:link w:val="Heading1"/>
    <w:qFormat/>
    <w:rPr>
      <w:rFonts w:ascii="Times New Roman" w:eastAsia="宋体" w:hAnsi="Times New Roman" w:cs="Times New Roman"/>
      <w:b/>
      <w:bCs/>
      <w:kern w:val="44"/>
      <w:sz w:val="44"/>
      <w:szCs w:val="44"/>
    </w:rPr>
  </w:style>
  <w:style w:type="character" w:customStyle="1" w:styleId="2">
    <w:name w:val="标题 2 字符"/>
    <w:basedOn w:val="DefaultParagraphFont"/>
    <w:link w:val="Heading2"/>
    <w:qFormat/>
    <w:rPr>
      <w:rFonts w:ascii="Arial" w:eastAsia="黑体" w:hAnsi="Arial" w:cs="Times New Roman"/>
      <w:b/>
      <w:bCs/>
      <w:sz w:val="32"/>
      <w:szCs w:val="32"/>
    </w:rPr>
  </w:style>
  <w:style w:type="character" w:customStyle="1" w:styleId="a">
    <w:name w:val="脚注文本 字符"/>
    <w:basedOn w:val="DefaultParagraphFont"/>
    <w:link w:val="FootnoteText"/>
    <w:rPr>
      <w:rFonts w:ascii="Times New Roman" w:eastAsia="宋体" w:hAnsi="Times New Roman" w:cs="Times New Roman"/>
      <w:sz w:val="18"/>
      <w:szCs w:val="20"/>
    </w:rPr>
  </w:style>
  <w:style w:type="character" w:customStyle="1" w:styleId="a0">
    <w:name w:val="文档结构图 字符"/>
    <w:basedOn w:val="DefaultParagraphFont"/>
    <w:link w:val="DocumentMap"/>
    <w:uiPriority w:val="99"/>
    <w:semiHidden/>
    <w:rPr>
      <w:rFonts w:ascii="宋体" w:eastAsia="宋体" w:hAnsi="Times New Roman" w:cs="Times New Roman"/>
      <w:sz w:val="18"/>
      <w:szCs w:val="18"/>
    </w:rPr>
  </w:style>
  <w:style w:type="character" w:customStyle="1" w:styleId="a1">
    <w:name w:val="页眉 字符"/>
    <w:basedOn w:val="DefaultParagraphFont"/>
    <w:link w:val="Header"/>
    <w:uiPriority w:val="99"/>
    <w:qFormat/>
    <w:rPr>
      <w:rFonts w:ascii="Times New Roman" w:eastAsia="方正仿宋简体" w:hAnsi="Times New Roman" w:cs="Times New Roman"/>
      <w:sz w:val="18"/>
      <w:szCs w:val="18"/>
    </w:rPr>
  </w:style>
  <w:style w:type="character" w:customStyle="1" w:styleId="a2">
    <w:name w:val="页脚 字符"/>
    <w:basedOn w:val="DefaultParagraphFont"/>
    <w:link w:val="Footer"/>
    <w:uiPriority w:val="99"/>
    <w:qFormat/>
    <w:rPr>
      <w:rFonts w:ascii="Times New Roman" w:eastAsia="方正仿宋简体" w:hAnsi="Times New Roman" w:cs="Times New Roman"/>
      <w:sz w:val="18"/>
      <w:szCs w:val="18"/>
    </w:rPr>
  </w:style>
  <w:style w:type="character" w:customStyle="1" w:styleId="a3">
    <w:name w:val="批注框文本 字符"/>
    <w:basedOn w:val="DefaultParagraphFont"/>
    <w:link w:val="BalloonText"/>
    <w:uiPriority w:val="99"/>
    <w:semiHidden/>
    <w:qFormat/>
    <w:rPr>
      <w:rFonts w:ascii="Times New Roman" w:eastAsia="方正仿宋简体" w:hAnsi="Times New Roman" w:cs="Times New Roman"/>
      <w:sz w:val="18"/>
      <w:szCs w:val="18"/>
    </w:rPr>
  </w:style>
  <w:style w:type="character" w:customStyle="1" w:styleId="3">
    <w:name w:val="标题 3 字符"/>
    <w:basedOn w:val="DefaultParagraphFont"/>
    <w:link w:val="Heading3"/>
    <w:qFormat/>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E1AB39A69B2940058109809AC9611A2A</vt:lpwstr>
  </property>
  <property fmtid="{D5CDD505-2E9C-101B-9397-08002B2CF9AE}" pid="3" name="KSOProductBuildVer">
    <vt:lpwstr>2052-11.1.0.11830</vt:lpwstr>
  </property>
</Properties>
</file>