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6 -->
  <w:body>
    <w:p w:rsidR="00CF4FFE" w:rsidRPr="00DC4872" w:rsidP="00CF4FFE" w14:paraId="1825406A" w14:textId="5A4B85BB">
      <w:pPr>
        <w:spacing w:line="360" w:lineRule="auto"/>
        <w:jc w:val="center"/>
        <w:rPr>
          <w:rFonts w:asciiTheme="majorEastAsia" w:eastAsiaTheme="majorEastAsia" w:hAnsiTheme="majorEastAsia"/>
          <w:b/>
          <w:bCs/>
          <w:color w:val="000000"/>
          <w:sz w:val="30"/>
          <w:szCs w:val="30"/>
        </w:rPr>
      </w:pPr>
      <w:bookmarkStart w:id="0" w:name="_Toc249760023"/>
      <w:r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易方达全球成长精选混合型证券投资基金（QDII）2024年6月19日暂停申购、赎回及定期定额投资业务的公告</w:t>
      </w:r>
    </w:p>
    <w:p w:rsidR="00CF4FFE" w:rsidRPr="00FC4FF1" w:rsidP="00CF4FFE" w14:paraId="6824EE55" w14:textId="7E2CF02D">
      <w:pPr>
        <w:spacing w:line="360" w:lineRule="auto"/>
        <w:jc w:val="center"/>
        <w:rPr>
          <w:rFonts w:asciiTheme="majorEastAsia" w:eastAsiaTheme="majorEastAsia" w:hAnsiTheme="majorEastAsia"/>
          <w:b/>
          <w:sz w:val="24"/>
        </w:rPr>
      </w:pPr>
      <w:r w:rsidRPr="00FC4FF1">
        <w:rPr>
          <w:rFonts w:asciiTheme="majorEastAsia" w:eastAsiaTheme="majorEastAsia" w:hAnsiTheme="majorEastAsia" w:hint="eastAsia"/>
          <w:b/>
          <w:sz w:val="24"/>
        </w:rPr>
        <w:t>公告送出日期：2024年6月14日</w:t>
      </w:r>
    </w:p>
    <w:bookmarkEnd w:id="0"/>
    <w:p w:rsidR="00CF4FFE" w:rsidRPr="008C2033" w:rsidP="00CF4FFE" w14:paraId="6BD82C2F" w14:textId="77777777">
      <w:pPr>
        <w:pStyle w:val="Heading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 w:rsidRPr="008C2033">
        <w:rPr>
          <w:rFonts w:ascii="宋体" w:hAnsi="宋体" w:hint="eastAsia"/>
          <w:bCs w:val="0"/>
          <w:sz w:val="24"/>
          <w:szCs w:val="24"/>
        </w:rPr>
        <w:t>1.公告基本信息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4"/>
        <w:gridCol w:w="3084"/>
        <w:gridCol w:w="3084"/>
      </w:tblGrid>
      <w:tr w14:paraId="40369019" w14:textId="77777777" w:rsidTr="00394B70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310"/>
        </w:trPr>
        <w:tc>
          <w:tcPr>
            <w:tcW w:w="2124" w:type="dxa"/>
            <w:shd w:val="clear" w:color="auto" w:fill="auto"/>
            <w:vAlign w:val="center"/>
            <w:hideMark/>
          </w:tcPr>
          <w:p w:rsidR="00B94A65" w:rsidRPr="00B94A65" w:rsidP="00AD2F51" w14:paraId="5F240A32" w14:textId="7777777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基金名称</w:t>
            </w:r>
          </w:p>
        </w:tc>
        <w:tc>
          <w:tcPr>
            <w:tcW w:w="6168" w:type="dxa"/>
            <w:gridSpan w:val="2"/>
            <w:shd w:val="clear" w:color="auto" w:fill="auto"/>
            <w:vAlign w:val="center"/>
            <w:hideMark/>
          </w:tcPr>
          <w:p w:rsidR="00B94A65" w:rsidRPr="00B94A65" w:rsidP="00AD2F51" w14:paraId="04A81B93" w14:textId="6C6F1AD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E1EDD">
              <w:rPr>
                <w:rFonts w:ascii="宋体" w:hAnsi="宋体" w:cs="宋体" w:hint="eastAsia"/>
                <w:color w:val="000000"/>
                <w:kern w:val="0"/>
                <w:sz w:val="24"/>
              </w:rPr>
              <w:t>易方达全球成长精选混合型证券投资基金（QDII）</w:t>
            </w:r>
          </w:p>
        </w:tc>
      </w:tr>
      <w:tr w14:paraId="7526B5D2" w14:textId="77777777" w:rsidTr="00394B70">
        <w:tblPrEx>
          <w:tblW w:w="0" w:type="auto"/>
          <w:tblLayout w:type="fixed"/>
          <w:tblLook w:val="04A0"/>
        </w:tblPrEx>
        <w:trPr>
          <w:trHeight w:val="310"/>
        </w:trPr>
        <w:tc>
          <w:tcPr>
            <w:tcW w:w="2124" w:type="dxa"/>
            <w:shd w:val="clear" w:color="auto" w:fill="auto"/>
            <w:vAlign w:val="center"/>
            <w:hideMark/>
          </w:tcPr>
          <w:p w:rsidR="00B94A65" w:rsidRPr="00B94A65" w:rsidP="00AD2F51" w14:paraId="0842E3AE" w14:textId="7777777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基金简称</w:t>
            </w:r>
          </w:p>
        </w:tc>
        <w:tc>
          <w:tcPr>
            <w:tcW w:w="6168" w:type="dxa"/>
            <w:gridSpan w:val="2"/>
            <w:shd w:val="clear" w:color="auto" w:fill="auto"/>
            <w:vAlign w:val="center"/>
            <w:hideMark/>
          </w:tcPr>
          <w:p w:rsidR="00B94A65" w:rsidRPr="009F597D" w:rsidP="00AD2F51" w14:paraId="09254076" w14:textId="574DE111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E1EDD">
              <w:rPr>
                <w:rFonts w:ascii="宋体" w:hAnsi="宋体" w:cs="宋体" w:hint="eastAsia"/>
                <w:color w:val="000000"/>
                <w:kern w:val="0"/>
                <w:sz w:val="24"/>
              </w:rPr>
              <w:t>易方达全球成长精选混合（QDII）</w:t>
            </w:r>
          </w:p>
        </w:tc>
      </w:tr>
      <w:tr w14:paraId="16D25BC8" w14:textId="77777777" w:rsidTr="00394B70">
        <w:tblPrEx>
          <w:tblW w:w="0" w:type="auto"/>
          <w:tblLayout w:type="fixed"/>
          <w:tblLook w:val="04A0"/>
        </w:tblPrEx>
        <w:trPr>
          <w:trHeight w:val="320"/>
        </w:trPr>
        <w:tc>
          <w:tcPr>
            <w:tcW w:w="2124" w:type="dxa"/>
            <w:shd w:val="clear" w:color="auto" w:fill="auto"/>
            <w:vAlign w:val="center"/>
            <w:hideMark/>
          </w:tcPr>
          <w:p w:rsidR="00B94A65" w:rsidRPr="00B94A65" w:rsidP="00AD2F51" w14:paraId="691A3A04" w14:textId="7777777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基金主代码</w:t>
            </w:r>
          </w:p>
        </w:tc>
        <w:tc>
          <w:tcPr>
            <w:tcW w:w="6168" w:type="dxa"/>
            <w:gridSpan w:val="2"/>
            <w:shd w:val="clear" w:color="auto" w:fill="auto"/>
            <w:vAlign w:val="center"/>
            <w:hideMark/>
          </w:tcPr>
          <w:p w:rsidR="00B94A65" w:rsidRPr="007E1EDD" w:rsidP="00AD2F51" w14:paraId="2E3087B1" w14:textId="57B5451D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E1EDD">
              <w:rPr>
                <w:rFonts w:ascii="宋体" w:hAnsi="宋体" w:cs="宋体" w:hint="eastAsia"/>
                <w:color w:val="000000"/>
                <w:kern w:val="0"/>
                <w:sz w:val="24"/>
              </w:rPr>
              <w:t>012920</w:t>
            </w:r>
          </w:p>
        </w:tc>
      </w:tr>
      <w:tr w14:paraId="068D39BD" w14:textId="77777777" w:rsidTr="00394B70">
        <w:tblPrEx>
          <w:tblW w:w="0" w:type="auto"/>
          <w:tblLayout w:type="fixed"/>
          <w:tblLook w:val="04A0"/>
        </w:tblPrEx>
        <w:trPr>
          <w:trHeight w:val="310"/>
        </w:trPr>
        <w:tc>
          <w:tcPr>
            <w:tcW w:w="2124" w:type="dxa"/>
            <w:shd w:val="clear" w:color="auto" w:fill="auto"/>
            <w:vAlign w:val="center"/>
            <w:hideMark/>
          </w:tcPr>
          <w:p w:rsidR="00B94A65" w:rsidRPr="00B94A65" w:rsidP="00AD2F51" w14:paraId="1F17D044" w14:textId="7777777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基金管理人名称</w:t>
            </w:r>
          </w:p>
        </w:tc>
        <w:tc>
          <w:tcPr>
            <w:tcW w:w="6168" w:type="dxa"/>
            <w:gridSpan w:val="2"/>
            <w:shd w:val="clear" w:color="auto" w:fill="auto"/>
            <w:vAlign w:val="center"/>
            <w:hideMark/>
          </w:tcPr>
          <w:p w:rsidR="00B94A65" w:rsidRPr="00B94A65" w:rsidP="00AD2F51" w14:paraId="6F9D748D" w14:textId="7777777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易方达基金管理有限公司</w:t>
            </w:r>
          </w:p>
        </w:tc>
      </w:tr>
      <w:tr w14:paraId="15C94924" w14:textId="77777777" w:rsidTr="00394B70">
        <w:tblPrEx>
          <w:tblW w:w="0" w:type="auto"/>
          <w:tblLayout w:type="fixed"/>
          <w:tblLook w:val="04A0"/>
        </w:tblPrEx>
        <w:trPr>
          <w:trHeight w:val="310"/>
        </w:trPr>
        <w:tc>
          <w:tcPr>
            <w:tcW w:w="2124" w:type="dxa"/>
            <w:shd w:val="clear" w:color="auto" w:fill="auto"/>
            <w:vAlign w:val="center"/>
            <w:hideMark/>
          </w:tcPr>
          <w:p w:rsidR="00B94A65" w:rsidRPr="00B94A65" w:rsidP="00AD2F51" w14:paraId="72ECCC84" w14:textId="7777777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公告依据</w:t>
            </w:r>
          </w:p>
        </w:tc>
        <w:tc>
          <w:tcPr>
            <w:tcW w:w="6168" w:type="dxa"/>
            <w:gridSpan w:val="2"/>
            <w:shd w:val="clear" w:color="auto" w:fill="auto"/>
            <w:vAlign w:val="center"/>
            <w:hideMark/>
          </w:tcPr>
          <w:p w:rsidR="00B94A65" w:rsidRPr="00B94A65" w:rsidP="00AD2F51" w14:paraId="016EE163" w14:textId="736F859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E1EDD">
              <w:rPr>
                <w:rFonts w:ascii="宋体" w:hAnsi="宋体" w:cs="宋体" w:hint="eastAsia"/>
                <w:color w:val="000000"/>
                <w:kern w:val="0"/>
                <w:sz w:val="24"/>
              </w:rPr>
              <w:t>《易方达全球成长精选混合型证券投资基金（QDII）基金合同》、《易方达全球成长精选混合型证券投资基金（QDII）更新的招募说明书》</w:t>
            </w:r>
          </w:p>
        </w:tc>
      </w:tr>
      <w:tr w14:paraId="11767F64" w14:textId="77777777" w:rsidTr="00394B70">
        <w:tblPrEx>
          <w:tblW w:w="0" w:type="auto"/>
          <w:tblLayout w:type="fixed"/>
          <w:tblLook w:val="04A0"/>
        </w:tblPrEx>
        <w:trPr>
          <w:trHeight w:val="320"/>
        </w:trPr>
        <w:tc>
          <w:tcPr>
            <w:tcW w:w="2124" w:type="dxa"/>
            <w:vMerge w:val="restart"/>
            <w:shd w:val="clear" w:color="auto" w:fill="auto"/>
            <w:vAlign w:val="center"/>
            <w:hideMark/>
          </w:tcPr>
          <w:p w:rsidR="00B94A65" w:rsidRPr="00B94A65" w:rsidP="00AD2F51" w14:paraId="6607AA11" w14:textId="6268D23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暂停相关业务的起始日及原因说明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B94A65" w:rsidRPr="00B94A65" w:rsidP="00AD2F51" w14:paraId="4F143829" w14:textId="42D16F4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暂停申购起始日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B94A65" w:rsidRPr="00B94A65" w:rsidP="00AD2F51" w14:paraId="55BB674B" w14:textId="17D51A40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2024年6月19日</w:t>
            </w:r>
          </w:p>
        </w:tc>
      </w:tr>
      <w:tr w14:paraId="11767F64" w14:textId="77777777" w:rsidTr="00394B70">
        <w:tblPrEx>
          <w:tblW w:w="0" w:type="auto"/>
          <w:tblLayout w:type="fixed"/>
          <w:tblLook w:val="04A0"/>
        </w:tblPrEx>
        <w:trPr>
          <w:trHeight w:val="320"/>
        </w:trPr>
        <w:tc>
          <w:tcPr>
            <w:tcW w:w="2124" w:type="dxa"/>
            <w:vMerge/>
            <w:shd w:val="clear" w:color="auto" w:fill="auto"/>
            <w:vAlign w:val="center"/>
            <w:hideMark/>
          </w:tcPr>
          <w:p w:rsidR="00B94A65" w:rsidRPr="00B94A65" w:rsidP="00AD2F51" w14:textId="6268D23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暂停相关业务的起始日及原因说明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B94A65" w:rsidRPr="00B94A65" w:rsidP="00AD2F51" w14:textId="42D16F4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暂停赎回起始日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B94A65" w:rsidRPr="00B94A65" w:rsidP="00AD2F51" w14:textId="17D51A40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2024年6月19日</w:t>
            </w:r>
          </w:p>
        </w:tc>
      </w:tr>
      <w:tr w14:paraId="11767F64" w14:textId="77777777" w:rsidTr="00394B70">
        <w:tblPrEx>
          <w:tblW w:w="0" w:type="auto"/>
          <w:tblLayout w:type="fixed"/>
          <w:tblLook w:val="04A0"/>
        </w:tblPrEx>
        <w:trPr>
          <w:trHeight w:val="320"/>
        </w:trPr>
        <w:tc>
          <w:tcPr>
            <w:tcW w:w="2124" w:type="dxa"/>
            <w:vMerge/>
            <w:shd w:val="clear" w:color="auto" w:fill="auto"/>
            <w:vAlign w:val="center"/>
            <w:hideMark/>
          </w:tcPr>
          <w:p w:rsidR="00B94A65" w:rsidRPr="00B94A65" w:rsidP="00AD2F51" w14:textId="6268D23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暂停相关业务的起始日及原因说明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B94A65" w:rsidRPr="00B94A65" w:rsidP="00AD2F51" w14:textId="42D16F4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暂停定期定额投资起始日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B94A65" w:rsidRPr="00B94A65" w:rsidP="00AD2F51" w14:textId="17D51A40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2024年6月19日</w:t>
            </w:r>
          </w:p>
        </w:tc>
      </w:tr>
      <w:tr w14:paraId="11767F64" w14:textId="77777777" w:rsidTr="00394B70">
        <w:tblPrEx>
          <w:tblW w:w="0" w:type="auto"/>
          <w:tblLayout w:type="fixed"/>
          <w:tblLook w:val="04A0"/>
        </w:tblPrEx>
        <w:trPr>
          <w:trHeight w:val="320"/>
        </w:trPr>
        <w:tc>
          <w:tcPr>
            <w:tcW w:w="2124" w:type="dxa"/>
            <w:vMerge/>
            <w:shd w:val="clear" w:color="auto" w:fill="auto"/>
            <w:vAlign w:val="center"/>
            <w:hideMark/>
          </w:tcPr>
          <w:p w:rsidR="00B94A65" w:rsidRPr="00B94A65" w:rsidP="00AD2F51" w14:textId="6268D23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暂停相关业务的起始日及原因说明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B94A65" w:rsidRPr="00B94A65" w:rsidP="00AD2F51" w14:textId="42D16F4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暂停申购、赎回、定期定额投资的原因说明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B94A65" w:rsidRPr="00B94A65" w:rsidP="00AD2F51" w14:textId="17D51A40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2024年6月19日为纳斯达克证券交易所和纽约证券交易所非交易日</w:t>
            </w:r>
          </w:p>
        </w:tc>
      </w:tr>
      <w:tr w14:paraId="11767F64" w14:textId="77777777" w:rsidTr="00394B70">
        <w:tblPrEx>
          <w:tblW w:w="0" w:type="auto"/>
          <w:tblLayout w:type="fixed"/>
          <w:tblLook w:val="04A0"/>
        </w:tblPrEx>
        <w:trPr>
          <w:trHeight w:val="320"/>
        </w:trPr>
        <w:tc>
          <w:tcPr>
            <w:tcW w:w="2124" w:type="dxa"/>
            <w:vMerge w:val="restart"/>
            <w:shd w:val="clear" w:color="auto" w:fill="auto"/>
            <w:vAlign w:val="center"/>
            <w:hideMark/>
          </w:tcPr>
          <w:p w:rsidR="00B94A65" w:rsidRPr="00B94A65" w:rsidP="00AD2F51" w14:textId="6268D23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恢复相关业务的日期及原因说明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B94A65" w:rsidRPr="00B94A65" w:rsidP="00AD2F51" w14:textId="42D16F4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恢复申购日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B94A65" w:rsidRPr="00B94A65" w:rsidP="00AD2F51" w14:textId="17D51A40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2024年6月20日</w:t>
            </w:r>
          </w:p>
        </w:tc>
      </w:tr>
      <w:tr w14:paraId="11767F64" w14:textId="77777777" w:rsidTr="00394B70">
        <w:tblPrEx>
          <w:tblW w:w="0" w:type="auto"/>
          <w:tblLayout w:type="fixed"/>
          <w:tblLook w:val="04A0"/>
        </w:tblPrEx>
        <w:trPr>
          <w:trHeight w:val="320"/>
        </w:trPr>
        <w:tc>
          <w:tcPr>
            <w:tcW w:w="2124" w:type="dxa"/>
            <w:vMerge/>
            <w:shd w:val="clear" w:color="auto" w:fill="auto"/>
            <w:vAlign w:val="center"/>
            <w:hideMark/>
          </w:tcPr>
          <w:p w:rsidR="00B94A65" w:rsidRPr="00B94A65" w:rsidP="00AD2F51" w14:textId="6268D23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恢复相关业务的日期及原因说明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B94A65" w:rsidRPr="00B94A65" w:rsidP="00AD2F51" w14:textId="42D16F4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恢复赎回日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B94A65" w:rsidRPr="00B94A65" w:rsidP="00AD2F51" w14:textId="17D51A40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2024年6月20日</w:t>
            </w:r>
          </w:p>
        </w:tc>
      </w:tr>
      <w:tr w14:paraId="11767F64" w14:textId="77777777" w:rsidTr="00394B70">
        <w:tblPrEx>
          <w:tblW w:w="0" w:type="auto"/>
          <w:tblLayout w:type="fixed"/>
          <w:tblLook w:val="04A0"/>
        </w:tblPrEx>
        <w:trPr>
          <w:trHeight w:val="320"/>
        </w:trPr>
        <w:tc>
          <w:tcPr>
            <w:tcW w:w="2124" w:type="dxa"/>
            <w:vMerge/>
            <w:shd w:val="clear" w:color="auto" w:fill="auto"/>
            <w:vAlign w:val="center"/>
            <w:hideMark/>
          </w:tcPr>
          <w:p w:rsidR="00B94A65" w:rsidRPr="00B94A65" w:rsidP="00AD2F51" w14:textId="6268D23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恢复相关业务的日期及原因说明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B94A65" w:rsidRPr="00B94A65" w:rsidP="00AD2F51" w14:textId="42D16F4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恢复定期定额投资日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B94A65" w:rsidRPr="00B94A65" w:rsidP="00AD2F51" w14:textId="17D51A40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2024年6月20日</w:t>
            </w:r>
          </w:p>
        </w:tc>
      </w:tr>
      <w:tr w14:paraId="11767F64" w14:textId="77777777" w:rsidTr="00394B70">
        <w:tblPrEx>
          <w:tblW w:w="0" w:type="auto"/>
          <w:tblLayout w:type="fixed"/>
          <w:tblLook w:val="04A0"/>
        </w:tblPrEx>
        <w:trPr>
          <w:trHeight w:val="320"/>
        </w:trPr>
        <w:tc>
          <w:tcPr>
            <w:tcW w:w="2124" w:type="dxa"/>
            <w:vMerge/>
            <w:shd w:val="clear" w:color="auto" w:fill="auto"/>
            <w:vAlign w:val="center"/>
            <w:hideMark/>
          </w:tcPr>
          <w:p w:rsidR="00B94A65" w:rsidRPr="00B94A65" w:rsidP="00AD2F51" w14:textId="6268D23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恢复相关业务的日期及原因说明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B94A65" w:rsidRPr="00B94A65" w:rsidP="00AD2F51" w14:textId="42D16F4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恢复申购、赎回、定期定额投资的原因说明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B94A65" w:rsidRPr="00B94A65" w:rsidP="00AD2F51" w14:textId="17D51A40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2024年6月20日为纳斯达克证券交易所和纽约证券交易所交易日</w:t>
            </w:r>
          </w:p>
        </w:tc>
      </w:tr>
      <w:tr w14:paraId="4F3BB062" w14:textId="77777777" w:rsidTr="00394B70">
        <w:tblPrEx>
          <w:tblW w:w="0" w:type="auto"/>
          <w:tblLayout w:type="fixed"/>
          <w:tblLook w:val="04A0"/>
        </w:tblPrEx>
        <w:trPr>
          <w:trHeight w:val="620"/>
        </w:trPr>
        <w:tc>
          <w:tcPr>
            <w:tcW w:w="2124" w:type="dxa"/>
            <w:shd w:val="clear" w:color="auto" w:fill="auto"/>
            <w:vAlign w:val="center"/>
            <w:hideMark/>
          </w:tcPr>
          <w:p w:rsidR="00B94A65" w:rsidRPr="00B94A65" w:rsidP="00AD2F51" w14:paraId="526590EA" w14:textId="7777777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下属分级基金的基金简称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B94A65" w:rsidRPr="00B94A65" w:rsidP="00AD2F51" w14:paraId="1D7549D6" w14:textId="2FB3181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63E5B">
              <w:rPr>
                <w:rFonts w:ascii="宋体" w:hAnsi="宋体" w:cs="宋体" w:hint="eastAsia"/>
                <w:color w:val="000000"/>
                <w:kern w:val="0"/>
                <w:sz w:val="24"/>
              </w:rPr>
              <w:t>易方达全球成长精选混合（QDII）A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B94A65" w:rsidRPr="00B94A65" w:rsidP="00AD2F51" w14:paraId="379E4EA4" w14:textId="7AC035A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63E5B">
              <w:rPr>
                <w:rFonts w:ascii="宋体" w:hAnsi="宋体" w:cs="宋体" w:hint="eastAsia"/>
                <w:color w:val="000000"/>
                <w:kern w:val="0"/>
                <w:sz w:val="24"/>
              </w:rPr>
              <w:t>易方达全球成长精选混合（QDII）C</w:t>
            </w:r>
          </w:p>
        </w:tc>
      </w:tr>
      <w:tr w14:paraId="73093653" w14:textId="77777777" w:rsidTr="00394B70">
        <w:tblPrEx>
          <w:tblW w:w="0" w:type="auto"/>
          <w:tblLayout w:type="fixed"/>
          <w:tblLook w:val="04A0"/>
        </w:tblPrEx>
        <w:trPr>
          <w:trHeight w:val="320"/>
        </w:trPr>
        <w:tc>
          <w:tcPr>
            <w:tcW w:w="2124" w:type="dxa"/>
            <w:shd w:val="clear" w:color="auto" w:fill="auto"/>
            <w:vAlign w:val="center"/>
            <w:hideMark/>
          </w:tcPr>
          <w:p w:rsidR="00B94A65" w:rsidRPr="00B94A65" w:rsidP="00AD2F51" w14:paraId="3FEA9264" w14:textId="7777777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下属分级基金的交易代码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B94A65" w:rsidRPr="00F5419A" w:rsidP="00AD2F51" w14:paraId="24FEEAA9" w14:textId="4862F60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7BE">
              <w:rPr>
                <w:rFonts w:ascii="宋体" w:hAnsi="宋体" w:cs="宋体" w:hint="eastAsia"/>
                <w:color w:val="000000"/>
                <w:kern w:val="0"/>
                <w:sz w:val="24"/>
              </w:rPr>
              <w:t>012920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394B70" w:rsidRPr="008367BE" w:rsidP="00394B70" w14:paraId="627D112F" w14:textId="03C96E0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7BE">
              <w:rPr>
                <w:rFonts w:ascii="宋体" w:hAnsi="宋体" w:cs="宋体" w:hint="eastAsia"/>
                <w:color w:val="000000"/>
                <w:kern w:val="0"/>
                <w:sz w:val="24"/>
              </w:rPr>
              <w:t>012922</w:t>
            </w:r>
            <w:bookmarkStart w:id="1" w:name="_GoBack"/>
            <w:bookmarkEnd w:id="1"/>
          </w:p>
        </w:tc>
      </w:tr>
      <w:tr w14:paraId="6889F211" w14:textId="77777777" w:rsidTr="00394B70">
        <w:tblPrEx>
          <w:tblW w:w="0" w:type="auto"/>
          <w:tblLayout w:type="fixed"/>
          <w:tblLook w:val="04A0"/>
        </w:tblPrEx>
        <w:trPr>
          <w:trHeight w:val="610"/>
        </w:trPr>
        <w:tc>
          <w:tcPr>
            <w:tcW w:w="2124" w:type="dxa"/>
            <w:shd w:val="clear" w:color="auto" w:fill="auto"/>
            <w:vAlign w:val="center"/>
            <w:hideMark/>
          </w:tcPr>
          <w:p w:rsidR="00B94A65" w:rsidRPr="00B94A65" w:rsidP="009813E7" w14:paraId="437610D4" w14:textId="0018FD1F">
            <w:pPr>
              <w:widowControl/>
              <w:wordWrap w:val="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该分级基金是否暂停申购、赎回、定期定额投资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B94A65" w:rsidRPr="00B94A65" w:rsidP="00AD2F51" w14:paraId="23706677" w14:textId="3E40196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0453A">
              <w:rPr>
                <w:rFonts w:ascii="宋体" w:hAnsi="宋体" w:cs="宋体"/>
                <w:color w:val="000000"/>
                <w:kern w:val="0"/>
                <w:sz w:val="24"/>
              </w:rPr>
              <w:t>是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:rsidR="00B94A65" w:rsidRPr="00B94A65" w:rsidP="00AD2F51" w14:paraId="2A17A7B7" w14:textId="1D4565D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0453A">
              <w:rPr>
                <w:rFonts w:ascii="宋体" w:hAnsi="宋体" w:cs="宋体"/>
                <w:color w:val="000000"/>
                <w:kern w:val="0"/>
                <w:sz w:val="24"/>
              </w:rPr>
              <w:t>是</w:t>
            </w:r>
          </w:p>
        </w:tc>
      </w:tr>
    </w:tbl>
    <w:p w:rsidR="00EC4900" w:rsidP="001E1FED" w14:paraId="0F18672C" w14:textId="17365086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</w:rPr>
      </w:pPr>
    </w:p>
    <w:p w:rsidR="00132D7F" w:rsidRPr="008259F4" w:rsidP="001E1FED" w14:paraId="5B2C39A1" w14:textId="77777777">
      <w:pPr>
        <w:spacing w:line="360" w:lineRule="auto"/>
        <w:ind w:firstLine="480" w:firstLineChars="200"/>
        <w:rPr>
          <w:sz w:val="24"/>
        </w:rPr>
      </w:pPr>
    </w:p>
    <w:p w:rsidR="00CF4FFE" w:rsidRPr="008C2033" w:rsidP="00CF4FFE" w14:paraId="363AB32A" w14:textId="77777777">
      <w:pPr>
        <w:pStyle w:val="Heading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2.</w:t>
      </w:r>
      <w:r>
        <w:rPr>
          <w:rFonts w:hint="eastAsia"/>
          <w:color w:val="000000"/>
          <w:sz w:val="24"/>
          <w:szCs w:val="24"/>
        </w:rPr>
        <w:t>其他需要提示的事项</w:t>
      </w:r>
    </w:p>
    <w:p w:rsidR="00CF4FFE" w:rsidP="00CF4FFE" w14:paraId="578BB31F" w14:textId="2DED6C58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>(1) 本次暂停相关业务针对易方达全球成长精选混合型证券投资基金（QDII）（以下简称“本基金”）所有基金份额类别（A类人民币份额基金代码为012920，A类美元现汇份额基金代码为012921，C类人民币份额基金代码为012922，C类美元现汇份额基金代码为012923）。</w:t>
      </w:r>
    </w:p>
    <w:p w:rsidR="00CF4FFE" w:rsidP="00CF4FFE" w14:textId="2DED6C58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>(2) 若港股通或境外主要投资市场节假日安排发生变化，本基金管理人将进行相应调整并公告。</w:t>
      </w:r>
    </w:p>
    <w:p w:rsidR="00CF4FFE" w:rsidP="00CF4FFE" w14:textId="2DED6C58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>(3)  投资者可通过本基金各销售机构及以下途径咨询有关详情：</w:t>
      </w:r>
    </w:p>
    <w:p w:rsidR="00CF4FFE" w:rsidP="00CF4FFE" w14:textId="2DED6C58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>　　1) 易方达基金管理有限公司网站：www.efunds.com.cn；</w:t>
      </w:r>
    </w:p>
    <w:p w:rsidR="00CF4FFE" w:rsidP="00CF4FFE" w14:textId="2DED6C58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>　　2) 易方达基金管理有限公司客户服务热线：400 881 8088；</w:t>
      </w:r>
    </w:p>
    <w:p w:rsidR="00CF4FFE" w:rsidP="00CF4FFE" w14:textId="2DED6C58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>特此公告。</w:t>
      </w:r>
    </w:p>
    <w:p w:rsidR="00D3112F" w:rsidRPr="00FC4FF1" w:rsidP="00CF4FFE" w14:paraId="25639636" w14:textId="77777777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</w:rPr>
      </w:pPr>
    </w:p>
    <w:p w:rsidR="00CF4FFE" w:rsidRPr="00FC4FF1" w:rsidP="00CF4FFE" w14:paraId="7886694F" w14:textId="77777777">
      <w:pPr>
        <w:spacing w:line="360" w:lineRule="auto"/>
        <w:ind w:firstLine="480" w:firstLineChars="200"/>
        <w:jc w:val="right"/>
        <w:rPr>
          <w:rFonts w:asciiTheme="minorEastAsia" w:eastAsiaTheme="minorEastAsia" w:hAnsiTheme="minorEastAsia"/>
          <w:color w:val="000000"/>
          <w:sz w:val="24"/>
        </w:rPr>
      </w:pPr>
      <w:r w:rsidRPr="00FC4FF1">
        <w:rPr>
          <w:rFonts w:asciiTheme="minorEastAsia" w:eastAsiaTheme="minorEastAsia" w:hAnsiTheme="minorEastAsia" w:hint="eastAsia"/>
          <w:color w:val="000000"/>
          <w:sz w:val="24"/>
        </w:rPr>
        <w:t>易方达基金管理有限公司</w:t>
      </w:r>
    </w:p>
    <w:p w:rsidR="00E255CB" w:rsidRPr="004932BD" w:rsidP="00D37617" w14:paraId="5782F7C8" w14:textId="7C2637B4">
      <w:pPr>
        <w:spacing w:line="360" w:lineRule="auto"/>
        <w:ind w:firstLine="480" w:firstLineChars="200"/>
        <w:jc w:val="right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>2024年6月14日</w:t>
      </w:r>
    </w:p>
    <w:sectPr w:rsidSect="00B120A5">
      <w:footerReference w:type="default" r:id="rId4"/>
      <w:pgSz w:w="11906" w:h="16838"/>
      <w:pgMar w:top="1440" w:right="1797" w:bottom="1440" w:left="1797" w:header="851" w:footer="992" w:gutter="0"/>
      <w:pgNumType w:start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120A5" w:rsidP="00B120A5" w14:paraId="1C7CA917" w14:textId="7777777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</w:ft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叶子逸">
    <w15:presenceInfo w15:providerId="AD" w15:userId="S-1-5-21-4192046361-1944119394-1811551143-30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0C"/>
    <w:rsid w:val="000040EC"/>
    <w:rsid w:val="000058CF"/>
    <w:rsid w:val="00016C7C"/>
    <w:rsid w:val="00022A0F"/>
    <w:rsid w:val="00053A2D"/>
    <w:rsid w:val="000603AA"/>
    <w:rsid w:val="00084037"/>
    <w:rsid w:val="00090A6D"/>
    <w:rsid w:val="000A08E2"/>
    <w:rsid w:val="000A4EA8"/>
    <w:rsid w:val="000B505A"/>
    <w:rsid w:val="000B6CA1"/>
    <w:rsid w:val="000D75B3"/>
    <w:rsid w:val="000E21A5"/>
    <w:rsid w:val="000E5C48"/>
    <w:rsid w:val="000E6DEE"/>
    <w:rsid w:val="000F55E8"/>
    <w:rsid w:val="001052A2"/>
    <w:rsid w:val="00116555"/>
    <w:rsid w:val="00127FE4"/>
    <w:rsid w:val="00132D7F"/>
    <w:rsid w:val="001345C4"/>
    <w:rsid w:val="001346E1"/>
    <w:rsid w:val="00134ECE"/>
    <w:rsid w:val="001403F5"/>
    <w:rsid w:val="00165A9A"/>
    <w:rsid w:val="00171A39"/>
    <w:rsid w:val="00176983"/>
    <w:rsid w:val="00187BCF"/>
    <w:rsid w:val="00196B43"/>
    <w:rsid w:val="001D0C32"/>
    <w:rsid w:val="001D450D"/>
    <w:rsid w:val="001E1FED"/>
    <w:rsid w:val="001E5FFF"/>
    <w:rsid w:val="001F3EA6"/>
    <w:rsid w:val="002047B8"/>
    <w:rsid w:val="0021374C"/>
    <w:rsid w:val="00215D16"/>
    <w:rsid w:val="0023799D"/>
    <w:rsid w:val="0024190B"/>
    <w:rsid w:val="002510E8"/>
    <w:rsid w:val="00271D28"/>
    <w:rsid w:val="00276D6E"/>
    <w:rsid w:val="00282163"/>
    <w:rsid w:val="0028505D"/>
    <w:rsid w:val="0029083D"/>
    <w:rsid w:val="00292495"/>
    <w:rsid w:val="002B5634"/>
    <w:rsid w:val="002C7CA4"/>
    <w:rsid w:val="002D1C89"/>
    <w:rsid w:val="002E422A"/>
    <w:rsid w:val="002E5FD3"/>
    <w:rsid w:val="002F1B3D"/>
    <w:rsid w:val="00327620"/>
    <w:rsid w:val="00346B75"/>
    <w:rsid w:val="00381E6C"/>
    <w:rsid w:val="00385C65"/>
    <w:rsid w:val="00386321"/>
    <w:rsid w:val="00394B70"/>
    <w:rsid w:val="003A69C1"/>
    <w:rsid w:val="003B3E2F"/>
    <w:rsid w:val="003B533D"/>
    <w:rsid w:val="003C0759"/>
    <w:rsid w:val="003C3FD7"/>
    <w:rsid w:val="003F12CF"/>
    <w:rsid w:val="003F1376"/>
    <w:rsid w:val="003F2DE8"/>
    <w:rsid w:val="003F4DF6"/>
    <w:rsid w:val="0041080C"/>
    <w:rsid w:val="00413A38"/>
    <w:rsid w:val="00413BA8"/>
    <w:rsid w:val="004167E4"/>
    <w:rsid w:val="00417904"/>
    <w:rsid w:val="004260EA"/>
    <w:rsid w:val="00452E7F"/>
    <w:rsid w:val="00482D94"/>
    <w:rsid w:val="0049091A"/>
    <w:rsid w:val="004932BD"/>
    <w:rsid w:val="00495E00"/>
    <w:rsid w:val="004B11C7"/>
    <w:rsid w:val="004D0C85"/>
    <w:rsid w:val="004E1CFC"/>
    <w:rsid w:val="004E61FB"/>
    <w:rsid w:val="004F3838"/>
    <w:rsid w:val="00504A01"/>
    <w:rsid w:val="00517C1D"/>
    <w:rsid w:val="0053152C"/>
    <w:rsid w:val="00531592"/>
    <w:rsid w:val="00534171"/>
    <w:rsid w:val="005364D2"/>
    <w:rsid w:val="005447D0"/>
    <w:rsid w:val="005536BB"/>
    <w:rsid w:val="00555F13"/>
    <w:rsid w:val="00575AC3"/>
    <w:rsid w:val="005D5763"/>
    <w:rsid w:val="005E40BD"/>
    <w:rsid w:val="005F752C"/>
    <w:rsid w:val="00601E83"/>
    <w:rsid w:val="0063349B"/>
    <w:rsid w:val="00636133"/>
    <w:rsid w:val="00645DE2"/>
    <w:rsid w:val="00656FB6"/>
    <w:rsid w:val="00663E5B"/>
    <w:rsid w:val="00666055"/>
    <w:rsid w:val="006768BB"/>
    <w:rsid w:val="006834DA"/>
    <w:rsid w:val="006B54D0"/>
    <w:rsid w:val="006B5E1D"/>
    <w:rsid w:val="006C376C"/>
    <w:rsid w:val="006E57D3"/>
    <w:rsid w:val="0070453A"/>
    <w:rsid w:val="007072E2"/>
    <w:rsid w:val="00710028"/>
    <w:rsid w:val="00711D6B"/>
    <w:rsid w:val="00715649"/>
    <w:rsid w:val="00726142"/>
    <w:rsid w:val="00744165"/>
    <w:rsid w:val="0076152C"/>
    <w:rsid w:val="007773D8"/>
    <w:rsid w:val="00782BA1"/>
    <w:rsid w:val="00783BF2"/>
    <w:rsid w:val="007935D8"/>
    <w:rsid w:val="007B5458"/>
    <w:rsid w:val="007C62FF"/>
    <w:rsid w:val="007D19C3"/>
    <w:rsid w:val="007D2E3B"/>
    <w:rsid w:val="007D414E"/>
    <w:rsid w:val="007E1EDD"/>
    <w:rsid w:val="007E7A4D"/>
    <w:rsid w:val="008259F4"/>
    <w:rsid w:val="008367BE"/>
    <w:rsid w:val="00845B17"/>
    <w:rsid w:val="00847916"/>
    <w:rsid w:val="00891BCA"/>
    <w:rsid w:val="00893A09"/>
    <w:rsid w:val="008B31A1"/>
    <w:rsid w:val="008C2033"/>
    <w:rsid w:val="008C228D"/>
    <w:rsid w:val="008D649F"/>
    <w:rsid w:val="008E0142"/>
    <w:rsid w:val="008F5DBC"/>
    <w:rsid w:val="00906C0D"/>
    <w:rsid w:val="009107AD"/>
    <w:rsid w:val="00914A85"/>
    <w:rsid w:val="0091559C"/>
    <w:rsid w:val="009366E4"/>
    <w:rsid w:val="00956986"/>
    <w:rsid w:val="00956F22"/>
    <w:rsid w:val="0097220C"/>
    <w:rsid w:val="00980B50"/>
    <w:rsid w:val="009813E7"/>
    <w:rsid w:val="00983790"/>
    <w:rsid w:val="009D6573"/>
    <w:rsid w:val="009E2E4E"/>
    <w:rsid w:val="009E7637"/>
    <w:rsid w:val="009F36BD"/>
    <w:rsid w:val="009F597D"/>
    <w:rsid w:val="00A047D8"/>
    <w:rsid w:val="00A0504E"/>
    <w:rsid w:val="00A20DB2"/>
    <w:rsid w:val="00A3326C"/>
    <w:rsid w:val="00A36518"/>
    <w:rsid w:val="00A4742E"/>
    <w:rsid w:val="00A63968"/>
    <w:rsid w:val="00A77BEA"/>
    <w:rsid w:val="00A96349"/>
    <w:rsid w:val="00AA083B"/>
    <w:rsid w:val="00AB2CC9"/>
    <w:rsid w:val="00AC299C"/>
    <w:rsid w:val="00AC59C2"/>
    <w:rsid w:val="00AC5FC9"/>
    <w:rsid w:val="00AD24D3"/>
    <w:rsid w:val="00AD2F51"/>
    <w:rsid w:val="00AD5C5E"/>
    <w:rsid w:val="00AF1784"/>
    <w:rsid w:val="00B0053C"/>
    <w:rsid w:val="00B04BDA"/>
    <w:rsid w:val="00B120A5"/>
    <w:rsid w:val="00B24C24"/>
    <w:rsid w:val="00B463D8"/>
    <w:rsid w:val="00B53662"/>
    <w:rsid w:val="00B543A4"/>
    <w:rsid w:val="00B54764"/>
    <w:rsid w:val="00B61940"/>
    <w:rsid w:val="00B62F01"/>
    <w:rsid w:val="00B81249"/>
    <w:rsid w:val="00B94A65"/>
    <w:rsid w:val="00BA0A9C"/>
    <w:rsid w:val="00BC691A"/>
    <w:rsid w:val="00BC7747"/>
    <w:rsid w:val="00BE4B67"/>
    <w:rsid w:val="00BF1DCE"/>
    <w:rsid w:val="00BF31CF"/>
    <w:rsid w:val="00BF4447"/>
    <w:rsid w:val="00BF4B3A"/>
    <w:rsid w:val="00C0698B"/>
    <w:rsid w:val="00C23E63"/>
    <w:rsid w:val="00C43F62"/>
    <w:rsid w:val="00C52FF0"/>
    <w:rsid w:val="00C600BF"/>
    <w:rsid w:val="00C826E0"/>
    <w:rsid w:val="00C93191"/>
    <w:rsid w:val="00CA2E18"/>
    <w:rsid w:val="00CA7B1B"/>
    <w:rsid w:val="00CD4719"/>
    <w:rsid w:val="00CE4E69"/>
    <w:rsid w:val="00CE5E63"/>
    <w:rsid w:val="00CF03C6"/>
    <w:rsid w:val="00CF4FFE"/>
    <w:rsid w:val="00D0154C"/>
    <w:rsid w:val="00D17ADA"/>
    <w:rsid w:val="00D20661"/>
    <w:rsid w:val="00D30829"/>
    <w:rsid w:val="00D3112F"/>
    <w:rsid w:val="00D31935"/>
    <w:rsid w:val="00D37617"/>
    <w:rsid w:val="00D3796F"/>
    <w:rsid w:val="00D4227B"/>
    <w:rsid w:val="00D4622B"/>
    <w:rsid w:val="00D827E2"/>
    <w:rsid w:val="00D83D7B"/>
    <w:rsid w:val="00DB1DD0"/>
    <w:rsid w:val="00DC4872"/>
    <w:rsid w:val="00E200FD"/>
    <w:rsid w:val="00E22F18"/>
    <w:rsid w:val="00E255CB"/>
    <w:rsid w:val="00E31C70"/>
    <w:rsid w:val="00E3465E"/>
    <w:rsid w:val="00E52837"/>
    <w:rsid w:val="00E5581A"/>
    <w:rsid w:val="00E65A9C"/>
    <w:rsid w:val="00EB0D87"/>
    <w:rsid w:val="00EB32F2"/>
    <w:rsid w:val="00EC4900"/>
    <w:rsid w:val="00EE4900"/>
    <w:rsid w:val="00F14E36"/>
    <w:rsid w:val="00F21ACC"/>
    <w:rsid w:val="00F412E7"/>
    <w:rsid w:val="00F44F36"/>
    <w:rsid w:val="00F5419A"/>
    <w:rsid w:val="00F54207"/>
    <w:rsid w:val="00F70383"/>
    <w:rsid w:val="00F73FF7"/>
    <w:rsid w:val="00F8382B"/>
    <w:rsid w:val="00F97F99"/>
    <w:rsid w:val="00FC4FF1"/>
    <w:rsid w:val="00FD12FC"/>
    <w:rsid w:val="00FD6C2B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45B9C8B-7F5D-48FD-B5FF-49F8A4D7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F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Heading3">
    <w:name w:val="heading 3"/>
    <w:basedOn w:val="Normal"/>
    <w:next w:val="Normal"/>
    <w:link w:val="3Char"/>
    <w:qFormat/>
    <w:rsid w:val="00CF4FF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5Char"/>
    <w:uiPriority w:val="9"/>
    <w:unhideWhenUsed/>
    <w:qFormat/>
    <w:rsid w:val="00663E5B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nhideWhenUsed/>
    <w:rsid w:val="00CF4F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DefaultParagraphFont"/>
    <w:link w:val="Header"/>
    <w:uiPriority w:val="99"/>
    <w:rsid w:val="00CF4FFE"/>
    <w:rPr>
      <w:sz w:val="18"/>
      <w:szCs w:val="18"/>
    </w:rPr>
  </w:style>
  <w:style w:type="paragraph" w:styleId="Footer">
    <w:name w:val="footer"/>
    <w:basedOn w:val="Normal"/>
    <w:link w:val="Char0"/>
    <w:unhideWhenUsed/>
    <w:rsid w:val="00CF4F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rsid w:val="00CF4FFE"/>
    <w:rPr>
      <w:sz w:val="18"/>
      <w:szCs w:val="18"/>
    </w:rPr>
  </w:style>
  <w:style w:type="character" w:customStyle="1" w:styleId="3Char">
    <w:name w:val="标题 3 Char"/>
    <w:basedOn w:val="DefaultParagraphFont"/>
    <w:link w:val="Heading3"/>
    <w:rsid w:val="00CF4FFE"/>
    <w:rPr>
      <w:rFonts w:ascii="Times New Roman" w:eastAsia="宋体" w:hAnsi="Times New Roman" w:cs="Times New Roman"/>
      <w:b/>
      <w:bCs/>
      <w:sz w:val="32"/>
      <w:szCs w:val="32"/>
    </w:rPr>
  </w:style>
  <w:style w:type="character" w:styleId="PageNumber">
    <w:name w:val="page number"/>
    <w:basedOn w:val="DefaultParagraphFont"/>
    <w:rsid w:val="00CF4FFE"/>
  </w:style>
  <w:style w:type="paragraph" w:styleId="BalloonText">
    <w:name w:val="Balloon Text"/>
    <w:basedOn w:val="Normal"/>
    <w:link w:val="Char1"/>
    <w:uiPriority w:val="99"/>
    <w:semiHidden/>
    <w:unhideWhenUsed/>
    <w:rsid w:val="00EC4900"/>
    <w:rPr>
      <w:sz w:val="18"/>
      <w:szCs w:val="18"/>
    </w:rPr>
  </w:style>
  <w:style w:type="character" w:customStyle="1" w:styleId="Char1">
    <w:name w:val="批注框文本 Char"/>
    <w:basedOn w:val="DefaultParagraphFont"/>
    <w:link w:val="BalloonText"/>
    <w:uiPriority w:val="99"/>
    <w:semiHidden/>
    <w:rsid w:val="00EC4900"/>
    <w:rPr>
      <w:rFonts w:ascii="Times New Roman" w:eastAsia="宋体" w:hAnsi="Times New Roman" w:cs="Times New Roman"/>
      <w:sz w:val="18"/>
      <w:szCs w:val="18"/>
    </w:rPr>
  </w:style>
  <w:style w:type="paragraph" w:styleId="DocumentMap">
    <w:name w:val="Document Map"/>
    <w:basedOn w:val="Normal"/>
    <w:link w:val="Char2"/>
    <w:uiPriority w:val="99"/>
    <w:semiHidden/>
    <w:unhideWhenUsed/>
    <w:rsid w:val="002C7CA4"/>
    <w:rPr>
      <w:rFonts w:ascii="宋体"/>
      <w:sz w:val="18"/>
      <w:szCs w:val="18"/>
    </w:rPr>
  </w:style>
  <w:style w:type="character" w:customStyle="1" w:styleId="Char2">
    <w:name w:val="文档结构图 Char"/>
    <w:basedOn w:val="DefaultParagraphFont"/>
    <w:link w:val="DocumentMap"/>
    <w:uiPriority w:val="99"/>
    <w:semiHidden/>
    <w:rsid w:val="002C7CA4"/>
    <w:rPr>
      <w:rFonts w:ascii="宋体" w:eastAsia="宋体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67E4"/>
    <w:rPr>
      <w:sz w:val="21"/>
      <w:szCs w:val="21"/>
    </w:rPr>
  </w:style>
  <w:style w:type="paragraph" w:styleId="CommentText">
    <w:name w:val="annotation text"/>
    <w:basedOn w:val="Normal"/>
    <w:link w:val="Char3"/>
    <w:uiPriority w:val="99"/>
    <w:semiHidden/>
    <w:unhideWhenUsed/>
    <w:rsid w:val="004167E4"/>
    <w:pPr>
      <w:jc w:val="left"/>
    </w:pPr>
  </w:style>
  <w:style w:type="character" w:customStyle="1" w:styleId="Char3">
    <w:name w:val="批注文字 Char"/>
    <w:basedOn w:val="DefaultParagraphFont"/>
    <w:link w:val="CommentText"/>
    <w:uiPriority w:val="99"/>
    <w:semiHidden/>
    <w:rsid w:val="004167E4"/>
    <w:rPr>
      <w:rFonts w:ascii="Times New Roman" w:eastAsia="宋体" w:hAnsi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har4"/>
    <w:uiPriority w:val="99"/>
    <w:semiHidden/>
    <w:unhideWhenUsed/>
    <w:rsid w:val="004167E4"/>
    <w:rPr>
      <w:b/>
      <w:bCs/>
    </w:rPr>
  </w:style>
  <w:style w:type="character" w:customStyle="1" w:styleId="Char4">
    <w:name w:val="批注主题 Char"/>
    <w:basedOn w:val="Char3"/>
    <w:link w:val="CommentSubject"/>
    <w:uiPriority w:val="99"/>
    <w:semiHidden/>
    <w:rsid w:val="004167E4"/>
    <w:rPr>
      <w:rFonts w:ascii="Times New Roman" w:eastAsia="宋体" w:hAnsi="Times New Roman" w:cs="Times New Roman"/>
      <w:b/>
      <w:bCs/>
      <w:szCs w:val="24"/>
    </w:rPr>
  </w:style>
  <w:style w:type="character" w:customStyle="1" w:styleId="5Char">
    <w:name w:val="标题 5 Char"/>
    <w:basedOn w:val="DefaultParagraphFont"/>
    <w:link w:val="Heading5"/>
    <w:uiPriority w:val="9"/>
    <w:rsid w:val="00663E5B"/>
    <w:rPr>
      <w:rFonts w:ascii="Times New Roman" w:eastAsia="宋体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Relationship Id="rId7" Type="http://schemas.microsoft.com/office/2011/relationships/people" Target="people.xml" /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ns1="http://schemas.openxmlformats.org/wordprocessingml/2006/main" xmlns:ns11="http://schemas.microsoft.com/office/word/2006/wordml" xmlns:ns12="http://schemas.openxmlformats.org/drawingml/2006/chart" xmlns:ns14="http://schemas.openxmlformats.org/drawingml/2006/diagram" xmlns:ns15="http://schemas.openxmlformats.org/drawingml/2006/picture" xmlns:ns16="http://schemas.openxmlformats.org/drawingml/2006/spreadsheetDrawing" xmlns:ns17="http://schemas.microsoft.com/office/drawing/2008/diagram" xmlns:ns19="urn:schemas-microsoft-com:office:office" xmlns:ns2="http://schemas.openxmlformats.org/officeDocument/2006/math" xmlns:ns20="urn:schemas-microsoft-com:vml" xmlns:ns21="urn:schemas-microsoft-com:office:word" xmlns:ns25="http://opendope.org/xpaths" xmlns:ns26="http://opendope.org/conditions" xmlns:ns27="http://opendope.org/questions" xmlns:ns28="http://opendope.org/answers" xmlns:ns29="http://opendope.org/components" xmlns:ns3="http://schemas.openxmlformats.org/officeDocument/2006/relationships" xmlns:ns30="http://opendope.org/SmartArt/DataHierarchy" xmlns:ns31="http://schemas.openxmlformats.org/officeDocument/2006/bibliography" xmlns:ns32="http://schemas.microsoft.com/office/webextensions/taskpanes/2010/11" xmlns:ns33="http://schemas.microsoft.com/office/webextensions/webextension/2010/11" xmlns:ns4="http://schemas.microsoft.com/office/word/2010/wordml" xmlns:ns5="http://schemas.openxmlformats.org/drawingml/2006/wordprocessingDrawing" xmlns:ns6="http://schemas.openxmlformats.org/drawingml/2006/main" xmlns:ns7="http://schemas.microsoft.com/office/word/2010/wordprocessingDrawing" xmlns:ns8="http://schemas.microsoft.com/office/word/2012/wordml" xmlns:ns9="http://schemas.openxmlformats.org/markup-compatibility/2006" id="{62F939B6-93AF-4DB8-9C6B-D6C7DFDC589F}" name="Office Theme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