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23144C" w:rsidRPr="00D3689E" w:rsidP="00172767">
      <w:pPr>
        <w:spacing w:line="360" w:lineRule="auto"/>
        <w:ind w:firstLine="881"/>
        <w:jc w:val="center"/>
        <w:rPr>
          <w:rFonts w:asciiTheme="minorEastAsia" w:eastAsiaTheme="minorEastAsia" w:hAnsiTheme="minorEastAsia"/>
          <w:b/>
          <w:color w:val="000000" w:themeColor="text1"/>
          <w:sz w:val="44"/>
        </w:rPr>
      </w:pPr>
    </w:p>
    <w:p w:rsidR="0064594E" w:rsidRPr="00D3689E" w:rsidP="00172767">
      <w:pPr>
        <w:spacing w:line="360" w:lineRule="auto"/>
        <w:ind w:firstLine="881"/>
        <w:jc w:val="center"/>
        <w:rPr>
          <w:rFonts w:asciiTheme="minorEastAsia" w:eastAsiaTheme="minorEastAsia" w:hAnsiTheme="minorEastAsia"/>
          <w:b/>
          <w:color w:val="000000" w:themeColor="text1"/>
          <w:sz w:val="44"/>
        </w:rPr>
      </w:pPr>
    </w:p>
    <w:p w:rsidR="0064594E" w:rsidRPr="00D3689E" w:rsidP="00FE4AB7">
      <w:pPr>
        <w:spacing w:line="360" w:lineRule="auto"/>
        <w:jc w:val="center"/>
        <w:rPr>
          <w:rFonts w:asciiTheme="minorEastAsia" w:eastAsiaTheme="minorEastAsia" w:hAnsiTheme="minorEastAsia"/>
          <w:b/>
          <w:color w:val="000000" w:themeColor="text1"/>
          <w:sz w:val="44"/>
          <w:szCs w:val="44"/>
        </w:rPr>
      </w:pPr>
      <w:r w:rsidRPr="00D3689E">
        <w:rPr>
          <w:rFonts w:asciiTheme="minorEastAsia" w:eastAsiaTheme="minorEastAsia" w:hAnsiTheme="minorEastAsia" w:hint="eastAsia"/>
          <w:b/>
          <w:color w:val="000000" w:themeColor="text1"/>
          <w:sz w:val="44"/>
          <w:szCs w:val="44"/>
        </w:rPr>
        <w:t>易方达中证海外中国互联网50交易型开放式指数证券投资基金联接基金</w:t>
      </w:r>
      <w:r w:rsidRPr="00D3689E" w:rsidR="000552FA">
        <w:rPr>
          <w:rFonts w:asciiTheme="minorEastAsia" w:eastAsiaTheme="minorEastAsia" w:hAnsiTheme="minorEastAsia" w:hint="eastAsia"/>
          <w:b/>
          <w:color w:val="000000" w:themeColor="text1"/>
          <w:sz w:val="44"/>
          <w:szCs w:val="44"/>
        </w:rPr>
        <w:t>更新的</w:t>
      </w:r>
      <w:r w:rsidRPr="00D3689E">
        <w:rPr>
          <w:rFonts w:asciiTheme="minorEastAsia" w:eastAsiaTheme="minorEastAsia" w:hAnsiTheme="minorEastAsia"/>
          <w:b/>
          <w:color w:val="000000" w:themeColor="text1"/>
          <w:sz w:val="44"/>
          <w:szCs w:val="44"/>
        </w:rPr>
        <w:t>招募说明书</w:t>
      </w:r>
    </w:p>
    <w:p w:rsidR="0064594E" w:rsidRPr="00D3689E" w:rsidP="00172767">
      <w:pPr>
        <w:spacing w:line="360" w:lineRule="auto"/>
        <w:jc w:val="center"/>
        <w:rPr>
          <w:rFonts w:asciiTheme="minorEastAsia" w:eastAsiaTheme="minorEastAsia" w:hAnsiTheme="minorEastAsia"/>
          <w:color w:val="000000" w:themeColor="text1"/>
          <w:sz w:val="44"/>
          <w:szCs w:val="44"/>
        </w:rPr>
      </w:pPr>
    </w:p>
    <w:p w:rsidR="0064594E" w:rsidRPr="00D3689E" w:rsidP="00172767">
      <w:pPr>
        <w:spacing w:line="360" w:lineRule="auto"/>
        <w:jc w:val="center"/>
        <w:rPr>
          <w:rFonts w:asciiTheme="minorEastAsia" w:eastAsiaTheme="minorEastAsia" w:hAnsiTheme="minorEastAsia"/>
          <w:color w:val="000000" w:themeColor="text1"/>
          <w:sz w:val="44"/>
          <w:szCs w:val="44"/>
        </w:rPr>
      </w:pPr>
    </w:p>
    <w:p w:rsidR="006D21DA" w:rsidRPr="00D3689E" w:rsidP="00172767">
      <w:pPr>
        <w:spacing w:line="360" w:lineRule="auto"/>
        <w:jc w:val="center"/>
        <w:rPr>
          <w:rFonts w:asciiTheme="minorEastAsia" w:eastAsiaTheme="minorEastAsia" w:hAnsiTheme="minorEastAsia"/>
          <w:color w:val="000000" w:themeColor="text1"/>
          <w:sz w:val="44"/>
          <w:szCs w:val="44"/>
        </w:rPr>
      </w:pPr>
    </w:p>
    <w:p w:rsidR="006D21DA" w:rsidRPr="00D3689E" w:rsidP="00172767">
      <w:pPr>
        <w:spacing w:line="360" w:lineRule="auto"/>
        <w:jc w:val="center"/>
        <w:rPr>
          <w:rFonts w:asciiTheme="minorEastAsia" w:eastAsiaTheme="minorEastAsia" w:hAnsiTheme="minorEastAsia"/>
          <w:color w:val="000000" w:themeColor="text1"/>
          <w:sz w:val="44"/>
          <w:szCs w:val="44"/>
        </w:rPr>
      </w:pPr>
    </w:p>
    <w:p w:rsidR="006D21DA" w:rsidRPr="00D3689E" w:rsidP="00172767">
      <w:pPr>
        <w:spacing w:line="360" w:lineRule="auto"/>
        <w:jc w:val="center"/>
        <w:rPr>
          <w:rFonts w:asciiTheme="minorEastAsia" w:eastAsiaTheme="minorEastAsia" w:hAnsiTheme="minorEastAsia"/>
          <w:color w:val="000000" w:themeColor="text1"/>
          <w:sz w:val="44"/>
          <w:szCs w:val="44"/>
        </w:rPr>
      </w:pPr>
    </w:p>
    <w:p w:rsidR="0064594E" w:rsidRPr="00D3689E" w:rsidP="00BB63BB">
      <w:pPr>
        <w:spacing w:line="360" w:lineRule="auto"/>
        <w:jc w:val="center"/>
        <w:rPr>
          <w:rFonts w:asciiTheme="minorEastAsia" w:eastAsiaTheme="minorEastAsia" w:hAnsiTheme="minorEastAsia"/>
          <w:color w:val="000000" w:themeColor="text1"/>
          <w:sz w:val="30"/>
          <w:szCs w:val="30"/>
        </w:rPr>
      </w:pPr>
      <w:r w:rsidRPr="00D3689E">
        <w:rPr>
          <w:rFonts w:asciiTheme="minorEastAsia" w:eastAsiaTheme="minorEastAsia" w:hAnsiTheme="minorEastAsia"/>
          <w:color w:val="000000" w:themeColor="text1"/>
          <w:sz w:val="30"/>
          <w:szCs w:val="30"/>
        </w:rPr>
        <w:t>基金管理人：易方达基金管理有限公司</w:t>
      </w:r>
    </w:p>
    <w:p w:rsidR="0064594E" w:rsidRPr="00D3689E" w:rsidP="00BB63BB">
      <w:pPr>
        <w:spacing w:line="360" w:lineRule="auto"/>
        <w:jc w:val="center"/>
        <w:rPr>
          <w:rFonts w:asciiTheme="minorEastAsia" w:eastAsiaTheme="minorEastAsia" w:hAnsiTheme="minorEastAsia"/>
          <w:color w:val="000000" w:themeColor="text1"/>
          <w:sz w:val="30"/>
          <w:szCs w:val="30"/>
        </w:rPr>
      </w:pPr>
      <w:r w:rsidRPr="00D3689E">
        <w:rPr>
          <w:rFonts w:asciiTheme="minorEastAsia" w:eastAsiaTheme="minorEastAsia" w:hAnsiTheme="minorEastAsia"/>
          <w:color w:val="000000" w:themeColor="text1"/>
          <w:sz w:val="30"/>
          <w:szCs w:val="30"/>
        </w:rPr>
        <w:t>基金托管人：</w:t>
      </w:r>
      <w:r w:rsidRPr="00D3689E" w:rsidR="00A8438B">
        <w:rPr>
          <w:rFonts w:asciiTheme="minorEastAsia" w:eastAsiaTheme="minorEastAsia" w:hAnsiTheme="minorEastAsia" w:hint="eastAsia"/>
          <w:color w:val="000000" w:themeColor="text1"/>
          <w:sz w:val="30"/>
          <w:szCs w:val="30"/>
        </w:rPr>
        <w:t>招商</w:t>
      </w:r>
      <w:r w:rsidRPr="00D3689E" w:rsidR="00122277">
        <w:rPr>
          <w:rFonts w:asciiTheme="minorEastAsia" w:eastAsiaTheme="minorEastAsia" w:hAnsiTheme="minorEastAsia"/>
          <w:color w:val="000000" w:themeColor="text1"/>
          <w:sz w:val="30"/>
          <w:szCs w:val="30"/>
        </w:rPr>
        <w:t>银行</w:t>
      </w:r>
      <w:r w:rsidRPr="00D3689E">
        <w:rPr>
          <w:rFonts w:asciiTheme="minorEastAsia" w:eastAsiaTheme="minorEastAsia" w:hAnsiTheme="minorEastAsia"/>
          <w:color w:val="000000" w:themeColor="text1"/>
          <w:sz w:val="30"/>
          <w:szCs w:val="30"/>
        </w:rPr>
        <w:t>股份有限公司</w:t>
      </w:r>
    </w:p>
    <w:p w:rsidR="00713568" w:rsidRPr="00D3689E" w:rsidP="00172767">
      <w:pPr>
        <w:spacing w:line="360" w:lineRule="auto"/>
        <w:jc w:val="center"/>
        <w:rPr>
          <w:rFonts w:asciiTheme="minorEastAsia" w:eastAsiaTheme="minorEastAsia" w:hAnsiTheme="minorEastAsia"/>
          <w:color w:val="000000" w:themeColor="text1"/>
          <w:sz w:val="30"/>
          <w:szCs w:val="30"/>
        </w:rPr>
      </w:pPr>
    </w:p>
    <w:p w:rsidR="00713568" w:rsidRPr="00D3689E" w:rsidP="00172767">
      <w:pPr>
        <w:spacing w:line="360" w:lineRule="auto"/>
        <w:jc w:val="center"/>
        <w:rPr>
          <w:rFonts w:asciiTheme="minorEastAsia" w:eastAsiaTheme="minorEastAsia" w:hAnsiTheme="minorEastAsia"/>
          <w:color w:val="000000" w:themeColor="text1"/>
          <w:sz w:val="30"/>
          <w:szCs w:val="30"/>
        </w:rPr>
      </w:pPr>
    </w:p>
    <w:p w:rsidR="00E6137F" w:rsidRPr="00D3689E" w:rsidP="00172767">
      <w:pPr>
        <w:spacing w:line="360" w:lineRule="auto"/>
        <w:jc w:val="center"/>
        <w:rPr>
          <w:rFonts w:asciiTheme="minorEastAsia" w:eastAsiaTheme="minorEastAsia" w:hAnsiTheme="minorEastAsia"/>
          <w:color w:val="000000" w:themeColor="text1"/>
          <w:sz w:val="30"/>
          <w:szCs w:val="30"/>
        </w:rPr>
      </w:pPr>
      <w:r w:rsidRPr="00D3689E">
        <w:rPr>
          <w:rFonts w:asciiTheme="minorEastAsia" w:eastAsiaTheme="minorEastAsia" w:hAnsiTheme="minorEastAsia"/>
          <w:color w:val="000000" w:themeColor="text1"/>
          <w:sz w:val="30"/>
        </w:rPr>
        <w:t>二〇二</w:t>
      </w:r>
      <w:r w:rsidRPr="00D3689E" w:rsidR="00FD5013">
        <w:rPr>
          <w:rFonts w:asciiTheme="minorEastAsia" w:eastAsiaTheme="minorEastAsia" w:hAnsiTheme="minorEastAsia"/>
          <w:color w:val="000000" w:themeColor="text1"/>
          <w:sz w:val="30"/>
        </w:rPr>
        <w:t>四</w:t>
      </w:r>
      <w:r w:rsidRPr="00D3689E">
        <w:rPr>
          <w:rFonts w:asciiTheme="minorEastAsia" w:eastAsiaTheme="minorEastAsia" w:hAnsiTheme="minorEastAsia"/>
          <w:color w:val="000000" w:themeColor="text1"/>
          <w:sz w:val="30"/>
        </w:rPr>
        <w:t>年</w:t>
      </w:r>
      <w:r w:rsidRPr="00D3689E" w:rsidR="00FD5013">
        <w:rPr>
          <w:rFonts w:asciiTheme="minorEastAsia" w:eastAsiaTheme="minorEastAsia" w:hAnsiTheme="minorEastAsia"/>
          <w:color w:val="000000" w:themeColor="text1"/>
          <w:sz w:val="30"/>
        </w:rPr>
        <w:t>六</w:t>
      </w:r>
      <w:r w:rsidRPr="00D3689E">
        <w:rPr>
          <w:rFonts w:asciiTheme="minorEastAsia" w:eastAsiaTheme="minorEastAsia" w:hAnsiTheme="minorEastAsia"/>
          <w:color w:val="000000" w:themeColor="text1"/>
          <w:sz w:val="30"/>
        </w:rPr>
        <w:t>月</w:t>
      </w:r>
    </w:p>
    <w:p w:rsidR="00294707" w:rsidRPr="00D3689E" w:rsidP="00172767">
      <w:pPr>
        <w:spacing w:line="360" w:lineRule="auto"/>
        <w:jc w:val="center"/>
        <w:rPr>
          <w:rFonts w:asciiTheme="minorEastAsia" w:eastAsiaTheme="minorEastAsia" w:hAnsiTheme="minorEastAsia"/>
          <w:color w:val="000000" w:themeColor="text1"/>
          <w:sz w:val="24"/>
        </w:rPr>
      </w:pPr>
    </w:p>
    <w:p w:rsidR="006D21DA" w:rsidRPr="00D3689E" w:rsidP="0028353A">
      <w:pPr>
        <w:spacing w:line="360" w:lineRule="auto"/>
        <w:rPr>
          <w:rFonts w:asciiTheme="minorEastAsia" w:eastAsiaTheme="minorEastAsia" w:hAnsiTheme="minorEastAsia"/>
          <w:color w:val="000000" w:themeColor="text1"/>
          <w:sz w:val="24"/>
        </w:rPr>
        <w:sectPr w:rsidSect="00D95573">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start="1"/>
          <w:cols w:space="425"/>
          <w:titlePg/>
          <w:docGrid w:type="lines" w:linePitch="447"/>
        </w:sectPr>
      </w:pPr>
    </w:p>
    <w:p w:rsidR="007E29F9" w:rsidRPr="00D3689E" w:rsidP="009E5C8E">
      <w:pPr>
        <w:spacing w:line="360" w:lineRule="auto"/>
        <w:jc w:val="center"/>
        <w:rPr>
          <w:rFonts w:asciiTheme="minorEastAsia" w:eastAsiaTheme="minorEastAsia" w:hAnsiTheme="minorEastAsia"/>
          <w:b/>
          <w:color w:val="000000" w:themeColor="text1"/>
          <w:sz w:val="28"/>
          <w:szCs w:val="28"/>
        </w:rPr>
      </w:pPr>
      <w:r w:rsidRPr="00D3689E">
        <w:rPr>
          <w:rFonts w:asciiTheme="minorEastAsia" w:eastAsiaTheme="minorEastAsia" w:hAnsiTheme="minorEastAsia"/>
          <w:b/>
          <w:color w:val="000000" w:themeColor="text1"/>
          <w:sz w:val="28"/>
          <w:szCs w:val="28"/>
        </w:rPr>
        <w:t>重要提示</w:t>
      </w:r>
    </w:p>
    <w:p w:rsidR="007E29F9" w:rsidRPr="00D3689E" w:rsidP="0028353A">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rPr>
        <w:t>1、本基金根据2018年8月9日中国证券监督管理委员会《关于准予易方达中证海外中国互联网50交易型开放式指数证券投资基金联接基金注册的批复》(证监许可【2018】1270号)进行募集，本基金基金合同于2019年1月18日正式生效。</w:t>
      </w:r>
    </w:p>
    <w:p w:rsidR="00111B14" w:rsidRPr="00D3689E" w:rsidP="0028353A">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b/>
          <w:color w:val="000000" w:themeColor="text1"/>
          <w:szCs w:val="21"/>
        </w:rPr>
        <w:t>2、</w:t>
      </w:r>
      <w:r w:rsidRPr="00D3689E" w:rsidR="00A8438B">
        <w:rPr>
          <w:rFonts w:asciiTheme="minorEastAsia" w:eastAsiaTheme="minorEastAsia" w:hAnsiTheme="minorEastAsia"/>
          <w:b/>
          <w:color w:val="000000" w:themeColor="text1"/>
          <w:szCs w:val="21"/>
        </w:rPr>
        <w:t>基金管理人保证《招募说明书》的内容真实、准确、完整。本《招募说明书》经中国证监会</w:t>
      </w:r>
      <w:r w:rsidRPr="00D3689E" w:rsidR="00A8438B">
        <w:rPr>
          <w:rFonts w:asciiTheme="minorEastAsia" w:eastAsiaTheme="minorEastAsia" w:hAnsiTheme="minorEastAsia" w:hint="eastAsia"/>
          <w:b/>
          <w:color w:val="000000" w:themeColor="text1"/>
          <w:szCs w:val="21"/>
        </w:rPr>
        <w:t>注册</w:t>
      </w:r>
      <w:r w:rsidRPr="00D3689E" w:rsidR="00A8438B">
        <w:rPr>
          <w:rFonts w:asciiTheme="minorEastAsia" w:eastAsiaTheme="minorEastAsia" w:hAnsiTheme="minorEastAsia"/>
          <w:b/>
          <w:color w:val="000000" w:themeColor="text1"/>
          <w:szCs w:val="21"/>
        </w:rPr>
        <w:t>，但中国证监会对本基金募集的</w:t>
      </w:r>
      <w:r w:rsidRPr="00D3689E" w:rsidR="00A8438B">
        <w:rPr>
          <w:rFonts w:asciiTheme="minorEastAsia" w:eastAsiaTheme="minorEastAsia" w:hAnsiTheme="minorEastAsia" w:hint="eastAsia"/>
          <w:b/>
          <w:color w:val="000000" w:themeColor="text1"/>
          <w:szCs w:val="21"/>
        </w:rPr>
        <w:t>注册</w:t>
      </w:r>
      <w:r w:rsidRPr="00D3689E" w:rsidR="00A8438B">
        <w:rPr>
          <w:rFonts w:asciiTheme="minorEastAsia" w:eastAsiaTheme="minorEastAsia" w:hAnsiTheme="minorEastAsia"/>
          <w:b/>
          <w:color w:val="000000" w:themeColor="text1"/>
          <w:szCs w:val="21"/>
        </w:rPr>
        <w:t>，并不表明其对本基金的</w:t>
      </w:r>
      <w:r w:rsidRPr="00D3689E" w:rsidR="00A8438B">
        <w:rPr>
          <w:rFonts w:asciiTheme="minorEastAsia" w:eastAsiaTheme="minorEastAsia" w:hAnsiTheme="minorEastAsia" w:hint="eastAsia"/>
          <w:b/>
          <w:color w:val="000000" w:themeColor="text1"/>
          <w:szCs w:val="21"/>
        </w:rPr>
        <w:t>投资</w:t>
      </w:r>
      <w:r w:rsidRPr="00D3689E" w:rsidR="00A8438B">
        <w:rPr>
          <w:rFonts w:asciiTheme="minorEastAsia" w:eastAsiaTheme="minorEastAsia" w:hAnsiTheme="minorEastAsia"/>
          <w:b/>
          <w:color w:val="000000" w:themeColor="text1"/>
          <w:szCs w:val="21"/>
        </w:rPr>
        <w:t>价值</w:t>
      </w:r>
      <w:r w:rsidRPr="00D3689E" w:rsidR="00A8438B">
        <w:rPr>
          <w:rFonts w:asciiTheme="minorEastAsia" w:eastAsiaTheme="minorEastAsia" w:hAnsiTheme="minorEastAsia" w:hint="eastAsia"/>
          <w:b/>
          <w:color w:val="000000" w:themeColor="text1"/>
          <w:szCs w:val="21"/>
        </w:rPr>
        <w:t>及市场前景</w:t>
      </w:r>
      <w:r w:rsidRPr="00D3689E" w:rsidR="00A8438B">
        <w:rPr>
          <w:rFonts w:asciiTheme="minorEastAsia" w:eastAsiaTheme="minorEastAsia" w:hAnsiTheme="minorEastAsia"/>
          <w:b/>
          <w:color w:val="000000" w:themeColor="text1"/>
          <w:szCs w:val="21"/>
        </w:rPr>
        <w:t>作出实质性判断或保证，也不表明投资于本基金没有风险</w:t>
      </w:r>
      <w:r w:rsidRPr="00D3689E">
        <w:rPr>
          <w:rFonts w:asciiTheme="minorEastAsia" w:eastAsiaTheme="minorEastAsia" w:hAnsiTheme="minorEastAsia"/>
          <w:b/>
          <w:color w:val="000000" w:themeColor="text1"/>
          <w:szCs w:val="21"/>
        </w:rPr>
        <w:t>。</w:t>
      </w:r>
    </w:p>
    <w:p w:rsidR="007E29F9" w:rsidRPr="00D3689E" w:rsidP="0028353A">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3、</w:t>
      </w:r>
      <w:r w:rsidRPr="00D3689E">
        <w:rPr>
          <w:rFonts w:asciiTheme="minorEastAsia" w:eastAsiaTheme="minorEastAsia" w:hAnsiTheme="minorEastAsia"/>
          <w:b/>
          <w:color w:val="000000" w:themeColor="text1"/>
          <w:szCs w:val="21"/>
        </w:rPr>
        <w:t>基金管理人依照恪尽职守、诚实信用、谨慎勤勉的原则管理和运用基金财产，但不保证基金一定盈利，也不保证最低收益。</w:t>
      </w:r>
    </w:p>
    <w:p w:rsidR="004C6C89"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b/>
          <w:color w:val="000000" w:themeColor="text1"/>
          <w:szCs w:val="21"/>
        </w:rPr>
        <w:t>4、</w:t>
      </w:r>
      <w:r w:rsidRPr="00D3689E">
        <w:rPr>
          <w:rFonts w:asciiTheme="minorEastAsia" w:eastAsiaTheme="minorEastAsia" w:hAnsiTheme="minorEastAsia" w:hint="eastAsia"/>
          <w:b/>
          <w:color w:val="000000" w:themeColor="text1"/>
          <w:szCs w:val="21"/>
        </w:rPr>
        <w:t>本基金标的指数为</w:t>
      </w:r>
      <w:r w:rsidRPr="00D3689E" w:rsidR="00D46B53">
        <w:rPr>
          <w:rFonts w:asciiTheme="minorEastAsia" w:eastAsiaTheme="minorEastAsia" w:hAnsiTheme="minorEastAsia" w:hint="eastAsia"/>
          <w:b/>
          <w:color w:val="000000" w:themeColor="text1"/>
          <w:szCs w:val="21"/>
        </w:rPr>
        <w:t>中证海外中国互联网50</w:t>
      </w:r>
      <w:r w:rsidRPr="00D3689E">
        <w:rPr>
          <w:rFonts w:asciiTheme="minorEastAsia" w:eastAsiaTheme="minorEastAsia" w:hAnsiTheme="minorEastAsia" w:hint="eastAsia"/>
          <w:b/>
          <w:color w:val="000000" w:themeColor="text1"/>
          <w:szCs w:val="21"/>
        </w:rPr>
        <w:t>指数。</w:t>
      </w:r>
    </w:p>
    <w:p w:rsidR="004C6C89" w:rsidRPr="00D3689E" w:rsidP="004C6C89">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（1）样本空间</w:t>
      </w:r>
    </w:p>
    <w:p w:rsidR="00D46B53"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香港市场：</w:t>
      </w:r>
      <w:r w:rsidRPr="00D3689E" w:rsidR="00B35C05">
        <w:rPr>
          <w:rFonts w:asciiTheme="minorEastAsia" w:eastAsiaTheme="minorEastAsia" w:hAnsiTheme="minorEastAsia" w:hint="eastAsia"/>
          <w:b/>
          <w:color w:val="000000" w:themeColor="text1"/>
          <w:szCs w:val="21"/>
        </w:rPr>
        <w:t>同中证香港300指数的样本空间且满足以下条件之一的中国内地公司证券：</w:t>
      </w:r>
      <w:r w:rsidRPr="00D3689E">
        <w:rPr>
          <w:rFonts w:asciiTheme="minorEastAsia" w:eastAsiaTheme="minorEastAsia" w:hAnsiTheme="minorEastAsia" w:hint="eastAsia"/>
          <w:b/>
          <w:color w:val="000000" w:themeColor="text1"/>
          <w:szCs w:val="21"/>
        </w:rPr>
        <w:t>注册地在中国内地；公司营运中心在中国内地；公司主营业务收入</w:t>
      </w:r>
      <w:r w:rsidRPr="00D3689E">
        <w:rPr>
          <w:rFonts w:asciiTheme="minorEastAsia" w:eastAsiaTheme="minorEastAsia" w:hAnsiTheme="minorEastAsia"/>
          <w:b/>
          <w:color w:val="000000" w:themeColor="text1"/>
          <w:szCs w:val="21"/>
        </w:rPr>
        <w:t>50%</w:t>
      </w:r>
      <w:r w:rsidRPr="00D3689E">
        <w:rPr>
          <w:rFonts w:asciiTheme="minorEastAsia" w:eastAsiaTheme="minorEastAsia" w:hAnsiTheme="minorEastAsia" w:hint="eastAsia"/>
          <w:b/>
          <w:color w:val="000000" w:themeColor="text1"/>
          <w:szCs w:val="21"/>
        </w:rPr>
        <w:t>以上来自中国内地。</w:t>
      </w:r>
    </w:p>
    <w:p w:rsidR="004C6C89" w:rsidRPr="00D3689E" w:rsidP="00D46B53">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其他市场：以其他证券交易所为主要上市地、上市交易时间超过3个月（除非该证券发行市值超过30亿美元）且满足以下条件之一的中国内地公司证券：注册地在中国内地；公司营运中心在中国内地；公司主营业务收入</w:t>
      </w:r>
      <w:r w:rsidRPr="00D3689E">
        <w:rPr>
          <w:rFonts w:asciiTheme="minorEastAsia" w:eastAsiaTheme="minorEastAsia" w:hAnsiTheme="minorEastAsia"/>
          <w:b/>
          <w:color w:val="000000" w:themeColor="text1"/>
          <w:szCs w:val="21"/>
        </w:rPr>
        <w:t>50%</w:t>
      </w:r>
      <w:r w:rsidRPr="00D3689E">
        <w:rPr>
          <w:rFonts w:asciiTheme="minorEastAsia" w:eastAsiaTheme="minorEastAsia" w:hAnsiTheme="minorEastAsia" w:hint="eastAsia"/>
          <w:b/>
          <w:color w:val="000000" w:themeColor="text1"/>
          <w:szCs w:val="21"/>
        </w:rPr>
        <w:t>以上来自中国内地。</w:t>
      </w:r>
    </w:p>
    <w:p w:rsidR="00B35C05"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（2）可投资性筛选</w:t>
      </w:r>
    </w:p>
    <w:p w:rsidR="00B35C05"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1）流动性要求：过去一年日均成交金额不低于300万美元；</w:t>
      </w:r>
    </w:p>
    <w:p w:rsidR="00B35C05"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2）市值要求：过去一年日均总市值不低于20亿美元。</w:t>
      </w:r>
    </w:p>
    <w:p w:rsidR="004C6C89" w:rsidRPr="00D3689E" w:rsidP="004C6C89">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（3）</w:t>
      </w:r>
      <w:r w:rsidRPr="00D3689E" w:rsidR="004967DB">
        <w:rPr>
          <w:rFonts w:asciiTheme="minorEastAsia" w:eastAsiaTheme="minorEastAsia" w:hAnsiTheme="minorEastAsia" w:hint="eastAsia"/>
          <w:b/>
          <w:color w:val="000000" w:themeColor="text1"/>
          <w:szCs w:val="21"/>
        </w:rPr>
        <w:t>选样方法</w:t>
      </w:r>
    </w:p>
    <w:p w:rsidR="00F2122E"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1）对样本空间内剩余证券，选取符合以下</w:t>
      </w:r>
      <w:r w:rsidRPr="00D3689E" w:rsidR="00B35C05">
        <w:rPr>
          <w:rFonts w:asciiTheme="minorEastAsia" w:eastAsiaTheme="minorEastAsia" w:hAnsiTheme="minorEastAsia" w:hint="eastAsia"/>
          <w:b/>
          <w:color w:val="000000" w:themeColor="text1"/>
          <w:szCs w:val="21"/>
        </w:rPr>
        <w:t>条件之一的公司证券作为待选样本</w:t>
      </w:r>
      <w:r w:rsidRPr="00D3689E">
        <w:rPr>
          <w:rFonts w:asciiTheme="minorEastAsia" w:eastAsiaTheme="minorEastAsia" w:hAnsiTheme="minorEastAsia" w:hint="eastAsia"/>
          <w:b/>
          <w:color w:val="000000" w:themeColor="text1"/>
          <w:szCs w:val="21"/>
        </w:rPr>
        <w:t>：互联网软件：开发与销售互联网软件的公司；家庭娱乐软件：开发主要在家中使用的家庭娱乐软件和教育软件的公司；互联网零售：主要通过互联网提供零售服务的公司；互联网服务：主要通过互联网提供各类服务的公司；移动互联网：开发与销售移动互联网软件或提供移动互联网服务的公司。</w:t>
      </w:r>
    </w:p>
    <w:p w:rsidR="004C6C89"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2</w:t>
      </w:r>
      <w:r w:rsidRPr="00D3689E" w:rsidR="004967DB">
        <w:rPr>
          <w:rFonts w:asciiTheme="minorEastAsia" w:eastAsiaTheme="minorEastAsia" w:hAnsiTheme="minorEastAsia" w:hint="eastAsia"/>
          <w:b/>
          <w:color w:val="000000" w:themeColor="text1"/>
          <w:szCs w:val="21"/>
        </w:rPr>
        <w:t>）对于剩余证券，按过去一年日均成交金额以及过去一年日均总市值综合排名（1:1），选取排名靠前的50</w:t>
      </w:r>
      <w:r w:rsidRPr="00D3689E">
        <w:rPr>
          <w:rFonts w:asciiTheme="minorEastAsia" w:eastAsiaTheme="minorEastAsia" w:hAnsiTheme="minorEastAsia" w:hint="eastAsia"/>
          <w:b/>
          <w:color w:val="000000" w:themeColor="text1"/>
          <w:szCs w:val="21"/>
        </w:rPr>
        <w:t>只</w:t>
      </w:r>
      <w:r w:rsidRPr="00D3689E" w:rsidR="004967DB">
        <w:rPr>
          <w:rFonts w:asciiTheme="minorEastAsia" w:eastAsiaTheme="minorEastAsia" w:hAnsiTheme="minorEastAsia" w:hint="eastAsia"/>
          <w:b/>
          <w:color w:val="000000" w:themeColor="text1"/>
          <w:szCs w:val="21"/>
        </w:rPr>
        <w:t>证券作为指数样本。若剩余证券不足50只，剩余证券全部作为指数样本。</w:t>
      </w:r>
      <w:r w:rsidRPr="00D3689E">
        <w:rPr>
          <w:rFonts w:asciiTheme="minorEastAsia" w:eastAsiaTheme="minorEastAsia" w:hAnsiTheme="minorEastAsia" w:hint="eastAsia"/>
          <w:b/>
          <w:color w:val="000000" w:themeColor="text1"/>
          <w:szCs w:val="21"/>
        </w:rPr>
        <w:t>其中，若同一家公司的国外市场证券和香港市场证券同时入选，则优先纳入香港市场证券。</w:t>
      </w:r>
    </w:p>
    <w:p w:rsidR="004C6C89" w:rsidRPr="00D3689E" w:rsidP="004C6C89">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w:t>
      </w:r>
      <w:r w:rsidRPr="00D3689E" w:rsidR="00B35C05">
        <w:rPr>
          <w:rFonts w:asciiTheme="minorEastAsia" w:eastAsiaTheme="minorEastAsia" w:hAnsiTheme="minorEastAsia" w:hint="eastAsia"/>
          <w:b/>
          <w:color w:val="000000" w:themeColor="text1"/>
          <w:szCs w:val="21"/>
        </w:rPr>
        <w:t>4</w:t>
      </w:r>
      <w:r w:rsidRPr="00D3689E">
        <w:rPr>
          <w:rFonts w:asciiTheme="minorEastAsia" w:eastAsiaTheme="minorEastAsia" w:hAnsiTheme="minorEastAsia" w:hint="eastAsia"/>
          <w:b/>
          <w:color w:val="000000" w:themeColor="text1"/>
          <w:szCs w:val="21"/>
        </w:rPr>
        <w:t>）指数计算</w:t>
      </w:r>
    </w:p>
    <w:p w:rsidR="004C6C89" w:rsidRPr="00D3689E" w:rsidP="00B35C05">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指数计算公式为：报告期指数=报告期样本的调整市值/除数×1000。</w:t>
      </w:r>
      <w:r w:rsidRPr="00D3689E" w:rsidR="00B35C05">
        <w:rPr>
          <w:rFonts w:asciiTheme="minorEastAsia" w:eastAsiaTheme="minorEastAsia" w:hAnsiTheme="minorEastAsia" w:hint="eastAsia"/>
          <w:b/>
          <w:color w:val="000000" w:themeColor="text1"/>
          <w:szCs w:val="21"/>
        </w:rPr>
        <w:t>其中，调整市值＝Σ（证券价格×调整股本数×权重因子×汇率）。汇率、调整股本数的计算方法、除数修正方法参见</w:t>
      </w:r>
      <w:r w:rsidRPr="00D3689E">
        <w:rPr>
          <w:rFonts w:asciiTheme="minorEastAsia" w:eastAsiaTheme="minorEastAsia" w:hAnsiTheme="minorEastAsia" w:hint="eastAsia"/>
          <w:b/>
          <w:color w:val="000000" w:themeColor="text1"/>
          <w:szCs w:val="21"/>
        </w:rPr>
        <w:t>中证指数有限公司网站发布的</w:t>
      </w:r>
      <w:r w:rsidRPr="00D3689E" w:rsidR="00B35C05">
        <w:rPr>
          <w:rFonts w:asciiTheme="minorEastAsia" w:eastAsiaTheme="minorEastAsia" w:hAnsiTheme="minorEastAsia" w:hint="eastAsia"/>
          <w:b/>
          <w:color w:val="000000" w:themeColor="text1"/>
          <w:szCs w:val="21"/>
        </w:rPr>
        <w:t>计算与维护细则。权重因子介于0和1之间，以使得单个样本权重不超过30%。</w:t>
      </w:r>
    </w:p>
    <w:p w:rsidR="00ED7C56" w:rsidRPr="00D3689E" w:rsidP="00ED7C56">
      <w:pPr>
        <w:ind w:firstLine="42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 xml:space="preserve">有关标的指数具体编制方案及成份股信息详见中证指数有限公司网站，网址： </w:t>
      </w:r>
      <w:hyperlink r:id="rId11" w:history="1">
        <w:r w:rsidRPr="00D3689E">
          <w:rPr>
            <w:rStyle w:val="Hyperlink"/>
            <w:rFonts w:asciiTheme="minorEastAsia" w:eastAsiaTheme="minorEastAsia" w:hAnsiTheme="minorEastAsia" w:hint="eastAsia"/>
            <w:b/>
            <w:color w:val="000000" w:themeColor="text1"/>
            <w:szCs w:val="21"/>
            <w:u w:val="none"/>
          </w:rPr>
          <w:t>www.csindex.com.cn</w:t>
        </w:r>
      </w:hyperlink>
      <w:r w:rsidRPr="00D3689E">
        <w:rPr>
          <w:rFonts w:asciiTheme="minorEastAsia" w:eastAsiaTheme="minorEastAsia" w:hAnsiTheme="minorEastAsia" w:hint="eastAsia"/>
          <w:b/>
          <w:color w:val="000000" w:themeColor="text1"/>
          <w:szCs w:val="21"/>
        </w:rPr>
        <w:t>。</w:t>
      </w:r>
    </w:p>
    <w:p w:rsidR="004967DB" w:rsidRPr="00D3689E" w:rsidP="004967DB">
      <w:pPr>
        <w:ind w:firstLine="420" w:firstLineChars="200"/>
        <w:rPr>
          <w:rFonts w:asciiTheme="minorEastAsia" w:eastAsiaTheme="minorEastAsia" w:hAnsiTheme="minorEastAsia"/>
          <w:b/>
          <w:color w:val="000000" w:themeColor="text1"/>
        </w:rPr>
      </w:pPr>
      <w:r w:rsidRPr="00D3689E">
        <w:rPr>
          <w:rFonts w:asciiTheme="minorEastAsia" w:eastAsiaTheme="minorEastAsia" w:hAnsiTheme="minorEastAsia"/>
          <w:b/>
          <w:color w:val="000000" w:themeColor="text1"/>
          <w:szCs w:val="21"/>
        </w:rPr>
        <w:t>5、</w:t>
      </w:r>
      <w:r w:rsidRPr="00D3689E">
        <w:rPr>
          <w:rFonts w:asciiTheme="minorEastAsia" w:eastAsiaTheme="minorEastAsia" w:hAnsiTheme="minorEastAsia" w:hint="eastAsia"/>
          <w:b/>
          <w:color w:val="000000" w:themeColor="text1"/>
        </w:rPr>
        <w:t>本基金为易方达中证海外中国互联网50交易型开放式指数证券投资基金（以下简称目标ETF）的联接基金，其投资目标是紧密跟踪业绩比较基准，追求跟踪偏离度及跟踪误差的最小化。本基金资产中投资于目标ETF的比例不低于基金资产净值的90%。本</w:t>
      </w:r>
      <w:r w:rsidRPr="00D3689E">
        <w:rPr>
          <w:rFonts w:asciiTheme="minorEastAsia" w:eastAsiaTheme="minorEastAsia" w:hAnsiTheme="minorEastAsia"/>
          <w:b/>
          <w:color w:val="000000" w:themeColor="text1"/>
        </w:rPr>
        <w:t>基金</w:t>
      </w:r>
      <w:r w:rsidRPr="00D3689E">
        <w:rPr>
          <w:rFonts w:asciiTheme="minorEastAsia" w:eastAsiaTheme="minorEastAsia" w:hAnsiTheme="minorEastAsia" w:hint="eastAsia"/>
          <w:b/>
          <w:color w:val="000000" w:themeColor="text1"/>
        </w:rPr>
        <w:t>投资于证券期货市场，基金</w:t>
      </w:r>
      <w:r w:rsidRPr="00D3689E">
        <w:rPr>
          <w:rFonts w:asciiTheme="minorEastAsia" w:eastAsiaTheme="minorEastAsia" w:hAnsiTheme="minorEastAsia"/>
          <w:b/>
          <w:color w:val="000000" w:themeColor="text1"/>
        </w:rPr>
        <w:t>净值会因为证券</w:t>
      </w:r>
      <w:r w:rsidRPr="00D3689E">
        <w:rPr>
          <w:rFonts w:asciiTheme="minorEastAsia" w:eastAsiaTheme="minorEastAsia" w:hAnsiTheme="minorEastAsia" w:hint="eastAsia"/>
          <w:b/>
          <w:color w:val="000000" w:themeColor="text1"/>
        </w:rPr>
        <w:t>期货</w:t>
      </w:r>
      <w:r w:rsidRPr="00D3689E">
        <w:rPr>
          <w:rFonts w:asciiTheme="minorEastAsia" w:eastAsiaTheme="minorEastAsia" w:hAnsiTheme="minorEastAsia"/>
          <w:b/>
          <w:color w:val="000000" w:themeColor="text1"/>
        </w:rPr>
        <w:t>市场波动等因素产生波动，投资者在投资本基金前，</w:t>
      </w:r>
      <w:r w:rsidRPr="00D3689E">
        <w:rPr>
          <w:rFonts w:asciiTheme="minorEastAsia" w:eastAsiaTheme="minorEastAsia" w:hAnsiTheme="minorEastAsia" w:hint="eastAsia"/>
          <w:b/>
          <w:color w:val="000000" w:themeColor="text1"/>
        </w:rPr>
        <w:t>请认真阅读本基金的招募说明书、基金合同和基金产品资料概要等信息披露文件</w:t>
      </w:r>
      <w:r w:rsidRPr="00D3689E">
        <w:rPr>
          <w:rFonts w:asciiTheme="minorEastAsia" w:eastAsiaTheme="minorEastAsia" w:hAnsiTheme="minorEastAsia"/>
          <w:b/>
          <w:color w:val="000000" w:themeColor="text1"/>
        </w:rPr>
        <w:t>，全面认识本基金产品的风险收益特征和产品特性，充分考虑自身的风险承受能力，理性判断市场，对申购基金的意愿、时机、数量等投资行为作出独立决策，承担基金投资中</w:t>
      </w:r>
      <w:r w:rsidRPr="00D3689E">
        <w:rPr>
          <w:rFonts w:asciiTheme="minorEastAsia" w:eastAsiaTheme="minorEastAsia" w:hAnsiTheme="minorEastAsia" w:hint="eastAsia"/>
          <w:b/>
          <w:color w:val="000000" w:themeColor="text1"/>
        </w:rPr>
        <w:t>可能</w:t>
      </w:r>
      <w:r w:rsidRPr="00D3689E">
        <w:rPr>
          <w:rFonts w:asciiTheme="minorEastAsia" w:eastAsiaTheme="minorEastAsia" w:hAnsiTheme="minorEastAsia"/>
          <w:b/>
          <w:color w:val="000000" w:themeColor="text1"/>
        </w:rPr>
        <w:t>出现的各类风险。</w:t>
      </w:r>
      <w:r w:rsidRPr="00D3689E" w:rsidR="00060C3A">
        <w:rPr>
          <w:rFonts w:asciiTheme="minorEastAsia" w:eastAsiaTheme="minorEastAsia" w:hAnsiTheme="minorEastAsia" w:hint="eastAsia"/>
          <w:b/>
          <w:color w:val="000000" w:themeColor="text1"/>
        </w:rPr>
        <w:t>本基金的投资运作中可能出现的风险包括本基金特有风险、投资风险、管理风险、流动性风险、本基金法律文件中涉及基金风险特征的表述与销售机构对基金的风险评级可能不一致的风险、税收风险及其他风险等。其中，本基金特有的风险包括：（1）投资境外市场的特有风险。包括境外地区市场风险、汇率风险、法律和政治风险、税务风险、会计风险、引入境外托管人的相关风险等；</w:t>
      </w:r>
      <w:r w:rsidRPr="00D3689E" w:rsidR="00060C3A">
        <w:rPr>
          <w:rFonts w:asciiTheme="minorEastAsia" w:eastAsiaTheme="minorEastAsia" w:hAnsiTheme="minorEastAsia"/>
          <w:b/>
          <w:color w:val="000000" w:themeColor="text1"/>
        </w:rPr>
        <w:t>（</w:t>
      </w:r>
      <w:r w:rsidRPr="00D3689E" w:rsidR="00060C3A">
        <w:rPr>
          <w:rFonts w:asciiTheme="minorEastAsia" w:eastAsiaTheme="minorEastAsia" w:hAnsiTheme="minorEastAsia" w:hint="eastAsia"/>
          <w:b/>
          <w:color w:val="000000" w:themeColor="text1"/>
        </w:rPr>
        <w:t>2</w:t>
      </w:r>
      <w:r w:rsidRPr="00D3689E" w:rsidR="00060C3A">
        <w:rPr>
          <w:rFonts w:asciiTheme="minorEastAsia" w:eastAsiaTheme="minorEastAsia" w:hAnsiTheme="minorEastAsia"/>
          <w:b/>
          <w:color w:val="000000" w:themeColor="text1"/>
        </w:rPr>
        <w:t>）</w:t>
      </w:r>
      <w:r w:rsidRPr="00D3689E" w:rsidR="00060C3A">
        <w:rPr>
          <w:rFonts w:asciiTheme="minorEastAsia" w:eastAsiaTheme="minorEastAsia" w:hAnsiTheme="minorEastAsia" w:hint="eastAsia"/>
          <w:b/>
          <w:color w:val="000000" w:themeColor="text1"/>
        </w:rPr>
        <w:t>指数化投资的风险。包括标的指数回报与股票市场平均回报偏离的风险、标的指数成份股主要集中于互联网行业的集中度风险、标的指数波动的风险、部分成份股权重较大的风险、标的指数可回溯历史数据时间较短的风险、标的指数编制方案带来的风险、标的指数变更的风险、基金收益率与业绩比较基准收益率偏离的风险、跟踪控制误差未达约定目标的风险、标的指数值计算出错的风险、指数编制机构停止服务的风险、成份股停牌的风险；</w:t>
      </w:r>
      <w:r w:rsidRPr="00D3689E" w:rsidR="00060C3A">
        <w:rPr>
          <w:rFonts w:asciiTheme="minorEastAsia" w:eastAsiaTheme="minorEastAsia" w:hAnsiTheme="minorEastAsia"/>
          <w:b/>
          <w:color w:val="000000" w:themeColor="text1"/>
        </w:rPr>
        <w:t>（</w:t>
      </w:r>
      <w:r w:rsidRPr="00D3689E" w:rsidR="00060C3A">
        <w:rPr>
          <w:rFonts w:asciiTheme="minorEastAsia" w:eastAsiaTheme="minorEastAsia" w:hAnsiTheme="minorEastAsia" w:hint="eastAsia"/>
          <w:b/>
          <w:color w:val="000000" w:themeColor="text1"/>
        </w:rPr>
        <w:t>3</w:t>
      </w:r>
      <w:r w:rsidRPr="00D3689E" w:rsidR="00060C3A">
        <w:rPr>
          <w:rFonts w:asciiTheme="minorEastAsia" w:eastAsiaTheme="minorEastAsia" w:hAnsiTheme="minorEastAsia"/>
          <w:b/>
          <w:color w:val="000000" w:themeColor="text1"/>
        </w:rPr>
        <w:t>）</w:t>
      </w:r>
      <w:r w:rsidRPr="00D3689E" w:rsidR="00060C3A">
        <w:rPr>
          <w:rFonts w:asciiTheme="minorEastAsia" w:eastAsiaTheme="minorEastAsia" w:hAnsiTheme="minorEastAsia" w:hint="eastAsia"/>
          <w:b/>
          <w:color w:val="000000" w:themeColor="text1"/>
        </w:rPr>
        <w:t>联接基金的特殊风险。包括可能具有与目标ETF不同的风险收益特征及净值增长率、目标ETF面临的风险可能直接或间接成为本基金的风险、由目标ETF的联接基金变更为直接投资目标ETF标的指数成份股的指数基金的风险；（4）通过内地与香港股票市场交易互联互通机制投资于港股通股票的风险；（5）本基金投资特定品种或采用特定投资方式的特有风险。包括投资于期货、期权、外汇远期合约等衍生品以及参与证券借贷/正回购/逆回购和使用金融模型风险的特有风险等。</w:t>
      </w:r>
    </w:p>
    <w:p w:rsidR="004967DB" w:rsidRPr="00D3689E" w:rsidP="004967DB">
      <w:pPr>
        <w:ind w:firstLine="420" w:firstLineChars="200"/>
        <w:rPr>
          <w:rFonts w:asciiTheme="minorEastAsia" w:eastAsiaTheme="minorEastAsia" w:hAnsiTheme="minorEastAsia"/>
          <w:b/>
          <w:color w:val="000000" w:themeColor="text1"/>
        </w:rPr>
      </w:pPr>
      <w:r w:rsidRPr="00D3689E">
        <w:rPr>
          <w:rFonts w:asciiTheme="minorEastAsia" w:eastAsiaTheme="minorEastAsia" w:hAnsiTheme="minorEastAsia" w:hint="eastAsia"/>
          <w:b/>
          <w:color w:val="000000" w:themeColor="text1"/>
        </w:rPr>
        <w:t>本基金的具体运作特点详见基金合同和招募说明书的约定，投资本基金可能面临的风</w:t>
      </w:r>
      <w:r w:rsidRPr="00D3689E">
        <w:rPr>
          <w:rFonts w:asciiTheme="minorEastAsia" w:eastAsiaTheme="minorEastAsia" w:hAnsiTheme="minorEastAsia" w:hint="eastAsia"/>
          <w:b/>
          <w:color w:val="000000" w:themeColor="text1"/>
        </w:rPr>
        <w:t>险详见招募说明书的“风险揭示”部分。</w:t>
      </w:r>
    </w:p>
    <w:p w:rsidR="00413F7F" w:rsidRPr="00D3689E" w:rsidP="0028353A">
      <w:pPr>
        <w:ind w:firstLine="420" w:firstLineChars="200"/>
        <w:rPr>
          <w:rFonts w:asciiTheme="minorEastAsia" w:eastAsiaTheme="minorEastAsia" w:hAnsiTheme="minorEastAsia"/>
          <w:color w:val="000000" w:themeColor="text1"/>
          <w:sz w:val="28"/>
          <w:szCs w:val="28"/>
        </w:rPr>
      </w:pPr>
      <w:r w:rsidRPr="00D3689E">
        <w:rPr>
          <w:rFonts w:asciiTheme="minorEastAsia" w:eastAsiaTheme="minorEastAsia" w:hAnsiTheme="minorEastAsia" w:hint="eastAsia"/>
          <w:b/>
          <w:color w:val="000000" w:themeColor="text1"/>
        </w:rPr>
        <w:t>本基金跟踪境外市场股票指数，基金净值会因境外证券市场波动等因素而产生波动，同时面临汇率风险等投资境外市场的特殊风险。</w:t>
      </w:r>
      <w:r w:rsidRPr="00D3689E" w:rsidR="005543E7">
        <w:rPr>
          <w:rFonts w:asciiTheme="minorEastAsia" w:eastAsiaTheme="minorEastAsia" w:hAnsiTheme="minorEastAsia" w:hint="eastAsia"/>
          <w:b/>
          <w:color w:val="000000" w:themeColor="text1"/>
        </w:rPr>
        <w:t>如果境外投资市场的货币相对于人民币贬值，将对基金收益产生不利影响；此外，外币对人民币的汇率大幅</w:t>
      </w:r>
      <w:r w:rsidRPr="00D3689E" w:rsidR="005543E7">
        <w:rPr>
          <w:rFonts w:asciiTheme="minorEastAsia" w:eastAsiaTheme="minorEastAsia" w:hAnsiTheme="minorEastAsia" w:hint="eastAsia"/>
          <w:b/>
          <w:color w:val="000000" w:themeColor="text1"/>
          <w:szCs w:val="21"/>
        </w:rPr>
        <w:t>波动也可能加大人民币份额基金净值波动的幅度</w:t>
      </w:r>
      <w:r w:rsidRPr="00D3689E" w:rsidR="00A13A31">
        <w:rPr>
          <w:rFonts w:asciiTheme="minorEastAsia" w:eastAsiaTheme="minorEastAsia" w:hAnsiTheme="minorEastAsia" w:hint="eastAsia"/>
          <w:b/>
          <w:color w:val="000000" w:themeColor="text1"/>
          <w:szCs w:val="21"/>
        </w:rPr>
        <w:t>；</w:t>
      </w:r>
      <w:r w:rsidRPr="00D3689E" w:rsidR="005543E7">
        <w:rPr>
          <w:rFonts w:asciiTheme="minorEastAsia" w:eastAsiaTheme="minorEastAsia" w:hAnsiTheme="minorEastAsia" w:hint="eastAsia"/>
          <w:b/>
          <w:color w:val="000000" w:themeColor="text1"/>
          <w:szCs w:val="21"/>
        </w:rPr>
        <w:t>由于本基金外币份额的净值计算与汇率挂钩，外币对人民币的汇率大幅波动也可能加大外币份额净值波动的幅度。</w:t>
      </w:r>
      <w:r w:rsidRPr="00D3689E" w:rsidR="00850F09">
        <w:rPr>
          <w:rFonts w:asciiTheme="minorEastAsia" w:eastAsiaTheme="minorEastAsia" w:hAnsiTheme="minorEastAsia" w:hint="eastAsia"/>
          <w:b/>
          <w:color w:val="000000" w:themeColor="text1"/>
          <w:szCs w:val="21"/>
        </w:rPr>
        <w:t>本基金</w:t>
      </w:r>
      <w:r w:rsidRPr="00D3689E" w:rsidR="00850F09">
        <w:rPr>
          <w:rFonts w:asciiTheme="minorEastAsia" w:eastAsiaTheme="minorEastAsia" w:hAnsiTheme="minorEastAsia"/>
          <w:b/>
          <w:color w:val="000000" w:themeColor="text1"/>
          <w:szCs w:val="21"/>
        </w:rPr>
        <w:t>是ETF联接基金，</w:t>
      </w:r>
      <w:r w:rsidRPr="00D3689E" w:rsidR="00850F09">
        <w:rPr>
          <w:rFonts w:asciiTheme="minorEastAsia" w:eastAsiaTheme="minorEastAsia" w:hAnsiTheme="minorEastAsia" w:hint="eastAsia"/>
          <w:b/>
          <w:color w:val="000000" w:themeColor="text1"/>
          <w:szCs w:val="21"/>
        </w:rPr>
        <w:t>属于证券投资基金中的高风险高收益品种，理论上其</w:t>
      </w:r>
      <w:r w:rsidRPr="00D3689E" w:rsidR="00850F09">
        <w:rPr>
          <w:rFonts w:asciiTheme="minorEastAsia" w:eastAsiaTheme="minorEastAsia" w:hAnsiTheme="minorEastAsia"/>
          <w:b/>
          <w:color w:val="000000" w:themeColor="text1"/>
          <w:szCs w:val="21"/>
        </w:rPr>
        <w:t>风险</w:t>
      </w:r>
      <w:r w:rsidRPr="00D3689E" w:rsidR="00850F09">
        <w:rPr>
          <w:rFonts w:asciiTheme="minorEastAsia" w:eastAsiaTheme="minorEastAsia" w:hAnsiTheme="minorEastAsia" w:hint="eastAsia"/>
          <w:b/>
          <w:color w:val="000000" w:themeColor="text1"/>
          <w:szCs w:val="21"/>
        </w:rPr>
        <w:t>收益水平高于混合型基金、债</w:t>
      </w:r>
      <w:r w:rsidRPr="00D3689E" w:rsidR="00850F09">
        <w:rPr>
          <w:rFonts w:asciiTheme="minorEastAsia" w:eastAsiaTheme="minorEastAsia" w:hAnsiTheme="minorEastAsia"/>
          <w:b/>
          <w:color w:val="000000" w:themeColor="text1"/>
          <w:szCs w:val="21"/>
        </w:rPr>
        <w:t>券基金</w:t>
      </w:r>
      <w:r w:rsidRPr="00D3689E" w:rsidR="00850F09">
        <w:rPr>
          <w:rFonts w:asciiTheme="minorEastAsia" w:eastAsiaTheme="minorEastAsia" w:hAnsiTheme="minorEastAsia" w:hint="eastAsia"/>
          <w:b/>
          <w:color w:val="000000" w:themeColor="text1"/>
          <w:szCs w:val="21"/>
        </w:rPr>
        <w:t>和</w:t>
      </w:r>
      <w:r w:rsidRPr="00D3689E" w:rsidR="00850F09">
        <w:rPr>
          <w:rFonts w:asciiTheme="minorEastAsia" w:eastAsiaTheme="minorEastAsia" w:hAnsiTheme="minorEastAsia"/>
          <w:b/>
          <w:color w:val="000000" w:themeColor="text1"/>
          <w:szCs w:val="21"/>
        </w:rPr>
        <w:t>货币市场基金。</w:t>
      </w:r>
    </w:p>
    <w:p w:rsidR="007E29F9" w:rsidRPr="00D3689E" w:rsidP="0028353A">
      <w:pPr>
        <w:ind w:firstLine="420" w:firstLineChars="200"/>
        <w:rPr>
          <w:rFonts w:asciiTheme="minorEastAsia" w:eastAsiaTheme="minorEastAsia" w:hAnsiTheme="minorEastAsia"/>
          <w:color w:val="000000" w:themeColor="text1"/>
          <w:sz w:val="24"/>
        </w:rPr>
      </w:pPr>
      <w:r w:rsidRPr="00D3689E">
        <w:rPr>
          <w:rFonts w:asciiTheme="minorEastAsia" w:eastAsiaTheme="minorEastAsia" w:hAnsiTheme="minorEastAsia" w:hint="eastAsia"/>
          <w:b/>
          <w:color w:val="000000" w:themeColor="text1"/>
          <w:szCs w:val="21"/>
        </w:rPr>
        <w:t>基金管理人提醒投资者基金投资的</w:t>
      </w:r>
      <w:r w:rsidRPr="00D3689E" w:rsidR="00B00442">
        <w:rPr>
          <w:rFonts w:asciiTheme="minorEastAsia" w:eastAsiaTheme="minorEastAsia" w:hAnsiTheme="minorEastAsia" w:hint="eastAsia"/>
          <w:b/>
          <w:color w:val="000000" w:themeColor="text1"/>
          <w:szCs w:val="21"/>
        </w:rPr>
        <w:t>“</w:t>
      </w:r>
      <w:r w:rsidRPr="00D3689E">
        <w:rPr>
          <w:rFonts w:asciiTheme="minorEastAsia" w:eastAsiaTheme="minorEastAsia" w:hAnsiTheme="minorEastAsia" w:hint="eastAsia"/>
          <w:b/>
          <w:color w:val="000000" w:themeColor="text1"/>
          <w:szCs w:val="21"/>
        </w:rPr>
        <w:t>买者自负</w:t>
      </w:r>
      <w:r w:rsidRPr="00D3689E" w:rsidR="00B00442">
        <w:rPr>
          <w:rFonts w:asciiTheme="minorEastAsia" w:eastAsiaTheme="minorEastAsia" w:hAnsiTheme="minorEastAsia" w:hint="eastAsia"/>
          <w:b/>
          <w:color w:val="000000" w:themeColor="text1"/>
          <w:szCs w:val="21"/>
        </w:rPr>
        <w:t>”</w:t>
      </w:r>
      <w:r w:rsidRPr="00D3689E">
        <w:rPr>
          <w:rFonts w:asciiTheme="minorEastAsia" w:eastAsiaTheme="minorEastAsia" w:hAnsiTheme="minorEastAsia" w:hint="eastAsia"/>
          <w:b/>
          <w:color w:val="000000" w:themeColor="text1"/>
          <w:szCs w:val="21"/>
        </w:rPr>
        <w:t>原则，在投资者作出投资决策后，基金运营状况与基金净值变化引致的投资风险，由投资者自行负责。</w:t>
      </w:r>
    </w:p>
    <w:p w:rsidR="007E29F9" w:rsidRPr="00D3689E" w:rsidP="0028353A">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b/>
          <w:color w:val="000000" w:themeColor="text1"/>
          <w:szCs w:val="21"/>
        </w:rPr>
        <w:t>6</w:t>
      </w:r>
      <w:r w:rsidRPr="00D3689E">
        <w:rPr>
          <w:rFonts w:asciiTheme="minorEastAsia" w:eastAsiaTheme="minorEastAsia" w:hAnsiTheme="minorEastAsia" w:hint="eastAsia"/>
          <w:b/>
          <w:color w:val="000000" w:themeColor="text1"/>
          <w:szCs w:val="21"/>
        </w:rPr>
        <w:t>、本基金由易方达基金管理有限公司独立管理，未聘请境外投资顾问。</w:t>
      </w:r>
    </w:p>
    <w:p w:rsidR="004967DB" w:rsidRPr="00D3689E" w:rsidP="004967DB">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7、基金不同于银行储蓄，基金投资人投资于基金有可能获得较高的收益，也有可能损失本金。投资有风险，投资人在进行投资决策前，请仔细阅读本基金的《招募说明书》及《基金合同》。</w:t>
      </w:r>
    </w:p>
    <w:p w:rsidR="0064594E" w:rsidRPr="00D3689E" w:rsidP="004967DB">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b/>
          <w:color w:val="000000" w:themeColor="text1"/>
          <w:szCs w:val="21"/>
        </w:rPr>
        <w:t>8</w:t>
      </w:r>
      <w:r w:rsidRPr="00D3689E">
        <w:rPr>
          <w:rFonts w:asciiTheme="minorEastAsia" w:eastAsiaTheme="minorEastAsia" w:hAnsiTheme="minorEastAsia" w:hint="eastAsia"/>
          <w:b/>
          <w:color w:val="000000" w:themeColor="text1"/>
          <w:szCs w:val="21"/>
        </w:rPr>
        <w:t>、基金的过往业绩并不预示其未来表现，基金管理人管理的其他基金的业绩并不构成对本基金表现的保证。</w:t>
      </w:r>
    </w:p>
    <w:p w:rsidR="009209B4" w:rsidRPr="00D3689E" w:rsidP="0028353A">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b/>
          <w:color w:val="000000" w:themeColor="text1"/>
          <w:szCs w:val="21"/>
        </w:rPr>
        <w:t>9</w:t>
      </w:r>
      <w:r w:rsidRPr="00D3689E">
        <w:rPr>
          <w:rFonts w:asciiTheme="minorEastAsia" w:eastAsiaTheme="minorEastAsia" w:hAnsiTheme="minorEastAsia" w:hint="eastAsia"/>
          <w:b/>
          <w:color w:val="000000" w:themeColor="text1"/>
          <w:szCs w:val="21"/>
        </w:rPr>
        <w:t>、本基金与目标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的联系与区别</w:t>
      </w:r>
    </w:p>
    <w:p w:rsidR="009E4F90" w:rsidRPr="00D3689E" w:rsidP="0028353A">
      <w:pPr>
        <w:ind w:firstLine="48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本基金与目标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之间的联系：</w:t>
      </w:r>
      <w:r w:rsidRPr="00D3689E">
        <w:rPr>
          <w:rFonts w:asciiTheme="minorEastAsia" w:eastAsiaTheme="minorEastAsia" w:hAnsiTheme="minorEastAsia"/>
          <w:b/>
          <w:color w:val="000000" w:themeColor="text1"/>
          <w:szCs w:val="21"/>
        </w:rPr>
        <w:t>1</w:t>
      </w:r>
      <w:r w:rsidRPr="00D3689E">
        <w:rPr>
          <w:rFonts w:asciiTheme="minorEastAsia" w:eastAsiaTheme="minorEastAsia" w:hAnsiTheme="minorEastAsia" w:hint="eastAsia"/>
          <w:b/>
          <w:color w:val="000000" w:themeColor="text1"/>
          <w:szCs w:val="21"/>
        </w:rPr>
        <w:t>）两只基金的投资目标均为紧密跟踪业绩比较基准。</w:t>
      </w:r>
      <w:r w:rsidRPr="00D3689E">
        <w:rPr>
          <w:rFonts w:asciiTheme="minorEastAsia" w:eastAsiaTheme="minorEastAsia" w:hAnsiTheme="minorEastAsia"/>
          <w:b/>
          <w:color w:val="000000" w:themeColor="text1"/>
          <w:szCs w:val="21"/>
        </w:rPr>
        <w:t>2</w:t>
      </w:r>
      <w:r w:rsidRPr="00D3689E">
        <w:rPr>
          <w:rFonts w:asciiTheme="minorEastAsia" w:eastAsiaTheme="minorEastAsia" w:hAnsiTheme="minorEastAsia" w:hint="eastAsia"/>
          <w:b/>
          <w:color w:val="000000" w:themeColor="text1"/>
          <w:szCs w:val="21"/>
        </w:rPr>
        <w:t>）两只基金具有相似的风险收益特征。</w:t>
      </w:r>
      <w:r w:rsidRPr="00D3689E">
        <w:rPr>
          <w:rFonts w:asciiTheme="minorEastAsia" w:eastAsiaTheme="minorEastAsia" w:hAnsiTheme="minorEastAsia"/>
          <w:b/>
          <w:color w:val="000000" w:themeColor="text1"/>
          <w:szCs w:val="21"/>
        </w:rPr>
        <w:t>3</w:t>
      </w:r>
      <w:r w:rsidRPr="00D3689E">
        <w:rPr>
          <w:rFonts w:asciiTheme="minorEastAsia" w:eastAsiaTheme="minorEastAsia" w:hAnsiTheme="minorEastAsia" w:hint="eastAsia"/>
          <w:b/>
          <w:color w:val="000000" w:themeColor="text1"/>
          <w:szCs w:val="21"/>
        </w:rPr>
        <w:t>）目标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是本基金的主要投资对象。</w:t>
      </w:r>
    </w:p>
    <w:p w:rsidR="009E4F90" w:rsidRPr="00D3689E" w:rsidP="0028353A">
      <w:pPr>
        <w:ind w:firstLine="480"/>
        <w:rPr>
          <w:rFonts w:asciiTheme="minorEastAsia" w:eastAsiaTheme="minorEastAsia" w:hAnsiTheme="minorEastAsia"/>
          <w:b/>
          <w:color w:val="000000" w:themeColor="text1"/>
        </w:rPr>
      </w:pPr>
      <w:r w:rsidRPr="00D3689E">
        <w:rPr>
          <w:rFonts w:asciiTheme="minorEastAsia" w:eastAsiaTheme="minorEastAsia" w:hAnsiTheme="minorEastAsia" w:hint="eastAsia"/>
          <w:b/>
          <w:color w:val="000000" w:themeColor="text1"/>
          <w:szCs w:val="21"/>
        </w:rPr>
        <w:t>本基金与目标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之间的区别：</w:t>
      </w:r>
      <w:r w:rsidRPr="00D3689E">
        <w:rPr>
          <w:rFonts w:asciiTheme="minorEastAsia" w:eastAsiaTheme="minorEastAsia" w:hAnsiTheme="minorEastAsia"/>
          <w:b/>
          <w:color w:val="000000" w:themeColor="text1"/>
          <w:szCs w:val="21"/>
        </w:rPr>
        <w:t>1</w:t>
      </w:r>
      <w:r w:rsidRPr="00D3689E">
        <w:rPr>
          <w:rFonts w:asciiTheme="minorEastAsia" w:eastAsiaTheme="minorEastAsia" w:hAnsiTheme="minorEastAsia" w:hint="eastAsia"/>
          <w:b/>
          <w:color w:val="000000" w:themeColor="text1"/>
          <w:szCs w:val="21"/>
        </w:rPr>
        <w:t>）在基金的投资方法方面，目标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主要采取完全复制法，直接投资于标的指数的成份股；而本基金则采取间接的方法，通过将绝大部分基金财产投资于目标</w:t>
      </w:r>
      <w:r w:rsidRPr="00D3689E">
        <w:rPr>
          <w:rFonts w:asciiTheme="minorEastAsia" w:eastAsiaTheme="minorEastAsia" w:hAnsiTheme="minorEastAsia"/>
          <w:b/>
          <w:color w:val="000000" w:themeColor="text1"/>
          <w:szCs w:val="21"/>
        </w:rPr>
        <w:t>ETF</w:t>
      </w:r>
      <w:r w:rsidRPr="00D3689E">
        <w:rPr>
          <w:rFonts w:asciiTheme="minorEastAsia" w:eastAsiaTheme="minorEastAsia" w:hAnsiTheme="minorEastAsia" w:hint="eastAsia"/>
          <w:b/>
          <w:color w:val="000000" w:themeColor="text1"/>
          <w:szCs w:val="21"/>
        </w:rPr>
        <w:t>，实现对业绩比较基准的紧密跟踪。</w:t>
      </w:r>
      <w:r w:rsidRPr="00D3689E">
        <w:rPr>
          <w:rFonts w:asciiTheme="minorEastAsia" w:eastAsiaTheme="minorEastAsia" w:hAnsiTheme="minorEastAsia"/>
          <w:b/>
          <w:color w:val="000000" w:themeColor="text1"/>
          <w:szCs w:val="21"/>
        </w:rPr>
        <w:t>2</w:t>
      </w:r>
      <w:r w:rsidRPr="00D3689E">
        <w:rPr>
          <w:rFonts w:asciiTheme="minorEastAsia" w:eastAsiaTheme="minorEastAsia" w:hAnsiTheme="minorEastAsia" w:hint="eastAsia"/>
          <w:b/>
          <w:color w:val="000000" w:themeColor="text1"/>
          <w:szCs w:val="21"/>
        </w:rPr>
        <w:t>）在交易方式方</w:t>
      </w:r>
      <w:r w:rsidRPr="00D3689E">
        <w:rPr>
          <w:rFonts w:asciiTheme="minorEastAsia" w:eastAsiaTheme="minorEastAsia" w:hAnsiTheme="minorEastAsia" w:hint="eastAsia"/>
          <w:b/>
          <w:color w:val="000000" w:themeColor="text1"/>
        </w:rPr>
        <w:t>面，投资人既可以像买卖股票一样在交易所买卖目标</w:t>
      </w:r>
      <w:r w:rsidRPr="00D3689E">
        <w:rPr>
          <w:rFonts w:asciiTheme="minorEastAsia" w:eastAsiaTheme="minorEastAsia" w:hAnsiTheme="minorEastAsia"/>
          <w:b/>
          <w:color w:val="000000" w:themeColor="text1"/>
        </w:rPr>
        <w:t>ETF</w:t>
      </w:r>
      <w:r w:rsidRPr="00D3689E">
        <w:rPr>
          <w:rFonts w:asciiTheme="minorEastAsia" w:eastAsiaTheme="minorEastAsia" w:hAnsiTheme="minorEastAsia" w:hint="eastAsia"/>
          <w:b/>
          <w:color w:val="000000" w:themeColor="text1"/>
        </w:rPr>
        <w:t>的基金份额，也可以申购或赎回目标</w:t>
      </w:r>
      <w:r w:rsidRPr="00D3689E">
        <w:rPr>
          <w:rFonts w:asciiTheme="minorEastAsia" w:eastAsiaTheme="minorEastAsia" w:hAnsiTheme="minorEastAsia"/>
          <w:b/>
          <w:color w:val="000000" w:themeColor="text1"/>
        </w:rPr>
        <w:t>ETF</w:t>
      </w:r>
      <w:r w:rsidRPr="00D3689E">
        <w:rPr>
          <w:rFonts w:asciiTheme="minorEastAsia" w:eastAsiaTheme="minorEastAsia" w:hAnsiTheme="minorEastAsia" w:hint="eastAsia"/>
          <w:b/>
          <w:color w:val="000000" w:themeColor="text1"/>
        </w:rPr>
        <w:t>的基金份额；而本基金则像普通的开放式基金一样，通过基金销售机构按未知价法进行基金的申购与赎回。</w:t>
      </w:r>
    </w:p>
    <w:p w:rsidR="00341935" w:rsidRPr="00D3689E" w:rsidP="009B39AE">
      <w:pPr>
        <w:ind w:firstLine="420" w:firstLineChars="200"/>
        <w:rPr>
          <w:rFonts w:asciiTheme="minorEastAsia" w:eastAsiaTheme="minorEastAsia" w:hAnsiTheme="minorEastAsia"/>
          <w:b/>
          <w:bCs/>
          <w:color w:val="000000" w:themeColor="text1"/>
        </w:rPr>
      </w:pPr>
      <w:r w:rsidRPr="00D3689E">
        <w:rPr>
          <w:rFonts w:asciiTheme="minorEastAsia" w:eastAsiaTheme="minorEastAsia" w:hAnsiTheme="minorEastAsia" w:hint="eastAsia"/>
          <w:b/>
          <w:color w:val="000000" w:themeColor="text1"/>
        </w:rPr>
        <w:t>本基金与目标</w:t>
      </w:r>
      <w:r w:rsidRPr="00D3689E">
        <w:rPr>
          <w:rFonts w:asciiTheme="minorEastAsia" w:eastAsiaTheme="minorEastAsia" w:hAnsiTheme="minorEastAsia"/>
          <w:b/>
          <w:color w:val="000000" w:themeColor="text1"/>
        </w:rPr>
        <w:t>ETF</w:t>
      </w:r>
      <w:r w:rsidRPr="00D3689E">
        <w:rPr>
          <w:rFonts w:asciiTheme="minorEastAsia" w:eastAsiaTheme="minorEastAsia" w:hAnsiTheme="minorEastAsia" w:hint="eastAsia"/>
          <w:b/>
          <w:color w:val="000000" w:themeColor="text1"/>
        </w:rPr>
        <w:t>业绩表现可能出现差异。可能引发差异的因素主要包括：</w:t>
      </w:r>
      <w:r w:rsidRPr="00D3689E">
        <w:rPr>
          <w:rFonts w:asciiTheme="minorEastAsia" w:eastAsiaTheme="minorEastAsia" w:hAnsiTheme="minorEastAsia"/>
          <w:b/>
          <w:color w:val="000000" w:themeColor="text1"/>
        </w:rPr>
        <w:t>1</w:t>
      </w:r>
      <w:r w:rsidRPr="00D3689E">
        <w:rPr>
          <w:rFonts w:asciiTheme="minorEastAsia" w:eastAsiaTheme="minorEastAsia" w:hAnsiTheme="minorEastAsia" w:hint="eastAsia"/>
          <w:b/>
          <w:color w:val="000000" w:themeColor="text1"/>
        </w:rPr>
        <w:t>）法规对投资比例的要求。目标</w:t>
      </w:r>
      <w:r w:rsidRPr="00D3689E">
        <w:rPr>
          <w:rFonts w:asciiTheme="minorEastAsia" w:eastAsiaTheme="minorEastAsia" w:hAnsiTheme="minorEastAsia"/>
          <w:b/>
          <w:color w:val="000000" w:themeColor="text1"/>
        </w:rPr>
        <w:t>ETF</w:t>
      </w:r>
      <w:r w:rsidRPr="00D3689E">
        <w:rPr>
          <w:rFonts w:asciiTheme="minorEastAsia" w:eastAsiaTheme="minorEastAsia" w:hAnsiTheme="minorEastAsia" w:hint="eastAsia"/>
          <w:b/>
          <w:color w:val="000000" w:themeColor="text1"/>
        </w:rPr>
        <w:t>作为一种特殊的基金品种，可将全部或接近全部的基金资产，用于跟踪标的指数的表现；而本基金作为普通的开放式基金，仍需将不低于基金资产净值</w:t>
      </w:r>
      <w:r w:rsidRPr="00D3689E">
        <w:rPr>
          <w:rFonts w:asciiTheme="minorEastAsia" w:eastAsiaTheme="minorEastAsia" w:hAnsiTheme="minorEastAsia"/>
          <w:b/>
          <w:color w:val="000000" w:themeColor="text1"/>
        </w:rPr>
        <w:t>5%</w:t>
      </w:r>
      <w:r w:rsidRPr="00D3689E">
        <w:rPr>
          <w:rFonts w:asciiTheme="minorEastAsia" w:eastAsiaTheme="minorEastAsia" w:hAnsiTheme="minorEastAsia" w:hint="eastAsia"/>
          <w:b/>
          <w:color w:val="000000" w:themeColor="text1"/>
        </w:rPr>
        <w:t>的资产投资于现金或者到期日在一年以内的政府债券。</w:t>
      </w:r>
      <w:r w:rsidRPr="00D3689E">
        <w:rPr>
          <w:rFonts w:asciiTheme="minorEastAsia" w:eastAsiaTheme="minorEastAsia" w:hAnsiTheme="minorEastAsia"/>
          <w:b/>
          <w:color w:val="000000" w:themeColor="text1"/>
        </w:rPr>
        <w:t>2</w:t>
      </w:r>
      <w:r w:rsidRPr="00D3689E">
        <w:rPr>
          <w:rFonts w:asciiTheme="minorEastAsia" w:eastAsiaTheme="minorEastAsia" w:hAnsiTheme="minorEastAsia" w:hint="eastAsia"/>
          <w:b/>
          <w:color w:val="000000" w:themeColor="text1"/>
        </w:rPr>
        <w:t>）投资人申购、赎回基金份额的影响。</w:t>
      </w:r>
      <w:r w:rsidRPr="00D3689E" w:rsidR="00A8438B">
        <w:rPr>
          <w:rFonts w:asciiTheme="minorEastAsia" w:eastAsiaTheme="minorEastAsia" w:hAnsiTheme="minorEastAsia" w:hint="eastAsia"/>
          <w:b/>
          <w:color w:val="000000" w:themeColor="text1"/>
        </w:rPr>
        <w:t>目标</w:t>
      </w:r>
      <w:r w:rsidRPr="00D3689E" w:rsidR="00A8438B">
        <w:rPr>
          <w:rFonts w:asciiTheme="minorEastAsia" w:eastAsiaTheme="minorEastAsia" w:hAnsiTheme="minorEastAsia"/>
          <w:b/>
          <w:color w:val="000000" w:themeColor="text1"/>
        </w:rPr>
        <w:t>ETF</w:t>
      </w:r>
      <w:r w:rsidRPr="00D3689E" w:rsidR="00A8438B">
        <w:rPr>
          <w:rFonts w:asciiTheme="minorEastAsia" w:eastAsiaTheme="minorEastAsia" w:hAnsiTheme="minorEastAsia" w:hint="eastAsia"/>
          <w:b/>
          <w:color w:val="000000" w:themeColor="text1"/>
          <w:szCs w:val="21"/>
        </w:rPr>
        <w:t>采取按照最小申购、赎回单位和申购、赎回清单要求进行申赎的方式，</w:t>
      </w:r>
      <w:r w:rsidRPr="00D3689E" w:rsidR="00A8438B">
        <w:rPr>
          <w:rFonts w:asciiTheme="minorEastAsia" w:eastAsiaTheme="minorEastAsia" w:hAnsiTheme="minorEastAsia" w:hint="eastAsia"/>
          <w:b/>
          <w:color w:val="000000" w:themeColor="text1"/>
          <w:szCs w:val="21"/>
        </w:rPr>
        <w:t>申购赎回对基金净值影响较小；而本基金采取按照未知价法进行申赎的方式，大额申赎可能会对基金资产净值产生一定</w:t>
      </w:r>
      <w:r w:rsidRPr="00D3689E" w:rsidR="00B7775A">
        <w:rPr>
          <w:rFonts w:asciiTheme="minorEastAsia" w:eastAsiaTheme="minorEastAsia" w:hAnsiTheme="minorEastAsia" w:hint="eastAsia"/>
          <w:b/>
          <w:color w:val="000000" w:themeColor="text1"/>
          <w:szCs w:val="21"/>
        </w:rPr>
        <w:t>影响</w:t>
      </w:r>
      <w:r w:rsidRPr="00D3689E">
        <w:rPr>
          <w:rFonts w:asciiTheme="minorEastAsia" w:eastAsiaTheme="minorEastAsia" w:hAnsiTheme="minorEastAsia" w:hint="eastAsia"/>
          <w:b/>
          <w:color w:val="000000" w:themeColor="text1"/>
          <w:szCs w:val="21"/>
        </w:rPr>
        <w:t>。</w:t>
      </w:r>
    </w:p>
    <w:p w:rsidR="000B280B" w:rsidRPr="00D3689E" w:rsidP="0028353A">
      <w:pPr>
        <w:ind w:firstLine="420" w:firstLineChars="20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rPr>
        <w:t>本基金本次更新招募说明书对基金管理人章节进行更新，相关信息更新截止日为</w:t>
      </w:r>
      <w:r w:rsidRPr="00D3689E">
        <w:rPr>
          <w:rFonts w:asciiTheme="minorEastAsia" w:eastAsiaTheme="minorEastAsia" w:hAnsiTheme="minorEastAsia"/>
          <w:b/>
          <w:color w:val="000000" w:themeColor="text1"/>
        </w:rPr>
        <w:t>2024</w:t>
      </w:r>
      <w:r w:rsidRPr="00D3689E">
        <w:rPr>
          <w:rFonts w:asciiTheme="minorEastAsia" w:eastAsiaTheme="minorEastAsia" w:hAnsiTheme="minorEastAsia" w:hint="eastAsia"/>
          <w:b/>
          <w:color w:val="000000" w:themeColor="text1"/>
        </w:rPr>
        <w:t>年</w:t>
      </w:r>
      <w:r w:rsidRPr="00D3689E">
        <w:rPr>
          <w:rFonts w:asciiTheme="minorEastAsia" w:eastAsiaTheme="minorEastAsia" w:hAnsiTheme="minorEastAsia"/>
          <w:b/>
          <w:color w:val="000000" w:themeColor="text1"/>
        </w:rPr>
        <w:t>6</w:t>
      </w:r>
      <w:r w:rsidRPr="00D3689E">
        <w:rPr>
          <w:rFonts w:asciiTheme="minorEastAsia" w:eastAsiaTheme="minorEastAsia" w:hAnsiTheme="minorEastAsia" w:hint="eastAsia"/>
          <w:b/>
          <w:color w:val="000000" w:themeColor="text1"/>
        </w:rPr>
        <w:t>月</w:t>
      </w:r>
      <w:r w:rsidRPr="00D3689E">
        <w:rPr>
          <w:rFonts w:asciiTheme="minorEastAsia" w:eastAsiaTheme="minorEastAsia" w:hAnsiTheme="minorEastAsia"/>
          <w:b/>
          <w:color w:val="000000" w:themeColor="text1"/>
        </w:rPr>
        <w:t>8日</w:t>
      </w:r>
      <w:r w:rsidRPr="00D3689E">
        <w:rPr>
          <w:rFonts w:asciiTheme="minorEastAsia" w:eastAsiaTheme="minorEastAsia" w:hAnsiTheme="minorEastAsia" w:hint="eastAsia"/>
          <w:b/>
          <w:color w:val="000000" w:themeColor="text1"/>
        </w:rPr>
        <w:t>。</w:t>
      </w:r>
      <w:r w:rsidRPr="00D3689E" w:rsidR="004F3ED6">
        <w:rPr>
          <w:rFonts w:asciiTheme="minorEastAsia" w:eastAsiaTheme="minorEastAsia" w:hAnsiTheme="minorEastAsia"/>
          <w:b/>
          <w:color w:val="000000" w:themeColor="text1"/>
        </w:rPr>
        <w:t>本基金有关财务数据截止日为2023年6月30日，净值表现截止日为2022年12月31日，除非另有说明，本招募说明书其他所载内容截止日为2023年7月16日。（本报告中财务数据未经审计）</w:t>
      </w:r>
    </w:p>
    <w:p w:rsidR="0042641B" w:rsidRPr="00D3689E" w:rsidP="0028353A">
      <w:pPr>
        <w:ind w:firstLine="420" w:firstLineChars="200"/>
        <w:rPr>
          <w:rFonts w:asciiTheme="minorEastAsia" w:eastAsiaTheme="minorEastAsia" w:hAnsiTheme="minorEastAsia"/>
          <w:b/>
          <w:color w:val="000000" w:themeColor="text1"/>
          <w:szCs w:val="21"/>
        </w:rPr>
        <w:sectPr w:rsidSect="00D95573">
          <w:footerReference w:type="default" r:id="rId12"/>
          <w:headerReference w:type="first" r:id="rId13"/>
          <w:footerReference w:type="first" r:id="rId14"/>
          <w:pgSz w:w="11906" w:h="16838" w:code="9"/>
          <w:pgMar w:top="1440" w:right="1800" w:bottom="1440" w:left="1800" w:header="1134" w:footer="1247" w:gutter="0"/>
          <w:pgNumType w:fmt="upperRoman" w:start="1"/>
          <w:cols w:space="425"/>
          <w:titlePg/>
          <w:docGrid w:type="linesAndChars" w:linePitch="447"/>
        </w:sectPr>
      </w:pPr>
    </w:p>
    <w:p w:rsidR="0064594E" w:rsidRPr="00D3689E" w:rsidP="00172767">
      <w:pPr>
        <w:adjustRightInd w:val="0"/>
        <w:snapToGrid w:val="0"/>
        <w:spacing w:before="100" w:beforeAutospacing="1" w:after="100" w:afterAutospacing="1" w:line="360" w:lineRule="auto"/>
        <w:jc w:val="center"/>
        <w:rPr>
          <w:rFonts w:asciiTheme="minorEastAsia" w:eastAsiaTheme="minorEastAsia" w:hAnsiTheme="minorEastAsia"/>
          <w:b/>
          <w:color w:val="000000" w:themeColor="text1"/>
          <w:sz w:val="28"/>
          <w:szCs w:val="28"/>
        </w:rPr>
      </w:pPr>
      <w:r w:rsidRPr="00D3689E">
        <w:rPr>
          <w:rFonts w:asciiTheme="minorEastAsia" w:eastAsiaTheme="minorEastAsia" w:hAnsiTheme="minorEastAsia" w:hint="eastAsia"/>
          <w:b/>
          <w:color w:val="000000" w:themeColor="text1"/>
          <w:sz w:val="28"/>
          <w:szCs w:val="28"/>
        </w:rPr>
        <w:t>目录</w:t>
      </w:r>
    </w:p>
    <w:bookmarkStart w:id="0" w:name="_GoBack"/>
    <w:bookmarkEnd w:id="0"/>
    <w:p w:rsidR="00A32EDC">
      <w:pPr>
        <w:pStyle w:val="TOC1"/>
        <w:rPr>
          <w:rFonts w:asciiTheme="minorHAnsi" w:eastAsiaTheme="minorEastAsia" w:hAnsiTheme="minorHAnsi" w:cstheme="minorBidi"/>
          <w:caps w:val="0"/>
          <w:sz w:val="21"/>
          <w:szCs w:val="22"/>
        </w:rPr>
      </w:pPr>
      <w:r w:rsidRPr="00D3689E">
        <w:rPr>
          <w:rFonts w:asciiTheme="minorEastAsia" w:eastAsiaTheme="minorEastAsia" w:hAnsiTheme="minorEastAsia"/>
          <w:b/>
          <w:color w:val="000000" w:themeColor="text1"/>
          <w:szCs w:val="21"/>
        </w:rPr>
        <w:fldChar w:fldCharType="begin"/>
      </w:r>
      <w:r w:rsidRPr="00D3689E" w:rsidR="00405611">
        <w:rPr>
          <w:rFonts w:asciiTheme="minorEastAsia" w:eastAsiaTheme="minorEastAsia" w:hAnsiTheme="minorEastAsia"/>
          <w:b/>
          <w:color w:val="000000" w:themeColor="text1"/>
          <w:szCs w:val="21"/>
        </w:rPr>
        <w:instrText xml:space="preserve"> TOC \o "1-3" \h \z \u </w:instrText>
      </w:r>
      <w:r w:rsidRPr="00D3689E">
        <w:rPr>
          <w:rFonts w:asciiTheme="minorEastAsia" w:eastAsiaTheme="minorEastAsia" w:hAnsiTheme="minorEastAsia"/>
          <w:b/>
          <w:color w:val="000000" w:themeColor="text1"/>
          <w:szCs w:val="21"/>
        </w:rPr>
        <w:fldChar w:fldCharType="separate"/>
      </w:r>
      <w:hyperlink w:anchor="_Toc169103831" w:history="1">
        <w:r w:rsidRPr="00142DA9">
          <w:rPr>
            <w:rStyle w:val="Hyperlink"/>
            <w:rFonts w:asciiTheme="minorEastAsia" w:hAnsiTheme="minorEastAsia" w:hint="eastAsia"/>
          </w:rPr>
          <w:t>第一节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绪言</w:t>
        </w:r>
        <w:r>
          <w:rPr>
            <w:webHidden/>
          </w:rPr>
          <w:tab/>
        </w:r>
        <w:r>
          <w:rPr>
            <w:webHidden/>
          </w:rPr>
          <w:fldChar w:fldCharType="begin"/>
        </w:r>
        <w:r>
          <w:rPr>
            <w:webHidden/>
          </w:rPr>
          <w:instrText xml:space="preserve"> PAGEREF _Toc169103831 \h </w:instrText>
        </w:r>
        <w:r>
          <w:rPr>
            <w:webHidden/>
          </w:rPr>
          <w:fldChar w:fldCharType="separate"/>
        </w:r>
        <w:r>
          <w:rPr>
            <w:webHidden/>
          </w:rPr>
          <w:t>1</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2" w:history="1">
        <w:r w:rsidRPr="00142DA9">
          <w:rPr>
            <w:rStyle w:val="Hyperlink"/>
            <w:rFonts w:asciiTheme="minorEastAsia" w:hAnsiTheme="minorEastAsia" w:hint="eastAsia"/>
          </w:rPr>
          <w:t>第二节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释义</w:t>
        </w:r>
        <w:r>
          <w:rPr>
            <w:webHidden/>
          </w:rPr>
          <w:tab/>
        </w:r>
        <w:r>
          <w:rPr>
            <w:webHidden/>
          </w:rPr>
          <w:fldChar w:fldCharType="begin"/>
        </w:r>
        <w:r>
          <w:rPr>
            <w:webHidden/>
          </w:rPr>
          <w:instrText xml:space="preserve"> PAGEREF _Toc169103832 \h </w:instrText>
        </w:r>
        <w:r>
          <w:rPr>
            <w:webHidden/>
          </w:rPr>
          <w:fldChar w:fldCharType="separate"/>
        </w:r>
        <w:r>
          <w:rPr>
            <w:webHidden/>
          </w:rPr>
          <w:t>2</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3" w:history="1">
        <w:r w:rsidRPr="00142DA9">
          <w:rPr>
            <w:rStyle w:val="Hyperlink"/>
            <w:rFonts w:asciiTheme="minorEastAsia" w:hAnsiTheme="minorEastAsia" w:hint="eastAsia"/>
          </w:rPr>
          <w:t>第三节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风险揭示</w:t>
        </w:r>
        <w:r>
          <w:rPr>
            <w:webHidden/>
          </w:rPr>
          <w:tab/>
        </w:r>
        <w:r>
          <w:rPr>
            <w:webHidden/>
          </w:rPr>
          <w:fldChar w:fldCharType="begin"/>
        </w:r>
        <w:r>
          <w:rPr>
            <w:webHidden/>
          </w:rPr>
          <w:instrText xml:space="preserve"> PAGEREF _Toc169103833 \h </w:instrText>
        </w:r>
        <w:r>
          <w:rPr>
            <w:webHidden/>
          </w:rPr>
          <w:fldChar w:fldCharType="separate"/>
        </w:r>
        <w:r>
          <w:rPr>
            <w:webHidden/>
          </w:rPr>
          <w:t>7</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4" w:history="1">
        <w:r w:rsidRPr="00142DA9">
          <w:rPr>
            <w:rStyle w:val="Hyperlink"/>
            <w:rFonts w:asciiTheme="minorEastAsia" w:hAnsiTheme="minorEastAsia" w:hint="eastAsia"/>
          </w:rPr>
          <w:t>第四节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基金的投资</w:t>
        </w:r>
        <w:r>
          <w:rPr>
            <w:webHidden/>
          </w:rPr>
          <w:tab/>
        </w:r>
        <w:r>
          <w:rPr>
            <w:webHidden/>
          </w:rPr>
          <w:fldChar w:fldCharType="begin"/>
        </w:r>
        <w:r>
          <w:rPr>
            <w:webHidden/>
          </w:rPr>
          <w:instrText xml:space="preserve"> PAGEREF _Toc169103834 \h </w:instrText>
        </w:r>
        <w:r>
          <w:rPr>
            <w:webHidden/>
          </w:rPr>
          <w:fldChar w:fldCharType="separate"/>
        </w:r>
        <w:r>
          <w:rPr>
            <w:webHidden/>
          </w:rPr>
          <w:t>18</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5" w:history="1">
        <w:r w:rsidRPr="00142DA9">
          <w:rPr>
            <w:rStyle w:val="Hyperlink"/>
            <w:rFonts w:asciiTheme="minorEastAsia" w:hAnsiTheme="minorEastAsia" w:hint="eastAsia"/>
          </w:rPr>
          <w:t>第五节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基金的业绩</w:t>
        </w:r>
        <w:r>
          <w:rPr>
            <w:webHidden/>
          </w:rPr>
          <w:tab/>
        </w:r>
        <w:r>
          <w:rPr>
            <w:webHidden/>
          </w:rPr>
          <w:fldChar w:fldCharType="begin"/>
        </w:r>
        <w:r>
          <w:rPr>
            <w:webHidden/>
          </w:rPr>
          <w:instrText xml:space="preserve"> PAGEREF _Toc169103835 \h </w:instrText>
        </w:r>
        <w:r>
          <w:rPr>
            <w:webHidden/>
          </w:rPr>
          <w:fldChar w:fldCharType="separate"/>
        </w:r>
        <w:r>
          <w:rPr>
            <w:webHidden/>
          </w:rPr>
          <w:t>33</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6" w:history="1">
        <w:r w:rsidRPr="00142DA9">
          <w:rPr>
            <w:rStyle w:val="Hyperlink"/>
            <w:rFonts w:asciiTheme="minorEastAsia" w:hAnsiTheme="minorEastAsia" w:hint="eastAsia"/>
          </w:rPr>
          <w:t>第六节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基金管理人</w:t>
        </w:r>
        <w:r>
          <w:rPr>
            <w:webHidden/>
          </w:rPr>
          <w:tab/>
        </w:r>
        <w:r>
          <w:rPr>
            <w:webHidden/>
          </w:rPr>
          <w:fldChar w:fldCharType="begin"/>
        </w:r>
        <w:r>
          <w:rPr>
            <w:webHidden/>
          </w:rPr>
          <w:instrText xml:space="preserve"> PAGEREF _Toc169103836 \h </w:instrText>
        </w:r>
        <w:r>
          <w:rPr>
            <w:webHidden/>
          </w:rPr>
          <w:fldChar w:fldCharType="separate"/>
        </w:r>
        <w:r>
          <w:rPr>
            <w:webHidden/>
          </w:rPr>
          <w:t>35</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7" w:history="1">
        <w:r w:rsidRPr="00142DA9">
          <w:rPr>
            <w:rStyle w:val="Hyperlink"/>
            <w:rFonts w:asciiTheme="minorEastAsia" w:hAnsiTheme="minorEastAsia" w:hint="eastAsia"/>
          </w:rPr>
          <w:t>第七节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基金份额类别</w:t>
        </w:r>
        <w:r>
          <w:rPr>
            <w:webHidden/>
          </w:rPr>
          <w:tab/>
        </w:r>
        <w:r>
          <w:rPr>
            <w:webHidden/>
          </w:rPr>
          <w:fldChar w:fldCharType="begin"/>
        </w:r>
        <w:r>
          <w:rPr>
            <w:webHidden/>
          </w:rPr>
          <w:instrText xml:space="preserve"> PAGEREF _Toc169103837 \h </w:instrText>
        </w:r>
        <w:r>
          <w:rPr>
            <w:webHidden/>
          </w:rPr>
          <w:fldChar w:fldCharType="separate"/>
        </w:r>
        <w:r>
          <w:rPr>
            <w:webHidden/>
          </w:rPr>
          <w:t>49</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8" w:history="1">
        <w:r w:rsidRPr="00142DA9">
          <w:rPr>
            <w:rStyle w:val="Hyperlink"/>
            <w:rFonts w:asciiTheme="minorEastAsia" w:hAnsiTheme="minorEastAsia" w:hint="eastAsia"/>
          </w:rPr>
          <w:t>第八节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基金的募集</w:t>
        </w:r>
        <w:r>
          <w:rPr>
            <w:webHidden/>
          </w:rPr>
          <w:tab/>
        </w:r>
        <w:r>
          <w:rPr>
            <w:webHidden/>
          </w:rPr>
          <w:fldChar w:fldCharType="begin"/>
        </w:r>
        <w:r>
          <w:rPr>
            <w:webHidden/>
          </w:rPr>
          <w:instrText xml:space="preserve"> PAGEREF _Toc169103838 \h </w:instrText>
        </w:r>
        <w:r>
          <w:rPr>
            <w:webHidden/>
          </w:rPr>
          <w:fldChar w:fldCharType="separate"/>
        </w:r>
        <w:r>
          <w:rPr>
            <w:webHidden/>
          </w:rPr>
          <w:t>50</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39" w:history="1">
        <w:r w:rsidRPr="00142DA9">
          <w:rPr>
            <w:rStyle w:val="Hyperlink"/>
            <w:rFonts w:asciiTheme="minorEastAsia" w:hAnsiTheme="minorEastAsia" w:hint="eastAsia"/>
          </w:rPr>
          <w:t>第九节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基金合同的生效</w:t>
        </w:r>
        <w:r>
          <w:rPr>
            <w:webHidden/>
          </w:rPr>
          <w:tab/>
        </w:r>
        <w:r>
          <w:rPr>
            <w:webHidden/>
          </w:rPr>
          <w:fldChar w:fldCharType="begin"/>
        </w:r>
        <w:r>
          <w:rPr>
            <w:webHidden/>
          </w:rPr>
          <w:instrText xml:space="preserve"> PAGEREF _Toc169103839 \h </w:instrText>
        </w:r>
        <w:r>
          <w:rPr>
            <w:webHidden/>
          </w:rPr>
          <w:fldChar w:fldCharType="separate"/>
        </w:r>
        <w:r>
          <w:rPr>
            <w:webHidden/>
          </w:rPr>
          <w:t>51</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0" w:history="1">
        <w:r w:rsidRPr="00142DA9">
          <w:rPr>
            <w:rStyle w:val="Hyperlink"/>
            <w:rFonts w:asciiTheme="minorEastAsia" w:hAnsiTheme="minorEastAsia" w:hint="eastAsia"/>
          </w:rPr>
          <w:t>第十节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基金份额的申购、赎回</w:t>
        </w:r>
        <w:r>
          <w:rPr>
            <w:webHidden/>
          </w:rPr>
          <w:tab/>
        </w:r>
        <w:r>
          <w:rPr>
            <w:webHidden/>
          </w:rPr>
          <w:fldChar w:fldCharType="begin"/>
        </w:r>
        <w:r>
          <w:rPr>
            <w:webHidden/>
          </w:rPr>
          <w:instrText xml:space="preserve"> PAGEREF _Toc169103840 \h </w:instrText>
        </w:r>
        <w:r>
          <w:rPr>
            <w:webHidden/>
          </w:rPr>
          <w:fldChar w:fldCharType="separate"/>
        </w:r>
        <w:r>
          <w:rPr>
            <w:webHidden/>
          </w:rPr>
          <w:t>52</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1" w:history="1">
        <w:r w:rsidRPr="00142DA9">
          <w:rPr>
            <w:rStyle w:val="Hyperlink"/>
            <w:rFonts w:asciiTheme="minorEastAsia" w:hAnsiTheme="minorEastAsia" w:hint="eastAsia"/>
          </w:rPr>
          <w:t>第十一节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基金的费用与税收</w:t>
        </w:r>
        <w:r>
          <w:rPr>
            <w:webHidden/>
          </w:rPr>
          <w:tab/>
        </w:r>
        <w:r>
          <w:rPr>
            <w:webHidden/>
          </w:rPr>
          <w:fldChar w:fldCharType="begin"/>
        </w:r>
        <w:r>
          <w:rPr>
            <w:webHidden/>
          </w:rPr>
          <w:instrText xml:space="preserve"> PAGEREF _Toc169103841 \h </w:instrText>
        </w:r>
        <w:r>
          <w:rPr>
            <w:webHidden/>
          </w:rPr>
          <w:fldChar w:fldCharType="separate"/>
        </w:r>
        <w:r>
          <w:rPr>
            <w:webHidden/>
          </w:rPr>
          <w:t>65</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2" w:history="1">
        <w:r w:rsidRPr="00142DA9">
          <w:rPr>
            <w:rStyle w:val="Hyperlink"/>
            <w:rFonts w:asciiTheme="minorEastAsia" w:hAnsiTheme="minorEastAsia" w:hint="eastAsia"/>
          </w:rPr>
          <w:t>第十二节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基金的财产</w:t>
        </w:r>
        <w:r>
          <w:rPr>
            <w:webHidden/>
          </w:rPr>
          <w:tab/>
        </w:r>
        <w:r>
          <w:rPr>
            <w:webHidden/>
          </w:rPr>
          <w:fldChar w:fldCharType="begin"/>
        </w:r>
        <w:r>
          <w:rPr>
            <w:webHidden/>
          </w:rPr>
          <w:instrText xml:space="preserve"> PAGEREF _Toc169103842 \h </w:instrText>
        </w:r>
        <w:r>
          <w:rPr>
            <w:webHidden/>
          </w:rPr>
          <w:fldChar w:fldCharType="separate"/>
        </w:r>
        <w:r>
          <w:rPr>
            <w:webHidden/>
          </w:rPr>
          <w:t>69</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3" w:history="1">
        <w:r w:rsidRPr="00142DA9">
          <w:rPr>
            <w:rStyle w:val="Hyperlink"/>
            <w:rFonts w:asciiTheme="minorEastAsia" w:hAnsiTheme="minorEastAsia" w:hint="eastAsia"/>
          </w:rPr>
          <w:t>第十三节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基金资产的估值</w:t>
        </w:r>
        <w:r>
          <w:rPr>
            <w:webHidden/>
          </w:rPr>
          <w:tab/>
        </w:r>
        <w:r>
          <w:rPr>
            <w:webHidden/>
          </w:rPr>
          <w:fldChar w:fldCharType="begin"/>
        </w:r>
        <w:r>
          <w:rPr>
            <w:webHidden/>
          </w:rPr>
          <w:instrText xml:space="preserve"> PAGEREF _Toc169103843 \h </w:instrText>
        </w:r>
        <w:r>
          <w:rPr>
            <w:webHidden/>
          </w:rPr>
          <w:fldChar w:fldCharType="separate"/>
        </w:r>
        <w:r>
          <w:rPr>
            <w:webHidden/>
          </w:rPr>
          <w:t>70</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4" w:history="1">
        <w:r w:rsidRPr="00142DA9">
          <w:rPr>
            <w:rStyle w:val="Hyperlink"/>
            <w:rFonts w:asciiTheme="minorEastAsia" w:hAnsiTheme="minorEastAsia" w:hint="eastAsia"/>
          </w:rPr>
          <w:t>第十四节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基金的收益与分配</w:t>
        </w:r>
        <w:r>
          <w:rPr>
            <w:webHidden/>
          </w:rPr>
          <w:tab/>
        </w:r>
        <w:r>
          <w:rPr>
            <w:webHidden/>
          </w:rPr>
          <w:fldChar w:fldCharType="begin"/>
        </w:r>
        <w:r>
          <w:rPr>
            <w:webHidden/>
          </w:rPr>
          <w:instrText xml:space="preserve"> PAGEREF _Toc169103844 \h </w:instrText>
        </w:r>
        <w:r>
          <w:rPr>
            <w:webHidden/>
          </w:rPr>
          <w:fldChar w:fldCharType="separate"/>
        </w:r>
        <w:r>
          <w:rPr>
            <w:webHidden/>
          </w:rPr>
          <w:t>75</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5" w:history="1">
        <w:r w:rsidRPr="00142DA9">
          <w:rPr>
            <w:rStyle w:val="Hyperlink"/>
            <w:rFonts w:asciiTheme="minorEastAsia" w:hAnsiTheme="minorEastAsia" w:hint="eastAsia"/>
          </w:rPr>
          <w:t>第十五节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基金的会计与审计</w:t>
        </w:r>
        <w:r>
          <w:rPr>
            <w:webHidden/>
          </w:rPr>
          <w:tab/>
        </w:r>
        <w:r>
          <w:rPr>
            <w:webHidden/>
          </w:rPr>
          <w:fldChar w:fldCharType="begin"/>
        </w:r>
        <w:r>
          <w:rPr>
            <w:webHidden/>
          </w:rPr>
          <w:instrText xml:space="preserve"> PAGEREF _Toc169103845 \h </w:instrText>
        </w:r>
        <w:r>
          <w:rPr>
            <w:webHidden/>
          </w:rPr>
          <w:fldChar w:fldCharType="separate"/>
        </w:r>
        <w:r>
          <w:rPr>
            <w:webHidden/>
          </w:rPr>
          <w:t>77</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6" w:history="1">
        <w:r w:rsidRPr="00142DA9">
          <w:rPr>
            <w:rStyle w:val="Hyperlink"/>
            <w:rFonts w:asciiTheme="minorEastAsia" w:hAnsiTheme="minorEastAsia" w:hint="eastAsia"/>
          </w:rPr>
          <w:t>第十六节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基金的信息披露</w:t>
        </w:r>
        <w:r>
          <w:rPr>
            <w:webHidden/>
          </w:rPr>
          <w:tab/>
        </w:r>
        <w:r>
          <w:rPr>
            <w:webHidden/>
          </w:rPr>
          <w:fldChar w:fldCharType="begin"/>
        </w:r>
        <w:r>
          <w:rPr>
            <w:webHidden/>
          </w:rPr>
          <w:instrText xml:space="preserve"> PAGEREF _Toc169103846 \h </w:instrText>
        </w:r>
        <w:r>
          <w:rPr>
            <w:webHidden/>
          </w:rPr>
          <w:fldChar w:fldCharType="separate"/>
        </w:r>
        <w:r>
          <w:rPr>
            <w:webHidden/>
          </w:rPr>
          <w:t>78</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7" w:history="1">
        <w:r w:rsidRPr="00142DA9">
          <w:rPr>
            <w:rStyle w:val="Hyperlink"/>
            <w:rFonts w:asciiTheme="minorEastAsia" w:hAnsiTheme="minorEastAsia" w:hint="eastAsia"/>
          </w:rPr>
          <w:t>第十七节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基金合同的变更、终止与基金财产的清算</w:t>
        </w:r>
        <w:r>
          <w:rPr>
            <w:webHidden/>
          </w:rPr>
          <w:tab/>
        </w:r>
        <w:r>
          <w:rPr>
            <w:webHidden/>
          </w:rPr>
          <w:fldChar w:fldCharType="begin"/>
        </w:r>
        <w:r>
          <w:rPr>
            <w:webHidden/>
          </w:rPr>
          <w:instrText xml:space="preserve"> PAGEREF _Toc169103847 \h </w:instrText>
        </w:r>
        <w:r>
          <w:rPr>
            <w:webHidden/>
          </w:rPr>
          <w:fldChar w:fldCharType="separate"/>
        </w:r>
        <w:r>
          <w:rPr>
            <w:webHidden/>
          </w:rPr>
          <w:t>84</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8" w:history="1">
        <w:r w:rsidRPr="00142DA9">
          <w:rPr>
            <w:rStyle w:val="Hyperlink"/>
            <w:rFonts w:asciiTheme="minorEastAsia" w:hAnsiTheme="minorEastAsia" w:hint="eastAsia"/>
          </w:rPr>
          <w:t>第十八节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基金托管人</w:t>
        </w:r>
        <w:r>
          <w:rPr>
            <w:webHidden/>
          </w:rPr>
          <w:tab/>
        </w:r>
        <w:r>
          <w:rPr>
            <w:webHidden/>
          </w:rPr>
          <w:fldChar w:fldCharType="begin"/>
        </w:r>
        <w:r>
          <w:rPr>
            <w:webHidden/>
          </w:rPr>
          <w:instrText xml:space="preserve"> PAGEREF _Toc169103848 \h </w:instrText>
        </w:r>
        <w:r>
          <w:rPr>
            <w:webHidden/>
          </w:rPr>
          <w:fldChar w:fldCharType="separate"/>
        </w:r>
        <w:r>
          <w:rPr>
            <w:webHidden/>
          </w:rPr>
          <w:t>86</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49" w:history="1">
        <w:r w:rsidRPr="00142DA9">
          <w:rPr>
            <w:rStyle w:val="Hyperlink"/>
            <w:rFonts w:asciiTheme="minorEastAsia" w:hAnsiTheme="minorEastAsia" w:hint="eastAsia"/>
          </w:rPr>
          <w:t>第十九节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境外托管人</w:t>
        </w:r>
        <w:r>
          <w:rPr>
            <w:webHidden/>
          </w:rPr>
          <w:tab/>
        </w:r>
        <w:r>
          <w:rPr>
            <w:webHidden/>
          </w:rPr>
          <w:fldChar w:fldCharType="begin"/>
        </w:r>
        <w:r>
          <w:rPr>
            <w:webHidden/>
          </w:rPr>
          <w:instrText xml:space="preserve"> PAGEREF _Toc169103849 \h </w:instrText>
        </w:r>
        <w:r>
          <w:rPr>
            <w:webHidden/>
          </w:rPr>
          <w:fldChar w:fldCharType="separate"/>
        </w:r>
        <w:r>
          <w:rPr>
            <w:webHidden/>
          </w:rPr>
          <w:t>92</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0" w:history="1">
        <w:r w:rsidRPr="00142DA9">
          <w:rPr>
            <w:rStyle w:val="Hyperlink"/>
            <w:rFonts w:asciiTheme="minorEastAsia" w:hAnsiTheme="minorEastAsia" w:hint="eastAsia"/>
          </w:rPr>
          <w:t>第二十节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相关服务机构</w:t>
        </w:r>
        <w:r>
          <w:rPr>
            <w:webHidden/>
          </w:rPr>
          <w:tab/>
        </w:r>
        <w:r>
          <w:rPr>
            <w:webHidden/>
          </w:rPr>
          <w:fldChar w:fldCharType="begin"/>
        </w:r>
        <w:r>
          <w:rPr>
            <w:webHidden/>
          </w:rPr>
          <w:instrText xml:space="preserve"> PAGEREF _Toc169103850 \h </w:instrText>
        </w:r>
        <w:r>
          <w:rPr>
            <w:webHidden/>
          </w:rPr>
          <w:fldChar w:fldCharType="separate"/>
        </w:r>
        <w:r>
          <w:rPr>
            <w:webHidden/>
          </w:rPr>
          <w:t>94</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1" w:history="1">
        <w:r w:rsidRPr="00142DA9">
          <w:rPr>
            <w:rStyle w:val="Hyperlink"/>
            <w:rFonts w:asciiTheme="minorEastAsia" w:hAnsiTheme="minorEastAsia" w:hint="eastAsia"/>
          </w:rPr>
          <w:t>第二十一节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基金合同的内容摘要</w:t>
        </w:r>
        <w:r>
          <w:rPr>
            <w:webHidden/>
          </w:rPr>
          <w:tab/>
        </w:r>
        <w:r>
          <w:rPr>
            <w:webHidden/>
          </w:rPr>
          <w:fldChar w:fldCharType="begin"/>
        </w:r>
        <w:r>
          <w:rPr>
            <w:webHidden/>
          </w:rPr>
          <w:instrText xml:space="preserve"> PAGEREF _Toc169103851 \h </w:instrText>
        </w:r>
        <w:r>
          <w:rPr>
            <w:webHidden/>
          </w:rPr>
          <w:fldChar w:fldCharType="separate"/>
        </w:r>
        <w:r>
          <w:rPr>
            <w:webHidden/>
          </w:rPr>
          <w:t>96</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2" w:history="1">
        <w:r w:rsidRPr="00142DA9">
          <w:rPr>
            <w:rStyle w:val="Hyperlink"/>
            <w:rFonts w:asciiTheme="minorEastAsia" w:hAnsiTheme="minorEastAsia" w:hint="eastAsia"/>
          </w:rPr>
          <w:t>第二十二节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基金托管协议的内容摘要</w:t>
        </w:r>
        <w:r>
          <w:rPr>
            <w:webHidden/>
          </w:rPr>
          <w:tab/>
        </w:r>
        <w:r>
          <w:rPr>
            <w:webHidden/>
          </w:rPr>
          <w:fldChar w:fldCharType="begin"/>
        </w:r>
        <w:r>
          <w:rPr>
            <w:webHidden/>
          </w:rPr>
          <w:instrText xml:space="preserve"> PAGEREF _Toc169103852 \h </w:instrText>
        </w:r>
        <w:r>
          <w:rPr>
            <w:webHidden/>
          </w:rPr>
          <w:fldChar w:fldCharType="separate"/>
        </w:r>
        <w:r>
          <w:rPr>
            <w:webHidden/>
          </w:rPr>
          <w:t>117</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3" w:history="1">
        <w:r w:rsidRPr="00142DA9">
          <w:rPr>
            <w:rStyle w:val="Hyperlink"/>
            <w:rFonts w:asciiTheme="minorEastAsia" w:hAnsiTheme="minorEastAsia" w:hint="eastAsia"/>
          </w:rPr>
          <w:t>第二十三节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对基金份额持有人的服务</w:t>
        </w:r>
        <w:r>
          <w:rPr>
            <w:webHidden/>
          </w:rPr>
          <w:tab/>
        </w:r>
        <w:r>
          <w:rPr>
            <w:webHidden/>
          </w:rPr>
          <w:fldChar w:fldCharType="begin"/>
        </w:r>
        <w:r>
          <w:rPr>
            <w:webHidden/>
          </w:rPr>
          <w:instrText xml:space="preserve"> PAGEREF _Toc169103853 \h </w:instrText>
        </w:r>
        <w:r>
          <w:rPr>
            <w:webHidden/>
          </w:rPr>
          <w:fldChar w:fldCharType="separate"/>
        </w:r>
        <w:r>
          <w:rPr>
            <w:webHidden/>
          </w:rPr>
          <w:t>132</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4" w:history="1">
        <w:r w:rsidRPr="00142DA9">
          <w:rPr>
            <w:rStyle w:val="Hyperlink"/>
            <w:rFonts w:asciiTheme="minorEastAsia" w:hAnsiTheme="minorEastAsia" w:hint="eastAsia"/>
          </w:rPr>
          <w:t>第二十四节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其他应披露事项</w:t>
        </w:r>
        <w:r>
          <w:rPr>
            <w:webHidden/>
          </w:rPr>
          <w:tab/>
        </w:r>
        <w:r>
          <w:rPr>
            <w:webHidden/>
          </w:rPr>
          <w:fldChar w:fldCharType="begin"/>
        </w:r>
        <w:r>
          <w:rPr>
            <w:webHidden/>
          </w:rPr>
          <w:instrText xml:space="preserve"> PAGEREF _Toc169103854 \h </w:instrText>
        </w:r>
        <w:r>
          <w:rPr>
            <w:webHidden/>
          </w:rPr>
          <w:fldChar w:fldCharType="separate"/>
        </w:r>
        <w:r>
          <w:rPr>
            <w:webHidden/>
          </w:rPr>
          <w:t>133</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5" w:history="1">
        <w:r w:rsidRPr="00142DA9">
          <w:rPr>
            <w:rStyle w:val="Hyperlink"/>
            <w:rFonts w:asciiTheme="minorEastAsia" w:hAnsiTheme="minorEastAsia" w:hint="eastAsia"/>
          </w:rPr>
          <w:t>第二十五节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招募说明书存放及查阅方式</w:t>
        </w:r>
        <w:r>
          <w:rPr>
            <w:webHidden/>
          </w:rPr>
          <w:tab/>
        </w:r>
        <w:r>
          <w:rPr>
            <w:webHidden/>
          </w:rPr>
          <w:fldChar w:fldCharType="begin"/>
        </w:r>
        <w:r>
          <w:rPr>
            <w:webHidden/>
          </w:rPr>
          <w:instrText xml:space="preserve"> PAGEREF _Toc169103855 \h </w:instrText>
        </w:r>
        <w:r>
          <w:rPr>
            <w:webHidden/>
          </w:rPr>
          <w:fldChar w:fldCharType="separate"/>
        </w:r>
        <w:r>
          <w:rPr>
            <w:webHidden/>
          </w:rPr>
          <w:t>135</w:t>
        </w:r>
        <w:r>
          <w:rPr>
            <w:webHidden/>
          </w:rPr>
          <w:fldChar w:fldCharType="end"/>
        </w:r>
      </w:hyperlink>
    </w:p>
    <w:p w:rsidR="00A32EDC">
      <w:pPr>
        <w:pStyle w:val="TOC1"/>
        <w:rPr>
          <w:rFonts w:asciiTheme="minorHAnsi" w:eastAsiaTheme="minorEastAsia" w:hAnsiTheme="minorHAnsi" w:cstheme="minorBidi"/>
          <w:caps w:val="0"/>
          <w:sz w:val="21"/>
          <w:szCs w:val="22"/>
        </w:rPr>
      </w:pPr>
      <w:hyperlink w:anchor="_Toc169103856" w:history="1">
        <w:r w:rsidRPr="00142DA9">
          <w:rPr>
            <w:rStyle w:val="Hyperlink"/>
            <w:rFonts w:asciiTheme="minorEastAsia" w:hAnsiTheme="minorEastAsia" w:hint="eastAsia"/>
          </w:rPr>
          <w:t>第二十六节</w:t>
        </w:r>
        <w:r>
          <w:rPr>
            <w:rFonts w:asciiTheme="minorHAnsi" w:eastAsiaTheme="minorEastAsia" w:hAnsiTheme="minorHAnsi" w:cstheme="minorBidi"/>
            <w:caps w:val="0"/>
            <w:sz w:val="21"/>
            <w:szCs w:val="22"/>
          </w:rPr>
          <w:tab/>
        </w:r>
        <w:r w:rsidRPr="00142DA9">
          <w:rPr>
            <w:rStyle w:val="Hyperlink"/>
            <w:rFonts w:asciiTheme="minorEastAsia" w:hAnsiTheme="minorEastAsia" w:hint="eastAsia"/>
          </w:rPr>
          <w:t>备查文件</w:t>
        </w:r>
        <w:r>
          <w:rPr>
            <w:webHidden/>
          </w:rPr>
          <w:tab/>
        </w:r>
        <w:r>
          <w:rPr>
            <w:webHidden/>
          </w:rPr>
          <w:fldChar w:fldCharType="begin"/>
        </w:r>
        <w:r>
          <w:rPr>
            <w:webHidden/>
          </w:rPr>
          <w:instrText xml:space="preserve"> PAGEREF _Toc169103856 \h </w:instrText>
        </w:r>
        <w:r>
          <w:rPr>
            <w:webHidden/>
          </w:rPr>
          <w:fldChar w:fldCharType="separate"/>
        </w:r>
        <w:r>
          <w:rPr>
            <w:webHidden/>
          </w:rPr>
          <w:t>136</w:t>
        </w:r>
        <w:r>
          <w:rPr>
            <w:webHidden/>
          </w:rPr>
          <w:fldChar w:fldCharType="end"/>
        </w:r>
      </w:hyperlink>
    </w:p>
    <w:p w:rsidR="0064594E" w:rsidRPr="00D3689E" w:rsidP="00172767">
      <w:pPr>
        <w:ind w:firstLine="560"/>
        <w:jc w:val="center"/>
        <w:rPr>
          <w:rFonts w:asciiTheme="minorEastAsia" w:eastAsiaTheme="minorEastAsia" w:hAnsiTheme="minorEastAsia"/>
          <w:color w:val="000000" w:themeColor="text1"/>
          <w:szCs w:val="21"/>
        </w:rPr>
        <w:sectPr w:rsidSect="00D95573">
          <w:footerReference w:type="first" r:id="rId15"/>
          <w:pgSz w:w="11906" w:h="16838" w:code="9"/>
          <w:pgMar w:top="1440" w:right="1800" w:bottom="1440" w:left="1800" w:header="1134" w:footer="1247" w:gutter="0"/>
          <w:pgNumType w:fmt="upperRoman" w:start="1"/>
          <w:cols w:space="425"/>
          <w:titlePg/>
          <w:docGrid w:type="linesAndChars" w:linePitch="447"/>
        </w:sectPr>
      </w:pPr>
      <w:r w:rsidRPr="00D3689E">
        <w:rPr>
          <w:rFonts w:asciiTheme="minorEastAsia" w:eastAsiaTheme="minorEastAsia" w:hAnsiTheme="minorEastAsia"/>
          <w:b/>
          <w:caps/>
          <w:noProof/>
          <w:color w:val="000000" w:themeColor="text1"/>
          <w:sz w:val="24"/>
          <w:szCs w:val="21"/>
        </w:rPr>
        <w:fldChar w:fldCharType="end"/>
      </w:r>
    </w:p>
    <w:p w:rsidR="0064594E" w:rsidRPr="00D3689E" w:rsidP="00A8438B">
      <w:pPr>
        <w:pStyle w:val="1"/>
        <w:numPr>
          <w:ilvl w:val="0"/>
          <w:numId w:val="4"/>
        </w:numPr>
        <w:tabs>
          <w:tab w:val="num" w:pos="2127"/>
        </w:tabs>
        <w:spacing w:before="312" w:after="312" w:line="360" w:lineRule="auto"/>
        <w:ind w:firstLineChars="0"/>
        <w:rPr>
          <w:rFonts w:asciiTheme="minorEastAsia" w:eastAsiaTheme="minorEastAsia" w:hAnsiTheme="minorEastAsia"/>
          <w:color w:val="000000" w:themeColor="text1"/>
        </w:rPr>
      </w:pPr>
      <w:bookmarkStart w:id="1" w:name="_Toc38432421"/>
      <w:bookmarkStart w:id="2" w:name="_Toc169103831"/>
      <w:r w:rsidRPr="00D3689E">
        <w:rPr>
          <w:rFonts w:asciiTheme="minorEastAsia" w:eastAsiaTheme="minorEastAsia" w:hAnsiTheme="minorEastAsia" w:hint="eastAsia"/>
          <w:color w:val="000000" w:themeColor="text1"/>
        </w:rPr>
        <w:t>绪言</w:t>
      </w:r>
      <w:bookmarkEnd w:id="1"/>
      <w:bookmarkEnd w:id="2"/>
    </w:p>
    <w:p w:rsidR="0064594E" w:rsidRPr="00D3689E" w:rsidP="00172767">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本招募说明书依据《中华人民共和国证券投资基金法》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以下简称《基金法》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、《公开募集证券投资基金运作管理办法》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以下简称《运作办法》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、《证券投资基金销售管理办法》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以下简称《销售办法》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w:t>
      </w:r>
      <w:r w:rsidRPr="00D3689E" w:rsidR="00E75260">
        <w:rPr>
          <w:rFonts w:asciiTheme="minorEastAsia" w:eastAsiaTheme="minorEastAsia" w:hAnsiTheme="minorEastAsia" w:hint="eastAsia"/>
          <w:color w:val="000000" w:themeColor="text1"/>
          <w:szCs w:val="21"/>
        </w:rPr>
        <w:t>公开募集</w:t>
      </w:r>
      <w:r w:rsidRPr="00D3689E">
        <w:rPr>
          <w:rFonts w:asciiTheme="minorEastAsia" w:eastAsiaTheme="minorEastAsia" w:hAnsiTheme="minorEastAsia" w:hint="eastAsia"/>
          <w:color w:val="000000" w:themeColor="text1"/>
          <w:szCs w:val="21"/>
        </w:rPr>
        <w:t>证券投资基金信息披露管理办法》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以下简称《信息披露办法》</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、《证券投资基金信息披露内容与格式准则第</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号</w:t>
      </w:r>
      <w:r w:rsidRPr="00D3689E">
        <w:rPr>
          <w:rFonts w:asciiTheme="minorEastAsia" w:eastAsiaTheme="minorEastAsia" w:hAnsiTheme="minorEastAsia"/>
          <w:color w:val="000000" w:themeColor="text1"/>
          <w:szCs w:val="21"/>
        </w:rPr>
        <w:t>&lt;</w:t>
      </w:r>
      <w:r w:rsidRPr="00D3689E">
        <w:rPr>
          <w:rFonts w:asciiTheme="minorEastAsia" w:eastAsiaTheme="minorEastAsia" w:hAnsiTheme="minorEastAsia" w:hint="eastAsia"/>
          <w:color w:val="000000" w:themeColor="text1"/>
          <w:szCs w:val="21"/>
        </w:rPr>
        <w:t>招募说明书的内容与格式</w:t>
      </w:r>
      <w:r w:rsidRPr="00D3689E">
        <w:rPr>
          <w:rFonts w:asciiTheme="minorEastAsia" w:eastAsiaTheme="minorEastAsia" w:hAnsiTheme="minorEastAsia"/>
          <w:color w:val="000000" w:themeColor="text1"/>
          <w:szCs w:val="21"/>
        </w:rPr>
        <w:t>&gt;</w:t>
      </w:r>
      <w:r w:rsidRPr="00D3689E">
        <w:rPr>
          <w:rFonts w:asciiTheme="minorEastAsia" w:eastAsiaTheme="minorEastAsia" w:hAnsiTheme="minorEastAsia" w:hint="eastAsia"/>
          <w:color w:val="000000" w:themeColor="text1"/>
          <w:szCs w:val="21"/>
        </w:rPr>
        <w:t>》、《合格境内机构投资者境外证券投资管理试行办法》（以下简称《试行办法》）、《关于实施</w:t>
      </w:r>
      <w:r w:rsidRPr="00D3689E">
        <w:rPr>
          <w:rFonts w:asciiTheme="minorEastAsia" w:eastAsiaTheme="minorEastAsia" w:hAnsiTheme="minorEastAsia"/>
          <w:color w:val="000000" w:themeColor="text1"/>
          <w:szCs w:val="21"/>
        </w:rPr>
        <w:t>&lt;</w:t>
      </w:r>
      <w:r w:rsidRPr="00D3689E">
        <w:rPr>
          <w:rFonts w:asciiTheme="minorEastAsia" w:eastAsiaTheme="minorEastAsia" w:hAnsiTheme="minorEastAsia" w:hint="eastAsia"/>
          <w:color w:val="000000" w:themeColor="text1"/>
          <w:szCs w:val="21"/>
        </w:rPr>
        <w:t>合格境内机构投资者境外证券投资管理试行办法</w:t>
      </w:r>
      <w:r w:rsidRPr="00D3689E">
        <w:rPr>
          <w:rFonts w:asciiTheme="minorEastAsia" w:eastAsiaTheme="minorEastAsia" w:hAnsiTheme="minorEastAsia"/>
          <w:color w:val="000000" w:themeColor="text1"/>
          <w:szCs w:val="21"/>
        </w:rPr>
        <w:t>&gt;</w:t>
      </w:r>
      <w:r w:rsidRPr="00D3689E">
        <w:rPr>
          <w:rFonts w:asciiTheme="minorEastAsia" w:eastAsiaTheme="minorEastAsia" w:hAnsiTheme="minorEastAsia" w:hint="eastAsia"/>
          <w:color w:val="000000" w:themeColor="text1"/>
          <w:szCs w:val="21"/>
        </w:rPr>
        <w:t>有关问题的通知》（以下简称《通知》）</w:t>
      </w:r>
      <w:r w:rsidRPr="00D3689E" w:rsidR="00275D05">
        <w:rPr>
          <w:rFonts w:asciiTheme="minorEastAsia" w:eastAsiaTheme="minorEastAsia" w:hAnsiTheme="minorEastAsia" w:hint="eastAsia"/>
          <w:color w:val="000000" w:themeColor="text1"/>
          <w:szCs w:val="21"/>
        </w:rPr>
        <w:t>、</w:t>
      </w:r>
      <w:r w:rsidRPr="00D3689E" w:rsidR="00640B79">
        <w:rPr>
          <w:rFonts w:asciiTheme="minorEastAsia" w:eastAsiaTheme="minorEastAsia" w:hAnsiTheme="minorEastAsia" w:hint="eastAsia"/>
          <w:color w:val="000000" w:themeColor="text1"/>
          <w:szCs w:val="21"/>
        </w:rPr>
        <w:t>《公开募集开放式证券投资基金流动性风险管理规定》（以下简称“《管理规定》”）、《公开募集证券投资基金运作指引第3号——指数基金指引》（以下简称“《指数基金指引》”）</w:t>
      </w:r>
      <w:r w:rsidRPr="00D3689E">
        <w:rPr>
          <w:rFonts w:asciiTheme="minorEastAsia" w:eastAsiaTheme="minorEastAsia" w:hAnsiTheme="minorEastAsia" w:hint="eastAsia"/>
          <w:color w:val="000000" w:themeColor="text1"/>
          <w:szCs w:val="21"/>
        </w:rPr>
        <w:t>、《易方达中证海外中国互联网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交易型开放式指数证券投资基金联接基金基金合同》</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以下简称基金合同</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及其它有关规定等编写。</w:t>
      </w:r>
    </w:p>
    <w:p w:rsidR="0064594E" w:rsidRPr="00D3689E" w:rsidP="00172767">
      <w:pPr>
        <w:spacing w:line="360" w:lineRule="auto"/>
        <w:ind w:firstLine="482"/>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基金管理人承诺本招募说明书不存在任何虚假记载、误导性陈述或者重大遗漏</w:t>
      </w:r>
      <w:r w:rsidRPr="00D3689E" w:rsidR="001A2CD2">
        <w:rPr>
          <w:rStyle w:val="da"/>
          <w:rFonts w:asciiTheme="minorEastAsia" w:eastAsiaTheme="minorEastAsia" w:hAnsiTheme="minorEastAsia" w:hint="eastAsia"/>
          <w:color w:val="000000" w:themeColor="text1"/>
        </w:rPr>
        <w:t>，</w:t>
      </w:r>
      <w:r w:rsidRPr="00D3689E">
        <w:rPr>
          <w:rStyle w:val="da"/>
          <w:rFonts w:asciiTheme="minorEastAsia" w:eastAsiaTheme="minorEastAsia" w:hAnsiTheme="minorEastAsia" w:hint="eastAsia"/>
          <w:color w:val="000000" w:themeColor="text1"/>
        </w:rPr>
        <w:t>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5638A" w:rsidRPr="00D3689E" w:rsidP="00172767">
      <w:pPr>
        <w:spacing w:line="360" w:lineRule="auto"/>
        <w:ind w:firstLine="482"/>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招募说明书根据本基金的基金合同编写，并经中国证监会注册。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64594E" w:rsidRPr="00D3689E" w:rsidP="00172767">
      <w:pPr>
        <w:spacing w:line="360" w:lineRule="auto"/>
        <w:ind w:firstLine="482"/>
        <w:rPr>
          <w:rFonts w:asciiTheme="minorEastAsia" w:eastAsiaTheme="minorEastAsia" w:hAnsiTheme="minorEastAsia"/>
          <w:b/>
          <w:color w:val="000000" w:themeColor="text1"/>
          <w:szCs w:val="21"/>
        </w:rPr>
      </w:pPr>
      <w:r w:rsidRPr="00D3689E">
        <w:rPr>
          <w:rFonts w:asciiTheme="minorEastAsia" w:eastAsiaTheme="minorEastAsia" w:hAnsiTheme="minorEastAsia"/>
          <w:color w:val="000000" w:themeColor="text1"/>
        </w:rPr>
        <w:t>本基金按照中国法律法规成立并运作，若基金合同、招募说明书等基金法律文件的内容与届时有效的法律法规的强制性规定不一致，应当以届时有效的法律法规的规定为准。</w:t>
      </w:r>
    </w:p>
    <w:p w:rsidR="0064594E" w:rsidRPr="00D3689E" w:rsidP="00172767">
      <w:pPr>
        <w:spacing w:line="360" w:lineRule="auto"/>
        <w:ind w:firstLine="482"/>
        <w:rPr>
          <w:rFonts w:asciiTheme="minorEastAsia" w:eastAsiaTheme="minorEastAsia" w:hAnsiTheme="minorEastAsia"/>
          <w:b/>
          <w:color w:val="000000" w:themeColor="text1"/>
          <w:szCs w:val="21"/>
        </w:rPr>
      </w:pPr>
    </w:p>
    <w:p w:rsidR="0064594E" w:rsidRPr="00D3689E" w:rsidP="00A8438B">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3" w:name="_Toc38432422"/>
      <w:bookmarkStart w:id="4" w:name="_Toc169103832"/>
      <w:r w:rsidRPr="00D3689E">
        <w:rPr>
          <w:rFonts w:asciiTheme="minorEastAsia" w:eastAsiaTheme="minorEastAsia" w:hAnsiTheme="minorEastAsia" w:hint="eastAsia"/>
          <w:color w:val="000000" w:themeColor="text1"/>
        </w:rPr>
        <w:t>释义</w:t>
      </w:r>
      <w:bookmarkEnd w:id="3"/>
      <w:bookmarkEnd w:id="4"/>
    </w:p>
    <w:p w:rsidR="00ED481E"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本招募说明书中除非文意另有所指，下列词语有如下含义：</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、基金或本基金：指易方达中证海外中国互联网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、基金管理人：指易方达基金管理有限公司</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、基金托管人：指招商银行股份有限公司</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、境外托管人：指符合法律法规规定的条件，根据基金托管人与其签订的合同，为本基金提供境外资产托管服务的境外金融机构</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、基金合同或本基金合同：指《易方达中证海外中国互联网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交易型开放式指数证券投资基金联接基金基金合同》及对基金合同的任何有效修订和补充</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、托管协议：指基金管理人与基金托管人就本基金签订之《易方达中证海外中国互联网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交易型开放式指数证券投资基金联接基金托管协议》及对该托管协议的任何有效修订和补充</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、招募说明书：指《易方达中证海外中国互联网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交易型开放式指数证券投资基金联接基金招募说明书》及其更新</w:t>
      </w:r>
    </w:p>
    <w:p w:rsidR="00E75260"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8、基金产品资料概要：指《易方达中证海外中国互联网50交易型开放式指数证券投资基金联接基金基金产品资料概要》及其更新</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9、基金份额发售公告：指《易方达中证海外中国互联网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交易型开放式指数证券投资基金联接基金基金份额发售公告》</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10、法律法规：指中国现行有效并公布实施的法律、行政法规、规范性文件、司法解释、行政规章以及其他对基金合同当事人有约束力的决定、决议、通知等</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1</w:t>
      </w:r>
      <w:r w:rsidRPr="00D3689E">
        <w:rPr>
          <w:rFonts w:asciiTheme="minorEastAsia" w:eastAsiaTheme="minorEastAsia" w:hAnsiTheme="minorEastAsia" w:hint="eastAsia"/>
          <w:color w:val="000000" w:themeColor="text1"/>
          <w:szCs w:val="21"/>
        </w:rPr>
        <w:t>、《基金法》：指</w:t>
      </w:r>
      <w:r w:rsidRPr="00D3689E">
        <w:rPr>
          <w:rFonts w:asciiTheme="minorEastAsia" w:eastAsiaTheme="minorEastAsia" w:hAnsiTheme="minorEastAsia"/>
          <w:color w:val="000000" w:themeColor="text1"/>
          <w:szCs w:val="21"/>
        </w:rPr>
        <w:t>2003</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28</w:t>
      </w:r>
      <w:r w:rsidRPr="00D3689E">
        <w:rPr>
          <w:rFonts w:asciiTheme="minorEastAsia" w:eastAsiaTheme="minorEastAsia" w:hAnsiTheme="minorEastAsia" w:hint="eastAsia"/>
          <w:color w:val="000000" w:themeColor="text1"/>
          <w:szCs w:val="21"/>
        </w:rPr>
        <w:t>日第十届全国人民代表大会常务委员会第五次会议通过，</w:t>
      </w:r>
      <w:r w:rsidRPr="00D3689E">
        <w:rPr>
          <w:rFonts w:asciiTheme="minorEastAsia" w:eastAsiaTheme="minorEastAsia" w:hAnsiTheme="minorEastAsia"/>
          <w:color w:val="000000" w:themeColor="text1"/>
          <w:szCs w:val="21"/>
        </w:rPr>
        <w:t>2012</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12</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28</w:t>
      </w:r>
      <w:r w:rsidRPr="00D3689E">
        <w:rPr>
          <w:rFonts w:asciiTheme="minorEastAsia" w:eastAsiaTheme="minorEastAsia" w:hAnsiTheme="minorEastAsia" w:hint="eastAsia"/>
          <w:color w:val="000000" w:themeColor="text1"/>
          <w:szCs w:val="21"/>
        </w:rPr>
        <w:t>日第十一届全国人民代表大会常务委员会第三十次会议修订，自</w:t>
      </w:r>
      <w:r w:rsidRPr="00D3689E">
        <w:rPr>
          <w:rFonts w:asciiTheme="minorEastAsia" w:eastAsiaTheme="minorEastAsia" w:hAnsiTheme="minorEastAsia"/>
          <w:color w:val="000000" w:themeColor="text1"/>
          <w:szCs w:val="21"/>
        </w:rPr>
        <w:t>2013</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日起实施的《中华人民共和国证券投资基金法》及颁布机关对其不时做出的修订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2</w:t>
      </w:r>
      <w:r w:rsidRPr="00D3689E">
        <w:rPr>
          <w:rFonts w:asciiTheme="minorEastAsia" w:eastAsiaTheme="minorEastAsia" w:hAnsiTheme="minorEastAsia" w:hint="eastAsia"/>
          <w:color w:val="000000" w:themeColor="text1"/>
          <w:szCs w:val="21"/>
        </w:rPr>
        <w:t>、《销售办法》：指中国证监会</w:t>
      </w:r>
      <w:r w:rsidRPr="00D3689E">
        <w:rPr>
          <w:rFonts w:asciiTheme="minorEastAsia" w:eastAsiaTheme="minorEastAsia" w:hAnsiTheme="minorEastAsia"/>
          <w:color w:val="000000" w:themeColor="text1"/>
          <w:szCs w:val="21"/>
        </w:rPr>
        <w:t>2013</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15</w:t>
      </w:r>
      <w:r w:rsidRPr="00D3689E">
        <w:rPr>
          <w:rFonts w:asciiTheme="minorEastAsia" w:eastAsiaTheme="minorEastAsia" w:hAnsiTheme="minorEastAsia" w:hint="eastAsia"/>
          <w:color w:val="000000" w:themeColor="text1"/>
          <w:szCs w:val="21"/>
        </w:rPr>
        <w:t>日颁布、同年</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日实施的《证券投资基金销售管理办法》及颁布机关对其不时做出的修订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3</w:t>
      </w:r>
      <w:r w:rsidRPr="00D3689E">
        <w:rPr>
          <w:rFonts w:asciiTheme="minorEastAsia" w:eastAsiaTheme="minorEastAsia" w:hAnsiTheme="minorEastAsia" w:hint="eastAsia"/>
          <w:color w:val="000000" w:themeColor="text1"/>
          <w:szCs w:val="21"/>
        </w:rPr>
        <w:t>、《信息披露办法》：</w:t>
      </w:r>
      <w:r w:rsidRPr="00D3689E" w:rsidR="00E75260">
        <w:rPr>
          <w:rFonts w:asciiTheme="minorEastAsia" w:eastAsiaTheme="minorEastAsia" w:hAnsiTheme="minorEastAsia" w:hint="eastAsia"/>
          <w:color w:val="000000" w:themeColor="text1"/>
          <w:szCs w:val="21"/>
        </w:rPr>
        <w:t>指中国证监会2019年7月26日颁布、同年9月1日实施的《公开募集证券投资基金信息披露管理办法》及颁布机关对其不时做出的修订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4</w:t>
      </w:r>
      <w:r w:rsidRPr="00D3689E">
        <w:rPr>
          <w:rFonts w:asciiTheme="minorEastAsia" w:eastAsiaTheme="minorEastAsia" w:hAnsiTheme="minorEastAsia" w:hint="eastAsia"/>
          <w:color w:val="000000" w:themeColor="text1"/>
          <w:szCs w:val="21"/>
        </w:rPr>
        <w:t>、《运作办法》：指中国证监会</w:t>
      </w:r>
      <w:r w:rsidRPr="00D3689E">
        <w:rPr>
          <w:rFonts w:asciiTheme="minorEastAsia" w:eastAsiaTheme="minorEastAsia" w:hAnsiTheme="minorEastAsia"/>
          <w:color w:val="000000" w:themeColor="text1"/>
          <w:szCs w:val="21"/>
        </w:rPr>
        <w:t>2014</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日颁布、同年</w:t>
      </w: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日实施的《公开募集证券投资基金运作管理办法》及颁布机关对其不时做出的修订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5</w:t>
      </w:r>
      <w:r w:rsidRPr="00D3689E">
        <w:rPr>
          <w:rFonts w:asciiTheme="minorEastAsia" w:eastAsiaTheme="minorEastAsia" w:hAnsiTheme="minorEastAsia" w:hint="eastAsia"/>
          <w:color w:val="000000" w:themeColor="text1"/>
          <w:szCs w:val="21"/>
        </w:rPr>
        <w:t>、《试行办法》：</w:t>
      </w:r>
      <w:r w:rsidRPr="00D3689E">
        <w:rPr>
          <w:rFonts w:asciiTheme="minorEastAsia" w:eastAsiaTheme="minorEastAsia" w:hAnsiTheme="minorEastAsia"/>
          <w:color w:val="000000" w:themeColor="text1"/>
          <w:szCs w:val="21"/>
        </w:rPr>
        <w:tab/>
      </w:r>
      <w:r w:rsidRPr="00D3689E">
        <w:rPr>
          <w:rFonts w:asciiTheme="minorEastAsia" w:eastAsiaTheme="minorEastAsia" w:hAnsiTheme="minorEastAsia" w:hint="eastAsia"/>
          <w:color w:val="000000" w:themeColor="text1"/>
          <w:szCs w:val="21"/>
        </w:rPr>
        <w:t>指中国证监会于</w:t>
      </w:r>
      <w:r w:rsidRPr="00D3689E">
        <w:rPr>
          <w:rFonts w:asciiTheme="minorEastAsia" w:eastAsiaTheme="minorEastAsia" w:hAnsiTheme="minorEastAsia"/>
          <w:color w:val="000000" w:themeColor="text1"/>
          <w:szCs w:val="21"/>
        </w:rPr>
        <w:t>2007</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18</w:t>
      </w:r>
      <w:r w:rsidRPr="00D3689E">
        <w:rPr>
          <w:rFonts w:asciiTheme="minorEastAsia" w:eastAsiaTheme="minorEastAsia" w:hAnsiTheme="minorEastAsia" w:hint="eastAsia"/>
          <w:color w:val="000000" w:themeColor="text1"/>
          <w:szCs w:val="21"/>
        </w:rPr>
        <w:t>日公布、自同年</w:t>
      </w: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日起实施的《合格境内机构投资者境外证券投资管理试行办法》及颁布机关对其不时做出的修订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6</w:t>
      </w:r>
      <w:r w:rsidRPr="00D3689E">
        <w:rPr>
          <w:rFonts w:asciiTheme="minorEastAsia" w:eastAsiaTheme="minorEastAsia" w:hAnsiTheme="minorEastAsia" w:hint="eastAsia"/>
          <w:color w:val="000000" w:themeColor="text1"/>
          <w:szCs w:val="21"/>
        </w:rPr>
        <w:t>、《通知》：指中国证监会于</w:t>
      </w:r>
      <w:r w:rsidRPr="00D3689E">
        <w:rPr>
          <w:rFonts w:asciiTheme="minorEastAsia" w:eastAsiaTheme="minorEastAsia" w:hAnsiTheme="minorEastAsia"/>
          <w:color w:val="000000" w:themeColor="text1"/>
          <w:szCs w:val="21"/>
        </w:rPr>
        <w:t>2007</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18</w:t>
      </w:r>
      <w:r w:rsidRPr="00D3689E">
        <w:rPr>
          <w:rFonts w:asciiTheme="minorEastAsia" w:eastAsiaTheme="minorEastAsia" w:hAnsiTheme="minorEastAsia" w:hint="eastAsia"/>
          <w:color w:val="000000" w:themeColor="text1"/>
          <w:szCs w:val="21"/>
        </w:rPr>
        <w:t>日公布、自同年</w:t>
      </w: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日起实施的《关于实施</w:t>
      </w:r>
      <w:r w:rsidRPr="00D3689E">
        <w:rPr>
          <w:rFonts w:asciiTheme="minorEastAsia" w:eastAsiaTheme="minorEastAsia" w:hAnsiTheme="minorEastAsia"/>
          <w:color w:val="000000" w:themeColor="text1"/>
          <w:szCs w:val="21"/>
        </w:rPr>
        <w:t>&lt;</w:t>
      </w:r>
      <w:r w:rsidRPr="00D3689E">
        <w:rPr>
          <w:rFonts w:asciiTheme="minorEastAsia" w:eastAsiaTheme="minorEastAsia" w:hAnsiTheme="minorEastAsia" w:hint="eastAsia"/>
          <w:color w:val="000000" w:themeColor="text1"/>
          <w:szCs w:val="21"/>
        </w:rPr>
        <w:t>合格境内机构投资者境外证券投资管理试行办法</w:t>
      </w:r>
      <w:r w:rsidRPr="00D3689E">
        <w:rPr>
          <w:rFonts w:asciiTheme="minorEastAsia" w:eastAsiaTheme="minorEastAsia" w:hAnsiTheme="minorEastAsia"/>
          <w:color w:val="000000" w:themeColor="text1"/>
          <w:szCs w:val="21"/>
        </w:rPr>
        <w:t>&gt;</w:t>
      </w:r>
      <w:r w:rsidRPr="00D3689E">
        <w:rPr>
          <w:rFonts w:asciiTheme="minorEastAsia" w:eastAsiaTheme="minorEastAsia" w:hAnsiTheme="minorEastAsia" w:hint="eastAsia"/>
          <w:color w:val="000000" w:themeColor="text1"/>
          <w:szCs w:val="21"/>
        </w:rPr>
        <w:t>有关问题的通知》及颁布机关对其不时做出的修订</w:t>
      </w:r>
    </w:p>
    <w:p w:rsidR="00640B79"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E75260">
        <w:rPr>
          <w:rFonts w:asciiTheme="minorEastAsia" w:eastAsiaTheme="minorEastAsia" w:hAnsiTheme="minorEastAsia" w:hint="eastAsia"/>
          <w:color w:val="000000" w:themeColor="text1"/>
          <w:szCs w:val="21"/>
        </w:rPr>
        <w:t>7</w:t>
      </w:r>
      <w:r w:rsidRPr="00D3689E">
        <w:rPr>
          <w:rFonts w:asciiTheme="minorEastAsia" w:eastAsiaTheme="minorEastAsia" w:hAnsiTheme="minorEastAsia" w:hint="eastAsia"/>
          <w:color w:val="000000" w:themeColor="text1"/>
          <w:szCs w:val="21"/>
        </w:rPr>
        <w:t>、《管理规定》：指中国证监会2017年8月31日颁布、同年10月1日实施的《公开募集开放式证券投资基金流动性风险管理规定》及颁布机关对其不时做出的修订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w:t>
      </w:r>
      <w:r w:rsidRPr="00D3689E" w:rsidR="00964115">
        <w:rPr>
          <w:rFonts w:asciiTheme="minorEastAsia" w:eastAsiaTheme="minorEastAsia" w:hAnsiTheme="minorEastAsia" w:hint="eastAsia"/>
          <w:color w:val="000000" w:themeColor="text1"/>
          <w:szCs w:val="21"/>
        </w:rPr>
        <w:t>8</w:t>
      </w:r>
      <w:r w:rsidRPr="00D3689E">
        <w:rPr>
          <w:rFonts w:asciiTheme="minorEastAsia" w:eastAsiaTheme="minorEastAsia" w:hAnsiTheme="minorEastAsia" w:hint="eastAsia"/>
          <w:color w:val="000000" w:themeColor="text1"/>
          <w:szCs w:val="21"/>
        </w:rPr>
        <w:t>、《指数基金指引》：指中国证监会2021年1月22日颁布、同年2月1日实施的《公开募集证券投资基金运作指引第3号——指数基金指引》及颁布机关对其不时做出的修订</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964115">
        <w:rPr>
          <w:rFonts w:asciiTheme="minorEastAsia" w:eastAsiaTheme="minorEastAsia" w:hAnsiTheme="minorEastAsia" w:hint="eastAsia"/>
          <w:color w:val="000000" w:themeColor="text1"/>
          <w:szCs w:val="21"/>
        </w:rPr>
        <w:t>9</w:t>
      </w:r>
      <w:r w:rsidRPr="00D3689E">
        <w:rPr>
          <w:rFonts w:asciiTheme="minorEastAsia" w:eastAsiaTheme="minorEastAsia" w:hAnsiTheme="minorEastAsia" w:hint="eastAsia"/>
          <w:color w:val="000000" w:themeColor="text1"/>
          <w:szCs w:val="21"/>
        </w:rPr>
        <w:t>、中国证监会：指中国证券监督管理委员会</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20</w:t>
      </w:r>
      <w:r w:rsidRPr="00D3689E">
        <w:rPr>
          <w:rFonts w:asciiTheme="minorEastAsia" w:eastAsiaTheme="minorEastAsia" w:hAnsiTheme="minorEastAsia" w:hint="eastAsia"/>
          <w:color w:val="000000" w:themeColor="text1"/>
          <w:szCs w:val="21"/>
        </w:rPr>
        <w:t>、银行业监督管理机构：指中国人民银行和</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或中国银行业监督管理委员会</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w:t>
      </w:r>
      <w:r w:rsidRPr="00D3689E" w:rsidR="00964115">
        <w:rPr>
          <w:rFonts w:asciiTheme="minorEastAsia" w:eastAsiaTheme="minorEastAsia" w:hAnsiTheme="minorEastAsia" w:hint="eastAsia"/>
          <w:color w:val="000000" w:themeColor="text1"/>
          <w:szCs w:val="21"/>
        </w:rPr>
        <w:t>1</w:t>
      </w:r>
      <w:r w:rsidRPr="00D3689E">
        <w:rPr>
          <w:rFonts w:asciiTheme="minorEastAsia" w:eastAsiaTheme="minorEastAsia" w:hAnsiTheme="minorEastAsia" w:hint="eastAsia"/>
          <w:color w:val="000000" w:themeColor="text1"/>
          <w:szCs w:val="21"/>
        </w:rPr>
        <w:t>、外管局：指国家外汇管理局</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2</w:t>
      </w:r>
      <w:r w:rsidRPr="00D3689E">
        <w:rPr>
          <w:rFonts w:asciiTheme="minorEastAsia" w:eastAsiaTheme="minorEastAsia" w:hAnsiTheme="minorEastAsia" w:hint="eastAsia"/>
          <w:color w:val="000000" w:themeColor="text1"/>
          <w:szCs w:val="21"/>
        </w:rPr>
        <w:t>、基金合同当事人：指受基金合同约束，根据基金合同享有权利并承担义务的法律主体，包括基金管理人、基金托管人和基金份额持有人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3</w:t>
      </w:r>
      <w:r w:rsidRPr="00D3689E">
        <w:rPr>
          <w:rFonts w:asciiTheme="minorEastAsia" w:eastAsiaTheme="minorEastAsia" w:hAnsiTheme="minorEastAsia" w:hint="eastAsia"/>
          <w:color w:val="000000" w:themeColor="text1"/>
          <w:szCs w:val="21"/>
        </w:rPr>
        <w:t>、个人投资者：指依据有关法律法规规定可投资于证券投资基金的自然人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4</w:t>
      </w:r>
      <w:r w:rsidRPr="00D3689E">
        <w:rPr>
          <w:rFonts w:asciiTheme="minorEastAsia" w:eastAsiaTheme="minorEastAsia" w:hAnsiTheme="minorEastAsia" w:hint="eastAsia"/>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5</w:t>
      </w:r>
      <w:r w:rsidRPr="00D3689E">
        <w:rPr>
          <w:rFonts w:asciiTheme="minorEastAsia" w:eastAsiaTheme="minorEastAsia" w:hAnsiTheme="minorEastAsia" w:hint="eastAsia"/>
          <w:color w:val="000000" w:themeColor="text1"/>
          <w:szCs w:val="21"/>
        </w:rPr>
        <w:t>、合格境外机构投资者：指符合相关法律法规规定可以投资于在中国境内依法募集的证券投资基金的中国境外的机构投资者</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6</w:t>
      </w:r>
      <w:r w:rsidRPr="00D3689E">
        <w:rPr>
          <w:rFonts w:asciiTheme="minorEastAsia" w:eastAsiaTheme="minorEastAsia" w:hAnsiTheme="minorEastAsia" w:hint="eastAsia"/>
          <w:color w:val="000000" w:themeColor="text1"/>
          <w:szCs w:val="21"/>
        </w:rPr>
        <w:t>、投资人、投资者：指个人投资者、机构投资者和合格境外机构投资者以及法律法规或中国证监会允许购买证券投资基金的其他投资人的合称</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964115">
        <w:rPr>
          <w:rFonts w:asciiTheme="minorEastAsia" w:eastAsiaTheme="minorEastAsia" w:hAnsiTheme="minorEastAsia" w:hint="eastAsia"/>
          <w:color w:val="000000" w:themeColor="text1"/>
          <w:szCs w:val="21"/>
        </w:rPr>
        <w:t>7</w:t>
      </w:r>
      <w:r w:rsidRPr="00D3689E">
        <w:rPr>
          <w:rFonts w:asciiTheme="minorEastAsia" w:eastAsiaTheme="minorEastAsia" w:hAnsiTheme="minorEastAsia" w:hint="eastAsia"/>
          <w:color w:val="000000" w:themeColor="text1"/>
          <w:szCs w:val="21"/>
        </w:rPr>
        <w:t>、基金份额持有人：指依基金合同和招募说明书合法取得基金份额的投资人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28、</w:t>
      </w:r>
      <w:r w:rsidRPr="00D3689E">
        <w:rPr>
          <w:rFonts w:asciiTheme="minorEastAsia" w:eastAsiaTheme="minorEastAsia" w:hAnsiTheme="minorEastAsia" w:hint="eastAsia"/>
          <w:color w:val="000000" w:themeColor="text1"/>
          <w:szCs w:val="21"/>
        </w:rPr>
        <w:t>基金销售业务：指基金管理人或销售机构宣传推介基金，发售基金份额，办理基金份额的申购、赎回、转换、非交易过户、转托管及定期定额投资等业务</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29、</w:t>
      </w:r>
      <w:r w:rsidRPr="00D3689E">
        <w:rPr>
          <w:rFonts w:asciiTheme="minorEastAsia" w:eastAsiaTheme="minorEastAsia" w:hAnsiTheme="minorEastAsia" w:hint="eastAsia"/>
          <w:color w:val="000000" w:themeColor="text1"/>
          <w:szCs w:val="21"/>
        </w:rPr>
        <w:t>销售机构：指易方达基金管理有限公司以及符合《销售办法》和中国证监会规定的其他条件，取得基金销售业务资格并与基金管理人签订了基金销售服务协议，办理基金销售业务的机构</w:t>
      </w:r>
    </w:p>
    <w:p w:rsidR="00CF74A4"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30、直销机构：指易方达基金管理有限公司</w:t>
      </w:r>
    </w:p>
    <w:p w:rsidR="00CF74A4"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31、非直销销售机构：指符合《销售办法》和中国证监会规定的其他条件，取得基金销售业务资格并与基金管理人签订了基金销售服务协议，办理基金销售业务的机构</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32、</w:t>
      </w:r>
      <w:r w:rsidRPr="00D3689E">
        <w:rPr>
          <w:rFonts w:asciiTheme="minorEastAsia" w:eastAsiaTheme="minorEastAsia" w:hAnsiTheme="minorEastAsia" w:hint="eastAsia"/>
          <w:color w:val="000000" w:themeColor="text1"/>
          <w:szCs w:val="21"/>
        </w:rPr>
        <w:t>登记结算业务：指基金登记、存管、过户、清算和结算业务，具体内容包括投资人基金账户的建立和管理、基金份额登记、基金销售业务的确认、清算和结算、代理发放红利、建立并保管基金份额持有人名册和办理非交易过户等</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33、</w:t>
      </w:r>
      <w:r w:rsidRPr="00D3689E">
        <w:rPr>
          <w:rFonts w:asciiTheme="minorEastAsia" w:eastAsiaTheme="minorEastAsia" w:hAnsiTheme="minorEastAsia" w:hint="eastAsia"/>
          <w:color w:val="000000" w:themeColor="text1"/>
          <w:szCs w:val="21"/>
        </w:rPr>
        <w:t>登记结算机构：指办理登记业务的机构。本基金基金份额的登记结算机构为易方达基金管理有限公司。基金管理人也可以自行或委托其他机构担任登记结算机构</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34、</w:t>
      </w:r>
      <w:r w:rsidRPr="00D3689E">
        <w:rPr>
          <w:rFonts w:asciiTheme="minorEastAsia" w:eastAsiaTheme="minorEastAsia" w:hAnsiTheme="minorEastAsia" w:hint="eastAsia"/>
          <w:color w:val="000000" w:themeColor="text1"/>
          <w:szCs w:val="21"/>
        </w:rPr>
        <w:t>基金账户：指登记结算机构为投资人开立的、记录其持有的、基金管理人所管理的基金份额余额及其变动情况的账户</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35、</w:t>
      </w:r>
      <w:r w:rsidRPr="00D3689E">
        <w:rPr>
          <w:rFonts w:asciiTheme="minorEastAsia" w:eastAsiaTheme="minorEastAsia" w:hAnsiTheme="minorEastAsia" w:hint="eastAsia"/>
          <w:color w:val="000000" w:themeColor="text1"/>
          <w:szCs w:val="21"/>
        </w:rPr>
        <w:t>基金交易账户：指销售机构为投资人开立的、记录投资人通过该销售机构买卖基金的基金份额变动及结余情况的账户</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36、</w:t>
      </w:r>
      <w:r w:rsidRPr="00D3689E">
        <w:rPr>
          <w:rFonts w:asciiTheme="minorEastAsia" w:eastAsiaTheme="minorEastAsia" w:hAnsiTheme="minorEastAsia" w:hint="eastAsia"/>
          <w:color w:val="000000" w:themeColor="text1"/>
          <w:szCs w:val="21"/>
        </w:rPr>
        <w:t>基金合同生效日：指基金募集达到法律法规规定及基金合同规定的条件，基金管理人向中国证监会办理基金备案手续完毕，并获得中国证监会书面确认的日期</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37、</w:t>
      </w:r>
      <w:r w:rsidRPr="00D3689E">
        <w:rPr>
          <w:rFonts w:asciiTheme="minorEastAsia" w:eastAsiaTheme="minorEastAsia" w:hAnsiTheme="minorEastAsia" w:hint="eastAsia"/>
          <w:color w:val="000000" w:themeColor="text1"/>
          <w:szCs w:val="21"/>
        </w:rPr>
        <w:t>基金合同终止日：指基金合同规定的基金合同终止事由出现后，基金财产清算完毕，清算结果报中国证监会备案并予以公告的日期</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38、</w:t>
      </w:r>
      <w:r w:rsidRPr="00D3689E">
        <w:rPr>
          <w:rFonts w:asciiTheme="minorEastAsia" w:eastAsiaTheme="minorEastAsia" w:hAnsiTheme="minorEastAsia" w:hint="eastAsia"/>
          <w:color w:val="000000" w:themeColor="text1"/>
          <w:szCs w:val="21"/>
        </w:rPr>
        <w:t>基金募集期：指自基金份额发售之日起至发售结束之日止的期间，最长不得超过</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个月</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39、</w:t>
      </w:r>
      <w:r w:rsidRPr="00D3689E">
        <w:rPr>
          <w:rFonts w:asciiTheme="minorEastAsia" w:eastAsiaTheme="minorEastAsia" w:hAnsiTheme="minorEastAsia" w:hint="eastAsia"/>
          <w:color w:val="000000" w:themeColor="text1"/>
          <w:szCs w:val="21"/>
        </w:rPr>
        <w:t>存续期：指基金合同生效至终止之间的不定期期限</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40、</w:t>
      </w:r>
      <w:r w:rsidRPr="00D3689E">
        <w:rPr>
          <w:rFonts w:asciiTheme="minorEastAsia" w:eastAsiaTheme="minorEastAsia" w:hAnsiTheme="minorEastAsia" w:hint="eastAsia"/>
          <w:color w:val="000000" w:themeColor="text1"/>
          <w:szCs w:val="21"/>
        </w:rPr>
        <w:t>工作日：指上海证券交易所、深圳证券交易所的正常交易日</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41、</w:t>
      </w:r>
      <w:r w:rsidRPr="00D3689E">
        <w:rPr>
          <w:rFonts w:asciiTheme="minorEastAsia" w:eastAsiaTheme="minorEastAsia" w:hAnsiTheme="minorEastAsia"/>
          <w:color w:val="000000" w:themeColor="text1"/>
          <w:szCs w:val="21"/>
        </w:rPr>
        <w:t>T</w:t>
      </w:r>
      <w:r w:rsidRPr="00D3689E">
        <w:rPr>
          <w:rFonts w:asciiTheme="minorEastAsia" w:eastAsiaTheme="minorEastAsia" w:hAnsiTheme="minorEastAsia" w:hint="eastAsia"/>
          <w:color w:val="000000" w:themeColor="text1"/>
          <w:szCs w:val="21"/>
        </w:rPr>
        <w:t>日：指销售机构在规定时间受理投资人申购、赎回或其他业务申请的开放日</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42、T+n</w:t>
      </w:r>
      <w:r w:rsidRPr="00D3689E">
        <w:rPr>
          <w:rFonts w:asciiTheme="minorEastAsia" w:eastAsiaTheme="minorEastAsia" w:hAnsiTheme="minorEastAsia" w:hint="eastAsia"/>
          <w:color w:val="000000" w:themeColor="text1"/>
          <w:szCs w:val="21"/>
        </w:rPr>
        <w:t>日：指自</w:t>
      </w:r>
      <w:r w:rsidRPr="00D3689E">
        <w:rPr>
          <w:rFonts w:asciiTheme="minorEastAsia" w:eastAsiaTheme="minorEastAsia" w:hAnsiTheme="minorEastAsia"/>
          <w:color w:val="000000" w:themeColor="text1"/>
          <w:szCs w:val="21"/>
        </w:rPr>
        <w:t>T</w:t>
      </w:r>
      <w:r w:rsidRPr="00D3689E">
        <w:rPr>
          <w:rFonts w:asciiTheme="minorEastAsia" w:eastAsiaTheme="minorEastAsia" w:hAnsiTheme="minorEastAsia" w:hint="eastAsia"/>
          <w:color w:val="000000" w:themeColor="text1"/>
          <w:szCs w:val="21"/>
        </w:rPr>
        <w:t>日起第</w:t>
      </w:r>
      <w:r w:rsidRPr="00D3689E">
        <w:rPr>
          <w:rFonts w:asciiTheme="minorEastAsia" w:eastAsiaTheme="minorEastAsia" w:hAnsiTheme="minorEastAsia"/>
          <w:color w:val="000000" w:themeColor="text1"/>
          <w:szCs w:val="21"/>
        </w:rPr>
        <w:t>n</w:t>
      </w:r>
      <w:r w:rsidRPr="00D3689E">
        <w:rPr>
          <w:rFonts w:asciiTheme="minorEastAsia" w:eastAsiaTheme="minorEastAsia" w:hAnsiTheme="minorEastAsia" w:hint="eastAsia"/>
          <w:color w:val="000000" w:themeColor="text1"/>
          <w:szCs w:val="21"/>
        </w:rPr>
        <w:t>个工作日</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不包含</w:t>
      </w:r>
      <w:r w:rsidRPr="00D3689E">
        <w:rPr>
          <w:rFonts w:asciiTheme="minorEastAsia" w:eastAsiaTheme="minorEastAsia" w:hAnsiTheme="minorEastAsia"/>
          <w:color w:val="000000" w:themeColor="text1"/>
          <w:szCs w:val="21"/>
        </w:rPr>
        <w:t>T</w:t>
      </w:r>
      <w:r w:rsidRPr="00D3689E">
        <w:rPr>
          <w:rFonts w:asciiTheme="minorEastAsia" w:eastAsiaTheme="minorEastAsia" w:hAnsiTheme="minorEastAsia" w:hint="eastAsia"/>
          <w:color w:val="000000" w:themeColor="text1"/>
          <w:szCs w:val="21"/>
        </w:rPr>
        <w:t>日</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n</w:t>
      </w:r>
      <w:r w:rsidRPr="00D3689E">
        <w:rPr>
          <w:rFonts w:asciiTheme="minorEastAsia" w:eastAsiaTheme="minorEastAsia" w:hAnsiTheme="minorEastAsia" w:hint="eastAsia"/>
          <w:color w:val="000000" w:themeColor="text1"/>
          <w:szCs w:val="21"/>
        </w:rPr>
        <w:t>为自然数</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43、</w:t>
      </w:r>
      <w:r w:rsidRPr="00D3689E">
        <w:rPr>
          <w:rFonts w:asciiTheme="minorEastAsia" w:eastAsiaTheme="minorEastAsia" w:hAnsiTheme="minorEastAsia" w:hint="eastAsia"/>
          <w:color w:val="000000" w:themeColor="text1"/>
          <w:szCs w:val="21"/>
        </w:rPr>
        <w:t>开放日：指为投资人办理基金份额申购、赎回或其他业务的工作日</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44、</w:t>
      </w:r>
      <w:r w:rsidRPr="00D3689E">
        <w:rPr>
          <w:rFonts w:asciiTheme="minorEastAsia" w:eastAsiaTheme="minorEastAsia" w:hAnsiTheme="minorEastAsia" w:hint="eastAsia"/>
          <w:color w:val="000000" w:themeColor="text1"/>
          <w:szCs w:val="21"/>
        </w:rPr>
        <w:t>开放时间：指开放日基金接受申购、赎回或其他交易的时间段</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45、</w:t>
      </w:r>
      <w:r w:rsidRPr="00D3689E">
        <w:rPr>
          <w:rFonts w:asciiTheme="minorEastAsia" w:eastAsiaTheme="minorEastAsia" w:hAnsiTheme="minorEastAsia" w:hint="eastAsia"/>
          <w:color w:val="000000" w:themeColor="text1"/>
          <w:szCs w:val="21"/>
        </w:rPr>
        <w:t>《业务规则》：指《易方达基金管理有限公司开放式基金业务规则》，是规范基金管理人所管理的开放式证券投资基金登记方面的业务规则，由基金管理人和投资人共同遵守</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46、</w:t>
      </w:r>
      <w:r w:rsidRPr="00D3689E">
        <w:rPr>
          <w:rFonts w:asciiTheme="minorEastAsia" w:eastAsiaTheme="minorEastAsia" w:hAnsiTheme="minorEastAsia" w:hint="eastAsia"/>
          <w:color w:val="000000" w:themeColor="text1"/>
          <w:szCs w:val="21"/>
        </w:rPr>
        <w:t>基金份额类别：指本基金根据认购、申购、赎回所使用货币的不同，将基金份额分为不同的类别。以人民币计价并进行认购、申购、赎回的份额类别，称为人民币基金份额；以美元计价并进行认购、申购、赎回的份额类别，称为美元基金份额（特指美元现汇</w:t>
      </w:r>
      <w:r w:rsidRPr="00D3689E">
        <w:rPr>
          <w:rFonts w:asciiTheme="minorEastAsia" w:eastAsiaTheme="minorEastAsia" w:hAnsiTheme="minorEastAsia" w:hint="eastAsia"/>
          <w:color w:val="000000" w:themeColor="text1"/>
          <w:szCs w:val="21"/>
        </w:rPr>
        <w:t>基金份额）</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47、</w:t>
      </w:r>
      <w:r w:rsidRPr="00D3689E">
        <w:rPr>
          <w:rFonts w:asciiTheme="minorEastAsia" w:eastAsiaTheme="minorEastAsia" w:hAnsiTheme="minorEastAsia" w:hint="eastAsia"/>
          <w:color w:val="000000" w:themeColor="text1"/>
          <w:szCs w:val="21"/>
        </w:rPr>
        <w:t>认购：指在基金募集期内，投资人申请购买基金份额的行为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48、</w:t>
      </w:r>
      <w:r w:rsidRPr="00D3689E">
        <w:rPr>
          <w:rFonts w:asciiTheme="minorEastAsia" w:eastAsiaTheme="minorEastAsia" w:hAnsiTheme="minorEastAsia" w:hint="eastAsia"/>
          <w:color w:val="000000" w:themeColor="text1"/>
          <w:szCs w:val="21"/>
        </w:rPr>
        <w:t>申购：指基金合同生效后，投资人根据基金合同和招募说明书的规定申请购买基金份额的行为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49、</w:t>
      </w:r>
      <w:r w:rsidRPr="00D3689E">
        <w:rPr>
          <w:rFonts w:asciiTheme="minorEastAsia" w:eastAsiaTheme="minorEastAsia" w:hAnsiTheme="minorEastAsia" w:hint="eastAsia"/>
          <w:color w:val="000000" w:themeColor="text1"/>
          <w:szCs w:val="21"/>
        </w:rPr>
        <w:t>赎回：指基金合同生效后，基金份额持有人按基金合同规定的条件要求将基金份额兑换为现金的行为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基金转换：指基金份额持有人按照基金合同和基金管理人届时有效公告规定的条件，申请将其持有基金管理人管理的、某一基金的基金份额转换为基金管理人管理的其他基金基金份额的行为</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51、转托管：指基金份额持有人在本基金的不同销售机构之间实施的变更所持基金份额销售机构的操作。</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52、</w:t>
      </w:r>
      <w:r w:rsidRPr="00D3689E">
        <w:rPr>
          <w:rFonts w:asciiTheme="minorEastAsia" w:eastAsiaTheme="minorEastAsia" w:hAnsiTheme="minorEastAsia" w:hint="eastAsia"/>
          <w:color w:val="000000" w:themeColor="text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53、</w:t>
      </w:r>
      <w:r w:rsidRPr="00D3689E">
        <w:rPr>
          <w:rFonts w:asciiTheme="minorEastAsia" w:eastAsiaTheme="minorEastAsia" w:hAnsiTheme="minorEastAsia" w:hint="eastAsia"/>
          <w:color w:val="000000" w:themeColor="text1"/>
          <w:szCs w:val="21"/>
        </w:rPr>
        <w:t>巨额赎回：指本基金单个开放日，基金净赎回申请</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赎回申请份额总数加上基金转换中转出申请份额总数后扣除申购申请份额总数及基金转换中转入申请份额总数后的余额</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超过上一开放日基金总份额的</w:t>
      </w:r>
      <w:r w:rsidRPr="00D3689E">
        <w:rPr>
          <w:rFonts w:asciiTheme="minorEastAsia" w:eastAsiaTheme="minorEastAsia" w:hAnsiTheme="minorEastAsia"/>
          <w:color w:val="000000" w:themeColor="text1"/>
          <w:szCs w:val="21"/>
        </w:rPr>
        <w:t>10%</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54、</w:t>
      </w:r>
      <w:r w:rsidRPr="00D3689E">
        <w:rPr>
          <w:rFonts w:asciiTheme="minorEastAsia" w:eastAsiaTheme="minorEastAsia" w:hAnsiTheme="minorEastAsia" w:hint="eastAsia"/>
          <w:color w:val="000000" w:themeColor="text1"/>
          <w:szCs w:val="21"/>
        </w:rPr>
        <w:t>交易型开放式指数证券投资基金：指《上海证券交易所交易型开放式指数基金业务实施细则》定义的“交易型开放式指数基金”，简称</w:t>
      </w:r>
      <w:r w:rsidRPr="00D3689E">
        <w:rPr>
          <w:rFonts w:asciiTheme="minorEastAsia" w:eastAsiaTheme="minorEastAsia" w:hAnsiTheme="minorEastAsia"/>
          <w:color w:val="000000" w:themeColor="text1"/>
          <w:szCs w:val="21"/>
        </w:rPr>
        <w:t>ETF</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55、ETF</w:t>
      </w:r>
      <w:r w:rsidRPr="00D3689E">
        <w:rPr>
          <w:rFonts w:asciiTheme="minorEastAsia" w:eastAsiaTheme="minorEastAsia" w:hAnsiTheme="minorEastAsia" w:hint="eastAsia"/>
          <w:color w:val="000000" w:themeColor="text1"/>
          <w:szCs w:val="21"/>
        </w:rPr>
        <w:t>联接基金：指将其绝大部分基金财产投资于跟踪同一标的指数的</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（以下简称目标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），紧密跟踪标的指数表现，追求跟踪偏离度和跟踪误差最小化，采用开放式运作方式的基金，简称联接基金</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56、</w:t>
      </w:r>
      <w:r w:rsidRPr="00D3689E">
        <w:rPr>
          <w:rFonts w:asciiTheme="minorEastAsia" w:eastAsiaTheme="minorEastAsia" w:hAnsiTheme="minorEastAsia" w:hint="eastAsia"/>
          <w:color w:val="000000" w:themeColor="text1"/>
          <w:szCs w:val="21"/>
        </w:rPr>
        <w:t>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：指易方达中证海外中国互联网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交易型开放式指数证券投资基金</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57、</w:t>
      </w:r>
      <w:r w:rsidRPr="00D3689E">
        <w:rPr>
          <w:rFonts w:asciiTheme="minorEastAsia" w:eastAsiaTheme="minorEastAsia" w:hAnsiTheme="minorEastAsia" w:hint="eastAsia"/>
          <w:color w:val="000000" w:themeColor="text1"/>
          <w:szCs w:val="21"/>
        </w:rPr>
        <w:t>标的指数：指中证海外中国互联网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指数及其未来可能发生的变更</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58、</w:t>
      </w:r>
      <w:r w:rsidRPr="00D3689E">
        <w:rPr>
          <w:rFonts w:asciiTheme="minorEastAsia" w:eastAsiaTheme="minorEastAsia" w:hAnsiTheme="minorEastAsia" w:hint="eastAsia"/>
          <w:color w:val="000000" w:themeColor="text1"/>
          <w:szCs w:val="21"/>
        </w:rPr>
        <w:t>元：如无特指，指人民币元</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59、</w:t>
      </w:r>
      <w:r w:rsidRPr="00D3689E">
        <w:rPr>
          <w:rFonts w:asciiTheme="minorEastAsia" w:eastAsiaTheme="minorEastAsia" w:hAnsiTheme="minorEastAsia" w:hint="eastAsia"/>
          <w:color w:val="000000" w:themeColor="text1"/>
          <w:szCs w:val="21"/>
        </w:rPr>
        <w:t>人民币：指中国法定货币及法定货币单位</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60、</w:t>
      </w:r>
      <w:r w:rsidRPr="00D3689E">
        <w:rPr>
          <w:rFonts w:asciiTheme="minorEastAsia" w:eastAsiaTheme="minorEastAsia" w:hAnsiTheme="minorEastAsia" w:hint="eastAsia"/>
          <w:color w:val="000000" w:themeColor="text1"/>
          <w:szCs w:val="21"/>
        </w:rPr>
        <w:t>美元：指美国法定货币及法定货币单位</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61、基金收益：指基金投资所得红利、股息、债券利息、买卖证券价差、银行存款利息、已实现的其他合法收入及因运用基金财产带来的成本和费用的节约</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62、</w:t>
      </w:r>
      <w:r w:rsidRPr="00D3689E">
        <w:rPr>
          <w:rFonts w:asciiTheme="minorEastAsia" w:eastAsiaTheme="minorEastAsia" w:hAnsiTheme="minorEastAsia" w:hint="eastAsia"/>
          <w:color w:val="000000" w:themeColor="text1"/>
          <w:szCs w:val="21"/>
        </w:rPr>
        <w:t>基金资产总值：指基金拥有的各类有价证券、银行存款本息、基金应收申购款及其他资产的价值总和</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63、</w:t>
      </w:r>
      <w:r w:rsidRPr="00D3689E">
        <w:rPr>
          <w:rFonts w:asciiTheme="minorEastAsia" w:eastAsiaTheme="minorEastAsia" w:hAnsiTheme="minorEastAsia" w:hint="eastAsia"/>
          <w:color w:val="000000" w:themeColor="text1"/>
          <w:szCs w:val="21"/>
        </w:rPr>
        <w:t>基金资产净值：指基金资产总值减去基金负债后的价值</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64、</w:t>
      </w:r>
      <w:r w:rsidRPr="00D3689E">
        <w:rPr>
          <w:rFonts w:asciiTheme="minorEastAsia" w:eastAsiaTheme="minorEastAsia" w:hAnsiTheme="minorEastAsia" w:hint="eastAsia"/>
          <w:color w:val="000000" w:themeColor="text1"/>
          <w:szCs w:val="21"/>
        </w:rPr>
        <w:t>基金份额净值：人民币基金份额的基金份额净值指以计算日基金资产净值除以计算日基金份额余额后得出的单位基金份额的价值，计算日基金份额余额为计算日各币种基金份额余额的合计数；美元基金份额的基金份额净值以人民币基金份额的基金份额净值为基础，按照计算日的估值汇率进行折算</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65、</w:t>
      </w:r>
      <w:r w:rsidRPr="00D3689E">
        <w:rPr>
          <w:rFonts w:asciiTheme="minorEastAsia" w:eastAsiaTheme="minorEastAsia" w:hAnsiTheme="minorEastAsia" w:hint="eastAsia"/>
          <w:color w:val="000000" w:themeColor="text1"/>
          <w:szCs w:val="21"/>
        </w:rPr>
        <w:t>基金资产估值：指计算评估基金资产和负债的价值，以确定基金资产净值和基金份额净值的过程</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66、</w:t>
      </w:r>
      <w:r w:rsidRPr="00D3689E">
        <w:rPr>
          <w:rFonts w:asciiTheme="minorEastAsia" w:eastAsiaTheme="minorEastAsia" w:hAnsiTheme="minorEastAsia" w:hint="eastAsia"/>
          <w:color w:val="000000" w:themeColor="text1"/>
          <w:szCs w:val="21"/>
        </w:rPr>
        <w:t>指定媒介：指</w:t>
      </w:r>
      <w:r w:rsidRPr="00D3689E" w:rsidR="00E75260">
        <w:rPr>
          <w:rFonts w:asciiTheme="minorEastAsia" w:eastAsiaTheme="minorEastAsia" w:hAnsiTheme="minorEastAsia" w:hint="eastAsia"/>
          <w:color w:val="000000" w:themeColor="text1"/>
          <w:szCs w:val="21"/>
        </w:rPr>
        <w:t>指中国证监会指定的用以进行信息披露的全国性报刊及指定互联网网站（包括基金管理人网站、基金托管人网站、中国证监会基金电子披露网站）等媒介</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67、</w:t>
      </w:r>
      <w:r w:rsidRPr="00D3689E">
        <w:rPr>
          <w:rFonts w:asciiTheme="minorEastAsia" w:eastAsiaTheme="minorEastAsia" w:hAnsiTheme="minorEastAsia" w:hint="eastAsia"/>
          <w:color w:val="000000" w:themeColor="text1"/>
          <w:szCs w:val="21"/>
        </w:rPr>
        <w:t>基金份额折算：指基金管理人根据基金运作的需要，在基金资产净值不变的前提下，按照一定比例调整基金份额总额及基金份额净值</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68、</w:t>
      </w:r>
      <w:r w:rsidRPr="00D3689E">
        <w:rPr>
          <w:rFonts w:asciiTheme="minorEastAsia" w:eastAsiaTheme="minorEastAsia" w:hAnsiTheme="minorEastAsia" w:hint="eastAsia"/>
          <w:color w:val="000000" w:themeColor="text1"/>
          <w:szCs w:val="21"/>
        </w:rPr>
        <w:t>境外投资顾问：指符合《试行办法》规定的条件，根据合同为基金管理人境外证券投资提供证券买卖建议或投资组合管理等服务并取得收入的境外金融机构</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69、</w:t>
      </w:r>
      <w:r w:rsidRPr="00D3689E">
        <w:rPr>
          <w:rFonts w:asciiTheme="minorEastAsia" w:eastAsiaTheme="minorEastAsia" w:hAnsiTheme="minorEastAsia" w:hint="eastAsia"/>
          <w:color w:val="000000" w:themeColor="text1"/>
          <w:szCs w:val="21"/>
        </w:rPr>
        <w:t>不可抗力：指合同当事人不能预见、不能避免且不能克服的客观事件</w:t>
      </w:r>
    </w:p>
    <w:p w:rsidR="00CC0C7B"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70、</w:t>
      </w:r>
      <w:r w:rsidRPr="00D3689E">
        <w:rPr>
          <w:rFonts w:asciiTheme="minorEastAsia" w:eastAsiaTheme="minorEastAsia" w:hAnsiTheme="minorEastAsia" w:hint="eastAsia"/>
          <w:color w:val="000000" w:themeColor="text1"/>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275D05" w:rsidRPr="00D3689E" w:rsidP="00E870B4">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71、</w:t>
      </w:r>
      <w:r w:rsidRPr="00D3689E" w:rsidR="00CC0C7B">
        <w:rPr>
          <w:rFonts w:asciiTheme="minorEastAsia" w:eastAsiaTheme="minorEastAsia" w:hAnsiTheme="minorEastAsia" w:hint="eastAsia"/>
          <w:color w:val="000000" w:themeColor="text1"/>
          <w:szCs w:val="21"/>
        </w:rPr>
        <w:t>流动性受限资产：指由于法律法规、监管、合同或操作障碍等原因无法以合理价格予以变现的资产，包括但不限于到期日在</w:t>
      </w:r>
      <w:r w:rsidRPr="00D3689E" w:rsidR="00CC0C7B">
        <w:rPr>
          <w:rFonts w:asciiTheme="minorEastAsia" w:eastAsiaTheme="minorEastAsia" w:hAnsiTheme="minorEastAsia"/>
          <w:color w:val="000000" w:themeColor="text1"/>
          <w:szCs w:val="21"/>
        </w:rPr>
        <w:t>10</w:t>
      </w:r>
      <w:r w:rsidRPr="00D3689E" w:rsidR="00CC0C7B">
        <w:rPr>
          <w:rFonts w:asciiTheme="minorEastAsia" w:eastAsiaTheme="minorEastAsia" w:hAnsiTheme="minorEastAsia" w:hint="eastAsia"/>
          <w:color w:val="000000" w:themeColor="text1"/>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ED481E" w:rsidRPr="00D3689E" w:rsidP="00ED481E">
      <w:pPr>
        <w:spacing w:line="360" w:lineRule="auto"/>
        <w:ind w:firstLine="480"/>
        <w:rPr>
          <w:rFonts w:asciiTheme="minorEastAsia" w:eastAsiaTheme="minorEastAsia" w:hAnsiTheme="minorEastAsia"/>
          <w:color w:val="000000" w:themeColor="text1"/>
          <w:szCs w:val="21"/>
        </w:rPr>
      </w:pPr>
    </w:p>
    <w:p w:rsidR="00ED481E" w:rsidRPr="00D3689E" w:rsidP="00ED481E">
      <w:pPr>
        <w:spacing w:line="360" w:lineRule="auto"/>
        <w:ind w:firstLine="480"/>
        <w:rPr>
          <w:rFonts w:asciiTheme="minorEastAsia" w:eastAsiaTheme="minorEastAsia" w:hAnsiTheme="minorEastAsia"/>
          <w:color w:val="000000" w:themeColor="text1"/>
          <w:szCs w:val="21"/>
        </w:rPr>
      </w:pPr>
    </w:p>
    <w:p w:rsidR="0064594E" w:rsidRPr="00D3689E" w:rsidP="00ED481E">
      <w:pPr>
        <w:spacing w:line="360" w:lineRule="auto"/>
        <w:ind w:firstLine="480"/>
        <w:rPr>
          <w:rFonts w:asciiTheme="minorEastAsia" w:eastAsiaTheme="minorEastAsia" w:hAnsiTheme="minorEastAsia"/>
          <w:b/>
          <w:color w:val="000000" w:themeColor="text1"/>
        </w:rPr>
        <w:sectPr w:rsidSect="00D95573">
          <w:footerReference w:type="default" r:id="rId16"/>
          <w:pgSz w:w="11906" w:h="16838" w:code="9"/>
          <w:pgMar w:top="1440" w:right="1800" w:bottom="1440" w:left="1800" w:header="851" w:footer="992" w:gutter="0"/>
          <w:pgNumType w:start="1"/>
          <w:cols w:space="425"/>
          <w:docGrid w:type="linesAndChars" w:linePitch="312"/>
        </w:sectPr>
      </w:pPr>
    </w:p>
    <w:p w:rsidR="0064594E" w:rsidRPr="00D3689E" w:rsidP="00A8438B">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5" w:name="_Toc169103833"/>
      <w:r w:rsidRPr="00D3689E">
        <w:rPr>
          <w:rFonts w:asciiTheme="minorEastAsia" w:eastAsiaTheme="minorEastAsia" w:hAnsiTheme="minorEastAsia" w:hint="eastAsia"/>
          <w:color w:val="000000" w:themeColor="text1"/>
        </w:rPr>
        <w:t>风险揭示</w:t>
      </w:r>
      <w:bookmarkEnd w:id="5"/>
    </w:p>
    <w:p w:rsidR="00C90B7B" w:rsidRPr="00D3689E" w:rsidP="00C345E5">
      <w:pPr>
        <w:autoSpaceDE w:val="0"/>
        <w:autoSpaceDN w:val="0"/>
        <w:spacing w:line="360" w:lineRule="auto"/>
        <w:ind w:firstLine="420" w:firstLineChars="200"/>
        <w:rPr>
          <w:rFonts w:asciiTheme="minorEastAsia" w:eastAsiaTheme="minorEastAsia" w:hAnsiTheme="minorEastAsia"/>
          <w:color w:val="000000" w:themeColor="text1"/>
          <w:szCs w:val="21"/>
        </w:rPr>
      </w:pPr>
      <w:bookmarkStart w:id="6" w:name="_Toc296440057"/>
      <w:bookmarkStart w:id="7" w:name="_Toc296526871"/>
      <w:bookmarkStart w:id="8" w:name="_Toc306614138"/>
    </w:p>
    <w:p w:rsidR="002B2930" w:rsidRPr="00D3689E" w:rsidP="002B2930">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本基金的投资运作中可能出现的风险包括本基金特有风险、投资风险、管理风险、流动性风险、本基金法律文件中涉及基金风险特征的表述与销售机构对基金的风险评级可能不一致的风险、税收风险及</w:t>
      </w:r>
      <w:r w:rsidRPr="00D3689E" w:rsidR="005A7F86">
        <w:rPr>
          <w:rFonts w:asciiTheme="minorEastAsia" w:eastAsiaTheme="minorEastAsia" w:hAnsiTheme="minorEastAsia" w:hint="eastAsia"/>
          <w:color w:val="000000" w:themeColor="text1"/>
          <w:szCs w:val="21"/>
        </w:rPr>
        <w:t>其他风险</w:t>
      </w:r>
      <w:r w:rsidRPr="00D3689E">
        <w:rPr>
          <w:rFonts w:asciiTheme="minorEastAsia" w:eastAsiaTheme="minorEastAsia" w:hAnsiTheme="minorEastAsia" w:hint="eastAsia"/>
          <w:color w:val="000000" w:themeColor="text1"/>
          <w:szCs w:val="21"/>
        </w:rPr>
        <w:t>等。</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一、本基金的特有风险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（一）投资境外市场的特有风险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本基金主要通过投资于目标ETF而投资于境外市场，也可直接投资于境外市场的标的指数成份股、备选成份股。投资于本基金所面临的境外市场的特有风险包括：</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1、境外地区市场风险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境外投资受到相应境外地区宏观经济运行情况、货币政策、财政政策、产业政策以及交易规则、结算、托管以及其他运作风险等多种因素的影响，上述因素的波动和变化可能会使基金资产面临潜在风险。此外，境外地区投资的成本及市场波动性也可能高于境内市场，存在一定的市场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2、汇率风险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在境外市场主要投资于香港市场以外币计价的金融工具，外币相对于人民币的汇率变化可能会影响本基金的基金资产价值，从而导致基金资产面临潜在风险。此外，由于汇率取自汇率发布机构，如果汇率发布机构出现汇率发布时间延迟或是汇率数据错误等情况，可能会对基金运作或者投资者的决策产生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3、法律和政治风险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由于境外地区适用不同法律法规的原因，可能导致本基金的某些投资行为在境外地区受到限制或合同不能正常执行，从而使得基金资产面临损失的可能性。</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所投资的境外地区因政治局势变化（如政策变化、罢工、恐怖袭击、战争、暴动等）或法令的变动，可能导致市场的较大波动，从而给本基金的投资收益造成直接或间接的影响。此外，基金所投资的境外地区可能会不时采取某些管制措施（如资本或外汇管制、对公司或行业的国有化、没收资产以及征收高额税收等），从而对基金投资及基金资产带来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4、税务风险</w:t>
      </w:r>
    </w:p>
    <w:p w:rsidR="002B2930" w:rsidRPr="00D3689E" w:rsidP="002B2930">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由于境外地区在税务方面的法律法规存在一定差异，本基金所投资的境外地区可能会要求基金就股息、利息、资本利得等收益向当地税务机构缴纳税金。此外，境外地区的税收规定可能发生变化，或者实施具有追溯力的修订，从而导致基金向该地区缴纳在基金销售、估值或者出售投资当日并未预计的额外税项。上述事项均可能会使基金收益受到一定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5、会计风险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由于境外地区对上市公司日常经营活动的会计处理、财务报表披露等会计核算标准的规定存在一定差异，可能给本基金投资带来潜在风险。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6、引入境外托管人的相关风险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由境外托管人提供境外资产托管服务，存在因适用法律不同导致基金资产损失的风险。由于境外所适用法律法规与境内法律法规有所不同的原因，可能导致本基金的某些投资及运作行为在境外受到限制或合同不能正常执行，从而使得基金资产面临损失风险。此外，托管资产中的现金可能依据境外托管人注册地的法律法规，归入其清算财产，由此可能造成基金资产的损失。</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（二）指数化投资的风险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本基金资产中投资于目标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的比例不低于基金资产净值的</w:t>
      </w: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业绩表现将会随着标的指数的波动而波动；同时本基金在多数情况下将维持较高的目标E</w:t>
      </w:r>
      <w:r w:rsidRPr="00D3689E">
        <w:rPr>
          <w:rFonts w:asciiTheme="minorEastAsia" w:eastAsiaTheme="minorEastAsia" w:hAnsiTheme="minorEastAsia"/>
          <w:color w:val="000000" w:themeColor="text1"/>
          <w:szCs w:val="21"/>
        </w:rPr>
        <w:t>TF</w:t>
      </w:r>
      <w:r w:rsidRPr="00D3689E">
        <w:rPr>
          <w:rFonts w:asciiTheme="minorEastAsia" w:eastAsiaTheme="minorEastAsia" w:hAnsiTheme="minorEastAsia" w:hint="eastAsia"/>
          <w:color w:val="000000" w:themeColor="text1"/>
          <w:szCs w:val="21"/>
        </w:rPr>
        <w:t>仓位，在股票市场下跌的过程中，可能面临基金净值与标的指数同步下跌的风险。投资于本基金的特有风险包括：</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1、标的指数的风险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（1）标的指数回报与股票市场平均回报偏离的风险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标的指数并不能代表整个股票市场。标的指数成份股的平均回报率与整个股票市场的平均回报率可能存在偏离。</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（2）标的指数成份股主要集中于互联网行业的集中度风险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本基金标的指数成份股主要集中于互联网行业，须承受因政府政策变化、行业景气度变化等影响互联网行业的因素所带来的行业风险。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（3）标的指数波动的风险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目标ETF标的指数成份股及备选成份股的价格可能受到政治因素、经济因素、上市公司经营状况、投资者心理和交易制度等各种因素的影响而波动，导致指数波动。由于本基金</w:t>
      </w:r>
      <w:r w:rsidRPr="00D3689E">
        <w:rPr>
          <w:rFonts w:asciiTheme="minorEastAsia" w:eastAsiaTheme="minorEastAsia" w:hAnsiTheme="minorEastAsia" w:hint="eastAsia"/>
          <w:color w:val="000000" w:themeColor="text1"/>
          <w:szCs w:val="21"/>
        </w:rPr>
        <w:t>主要投资于目标ETF，基金收益水平会因为目标ETF标的指数的波动发生变化，从而产生风险。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（4）部分成份股权重较大的风险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本基金标的指数目前存在部分成份股权重较大、集中度较高的情况，可能使基金面临较大波动风险或流动性风险。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（5）标的指数可回溯历史数据时间较短的风险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本基金标的指数可回溯历史数据的时间较短，无法代表过往完整的业绩表现，也不预示其未来走势。</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（6）标的指数编制方案带来的风险</w:t>
      </w:r>
    </w:p>
    <w:p w:rsidR="00ED7C56" w:rsidRPr="00D3689E" w:rsidP="00ED7C56">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标的指数由指数编制机构发布并管理和维护，指数编制机构有权停止编制标的指数、变更标的指数编制方案。而指数编制方案基于其样本空间仅能选取部分证券予以构建，其表征性与可投资性可能存在不成熟或不完备之处。</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当指数编制机构变更标的指数编制方案，导致指数成份股样本与权重发生调整，基金管理人需调整目标</w:t>
      </w:r>
      <w:r w:rsidRPr="00D3689E">
        <w:rPr>
          <w:rFonts w:asciiTheme="minorEastAsia" w:eastAsiaTheme="minorEastAsia" w:hAnsiTheme="minorEastAsia"/>
          <w:color w:val="000000" w:themeColor="text1"/>
          <w:kern w:val="0"/>
          <w:szCs w:val="21"/>
        </w:rPr>
        <w:t>ETF和本基金投资组合，从而可能增加基金运作难度、跟踪误差和组合调整的风险与成本，并可能导致基金风险收益特</w:t>
      </w:r>
      <w:r w:rsidRPr="00D3689E">
        <w:rPr>
          <w:rFonts w:asciiTheme="minorEastAsia" w:eastAsiaTheme="minorEastAsia" w:hAnsiTheme="minorEastAsia" w:hint="eastAsia"/>
          <w:color w:val="000000" w:themeColor="text1"/>
          <w:kern w:val="0"/>
          <w:szCs w:val="21"/>
        </w:rPr>
        <w:t>征发生较大变化。此外，当市场环境发生变化，但指数编制机构未能及时对指数编制方案进行调整时，可能导致标的指数的表现与总体市场表现存在差异，从而影响投资收益。投资人需关注并承担上述风险，谨慎作出投资决策。</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（7）标的指数变更的风险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如出现变更标的指数的情形，本基金将变更标的指数。基于原标的指数的投资政策将会改变，投资组合将随之调整，基金的收益风险特征将与新的标的指数保持一致，投资者须承担此项调整带来的风险。此外，如果中证指数有限公司提供的指数数据出现差错，基金管理人依据该数据进行投资，可能会对基金的投资运作产生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2、基金收益率与业绩比较基准收益率偏离的风险，主要影响因素包括：</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（1）目标ETF对指数的跟踪误差：本基金主要通过投资于目标ETF实现对业绩比较基准的紧密跟踪，目标ETF对指数的跟踪误差会影响本基金对业绩比较基准的跟踪误差；</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（2）本基金发生申购赎回、管理费和托管费收取等其他导致基金跟踪误差的情形。</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3、跟踪误差控制未达约定目标的风险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本基金力争净值增长率与业绩比较基准之间的日均跟踪偏离度不超过</w:t>
      </w:r>
      <w:r w:rsidRPr="00D3689E">
        <w:rPr>
          <w:rFonts w:asciiTheme="minorEastAsia" w:eastAsiaTheme="minorEastAsia" w:hAnsiTheme="minorEastAsia"/>
          <w:color w:val="000000" w:themeColor="text1"/>
          <w:szCs w:val="21"/>
        </w:rPr>
        <w:t>0.35%</w:t>
      </w:r>
      <w:r w:rsidRPr="00D3689E">
        <w:rPr>
          <w:rFonts w:asciiTheme="minorEastAsia" w:eastAsiaTheme="minorEastAsia" w:hAnsiTheme="minorEastAsia" w:hint="eastAsia"/>
          <w:color w:val="000000" w:themeColor="text1"/>
          <w:szCs w:val="21"/>
        </w:rPr>
        <w:t>，年跟踪误</w:t>
      </w:r>
      <w:r w:rsidRPr="00D3689E">
        <w:rPr>
          <w:rFonts w:asciiTheme="minorEastAsia" w:eastAsiaTheme="minorEastAsia" w:hAnsiTheme="minorEastAsia" w:hint="eastAsia"/>
          <w:color w:val="000000" w:themeColor="text1"/>
          <w:szCs w:val="21"/>
        </w:rPr>
        <w:t>差不超过</w:t>
      </w: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，但因标的指数编制规则调整或其他因素可能导致跟踪误差超过上述范围，本基金净值表现与指数价格走势可能发生较大偏离。</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4、标的指数值计算出错的风险</w:t>
      </w:r>
    </w:p>
    <w:p w:rsidR="004967DB" w:rsidRPr="00D3689E" w:rsidP="004967DB">
      <w:pPr>
        <w:spacing w:line="360" w:lineRule="auto"/>
        <w:ind w:firstLine="420" w:firstLineChars="200"/>
        <w:contextualSpacing/>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尽管指数公司将采取一切必要措施以确保指数的准确性，但不对此作任何保证，亦不因指数的任何错误对任何人负责。因此，如果标的指数值出现错误，投资人参考指数值进行投资决策，则可能导致损失。</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5、指数编制机构停止服务的风险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基金合同终止。投资人将面临更换基金标的指数、转换运作方式、与其他基金合并、或者终止基金合同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6、成份股停牌的风险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标的指数成份股可能因各种原因临时或长期停牌，发生成份股停牌时可能面临如下风险：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（1）目标ETF可能因无法及时调整投资组合而导致本基金跟踪偏离度和跟踪误差扩大。</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在极端情况下，标的指数成份股可能大面积停牌，目标ETF可能无法及时卖出成份股以获取足额的符合要求的赎回对价，由此基金管理人可能在申购赎回清单中设置较低的赎回份额上限或者采取暂停赎回的措施，本基金将面临无法赎回全部或部分ETF份额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（三）联接基金的特殊风险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1、由于本基金在投资限制、运作机制和投资策略等方面与目标ETF不同，因此本基金可能具有与目标ETF不同的风险收益特征及净值增长率。</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2、本基金属于联接基金，主要投资于目标ETF，因此目标ETF面临的风险可能直接或间</w:t>
      </w:r>
      <w:r w:rsidRPr="00D3689E">
        <w:rPr>
          <w:rFonts w:asciiTheme="minorEastAsia" w:eastAsiaTheme="minorEastAsia" w:hAnsiTheme="minorEastAsia" w:hint="eastAsia"/>
          <w:color w:val="000000" w:themeColor="text1"/>
          <w:szCs w:val="21"/>
        </w:rPr>
        <w:t>接成为本基金的风险，投资者应知悉并关注目标ETF招募说明书等文件中的风险揭示内容。</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由目标ETF的联接基金变更为直接投资目标ETF标的指数成份股的指数基金的风险。当目标ETF发生基金合同约定的特殊情况时，本基金可能由目标ETF的联接基金变更为直接投资目标ETF标的指数成份股及备选成份股的指数基金，投资者届时须承担变更基金类型所带来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（四）通过内地与香港股票市场交易互联互通机制投资于港股通股票的风险</w:t>
      </w:r>
    </w:p>
    <w:p w:rsidR="00384C3E" w:rsidRPr="00D3689E" w:rsidP="00384C3E">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本基金主要通过投资于目标ETF跟踪中证海外中国互联网50指数，同时也可通过港股通机制投资于香港股票市场。因此，本基金将面临以下特有风险，包括但不限于：</w:t>
      </w:r>
    </w:p>
    <w:p w:rsidR="004967DB" w:rsidRPr="00D3689E" w:rsidP="00384C3E">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1、投资于香港证券市场的特有风险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股价较大波动的风险。港股股票可能出现因公司基本面变化、第三方研究分析报告的观点、异常交易情形等原因引起股价较大波动。此外，港股市场实行T+0回转交易机制，且个股涨跌幅不设限制，加之香港市场结构性产品和衍生品种类相对丰富以及做空机制的存在，港股股价受到意外事件影响可能表现出更为剧烈的股价波动，由此增加本基金净值的波动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（3）中小市值公司投资风险。中小市值公司存在业绩不稳定、股价波动性较大、市场流动性较差等风险，若本基金投资中小市值股票，本基金的投资风险可能增加。</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股份数量、股票面值大幅变化的风险。部分港股上市公司基本面变化大，股票价格低，可能存在大比例折价供股或配股、频繁分拆合并股份的行为，投资者持有的股份数量、股票面值可能发生大幅变化，由此可能增加本基金的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（5）停牌风险。与内地市场相比，香港市场股票停牌制度存在一定差异，港股股票可能出现长时间停牌现象，由此可能增加本基金的投资风险。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直接退市风险。与内地市场相比，香港市场股票交易没有退市风险警示、退市整理等安排，相关股票存在直接退市的风险。港股股票一旦退市，本基金将面临无法继续通过港股通买卖相关股票的风险。此外，港股通股票退市后，中国证券登记结算有限责任公司通过香港结算继续为本基金提供的退市股票名义持有人服务可能会受限。以上情况可能增加本基金的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交收制度带来的风险。香港证券市场与内地证券市场在证券资金的交收期安排上存在差异，香港证券市场的交收期为T+2日，卖出资金回到本基金人民币账户的周期比内地证券市场要长，此外港股的交收可能因香港出现台风或黑色暴雨等发生延迟交易。因此，本基金可能面临卖出港股后资金不能及时到账，而造成支付赎回款日期比正常情况延后而带来流动性风险。</w:t>
      </w:r>
    </w:p>
    <w:p w:rsidR="004967DB" w:rsidRPr="00D3689E" w:rsidP="0005638A">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2、通过内地与香港股票市场交易互联互通机制投资的特有风险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港股通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（2）港股通股票范围受限及动态调整的风险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本基金可以通过港股通买卖的股票存在一定的范围限制，且港股通股票名单会动态调整。对于被调出的港股通股票，自调整之日起，本基金将不得再行买入。以上情形可能对本基金带来不利影响。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净值波动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交易失败及交易中断的风险。在内地与香港股票市场交易互联互通机制下，港股通交易存在每日额度限制，本基金可能面临每日额度不足而交易失败的风险。若香港联交所与内地交易所的证券交易服务公司之间的报盘系统或者通信链路出现故障，可能导致15分钟以上不能申报和撤销申报的交易中断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无法进行交易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（6）汇率风险。在内地与香港股票市场交易互联互通机制下，港股的买卖是以港币报价、人民币支付，本基金承担港币对人民币汇率波动的风险；同时，由于在交易时间内提</w:t>
      </w:r>
      <w:r w:rsidRPr="00D3689E">
        <w:rPr>
          <w:rFonts w:asciiTheme="minorEastAsia" w:eastAsiaTheme="minorEastAsia" w:hAnsiTheme="minorEastAsia" w:hint="eastAsia"/>
          <w:color w:val="000000" w:themeColor="text1"/>
          <w:szCs w:val="21"/>
        </w:rPr>
        <w:t>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8）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利益得不到最大化甚至受损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9）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本基金的证券划付指令有误的导致本基金权益受损；其他因结算参与人未遵守相关业务规则导致本基金利益受到损害的情况。</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（五）本基金投资特定品种或采用特定投资方式的特有风险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本基金可投资于期货与期权，以及外汇远期合约等汇率衍生品。尽管本基金将谨慎地使用衍生品进行投资，但衍生品仍可能给基金带来额外风险，包括杠杆风险、交易对手的信用风险、衍生品价格与其基础品种的相关度降低带来的风险等，由此可能会增加基金净值的波动幅度。在本基金中，衍生品将仅用于避险和进行组合的有效管理。</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本基金可参与证券借贷/正回购/逆回购。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w:t>
      </w:r>
      <w:r w:rsidRPr="00D3689E">
        <w:rPr>
          <w:rFonts w:asciiTheme="minorEastAsia" w:eastAsiaTheme="minorEastAsia" w:hAnsiTheme="minorEastAsia" w:hint="eastAsia"/>
          <w:color w:val="000000" w:themeColor="text1"/>
          <w:szCs w:val="21"/>
        </w:rPr>
        <w:t>金资产价值造成不利影响。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金融模型风险：基金管理人有时会使用金融模型来进行资产定价、趋势判断、风险评估等，辅助其做出投资决策。但是金融模型通常是建立在一系列的学术假设之上的，投资实践和学术假设之间存在一定的差距；而且金融模型结论的准确性往往受制于模型使用的数据的精确性。因此，基金管理人在使用金融模型时，面临出现错误结论的可能性，形成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二、投资风险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市场风险：本基金投资于海外市场，面临海外市场波动带来的风险。影响金融市场波动的因素比较复杂，包括经济发展、政策变化、资金供求、公司盈利的变化、利率汇率波动等，都将影响基金净值的升跌。此外，基金主要投资的海外证券市场可能对每日证券交易价格并无涨跌幅上下限的规定，因此对于无涨跌幅上下限的规定证券市场的证券，每日涨跌幅空间相对较大。这一因素可能会带来市场的急剧下跌，从而带来投资风险的增加。</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2、利率风险：金融市场利率的波动会导致证券市场价格和收益率的变动。利率直接影响着债券的价格和收益率，影响着企业的融资成本和利润。基金投资于债券和股票，其收益水平可能会受到利率变化的影响。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3、信用风险：信用风险是指基金在交易过程发生交收违约，或者基金所投资债券之发行人出现违约、拒绝支付到期本息，都可能导致基金资产损失和收益变化。</w:t>
      </w:r>
    </w:p>
    <w:p w:rsidR="004967DB" w:rsidRPr="00D3689E" w:rsidP="004967DB">
      <w:pPr>
        <w:widowControl/>
        <w:spacing w:line="336"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三、管理风险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基金托管人等相关当事人的业务发展状况、人员配备、管理经验与内部控制等因素可能影响基金收益水平。因业务扩张过快、行业内过度竞争、对主要业务人员过度依赖等可能会产生影响投资者利益的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相关当事人在业务各环节操作过程中，可能因内部控制存在缺陷或者人为因素造成操作失误或违反操作规程等引致风险，例如，申购赎回清单编制错误、越权违规交易、欺诈行为及交易错误等风险。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本基金开通了外币申购和赎回业务，在方便投资者的同时，也增加了相关业务处理的复杂性，从而带来相应的风险，增加投资者的支出和基金运作成本。</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四、流动性风险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1、流动性风险评估</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本基金是ETF联接基金，主要投资于具有良好流动性的金融工具，包括目标ETF，已与中国证监会签署双边监管合作谅解备忘录的国家或地区证券监管机构登记注册的跟踪同一</w:t>
      </w:r>
      <w:r w:rsidRPr="00D3689E">
        <w:rPr>
          <w:rFonts w:asciiTheme="minorEastAsia" w:eastAsiaTheme="minorEastAsia" w:hAnsiTheme="minorEastAsia" w:hint="eastAsia"/>
          <w:color w:val="000000" w:themeColor="text1"/>
          <w:szCs w:val="21"/>
        </w:rPr>
        <w:t>标的指数的公募基金，已与中国证监会签署双边监管合作谅解备忘录的国家或地区证券市场挂牌交易的标的指数成份股及备选成份股，经中国证监会认可的境外交易所上市交易的跟踪标的指数的股指期货等金融衍生品。此外，为更好地实现投资目标，本基金可少量投资于已与中国证监会签署双边监管合作谅解备忘录的国家或地区证券市场挂牌交易的非成份股，境内市场的固定收益类证券、银行存款、货币市场工具以及法律法规或中国证监会允许基金投资的其他金融工具。</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般情况下，上述资产市场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卖或申赎目标ETF、其他公募基金；二是为应付投资者的赎回，基金被迫以不适当的价格卖出或赎回目标ETF、其他公募基金，或卖出股票、债券、其他资产。两者均可能使基金净值受到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2、巨额赎回情形下的流动性风险管理措施</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基金份额的申购、赎回”“巨额赎回的认定及处理方式。”</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发生上述情形时，投资人面临无法全部赎回或无法及时获得赎回资金的风险。在本基金暂停或延期办理投资者赎回申请的情况下，投资者未能赎回的基金份额还将面临净值波动的风险。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3、除巨额赎回情形外实施备用的流动性风险管理工具的情形、程序及对投资者的潜在影响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除巨额赎回情形外，本基金备用流动性风险管理工具包括但不限于暂停接受赎回申请、延缓支付赎回款项、收取短期赎回费、暂停基金估值、摆动定价以及证监会认定的其他措施。</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暂停接受赎回申请、延缓支付赎回款项等工具的情形、程序见招募说明书“基金份额的申购、赎回”之“</w:t>
      </w:r>
      <w:r w:rsidRPr="00D3689E" w:rsidR="00ED7C56">
        <w:rPr>
          <w:rFonts w:asciiTheme="minorEastAsia" w:eastAsiaTheme="minorEastAsia" w:hAnsiTheme="minorEastAsia" w:hint="eastAsia"/>
          <w:color w:val="000000" w:themeColor="text1"/>
          <w:szCs w:val="21"/>
        </w:rPr>
        <w:t>暂停赎回或者延缓支付赎回款项的情形及处理方式</w:t>
      </w:r>
      <w:r w:rsidRPr="00D3689E">
        <w:rPr>
          <w:rFonts w:asciiTheme="minorEastAsia" w:eastAsiaTheme="minorEastAsia" w:hAnsiTheme="minorEastAsia" w:hint="eastAsia"/>
          <w:color w:val="000000" w:themeColor="text1"/>
          <w:szCs w:val="21"/>
        </w:rPr>
        <w:t>”的相关规定。若</w:t>
      </w:r>
      <w:r w:rsidRPr="00D3689E">
        <w:rPr>
          <w:rFonts w:asciiTheme="minorEastAsia" w:eastAsiaTheme="minorEastAsia" w:hAnsiTheme="minorEastAsia" w:hint="eastAsia"/>
          <w:color w:val="000000" w:themeColor="text1"/>
          <w:szCs w:val="21"/>
        </w:rPr>
        <w:t>本基金暂停赎回申请，投资者在暂停赎回期间将无法赎回其持有的基金份额。若本基金延缓支付赎回款项，赎回款支付时间将后延，可能对投资者的资金安排带来不利影响。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暂停基金估值的情形、程序见招募说明书“基金资产的估值”之“暂停估值的情形”的相关规定。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采用摆动定价机制的情形、程序见招募说明书“基金资产的估值”之“估值方法”的相关规定。若本基金采取摆动定价机制，投资者申购基金获得的申购份额及赎回基金获得的赎回金额均可能受到不利影响。</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五、本基金法律文件中涉及基金风险特征的表述与销售机构对基金的风险评级可能不一致的风险</w:t>
      </w:r>
    </w:p>
    <w:p w:rsidR="004967DB" w:rsidRPr="00D3689E" w:rsidP="004967DB">
      <w:pPr>
        <w:autoSpaceDE w:val="0"/>
        <w:autoSpaceDN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六、税收风险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在本基金存续期间，税收征管部门可能会对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w:t>
      </w:r>
      <w:r w:rsidRPr="00D3689E">
        <w:rPr>
          <w:rFonts w:asciiTheme="minorEastAsia" w:eastAsiaTheme="minorEastAsia" w:hAnsiTheme="minorEastAsia" w:hint="eastAsia"/>
          <w:color w:val="000000" w:themeColor="text1"/>
          <w:kern w:val="0"/>
          <w:szCs w:val="21"/>
        </w:rPr>
        <w:t>收政策未明确事项，本基金主要参照行业协会建议方案进行处理，可能会与税收征管认定存在差异，从而产生税费补缴及滞纳金，该等税费及滞纳金将由基金财产承担。</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七、其他风险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1、不可抗力</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战争、自然灾害等不可抗力可能导致基金财产有遭受损失的风险。基金管理人、基金托管人、证券交易所、登记结算机构和销售机构等可能因不可抗力无法正常工作，从而影响基金的各项业务按正常时限完成，使投资人和基金份额持有人无法及时查询权益、进行日常交易以致利益受损。</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2、技术风险</w:t>
      </w:r>
    </w:p>
    <w:p w:rsidR="004967DB" w:rsidRPr="00D3689E" w:rsidP="004967DB">
      <w:pPr>
        <w:widowControl/>
        <w:spacing w:line="336"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在本基金的投资、交易、服务与后台运作等业务过程中，技术系统的故障或差错可能导致投资者的利益受到影响。这种技术风险可能来自基金管理人、基金托管人、证券交易所、登记结算机构及销售机构等。</w:t>
      </w:r>
    </w:p>
    <w:p w:rsidR="00CA3581" w:rsidRPr="00D3689E" w:rsidP="00CA3581">
      <w:pPr>
        <w:spacing w:line="360" w:lineRule="auto"/>
        <w:ind w:firstLine="480" w:firstLineChars="200"/>
        <w:rPr>
          <w:rFonts w:asciiTheme="minorEastAsia" w:eastAsiaTheme="minorEastAsia" w:hAnsiTheme="minorEastAsia"/>
          <w:color w:val="000000" w:themeColor="text1"/>
          <w:sz w:val="24"/>
        </w:rPr>
      </w:pPr>
      <w:bookmarkStart w:id="9" w:name="_DV_M91"/>
      <w:bookmarkStart w:id="10" w:name="_Toc323050959"/>
      <w:bookmarkStart w:id="11" w:name="_Toc296440074"/>
      <w:bookmarkStart w:id="12" w:name="_Toc296526888"/>
      <w:bookmarkStart w:id="13" w:name="_Toc277752453"/>
      <w:bookmarkStart w:id="14" w:name="_Toc277786031"/>
      <w:bookmarkStart w:id="15" w:name="_Toc277787551"/>
      <w:bookmarkStart w:id="16" w:name="_Toc277787825"/>
      <w:bookmarkStart w:id="17" w:name="_Toc278409331"/>
      <w:bookmarkStart w:id="18" w:name="_Toc296440077"/>
      <w:bookmarkStart w:id="19" w:name="_Toc277786034"/>
      <w:bookmarkStart w:id="20" w:name="_Toc277787554"/>
      <w:bookmarkStart w:id="21" w:name="_Toc277787828"/>
      <w:bookmarkStart w:id="22" w:name="_Toc278409334"/>
      <w:bookmarkStart w:id="23" w:name="_Toc296440093"/>
      <w:bookmarkStart w:id="24" w:name="_Toc296526906"/>
      <w:bookmarkStart w:id="25" w:name="_Toc30661417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F0A39" w:rsidRPr="00D3689E" w:rsidP="008D34A0">
      <w:pPr>
        <w:spacing w:line="360" w:lineRule="auto"/>
        <w:ind w:firstLine="480" w:firstLineChars="200"/>
        <w:rPr>
          <w:rFonts w:asciiTheme="minorEastAsia" w:eastAsiaTheme="minorEastAsia" w:hAnsiTheme="minorEastAsia"/>
          <w:color w:val="000000" w:themeColor="text1"/>
          <w:sz w:val="24"/>
        </w:rPr>
      </w:pPr>
    </w:p>
    <w:p w:rsidR="0064594E" w:rsidRPr="00D3689E" w:rsidP="00A8438B">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26" w:name="_Toc296440096"/>
      <w:bookmarkStart w:id="27" w:name="_Toc296526909"/>
      <w:bookmarkStart w:id="28" w:name="_Toc169103834"/>
      <w:bookmarkEnd w:id="23"/>
      <w:bookmarkEnd w:id="24"/>
      <w:bookmarkEnd w:id="25"/>
      <w:bookmarkEnd w:id="26"/>
      <w:bookmarkEnd w:id="27"/>
      <w:r w:rsidRPr="00D3689E">
        <w:rPr>
          <w:rFonts w:asciiTheme="minorEastAsia" w:eastAsiaTheme="minorEastAsia" w:hAnsiTheme="minorEastAsia" w:hint="eastAsia"/>
          <w:color w:val="000000" w:themeColor="text1"/>
        </w:rPr>
        <w:t>基金的投资</w:t>
      </w:r>
      <w:bookmarkEnd w:id="28"/>
    </w:p>
    <w:p w:rsidR="00F50058" w:rsidRPr="00D3689E" w:rsidP="001E1053">
      <w:pPr>
        <w:spacing w:line="360" w:lineRule="auto"/>
        <w:ind w:firstLine="420" w:firstLineChars="200"/>
        <w:rPr>
          <w:rFonts w:asciiTheme="minorEastAsia" w:eastAsiaTheme="minorEastAsia" w:hAnsiTheme="minorEastAsia" w:cs="Arial"/>
          <w:bCs/>
          <w:color w:val="000000" w:themeColor="text1"/>
          <w:szCs w:val="21"/>
        </w:rPr>
      </w:pPr>
      <w:bookmarkStart w:id="29" w:name="_Toc52310851"/>
      <w:bookmarkStart w:id="30" w:name="_Toc64861726"/>
      <w:bookmarkStart w:id="31" w:name="_Toc44900772"/>
      <w:bookmarkStart w:id="32" w:name="_Toc52616499"/>
      <w:bookmarkStart w:id="33" w:name="_Toc296440102"/>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一、投资目标</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紧密跟踪业绩比较基准，追求跟踪偏离度及跟踪误差的最小化。</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二、投资范围</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本基金资产主要投资于具有良好流动性的金融工具，包括</w:t>
      </w:r>
      <w:r w:rsidRPr="00D3689E" w:rsidR="00C6370F">
        <w:rPr>
          <w:rFonts w:asciiTheme="minorEastAsia" w:eastAsiaTheme="minorEastAsia" w:hAnsiTheme="minorEastAsia" w:hint="eastAsia"/>
          <w:color w:val="000000" w:themeColor="text1"/>
          <w:szCs w:val="21"/>
        </w:rPr>
        <w:t>目标ETF，已与中国证监会签署双边监管合作谅解备忘录的国家或地区证券监管机构登记注册的跟踪同一标的指数的公募基金，已与中国证监会签署双边监管合作谅解备忘录的国家或地区证券市场挂牌交易的标的指数成份股及备选成份股，经中国证监会认可的境外交易所上市交易的跟踪标的指数的股指期货等金融衍生品。此外，为更好地实现投资目标，本基金可少量投资于已与中国证监会签署双边监管合作谅解备忘录的国家或地区证券市场挂牌交易的非成份股，境内市场的固定收益类证券、银行存款、货币市场工具以及法律法规或中国证监会允许基金投资的其他金融工具</w:t>
      </w:r>
      <w:r w:rsidRPr="00D3689E" w:rsidR="00EF2A3F">
        <w:rPr>
          <w:rFonts w:asciiTheme="minorEastAsia" w:eastAsiaTheme="minorEastAsia" w:hAnsiTheme="minorEastAsia" w:hint="eastAsia"/>
          <w:color w:val="000000" w:themeColor="text1"/>
          <w:szCs w:val="21"/>
        </w:rPr>
        <w:t>。</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如果法律法规或监管机构以后允许基金投资其他品种，本基金可以将其纳入投资范围，其投资原则及投资比例按法律法规或监管机构的相关规定执行。</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本基金资产中投资于目标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的比例不低于基金资产净值的</w:t>
      </w: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，现金或者到期日在一年以内的政府债券不低于基金资产净值的</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，现金不包括结算备付金、存出保证金、应收申购款等。</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三、投资策略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本基金为易方达中证海外中国互联网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指数</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的联接基金，主要通过投资于易方达中证海外中国互联网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指数</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实现对业绩比较基准的紧密跟踪。在正常市场情况下，本基金力争净值增长率与业绩比较基准之间的日均跟踪偏离度不超过</w:t>
      </w:r>
      <w:r w:rsidRPr="00D3689E">
        <w:rPr>
          <w:rFonts w:asciiTheme="minorEastAsia" w:eastAsiaTheme="minorEastAsia" w:hAnsiTheme="minorEastAsia"/>
          <w:color w:val="000000" w:themeColor="text1"/>
          <w:szCs w:val="21"/>
        </w:rPr>
        <w:t>0.35%</w:t>
      </w:r>
      <w:r w:rsidRPr="00D3689E">
        <w:rPr>
          <w:rFonts w:asciiTheme="minorEastAsia" w:eastAsiaTheme="minorEastAsia" w:hAnsiTheme="minorEastAsia" w:hint="eastAsia"/>
          <w:color w:val="000000" w:themeColor="text1"/>
          <w:szCs w:val="21"/>
        </w:rPr>
        <w:t>，年跟踪误差不超过</w:t>
      </w: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。如因指数编制规则调整或其他因素导致跟踪偏离度和跟踪误差超过上述范围，基金管理人应采取合理措施避免跟踪偏离度、跟踪误差进一步扩大。</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（一）资产配置策略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为实现投资目标，本基金将以不低于基金资产净值</w:t>
      </w: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的资产投资于目标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。为更好地实现投资目标，本基金可少量投资于非成份股、债券、资产支持证券、债券回购、银行存款、货币市场工具、权证、股指期货以及经中国证监会允许基金投资的其他金融工具，</w:t>
      </w:r>
      <w:r w:rsidRPr="00D3689E">
        <w:rPr>
          <w:rFonts w:asciiTheme="minorEastAsia" w:eastAsiaTheme="minorEastAsia" w:hAnsiTheme="minorEastAsia" w:hint="eastAsia"/>
          <w:color w:val="000000" w:themeColor="text1"/>
          <w:szCs w:val="21"/>
        </w:rPr>
        <w:t>但需符合中国证监会的相关规定。</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投资策略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本基金投资目标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的方式如下：</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）申购、赎回：</w:t>
      </w:r>
      <w:r w:rsidRPr="00D3689E" w:rsidR="00BD4BD8">
        <w:rPr>
          <w:rFonts w:asciiTheme="minorEastAsia" w:eastAsiaTheme="minorEastAsia" w:hAnsiTheme="minorEastAsia" w:hint="eastAsia"/>
          <w:color w:val="000000" w:themeColor="text1"/>
          <w:szCs w:val="21"/>
        </w:rPr>
        <w:t>按照目标</w:t>
      </w:r>
      <w:r w:rsidRPr="00D3689E" w:rsidR="00BD4BD8">
        <w:rPr>
          <w:rFonts w:asciiTheme="minorEastAsia" w:eastAsiaTheme="minorEastAsia" w:hAnsiTheme="minorEastAsia"/>
          <w:color w:val="000000" w:themeColor="text1"/>
          <w:szCs w:val="21"/>
        </w:rPr>
        <w:t>ETF</w:t>
      </w:r>
      <w:r w:rsidRPr="00D3689E" w:rsidR="00BD4BD8">
        <w:rPr>
          <w:rFonts w:asciiTheme="minorEastAsia" w:eastAsiaTheme="minorEastAsia" w:hAnsiTheme="minorEastAsia" w:hint="eastAsia"/>
          <w:color w:val="000000" w:themeColor="text1"/>
          <w:szCs w:val="21"/>
        </w:rPr>
        <w:t>法律文件约定的方式申赎目标</w:t>
      </w:r>
      <w:r w:rsidRPr="00D3689E" w:rsidR="00BD4BD8">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）二级市场方式：在二级市场进行目标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基金份额的交易。</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当目标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申购、赎回或交易模式进行了变更或调整，本基金也将作相应的变更或调整，无须召开基金份额持有人大会。</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本基金将在综合考虑合规、风险、效率、成本等因素的基础上，决定采用申购、赎回的方式或二级市场方式进行易方达中证海外中国互联网</w:t>
      </w:r>
      <w:r w:rsidRPr="00D3689E">
        <w:rPr>
          <w:rFonts w:asciiTheme="minorEastAsia" w:eastAsiaTheme="minorEastAsia" w:hAnsiTheme="minorEastAsia"/>
          <w:color w:val="000000" w:themeColor="text1"/>
          <w:szCs w:val="21"/>
        </w:rPr>
        <w:t>50</w:t>
      </w:r>
      <w:r w:rsidRPr="00D3689E">
        <w:rPr>
          <w:rFonts w:asciiTheme="minorEastAsia" w:eastAsiaTheme="minorEastAsia" w:hAnsiTheme="minorEastAsia" w:hint="eastAsia"/>
          <w:color w:val="000000" w:themeColor="text1"/>
          <w:szCs w:val="21"/>
        </w:rPr>
        <w:t>指数</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的投资。</w:t>
      </w:r>
    </w:p>
    <w:p w:rsidR="00F50058" w:rsidRPr="00D3689E" w:rsidP="00BD4BD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（三）成份股、备选成份股投资策略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本基金可投资于标的指数成份股、备选成份股，以更好的跟踪业绩比基准。同时，在条件允许的情况下还可通过买入标的指数成份股、备选成份股来构建股票组合以申购目标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（四）债券投资策略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（五）金融衍生品投资策略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、减少现金拖累</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考虑到申购赎回资金流动冲击、外汇汇兑、资金划转等操作问题，本基金将保留一定的现金，用于满足赎回资金及证券交易的交收要求，可能形成现金拖累，影响指数跟踪。为更好地实现投资目标，本基金可通过金融衍生品降低现金持仓对跟踪效果的影响。</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、投资替代</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如因法律法规限制、基金规模制约或流动性制约，导致本基金不能按照标的指数的构</w:t>
      </w:r>
      <w:r w:rsidRPr="00D3689E">
        <w:rPr>
          <w:rFonts w:asciiTheme="minorEastAsia" w:eastAsiaTheme="minorEastAsia" w:hAnsiTheme="minorEastAsia" w:hint="eastAsia"/>
          <w:color w:val="000000" w:themeColor="text1"/>
          <w:szCs w:val="21"/>
        </w:rPr>
        <w:t>成投资于指数成份股，或出现境外市场相关法规、规则禁止本基金投资相关股票的情形时，为更好地实现投资目标，本基金可投资于金融衍生品，进行投资替代。</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（六）未来，随着市场的发展和基金管理运作的需要，基金管理人可以在不改变投资目标的前提下，遵循法律法规的规定相应调整或更新投资策略，并在招募说明书更新中公告。</w:t>
      </w:r>
    </w:p>
    <w:p w:rsidR="001E1053" w:rsidRPr="00D3689E" w:rsidP="001E1053">
      <w:pPr>
        <w:spacing w:line="384"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四、投资限制</w:t>
      </w:r>
    </w:p>
    <w:p w:rsidR="00F50058" w:rsidRPr="00D3689E" w:rsidP="00F50058">
      <w:pPr>
        <w:spacing w:line="384"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、组合限制</w:t>
      </w:r>
    </w:p>
    <w:p w:rsidR="00F50058" w:rsidRPr="00D3689E" w:rsidP="00F50058">
      <w:pPr>
        <w:spacing w:line="360" w:lineRule="auto"/>
        <w:ind w:firstLine="424" w:firstLineChars="202"/>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本基金的投资组合将遵循以下限制：</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本基金投资于目标</w:t>
      </w:r>
      <w:r w:rsidRPr="00D3689E">
        <w:rPr>
          <w:rFonts w:asciiTheme="minorEastAsia" w:eastAsiaTheme="minorEastAsia" w:hAnsiTheme="minorEastAsia" w:cs="Arial"/>
          <w:bCs/>
          <w:color w:val="000000" w:themeColor="text1"/>
          <w:szCs w:val="21"/>
        </w:rPr>
        <w:t>ETF的比例不低于基金资产净值的90%；</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基金持有同一家银行的存款不得超过基金净值的</w:t>
      </w:r>
      <w:r w:rsidRPr="00D3689E">
        <w:rPr>
          <w:rFonts w:asciiTheme="minorEastAsia" w:eastAsiaTheme="minorEastAsia" w:hAnsiTheme="minorEastAsia" w:cs="Arial"/>
          <w:bCs/>
          <w:color w:val="000000" w:themeColor="text1"/>
          <w:szCs w:val="21"/>
        </w:rPr>
        <w:t>20%</w:t>
      </w:r>
      <w:r w:rsidRPr="00D3689E">
        <w:rPr>
          <w:rFonts w:asciiTheme="minorEastAsia" w:eastAsiaTheme="minorEastAsia" w:hAnsiTheme="minorEastAsia" w:cs="Arial" w:hint="eastAsia"/>
          <w:bCs/>
          <w:color w:val="000000" w:themeColor="text1"/>
          <w:szCs w:val="21"/>
        </w:rPr>
        <w:t>。在基金托管账户的存款可以不受上述限制。</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基金持有与中国证监会签署双边监管合作谅解备忘录国家或地区以外的其他国家或地区证券市场挂牌交易的证券资产不得超过基金资产净值的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，其中持有任一国家或地区市场的证券资产不得超过基金资产净值的</w:t>
      </w:r>
      <w:r w:rsidRPr="00D3689E">
        <w:rPr>
          <w:rFonts w:asciiTheme="minorEastAsia" w:eastAsiaTheme="minorEastAsia" w:hAnsiTheme="minorEastAsia" w:cs="Arial"/>
          <w:bCs/>
          <w:color w:val="000000" w:themeColor="text1"/>
          <w:szCs w:val="21"/>
        </w:rPr>
        <w:t>3%</w:t>
      </w:r>
      <w:r w:rsidRPr="00D3689E">
        <w:rPr>
          <w:rFonts w:asciiTheme="minorEastAsia" w:eastAsiaTheme="minorEastAsia" w:hAnsiTheme="minorEastAsia" w:cs="Arial" w:hint="eastAsia"/>
          <w:bCs/>
          <w:color w:val="000000" w:themeColor="text1"/>
          <w:szCs w:val="21"/>
        </w:rPr>
        <w:t>。</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基金持有非流动性资产市值不得超过基金净值的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。前项非流动性资产是指法律或《基金合同》规定的流通受限证券以及中国证监会认定的其他资产。</w:t>
      </w:r>
    </w:p>
    <w:p w:rsidR="00F50058" w:rsidRPr="00D3689E" w:rsidP="00F50058">
      <w:pPr>
        <w:numPr>
          <w:ilvl w:val="0"/>
          <w:numId w:val="7"/>
        </w:numPr>
        <w:spacing w:line="360" w:lineRule="auto"/>
        <w:ind w:left="0" w:firstLine="426"/>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基金持有境外基金的市值合计不得超过基金净值的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。持有货币市场基金可以不受前述限制。</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基金管理人管理的全部基金持有任何一只境外基金，不得超过该境外基金总份额的</w:t>
      </w:r>
      <w:r w:rsidRPr="00D3689E">
        <w:rPr>
          <w:rFonts w:asciiTheme="minorEastAsia" w:eastAsiaTheme="minorEastAsia" w:hAnsiTheme="minorEastAsia" w:cs="Arial"/>
          <w:bCs/>
          <w:color w:val="000000" w:themeColor="text1"/>
          <w:szCs w:val="21"/>
        </w:rPr>
        <w:t>20</w:t>
      </w:r>
      <w:r w:rsidRPr="00D3689E">
        <w:rPr>
          <w:rFonts w:asciiTheme="minorEastAsia" w:eastAsiaTheme="minorEastAsia" w:hAnsiTheme="minorEastAsia" w:cs="Arial" w:hint="eastAsia"/>
          <w:bCs/>
          <w:color w:val="000000" w:themeColor="text1"/>
          <w:szCs w:val="21"/>
        </w:rPr>
        <w:t>％。</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为应付赎回、交易清算等临时用途借入现金的比例不得超过基金资产净值的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，临时借入现金的期限以中国证监会规定的期限为准。</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D3689E">
        <w:rPr>
          <w:rFonts w:asciiTheme="minorEastAsia" w:eastAsiaTheme="minorEastAsia" w:hAnsiTheme="minorEastAsia" w:cs="Arial"/>
          <w:bCs/>
          <w:color w:val="000000" w:themeColor="text1"/>
          <w:szCs w:val="21"/>
        </w:rPr>
        <w:t>15%</w:t>
      </w:r>
      <w:r w:rsidRPr="00D3689E">
        <w:rPr>
          <w:rFonts w:asciiTheme="minorEastAsia" w:eastAsiaTheme="minorEastAsia" w:hAnsiTheme="minorEastAsia" w:cs="Arial" w:hint="eastAsia"/>
          <w:bCs/>
          <w:color w:val="000000" w:themeColor="text1"/>
          <w:szCs w:val="21"/>
        </w:rPr>
        <w:t>。</w:t>
      </w:r>
    </w:p>
    <w:p w:rsidR="00F50058" w:rsidRPr="00D3689E" w:rsidP="00F50058">
      <w:pPr>
        <w:spacing w:line="360" w:lineRule="auto"/>
        <w:ind w:firstLine="424" w:firstLineChars="202"/>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因证券市场波动、上市</w:t>
      </w:r>
      <w:r w:rsidRPr="00D3689E">
        <w:rPr>
          <w:rFonts w:asciiTheme="minorEastAsia" w:eastAsiaTheme="minorEastAsia" w:hAnsiTheme="minorEastAsia" w:cs="Arial"/>
          <w:bCs/>
          <w:color w:val="000000" w:themeColor="text1"/>
          <w:szCs w:val="21"/>
        </w:rPr>
        <w:t>公司股票</w:t>
      </w:r>
      <w:r w:rsidRPr="00D3689E">
        <w:rPr>
          <w:rFonts w:asciiTheme="minorEastAsia" w:eastAsiaTheme="minorEastAsia" w:hAnsiTheme="minorEastAsia" w:cs="Arial" w:hint="eastAsia"/>
          <w:bCs/>
          <w:color w:val="000000" w:themeColor="text1"/>
          <w:szCs w:val="21"/>
        </w:rPr>
        <w:t>停牌、基金规模变动等基金管理人之外的因素致使基金不符合前款所规定比例限制的，基金管理人不得主动新增流动性受限资产的投资。</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每个交易日日终在扣除股指期货合约需缴纳的交易保证金后，本基金持有现</w:t>
      </w:r>
      <w:r w:rsidRPr="00D3689E">
        <w:rPr>
          <w:rFonts w:asciiTheme="minorEastAsia" w:eastAsiaTheme="minorEastAsia" w:hAnsiTheme="minorEastAsia" w:cs="Arial" w:hint="eastAsia"/>
          <w:bCs/>
          <w:color w:val="000000" w:themeColor="text1"/>
          <w:szCs w:val="21"/>
        </w:rPr>
        <w:t>金或者到期日在一年以内的政府债券不低于基金资产净值的</w:t>
      </w:r>
      <w:r w:rsidRPr="00D3689E">
        <w:rPr>
          <w:rFonts w:asciiTheme="minorEastAsia" w:eastAsiaTheme="minorEastAsia" w:hAnsiTheme="minorEastAsia" w:cs="Arial"/>
          <w:bCs/>
          <w:color w:val="000000" w:themeColor="text1"/>
          <w:szCs w:val="21"/>
        </w:rPr>
        <w:t>5%</w:t>
      </w:r>
      <w:r w:rsidRPr="00D3689E">
        <w:rPr>
          <w:rFonts w:asciiTheme="minorEastAsia" w:eastAsiaTheme="minorEastAsia" w:hAnsiTheme="minorEastAsia" w:cs="Arial" w:hint="eastAsia"/>
          <w:bCs/>
          <w:color w:val="000000" w:themeColor="text1"/>
          <w:szCs w:val="21"/>
        </w:rPr>
        <w:t>，其中，现金不包括结算备付金、存出保证金、应收申购款等。</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本基金持有的全部权证，其市值不得超过基金资产净值的</w:t>
      </w:r>
      <w:r w:rsidRPr="00D3689E">
        <w:rPr>
          <w:rFonts w:asciiTheme="minorEastAsia" w:eastAsiaTheme="minorEastAsia" w:hAnsiTheme="minorEastAsia" w:cs="Arial"/>
          <w:bCs/>
          <w:color w:val="000000" w:themeColor="text1"/>
          <w:szCs w:val="21"/>
        </w:rPr>
        <w:t>3%</w:t>
      </w:r>
      <w:r w:rsidRPr="00D3689E">
        <w:rPr>
          <w:rFonts w:asciiTheme="minorEastAsia" w:eastAsiaTheme="minorEastAsia" w:hAnsiTheme="minorEastAsia" w:cs="Arial" w:hint="eastAsia"/>
          <w:bCs/>
          <w:color w:val="000000" w:themeColor="text1"/>
          <w:szCs w:val="21"/>
        </w:rPr>
        <w:t>。</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本基金管理人管理的全部基金持有的同一权证，不得超过该权证的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本基金在任何交易日买入权证的总金额，不得超过上一交易日基金资产净值的</w:t>
      </w:r>
      <w:r w:rsidRPr="00D3689E">
        <w:rPr>
          <w:rFonts w:asciiTheme="minorEastAsia" w:eastAsiaTheme="minorEastAsia" w:hAnsiTheme="minorEastAsia" w:cs="Arial"/>
          <w:bCs/>
          <w:color w:val="000000" w:themeColor="text1"/>
          <w:szCs w:val="21"/>
        </w:rPr>
        <w:t>0.5%</w:t>
      </w:r>
      <w:r w:rsidRPr="00D3689E">
        <w:rPr>
          <w:rFonts w:asciiTheme="minorEastAsia" w:eastAsiaTheme="minorEastAsia" w:hAnsiTheme="minorEastAsia" w:cs="Arial" w:hint="eastAsia"/>
          <w:bCs/>
          <w:color w:val="000000" w:themeColor="text1"/>
          <w:szCs w:val="21"/>
        </w:rPr>
        <w:t>。</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；本基金持有的全部资产支持证券，其市值不得超过基金资产净值的</w:t>
      </w:r>
      <w:r w:rsidRPr="00D3689E">
        <w:rPr>
          <w:rFonts w:asciiTheme="minorEastAsia" w:eastAsiaTheme="minorEastAsia" w:hAnsiTheme="minorEastAsia" w:cs="Arial"/>
          <w:bCs/>
          <w:color w:val="000000" w:themeColor="text1"/>
          <w:szCs w:val="21"/>
        </w:rPr>
        <w:t>20%</w:t>
      </w:r>
      <w:r w:rsidRPr="00D3689E">
        <w:rPr>
          <w:rFonts w:asciiTheme="minorEastAsia" w:eastAsiaTheme="minorEastAsia" w:hAnsiTheme="minorEastAsia" w:cs="Arial" w:hint="eastAsia"/>
          <w:bCs/>
          <w:color w:val="000000" w:themeColor="text1"/>
          <w:szCs w:val="21"/>
        </w:rPr>
        <w:t>；本基金持有的同一（指同一信用级别）资产支持证券的比例，不得超过该资产支持证券规模的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；本基金应投资于信用级别评级为</w:t>
      </w:r>
      <w:r w:rsidRPr="00D3689E">
        <w:rPr>
          <w:rFonts w:asciiTheme="minorEastAsia" w:eastAsiaTheme="minorEastAsia" w:hAnsiTheme="minorEastAsia" w:cs="Arial"/>
          <w:bCs/>
          <w:color w:val="000000" w:themeColor="text1"/>
          <w:szCs w:val="21"/>
        </w:rPr>
        <w:t>BBB</w:t>
      </w:r>
      <w:r w:rsidRPr="00D3689E">
        <w:rPr>
          <w:rFonts w:asciiTheme="minorEastAsia" w:eastAsiaTheme="minorEastAsia" w:hAnsiTheme="minorEastAsia" w:cs="Arial" w:hint="eastAsia"/>
          <w:bCs/>
          <w:color w:val="000000" w:themeColor="text1"/>
          <w:szCs w:val="21"/>
        </w:rPr>
        <w:t>以上（含</w:t>
      </w:r>
      <w:r w:rsidRPr="00D3689E">
        <w:rPr>
          <w:rFonts w:asciiTheme="minorEastAsia" w:eastAsiaTheme="minorEastAsia" w:hAnsiTheme="minorEastAsia" w:cs="Arial"/>
          <w:bCs/>
          <w:color w:val="000000" w:themeColor="text1"/>
          <w:szCs w:val="21"/>
        </w:rPr>
        <w:t>BBB</w:t>
      </w:r>
      <w:r w:rsidRPr="00D3689E">
        <w:rPr>
          <w:rFonts w:asciiTheme="minorEastAsia" w:eastAsiaTheme="minorEastAsia" w:hAnsiTheme="minorEastAsia" w:cs="Arial" w:hint="eastAsia"/>
          <w:bCs/>
          <w:color w:val="000000" w:themeColor="text1"/>
          <w:szCs w:val="21"/>
        </w:rPr>
        <w:t>）的资产支持证券。基金持有资产支持证券期间，如果其信用等级下降、不再符合投资标准，应在评级报告发布之日起</w:t>
      </w:r>
      <w:r w:rsidRPr="00D3689E">
        <w:rPr>
          <w:rFonts w:asciiTheme="minorEastAsia" w:eastAsiaTheme="minorEastAsia" w:hAnsiTheme="minorEastAsia" w:cs="Arial"/>
          <w:bCs/>
          <w:color w:val="000000" w:themeColor="text1"/>
          <w:szCs w:val="21"/>
        </w:rPr>
        <w:t>3</w:t>
      </w:r>
      <w:r w:rsidRPr="00D3689E">
        <w:rPr>
          <w:rFonts w:asciiTheme="minorEastAsia" w:eastAsiaTheme="minorEastAsia" w:hAnsiTheme="minorEastAsia" w:cs="Arial" w:hint="eastAsia"/>
          <w:bCs/>
          <w:color w:val="000000" w:themeColor="text1"/>
          <w:szCs w:val="21"/>
        </w:rPr>
        <w:t>个月内予以全部卖出。</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基金财产参与股票发行申购，本基金所申报的金额不超过本基金的总资产，本基金所申报的股票数量不超过拟发行股票公司本次发行股票的总量。</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基金资产总值不得超过基金资产净值的</w:t>
      </w:r>
      <w:r w:rsidRPr="00D3689E">
        <w:rPr>
          <w:rFonts w:asciiTheme="minorEastAsia" w:eastAsiaTheme="minorEastAsia" w:hAnsiTheme="minorEastAsia" w:cs="Arial"/>
          <w:bCs/>
          <w:color w:val="000000" w:themeColor="text1"/>
          <w:szCs w:val="21"/>
        </w:rPr>
        <w:t>140%</w:t>
      </w:r>
      <w:r w:rsidRPr="00D3689E">
        <w:rPr>
          <w:rFonts w:asciiTheme="minorEastAsia" w:eastAsiaTheme="minorEastAsia" w:hAnsiTheme="minorEastAsia" w:cs="Arial" w:hint="eastAsia"/>
          <w:bCs/>
          <w:color w:val="000000" w:themeColor="text1"/>
          <w:szCs w:val="21"/>
        </w:rPr>
        <w:t>。</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本基金参与股指期货交易，依据下列标准建构组合：</w:t>
      </w:r>
    </w:p>
    <w:p w:rsidR="00F0430E" w:rsidRPr="00D3689E" w:rsidP="00F0430E">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在任何交易日日终，持有的买入股指期货合约价值，不得超过基金资产净值的</w:t>
      </w:r>
      <w:r w:rsidRPr="00D3689E">
        <w:rPr>
          <w:rFonts w:asciiTheme="minorEastAsia" w:eastAsiaTheme="minorEastAsia" w:hAnsiTheme="minorEastAsia" w:cs="Arial"/>
          <w:bCs/>
          <w:color w:val="000000" w:themeColor="text1"/>
          <w:szCs w:val="21"/>
        </w:rPr>
        <w:t>10%</w:t>
      </w:r>
      <w:r w:rsidRPr="00D3689E">
        <w:rPr>
          <w:rFonts w:asciiTheme="minorEastAsia" w:eastAsiaTheme="minorEastAsia" w:hAnsiTheme="minorEastAsia" w:cs="Arial" w:hint="eastAsia"/>
          <w:bCs/>
          <w:color w:val="000000" w:themeColor="text1"/>
          <w:szCs w:val="21"/>
        </w:rPr>
        <w:t>；在任何交易日日终，持有的买入期货合约价值与有价证券市值之和，不得超过基金资产净值的</w:t>
      </w:r>
      <w:r w:rsidRPr="00D3689E">
        <w:rPr>
          <w:rFonts w:asciiTheme="minorEastAsia" w:eastAsiaTheme="minorEastAsia" w:hAnsiTheme="minorEastAsia" w:cs="Arial"/>
          <w:bCs/>
          <w:color w:val="000000" w:themeColor="text1"/>
          <w:szCs w:val="21"/>
        </w:rPr>
        <w:t>100%</w:t>
      </w:r>
      <w:r w:rsidRPr="00D3689E">
        <w:rPr>
          <w:rFonts w:asciiTheme="minorEastAsia" w:eastAsiaTheme="minorEastAsia" w:hAnsiTheme="minorEastAsia" w:cs="Arial" w:hint="eastAsia"/>
          <w:bCs/>
          <w:color w:val="000000" w:themeColor="text1"/>
          <w:szCs w:val="21"/>
        </w:rPr>
        <w:t>，其中，有价证券指股票、债券（不含到期日在一年以内的政府债券）、权证、资产支持证券、买入返售金融资产（不含质押式回购）等；在任何交易日日终，持有的卖出股指期货合约价值不得超过基金持有的股票总市值的</w:t>
      </w:r>
      <w:r w:rsidRPr="00D3689E">
        <w:rPr>
          <w:rFonts w:asciiTheme="minorEastAsia" w:eastAsiaTheme="minorEastAsia" w:hAnsiTheme="minorEastAsia" w:cs="Arial"/>
          <w:bCs/>
          <w:color w:val="000000" w:themeColor="text1"/>
          <w:szCs w:val="21"/>
        </w:rPr>
        <w:t>20%</w:t>
      </w:r>
      <w:r w:rsidRPr="00D3689E">
        <w:rPr>
          <w:rFonts w:asciiTheme="minorEastAsia" w:eastAsiaTheme="minorEastAsia" w:hAnsiTheme="minorEastAsia" w:cs="Arial" w:hint="eastAsia"/>
          <w:bCs/>
          <w:color w:val="000000" w:themeColor="text1"/>
          <w:szCs w:val="21"/>
        </w:rPr>
        <w:t>；在任何交易日内交易（不包括平仓）的股指期货合约的成交金额不得超过上一交易日基金资产净值的</w:t>
      </w:r>
      <w:r w:rsidRPr="00D3689E">
        <w:rPr>
          <w:rFonts w:asciiTheme="minorEastAsia" w:eastAsiaTheme="minorEastAsia" w:hAnsiTheme="minorEastAsia" w:cs="Arial"/>
          <w:bCs/>
          <w:color w:val="000000" w:themeColor="text1"/>
          <w:szCs w:val="21"/>
        </w:rPr>
        <w:t>20%</w:t>
      </w:r>
      <w:r w:rsidRPr="00D3689E">
        <w:rPr>
          <w:rFonts w:asciiTheme="minorEastAsia" w:eastAsiaTheme="minorEastAsia" w:hAnsiTheme="minorEastAsia" w:cs="Arial" w:hint="eastAsia"/>
          <w:bCs/>
          <w:color w:val="000000" w:themeColor="text1"/>
          <w:szCs w:val="21"/>
        </w:rPr>
        <w:t>；本基金所持有的股票市值和买入、卖出股指期货合约价值，合计（轧差计算）应当符合基金合同关于股票投资比例的有关约定。</w:t>
      </w:r>
    </w:p>
    <w:p w:rsidR="00F0430E" w:rsidRPr="00D3689E" w:rsidP="00F0430E">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D3689E">
        <w:rPr>
          <w:rFonts w:asciiTheme="minorEastAsia" w:eastAsiaTheme="minorEastAsia" w:hAnsiTheme="minorEastAsia" w:cs="Arial"/>
          <w:bCs/>
          <w:color w:val="000000" w:themeColor="text1"/>
          <w:szCs w:val="21"/>
        </w:rPr>
        <w:t>40%</w:t>
      </w:r>
      <w:r w:rsidRPr="00D3689E">
        <w:rPr>
          <w:rFonts w:asciiTheme="minorEastAsia" w:eastAsiaTheme="minorEastAsia" w:hAnsiTheme="minorEastAsia" w:cs="Arial" w:hint="eastAsia"/>
          <w:bCs/>
          <w:color w:val="000000" w:themeColor="text1"/>
          <w:szCs w:val="21"/>
        </w:rPr>
        <w:t>，本基金在全国银行间同业市场中的债券回购最长期限为</w:t>
      </w:r>
      <w:r w:rsidRPr="00D3689E">
        <w:rPr>
          <w:rFonts w:asciiTheme="minorEastAsia" w:eastAsiaTheme="minorEastAsia" w:hAnsiTheme="minorEastAsia" w:cs="Arial"/>
          <w:bCs/>
          <w:color w:val="000000" w:themeColor="text1"/>
          <w:szCs w:val="21"/>
        </w:rPr>
        <w:t>1</w:t>
      </w:r>
      <w:r w:rsidRPr="00D3689E">
        <w:rPr>
          <w:rFonts w:asciiTheme="minorEastAsia" w:eastAsiaTheme="minorEastAsia" w:hAnsiTheme="minorEastAsia" w:cs="Arial" w:hint="eastAsia"/>
          <w:bCs/>
          <w:color w:val="000000" w:themeColor="text1"/>
          <w:szCs w:val="21"/>
        </w:rPr>
        <w:t>年，债券回购到期后不得展期。</w:t>
      </w:r>
    </w:p>
    <w:p w:rsidR="00F50058" w:rsidRPr="00D3689E" w:rsidP="00F50058">
      <w:pPr>
        <w:numPr>
          <w:ilvl w:val="0"/>
          <w:numId w:val="7"/>
        </w:numPr>
        <w:spacing w:line="360" w:lineRule="auto"/>
        <w:ind w:left="0" w:firstLine="42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法律法规另有规定时，从其规定。</w:t>
      </w:r>
    </w:p>
    <w:p w:rsidR="00F50058" w:rsidRPr="00D3689E" w:rsidP="00F50058">
      <w:pPr>
        <w:spacing w:line="360" w:lineRule="auto"/>
        <w:ind w:firstLine="424" w:firstLineChars="202"/>
        <w:rPr>
          <w:rFonts w:asciiTheme="minorEastAsia" w:eastAsiaTheme="minorEastAsia" w:hAnsiTheme="minorEastAsia" w:cs="Arial"/>
          <w:bCs/>
          <w:color w:val="000000" w:themeColor="text1"/>
          <w:szCs w:val="21"/>
        </w:rPr>
      </w:pPr>
      <w:r w:rsidRPr="00D3689E">
        <w:rPr>
          <w:rFonts w:asciiTheme="minorEastAsia" w:eastAsiaTheme="minorEastAsia" w:hAnsiTheme="minorEastAsia" w:hint="eastAsia"/>
          <w:color w:val="000000" w:themeColor="text1"/>
          <w:szCs w:val="21"/>
        </w:rPr>
        <w:t>基金管理人应当自基金合同生效之日起六个月内使基金的投资组合比例符合基金合同的约定。上述期间，基金的投资范围、投资策略应当符合基金合同的约定。除上述（</w:t>
      </w: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9）</w:t>
      </w:r>
      <w:r w:rsidRPr="00D3689E">
        <w:rPr>
          <w:rFonts w:asciiTheme="minorEastAsia" w:eastAsiaTheme="minorEastAsia" w:hAnsiTheme="minorEastAsia" w:hint="eastAsia"/>
          <w:color w:val="000000" w:themeColor="text1"/>
          <w:szCs w:val="21"/>
        </w:rPr>
        <w:t>以外，因证券市场波动、证券发行人合并、基金规模变动等基金管理人之外的因素致使基金投资不符合《基金合同》约定的投资比例规定的，应当在超过比例后三十个工作日内采用合理的商业措施进行调整，以符合投资比例限制要求。法律法规另有规定时，从其规定。</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cs="Arial" w:hint="eastAsia"/>
          <w:bCs/>
          <w:color w:val="000000" w:themeColor="text1"/>
          <w:szCs w:val="21"/>
        </w:rPr>
        <w:t>、</w:t>
      </w:r>
      <w:r w:rsidRPr="00D3689E">
        <w:rPr>
          <w:rFonts w:asciiTheme="minorEastAsia" w:eastAsiaTheme="minorEastAsia" w:hAnsiTheme="minorEastAsia" w:hint="eastAsia"/>
          <w:color w:val="000000" w:themeColor="text1"/>
          <w:szCs w:val="21"/>
        </w:rPr>
        <w:t>金融衍生品投资</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基金投资衍生品应当仅限于投资组合避险或有效管理，不得用于投机或放大交易，同时应当严格遵守下列规定：</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）基金的金融衍生品全部敞口不得高于基金资产净值的</w:t>
      </w:r>
      <w:r w:rsidRPr="00D3689E">
        <w:rPr>
          <w:rFonts w:asciiTheme="minorEastAsia" w:eastAsiaTheme="minorEastAsia" w:hAnsiTheme="minorEastAsia"/>
          <w:color w:val="000000" w:themeColor="text1"/>
          <w:szCs w:val="21"/>
        </w:rPr>
        <w:t>100</w:t>
      </w:r>
      <w:r w:rsidRPr="00D3689E">
        <w:rPr>
          <w:rFonts w:asciiTheme="minorEastAsia" w:eastAsiaTheme="minorEastAsia" w:hAnsiTheme="minorEastAsia" w:hint="eastAsia"/>
          <w:color w:val="000000" w:themeColor="text1"/>
          <w:szCs w:val="21"/>
        </w:rPr>
        <w:t>％。</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）基金投资期货支付的初始保证金、投资期权支付或收取的期权费、投资柜台交易衍生品支付的初始费用的总额不得高于基金资产净值的</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）基金投资于远期合约、互换等柜台交易金融衍生品，应当符合以下要求：</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bCs/>
          <w:color w:val="000000" w:themeColor="text1"/>
          <w:szCs w:val="21"/>
        </w:rPr>
        <w:t>　</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）所有参与交易的对手方（中资商业银行除外）应当具有不低于中国证监会认可的信用评级机构评级。</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bCs/>
          <w:color w:val="000000" w:themeColor="text1"/>
          <w:szCs w:val="21"/>
        </w:rPr>
        <w:t>　</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）交易对手方应当至少每个工作日对交易进行估值，并且基金可在任何时候以公允价值终止交易。</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bCs/>
          <w:color w:val="000000" w:themeColor="text1"/>
          <w:szCs w:val="21"/>
        </w:rPr>
        <w:t>　</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）任一交易对手方的市值计价敞口不得超过基金资产净值的</w:t>
      </w:r>
      <w:r w:rsidRPr="00D3689E">
        <w:rPr>
          <w:rFonts w:asciiTheme="minorEastAsia" w:eastAsiaTheme="minorEastAsia" w:hAnsiTheme="minorEastAsia"/>
          <w:color w:val="000000" w:themeColor="text1"/>
          <w:szCs w:val="21"/>
        </w:rPr>
        <w:t>20</w:t>
      </w:r>
      <w:r w:rsidRPr="00D3689E">
        <w:rPr>
          <w:rFonts w:asciiTheme="minorEastAsia" w:eastAsiaTheme="minorEastAsia" w:hAnsiTheme="minorEastAsia" w:hint="eastAsia"/>
          <w:color w:val="000000" w:themeColor="text1"/>
          <w:szCs w:val="21"/>
        </w:rPr>
        <w:t>％。</w:t>
      </w:r>
    </w:p>
    <w:p w:rsidR="00F50058" w:rsidRPr="00D3689E" w:rsidP="00F50058">
      <w:pPr>
        <w:spacing w:line="360" w:lineRule="auto"/>
        <w:ind w:firstLine="424" w:firstLineChars="202"/>
        <w:rPr>
          <w:rFonts w:asciiTheme="minorEastAsia" w:eastAsiaTheme="minorEastAsia" w:hAnsiTheme="minorEastAsia" w:cs="Arial"/>
          <w:bCs/>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w:t>
      </w:r>
      <w:r w:rsidRPr="00D3689E">
        <w:rPr>
          <w:rFonts w:asciiTheme="minorEastAsia" w:eastAsiaTheme="minorEastAsia" w:hAnsiTheme="minorEastAsia" w:cs="Arial" w:hint="eastAsia"/>
          <w:bCs/>
          <w:color w:val="000000" w:themeColor="text1"/>
          <w:szCs w:val="21"/>
        </w:rPr>
        <w:t>拟投资衍生品，基金管理人在产品募集申请中应当向中国证监会提交基金投资衍生品的风险管理流程、拟采用的组合避险、有效管理策略。</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bCs/>
          <w:color w:val="000000" w:themeColor="text1"/>
          <w:szCs w:val="21"/>
        </w:rPr>
        <w:t>（</w:t>
      </w:r>
      <w:r w:rsidRPr="00D3689E">
        <w:rPr>
          <w:rFonts w:asciiTheme="minorEastAsia" w:eastAsiaTheme="minorEastAsia" w:hAnsiTheme="minorEastAsia" w:cs="Arial"/>
          <w:bCs/>
          <w:color w:val="000000" w:themeColor="text1"/>
          <w:szCs w:val="21"/>
        </w:rPr>
        <w:t>5</w:t>
      </w:r>
      <w:r w:rsidRPr="00D3689E">
        <w:rPr>
          <w:rFonts w:asciiTheme="minorEastAsia" w:eastAsiaTheme="minorEastAsia" w:hAnsiTheme="minorEastAsia" w:cs="Arial" w:hint="eastAsia"/>
          <w:bCs/>
          <w:color w:val="000000" w:themeColor="text1"/>
          <w:szCs w:val="21"/>
        </w:rPr>
        <w:t>）基金管理人应当在</w:t>
      </w:r>
      <w:r w:rsidRPr="00D3689E">
        <w:rPr>
          <w:rFonts w:asciiTheme="minorEastAsia" w:eastAsiaTheme="minorEastAsia" w:hAnsiTheme="minorEastAsia" w:hint="eastAsia"/>
          <w:color w:val="000000" w:themeColor="text1"/>
          <w:szCs w:val="21"/>
        </w:rPr>
        <w:t>基金会计年度结束后</w:t>
      </w:r>
      <w:r w:rsidRPr="00D3689E">
        <w:rPr>
          <w:rFonts w:asciiTheme="minorEastAsia" w:eastAsiaTheme="minorEastAsia" w:hAnsiTheme="minorEastAsia"/>
          <w:color w:val="000000" w:themeColor="text1"/>
          <w:szCs w:val="21"/>
        </w:rPr>
        <w:t>60</w:t>
      </w:r>
      <w:r w:rsidRPr="00D3689E">
        <w:rPr>
          <w:rFonts w:asciiTheme="minorEastAsia" w:eastAsiaTheme="minorEastAsia" w:hAnsiTheme="minorEastAsia" w:hint="eastAsia"/>
          <w:color w:val="000000" w:themeColor="text1"/>
          <w:szCs w:val="21"/>
        </w:rPr>
        <w:t>个工作日内向中国证监会提交包括衍生品头寸及风险分析年度报告。</w:t>
      </w:r>
    </w:p>
    <w:p w:rsidR="00F50058" w:rsidRPr="00D3689E" w:rsidP="00F50058">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）基金不得直接投资与实物商品相关的衍生品。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、本基金可以参与证券借贷交易，并且应当遵守下列规定：</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1）所有参与交易的对手方（中资商业银行除外）应当具有中国证监会认可的信用评级机构评级。</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2）应当采取市值计价制度进行调整以确保担保物市值不低于已借出证券市值的102％。</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3）借方应当在交易期内及时向本基金支付已借出证券产生的所有股息、利息和分红。</w:t>
      </w:r>
      <w:r w:rsidRPr="00D3689E">
        <w:rPr>
          <w:rFonts w:asciiTheme="minorEastAsia" w:eastAsiaTheme="minorEastAsia" w:hAnsiTheme="minorEastAsia"/>
          <w:color w:val="000000" w:themeColor="text1"/>
          <w:szCs w:val="21"/>
        </w:rPr>
        <w:t>一旦借方违约，本基金根据协议和有关法律有权保留和处置担保物以满足索赔需要。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4）除中国证监会另有规定外，担保物可以是以下金融工具或品种：</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现金；</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存款证明；</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商业票据；</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政府债券；</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中资商业银行或由不低于中国证监会认可的信用评级机构评级的境外金融机构（作为交易对手方或其关联方的除外）出具的不可撤销信用证。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5）本基金有权在任何时候终止证券借贷交易并在正常市场惯例的合理期限内要求归还任一或所有已借出的证券。</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6）基金管理人应当对基金参与证券借贷交易中发生的任何损失负相应责</w:t>
      </w:r>
      <w:r w:rsidRPr="00D3689E">
        <w:rPr>
          <w:rFonts w:asciiTheme="minorEastAsia" w:eastAsiaTheme="minorEastAsia" w:hAnsiTheme="minorEastAsia" w:hint="eastAsia"/>
          <w:color w:val="000000" w:themeColor="text1"/>
          <w:szCs w:val="21"/>
        </w:rPr>
        <w:t>任。</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、基金可以根据正常市场惯例参与正回购交易、逆回购交易，并且应当遵守下列规定：</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1）所有参与正回购交易的对手方（中资商业银行除外）应当具有中国证监会认可的信用评级机构信用评级。</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2）参与正回购交易，应当采取市值计价制度对卖出收益进行调整以确保现金不低于已售出证券市值的102％。一旦买方违约，本基金根据协议和有关法律有权保留或处置卖出收益以满足索赔需要。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3）买方应当在正回购交易期内及时向本基金支付售出证券产生的所有股息、利息和分红。</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4）参与逆回购交易，应当对购入证券采取市值计价制度进行调整以确保已购入证券市值不低于支付现金的102％。一旦卖方违约，本基金根据协议和有关法律有权保留或处置已购入证券以满足索赔需要。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5）基金管理人应当对基金参与证券正回购交易、逆回购交易中发生的任何损失负相应责任。</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6）基金参与证券借贷交易、正回购交易，所有已借出而未归还证券总市值或所有已售出而未回购证券总市值均不得超过基金总资产的50％。</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前项比例限制计算，基金因参与证券借贷交易、正回购交易而持有的担保物、现金不得计入基金总资产。</w:t>
      </w:r>
    </w:p>
    <w:p w:rsidR="00F50058" w:rsidRPr="00D3689E" w:rsidP="00F5005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bCs/>
          <w:color w:val="000000" w:themeColor="text1"/>
          <w:szCs w:val="21"/>
        </w:rPr>
        <w:t>、禁止行为</w:t>
      </w:r>
    </w:p>
    <w:p w:rsidR="00F50058" w:rsidRPr="00D3689E" w:rsidP="00F5005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为维护基金份额持有人的合法权益，基金财产不得用于下列投资或者活动：</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承销证券；</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违反规定向他人贷款或提供担保；</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从事承担无限责任的投资；</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购买不动产；</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购买房地产抵押按揭；</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购买贵重金属或代表贵重金属的凭证；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购买实物商品；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除应付赎回、交易清算等临时用途以外，借入现金；</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9）</w:t>
      </w:r>
      <w:r w:rsidRPr="00D3689E">
        <w:rPr>
          <w:rFonts w:asciiTheme="minorEastAsia" w:eastAsiaTheme="minorEastAsia" w:hAnsiTheme="minorEastAsia" w:hint="eastAsia"/>
          <w:color w:val="000000" w:themeColor="text1"/>
          <w:szCs w:val="21"/>
        </w:rPr>
        <w:t>利用融资购买证券，但投资金融衍生品除外；</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参与未持有基础资产的卖空交易；</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11）</w:t>
      </w:r>
      <w:r w:rsidRPr="00D3689E">
        <w:rPr>
          <w:rFonts w:asciiTheme="minorEastAsia" w:eastAsiaTheme="minorEastAsia" w:hAnsiTheme="minorEastAsia" w:hint="eastAsia"/>
          <w:color w:val="000000" w:themeColor="text1"/>
          <w:szCs w:val="21"/>
        </w:rPr>
        <w:t>购买证券用于控制或影响发行该证券的机构或其管理层；</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12）</w:t>
      </w:r>
      <w:r w:rsidRPr="00D3689E">
        <w:rPr>
          <w:rFonts w:asciiTheme="minorEastAsia" w:eastAsiaTheme="minorEastAsia" w:hAnsiTheme="minorEastAsia" w:hint="eastAsia"/>
          <w:color w:val="000000" w:themeColor="text1"/>
          <w:szCs w:val="21"/>
        </w:rPr>
        <w:t>直接投资与实物商品相关的衍生品；</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13）</w:t>
      </w:r>
      <w:r w:rsidRPr="00D3689E">
        <w:rPr>
          <w:rFonts w:asciiTheme="minorEastAsia" w:eastAsiaTheme="minorEastAsia" w:hAnsiTheme="minorEastAsia" w:hint="eastAsia"/>
          <w:color w:val="000000" w:themeColor="text1"/>
          <w:szCs w:val="21"/>
        </w:rPr>
        <w:t>向基金管理人、基金托管人出资；</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14）</w:t>
      </w:r>
      <w:r w:rsidRPr="00D3689E">
        <w:rPr>
          <w:rFonts w:asciiTheme="minorEastAsia" w:eastAsiaTheme="minorEastAsia" w:hAnsiTheme="minorEastAsia" w:hint="eastAsia"/>
          <w:color w:val="000000" w:themeColor="text1"/>
          <w:szCs w:val="21"/>
        </w:rPr>
        <w:t>从事内幕交易、操纵证券价格及其他不正当的证券交易活动；</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15）</w:t>
      </w:r>
      <w:r w:rsidRPr="00D3689E">
        <w:rPr>
          <w:rFonts w:asciiTheme="minorEastAsia" w:eastAsiaTheme="minorEastAsia" w:hAnsiTheme="minorEastAsia" w:hint="eastAsia"/>
          <w:color w:val="000000" w:themeColor="text1"/>
          <w:szCs w:val="21"/>
        </w:rPr>
        <w:t>法律、行政法规和中国证监会规定禁止从事的其他活动。</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bCs/>
          <w:color w:val="000000" w:themeColor="text1"/>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F50058" w:rsidRPr="00D3689E" w:rsidP="00F5005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、法律法规或监管部门取消上述投资组合限制</w:t>
      </w:r>
      <w:r w:rsidRPr="00D3689E">
        <w:rPr>
          <w:rFonts w:asciiTheme="minorEastAsia" w:eastAsiaTheme="minorEastAsia" w:hAnsiTheme="minorEastAsia" w:hint="eastAsia"/>
          <w:bCs/>
          <w:color w:val="000000" w:themeColor="text1"/>
          <w:szCs w:val="21"/>
        </w:rPr>
        <w:t>、禁止行为规定或从事关联交易的条件和要求，</w:t>
      </w:r>
      <w:r w:rsidRPr="00D3689E">
        <w:rPr>
          <w:rFonts w:asciiTheme="minorEastAsia" w:eastAsiaTheme="minorEastAsia" w:hAnsiTheme="minorEastAsia" w:hint="eastAsia"/>
          <w:color w:val="000000" w:themeColor="text1"/>
          <w:szCs w:val="21"/>
        </w:rPr>
        <w:t>本基金可不受相关限制。法律法规或监管部门对上述投资组合限制、</w:t>
      </w:r>
      <w:r w:rsidRPr="00D3689E">
        <w:rPr>
          <w:rFonts w:asciiTheme="minorEastAsia" w:eastAsiaTheme="minorEastAsia" w:hAnsiTheme="minorEastAsia" w:hint="eastAsia"/>
          <w:bCs/>
          <w:color w:val="000000" w:themeColor="text1"/>
          <w:szCs w:val="21"/>
        </w:rPr>
        <w:t>禁止行为规定或从事关联交易的条件和要求进行变更的</w:t>
      </w:r>
      <w:r w:rsidRPr="00D3689E">
        <w:rPr>
          <w:rFonts w:asciiTheme="minorEastAsia" w:eastAsiaTheme="minorEastAsia" w:hAnsiTheme="minorEastAsia" w:hint="eastAsia"/>
          <w:color w:val="000000" w:themeColor="text1"/>
          <w:szCs w:val="21"/>
        </w:rPr>
        <w:t>，本基金可以变更后的规定为准。经与基金托管人协商一致，基金管理人可依据法律法规或监管部门规定直接对基金合同进行变更，该变更无须召开基金份额持有人大会审议。</w:t>
      </w:r>
    </w:p>
    <w:p w:rsidR="001E1053" w:rsidRPr="00D3689E" w:rsidP="001E1053">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、本基金可以按照法律法规和监管部门的有关规定在履行适当程序后进行融资、融券以及参与转融通等相关业务。</w:t>
      </w:r>
    </w:p>
    <w:p w:rsidR="001E1053" w:rsidRPr="00D3689E" w:rsidP="001E1053">
      <w:pPr>
        <w:spacing w:line="360" w:lineRule="auto"/>
        <w:ind w:firstLine="420" w:firstLineChars="200"/>
        <w:rPr>
          <w:rFonts w:asciiTheme="minorEastAsia" w:eastAsiaTheme="minorEastAsia" w:hAnsiTheme="minorEastAsia"/>
          <w:bCs/>
          <w:color w:val="000000" w:themeColor="text1"/>
          <w:szCs w:val="21"/>
        </w:rPr>
      </w:pPr>
    </w:p>
    <w:p w:rsidR="001E1053" w:rsidRPr="00D3689E" w:rsidP="001E1053">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五、投资决策</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1.投资决策依据</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（1）法律、法规和《基金合同》的规定；</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（2）对证券市场发展趋势的研究与判断。</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2．投资决策流程</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（1）基金经理制定资产配置计划，按照公司制度提交审议并实施；</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（2）基金经理采取申赎的方式或证券二级市场交易的方式进行易方达中证海外中国互联网50指数ETF的投资；</w:t>
      </w:r>
    </w:p>
    <w:p w:rsidR="004A3482" w:rsidRPr="00D3689E" w:rsidP="004A3482">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3）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p w:rsidR="001E1053" w:rsidRPr="00D3689E" w:rsidP="004A3482">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（4）投资风险管理部定期对投资组合的跟踪误差进行量化评估，提供基金经理参考。</w:t>
      </w:r>
    </w:p>
    <w:p w:rsidR="001E1053" w:rsidRPr="00D3689E" w:rsidP="001E1053">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六、业绩比较基准</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中证海外中国互联网</w:t>
      </w:r>
      <w:r w:rsidRPr="00D3689E">
        <w:rPr>
          <w:rFonts w:asciiTheme="minorEastAsia" w:eastAsiaTheme="minorEastAsia" w:hAnsiTheme="minorEastAsia" w:cs="Arial"/>
          <w:bCs/>
          <w:color w:val="000000" w:themeColor="text1"/>
          <w:szCs w:val="21"/>
        </w:rPr>
        <w:t>50指数收益率×95%+活期存款利率(税后)×5%</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本基金投资于目标</w:t>
      </w:r>
      <w:r w:rsidRPr="00D3689E">
        <w:rPr>
          <w:rFonts w:asciiTheme="minorEastAsia" w:eastAsiaTheme="minorEastAsia" w:hAnsiTheme="minorEastAsia" w:cs="Arial"/>
          <w:bCs/>
          <w:color w:val="000000" w:themeColor="text1"/>
          <w:szCs w:val="21"/>
        </w:rPr>
        <w:t>ETF的比例不低于基金资产净值的90%。每个交易日日终在扣除股指期货合约需缴纳的交易保证金后，现金或到期日在一年以内的政府债券的投资比例不低于基金资产净值的5%。业绩比较基准与投资比例相符。</w:t>
      </w:r>
    </w:p>
    <w:p w:rsidR="00690F0C" w:rsidRPr="00D3689E" w:rsidP="00690F0C">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未来若出现标的指数不符合法律法规及监管的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1E1053" w:rsidRPr="00D3689E" w:rsidP="00690F0C">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七、风险收益特征</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本基金是</w:t>
      </w:r>
      <w:r w:rsidRPr="00D3689E">
        <w:rPr>
          <w:rFonts w:asciiTheme="minorEastAsia" w:eastAsiaTheme="minorEastAsia" w:hAnsiTheme="minorEastAsia" w:cs="Arial"/>
          <w:bCs/>
          <w:color w:val="000000" w:themeColor="text1"/>
          <w:szCs w:val="21"/>
        </w:rPr>
        <w:t>ETF联接基金，</w:t>
      </w:r>
      <w:r w:rsidRPr="00D3689E">
        <w:rPr>
          <w:rFonts w:asciiTheme="minorEastAsia" w:eastAsiaTheme="minorEastAsia" w:hAnsiTheme="minorEastAsia" w:hint="eastAsia"/>
          <w:color w:val="000000" w:themeColor="text1"/>
          <w:szCs w:val="21"/>
          <w:lang w:bidi="en-US"/>
        </w:rPr>
        <w:t>预期风险与收益水平</w:t>
      </w:r>
      <w:r w:rsidRPr="00D3689E">
        <w:rPr>
          <w:rFonts w:asciiTheme="minorEastAsia" w:eastAsiaTheme="minorEastAsia" w:hAnsiTheme="minorEastAsia" w:cs="Arial" w:hint="eastAsia"/>
          <w:bCs/>
          <w:color w:val="000000" w:themeColor="text1"/>
          <w:szCs w:val="21"/>
        </w:rPr>
        <w:t>高于混合型基金、债券基金和货币市场</w:t>
      </w:r>
      <w:r w:rsidRPr="00D3689E">
        <w:rPr>
          <w:rFonts w:asciiTheme="minorEastAsia" w:eastAsiaTheme="minorEastAsia" w:hAnsiTheme="minorEastAsia" w:cs="Arial" w:hint="eastAsia"/>
          <w:bCs/>
          <w:color w:val="000000" w:themeColor="text1"/>
          <w:szCs w:val="21"/>
        </w:rPr>
        <w:t>基金。</w:t>
      </w:r>
    </w:p>
    <w:p w:rsidR="001E1053" w:rsidRPr="00D3689E" w:rsidP="001E1053">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本基金主要通过投资于易方达中证海外中国互联网</w:t>
      </w:r>
      <w:r w:rsidRPr="00D3689E">
        <w:rPr>
          <w:rFonts w:asciiTheme="minorEastAsia" w:eastAsiaTheme="minorEastAsia" w:hAnsiTheme="minorEastAsia" w:cs="Arial"/>
          <w:bCs/>
          <w:color w:val="000000" w:themeColor="text1"/>
          <w:szCs w:val="21"/>
        </w:rPr>
        <w:t>50指数ETF实现对业绩比较基准的紧密跟踪。因此，本基金的业绩表现与中证海外中国互联网50指数的表现密切相关。此外，本基金为</w:t>
      </w:r>
      <w:r w:rsidRPr="00D3689E">
        <w:rPr>
          <w:rFonts w:asciiTheme="minorEastAsia" w:eastAsiaTheme="minorEastAsia" w:hAnsiTheme="minorEastAsia" w:hint="eastAsia"/>
          <w:color w:val="000000" w:themeColor="text1"/>
          <w:kern w:val="0"/>
          <w:szCs w:val="21"/>
        </w:rPr>
        <w:t>境外股票指数基金</w:t>
      </w:r>
      <w:r w:rsidRPr="00D3689E">
        <w:rPr>
          <w:rFonts w:asciiTheme="minorEastAsia" w:eastAsiaTheme="minorEastAsia" w:hAnsiTheme="minorEastAsia" w:cs="Arial" w:hint="eastAsia"/>
          <w:bCs/>
          <w:color w:val="000000" w:themeColor="text1"/>
          <w:szCs w:val="21"/>
        </w:rPr>
        <w:t>，需承担汇率风险以及境外市场的风险。</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bookmarkStart w:id="34" w:name="_Toc79392634"/>
      <w:r w:rsidRPr="00D3689E">
        <w:rPr>
          <w:rFonts w:asciiTheme="minorEastAsia" w:eastAsiaTheme="minorEastAsia" w:hAnsiTheme="minorEastAsia" w:hint="eastAsia"/>
          <w:color w:val="000000" w:themeColor="text1"/>
          <w:szCs w:val="21"/>
        </w:rPr>
        <w:t>八、基金管理人代表基金行使权利的处理原则及方法</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1、不谋求对上市公司的控股，不参与所投资上市公司的经营管理</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2、有利于基金资产的安全与增值；</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3、基金管理人按照国家有关规定代表基金独立行使权利，保护基金份额持有人的利益。</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九、目标</w:t>
      </w:r>
      <w:r w:rsidRPr="00D3689E">
        <w:rPr>
          <w:rFonts w:asciiTheme="minorEastAsia" w:eastAsiaTheme="minorEastAsia" w:hAnsiTheme="minorEastAsia"/>
          <w:color w:val="000000" w:themeColor="text1"/>
          <w:szCs w:val="21"/>
        </w:rPr>
        <w:t>ETF发生相关变更情形时的处理</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目标</w:t>
      </w:r>
      <w:r w:rsidRPr="00D3689E">
        <w:rPr>
          <w:rFonts w:asciiTheme="minorEastAsia" w:eastAsiaTheme="minorEastAsia" w:hAnsiTheme="minorEastAsia"/>
          <w:color w:val="000000" w:themeColor="text1"/>
          <w:szCs w:val="21"/>
        </w:rPr>
        <w:t>ETF出现下述情形之一的，本基金将由投资于目标ETF的联接基金变更为直接投资该标的指数的指数基金；若届时本基金管理人已有跟踪该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1、目标ETF交易方式发生重大变更致使本基金的投资策略难以实现；</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2、目标ETF终止上市；</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3、目标ETF基金合同终止；</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4、目标ETF的基金管理人发生变更（但变更后的本基金与目标ETF的基金管理人相同的除外）。</w:t>
      </w:r>
    </w:p>
    <w:p w:rsidR="001E1053" w:rsidRPr="00D3689E" w:rsidP="001E1053">
      <w:pPr>
        <w:spacing w:line="360" w:lineRule="auto"/>
        <w:ind w:firstLine="424" w:firstLineChars="20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若目标</w:t>
      </w:r>
      <w:r w:rsidRPr="00D3689E">
        <w:rPr>
          <w:rFonts w:asciiTheme="minorEastAsia" w:eastAsiaTheme="minorEastAsia" w:hAnsiTheme="minorEastAsia"/>
          <w:color w:val="000000" w:themeColor="text1"/>
          <w:szCs w:val="21"/>
        </w:rPr>
        <w:t>ETF变更标的指数，本基金将在履行适当程序后相应变更标的指数且继续投资于该目标ETF。</w:t>
      </w:r>
    </w:p>
    <w:p w:rsidR="00C71563" w:rsidRPr="00D3689E" w:rsidP="00E040B6">
      <w:pPr>
        <w:spacing w:line="360" w:lineRule="auto"/>
        <w:ind w:firstLine="420" w:firstLineChars="200"/>
        <w:rPr>
          <w:rFonts w:asciiTheme="minorEastAsia" w:eastAsiaTheme="minorEastAsia" w:hAnsiTheme="minorEastAsia" w:cs="Arial"/>
          <w:bCs/>
          <w:color w:val="000000" w:themeColor="text1"/>
          <w:szCs w:val="21"/>
        </w:rPr>
      </w:pPr>
      <w:bookmarkStart w:id="35" w:name="_Toc308697423"/>
      <w:bookmarkStart w:id="36" w:name="_Toc309285946"/>
      <w:bookmarkStart w:id="37" w:name="_Toc308697424"/>
      <w:bookmarkStart w:id="38" w:name="_Toc309285947"/>
      <w:bookmarkStart w:id="39" w:name="_Toc308697425"/>
      <w:bookmarkStart w:id="40" w:name="_Toc309285948"/>
      <w:bookmarkStart w:id="41" w:name="_Toc308697426"/>
      <w:bookmarkStart w:id="42" w:name="_Toc309285949"/>
      <w:bookmarkStart w:id="43" w:name="_Toc308697427"/>
      <w:bookmarkStart w:id="44" w:name="_Toc309285950"/>
      <w:bookmarkStart w:id="45" w:name="_Toc308697428"/>
      <w:bookmarkStart w:id="46" w:name="_Toc309285951"/>
      <w:bookmarkStart w:id="47" w:name="_Toc308697429"/>
      <w:bookmarkStart w:id="48" w:name="_Toc309285952"/>
      <w:bookmarkStart w:id="49" w:name="_Toc308697430"/>
      <w:bookmarkStart w:id="50" w:name="_Toc309285953"/>
      <w:bookmarkStart w:id="51" w:name="_Toc308697431"/>
      <w:bookmarkStart w:id="52" w:name="_Toc309285954"/>
      <w:bookmarkStart w:id="53" w:name="_Toc308697432"/>
      <w:bookmarkStart w:id="54" w:name="_Toc309285955"/>
      <w:bookmarkStart w:id="55" w:name="_Toc308697433"/>
      <w:bookmarkStart w:id="56" w:name="_Toc309285956"/>
      <w:bookmarkStart w:id="57" w:name="_Toc308697434"/>
      <w:bookmarkStart w:id="58" w:name="_Toc309285957"/>
      <w:bookmarkStart w:id="59" w:name="_Toc308697435"/>
      <w:bookmarkStart w:id="60" w:name="_Toc309285958"/>
      <w:bookmarkStart w:id="61" w:name="_Toc308697436"/>
      <w:bookmarkStart w:id="62" w:name="_Toc309285959"/>
      <w:bookmarkStart w:id="63" w:name="_Toc308697437"/>
      <w:bookmarkStart w:id="64" w:name="_Toc309285960"/>
      <w:bookmarkStart w:id="65" w:name="_Toc308697438"/>
      <w:bookmarkStart w:id="66" w:name="_Toc309285961"/>
      <w:bookmarkStart w:id="67" w:name="_Toc308697439"/>
      <w:bookmarkStart w:id="68" w:name="_Toc309285962"/>
      <w:bookmarkStart w:id="69" w:name="_Toc308697441"/>
      <w:bookmarkStart w:id="70" w:name="_Toc309285964"/>
      <w:bookmarkStart w:id="71" w:name="_Toc308697443"/>
      <w:bookmarkStart w:id="72" w:name="_Toc30928596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3689E">
        <w:rPr>
          <w:rFonts w:asciiTheme="minorEastAsia" w:eastAsiaTheme="minorEastAsia" w:hAnsiTheme="minorEastAsia" w:cs="Arial" w:hint="eastAsia"/>
          <w:bCs/>
          <w:color w:val="000000" w:themeColor="text1"/>
          <w:szCs w:val="21"/>
        </w:rPr>
        <w:t>十、基金管理人代表基金行使所投资证券产生权利的处理原则及方法</w:t>
      </w:r>
    </w:p>
    <w:p w:rsidR="00C71563" w:rsidRPr="00D3689E" w:rsidP="00273588">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1、不谋求对上市公司的控股，不参与所投资上市公司的经营管理；</w:t>
      </w:r>
    </w:p>
    <w:p w:rsidR="00C71563" w:rsidRPr="00D3689E" w:rsidP="00273588">
      <w:pPr>
        <w:spacing w:line="360" w:lineRule="auto"/>
        <w:ind w:firstLine="420" w:firstLineChars="200"/>
        <w:rPr>
          <w:rFonts w:asciiTheme="minorEastAsia" w:eastAsiaTheme="minorEastAsia" w:hAnsiTheme="minorEastAsia" w:cs="Arial"/>
          <w:bCs/>
          <w:color w:val="000000" w:themeColor="text1"/>
          <w:szCs w:val="21"/>
        </w:rPr>
      </w:pPr>
      <w:r w:rsidRPr="00D3689E">
        <w:rPr>
          <w:rFonts w:asciiTheme="minorEastAsia" w:eastAsiaTheme="minorEastAsia" w:hAnsiTheme="minorEastAsia" w:cs="Arial" w:hint="eastAsia"/>
          <w:bCs/>
          <w:color w:val="000000" w:themeColor="text1"/>
          <w:szCs w:val="21"/>
        </w:rPr>
        <w:t>2、有利于基金资产的安全与增值；</w:t>
      </w:r>
    </w:p>
    <w:p w:rsidR="00C71563" w:rsidRPr="00D3689E" w:rsidP="0027358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、基金管理人按照国家有关规定代表基金独立行使所投资证券权利，保护基金份额持有人的利益。</w:t>
      </w:r>
    </w:p>
    <w:p w:rsidR="0064594E" w:rsidRPr="00D3689E" w:rsidP="00E040B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十一、衍生品投资的风险管理与决策流程</w:t>
      </w:r>
    </w:p>
    <w:p w:rsidR="0064594E" w:rsidRPr="00D3689E" w:rsidP="00F82EE5">
      <w:pPr>
        <w:numPr>
          <w:ilvl w:val="0"/>
          <w:numId w:val="5"/>
        </w:numPr>
        <w:tabs>
          <w:tab w:val="num" w:pos="1134"/>
          <w:tab w:val="clear" w:pos="1980"/>
        </w:tabs>
        <w:spacing w:line="312" w:lineRule="auto"/>
        <w:ind w:left="840" w:hanging="420" w:leftChars="200" w:hanging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投资衍生品的风险管理</w:t>
      </w:r>
    </w:p>
    <w:p w:rsidR="0064594E" w:rsidRPr="00D3689E" w:rsidP="0027358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金融衍生品的投资过程，同时也是风险管理的过程。在金融衍生品的投资业务中，包</w:t>
      </w:r>
      <w:r w:rsidRPr="00D3689E">
        <w:rPr>
          <w:rFonts w:asciiTheme="minorEastAsia" w:eastAsiaTheme="minorEastAsia" w:hAnsiTheme="minorEastAsia" w:hint="eastAsia"/>
          <w:color w:val="000000" w:themeColor="text1"/>
          <w:szCs w:val="21"/>
        </w:rPr>
        <w:t>括</w:t>
      </w:r>
      <w:r w:rsidRPr="00D3689E" w:rsidR="0070412A">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事前的风险定位、事中的风险管理和事后的风险评估</w:t>
      </w:r>
      <w:r w:rsidRPr="00D3689E" w:rsidR="0070412A">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的全过程、多角度、全方位的风险监控体系。</w:t>
      </w:r>
    </w:p>
    <w:p w:rsidR="0064594E" w:rsidRPr="00D3689E" w:rsidP="0027358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事前风险控制：投资决策前，投资研究人员必须对所运用的金融衍生</w:t>
      </w:r>
      <w:r w:rsidRPr="00D3689E" w:rsidR="00F963AE">
        <w:rPr>
          <w:rFonts w:asciiTheme="minorEastAsia" w:eastAsiaTheme="minorEastAsia" w:hAnsiTheme="minorEastAsia" w:hint="eastAsia"/>
          <w:color w:val="000000" w:themeColor="text1"/>
          <w:szCs w:val="21"/>
        </w:rPr>
        <w:t>品</w:t>
      </w:r>
      <w:r w:rsidRPr="00D3689E">
        <w:rPr>
          <w:rFonts w:asciiTheme="minorEastAsia" w:eastAsiaTheme="minorEastAsia" w:hAnsiTheme="minorEastAsia" w:hint="eastAsia"/>
          <w:color w:val="000000" w:themeColor="text1"/>
          <w:szCs w:val="21"/>
        </w:rPr>
        <w:t>的</w:t>
      </w:r>
      <w:r w:rsidRPr="00D3689E" w:rsidR="00F963AE">
        <w:rPr>
          <w:rFonts w:asciiTheme="minorEastAsia" w:eastAsiaTheme="minorEastAsia" w:hAnsiTheme="minorEastAsia" w:hint="eastAsia"/>
          <w:color w:val="000000" w:themeColor="text1"/>
          <w:szCs w:val="21"/>
        </w:rPr>
        <w:t>原理、</w:t>
      </w:r>
      <w:r w:rsidRPr="00D3689E">
        <w:rPr>
          <w:rFonts w:asciiTheme="minorEastAsia" w:eastAsiaTheme="minorEastAsia" w:hAnsiTheme="minorEastAsia" w:hint="eastAsia"/>
          <w:color w:val="000000" w:themeColor="text1"/>
          <w:szCs w:val="21"/>
        </w:rPr>
        <w:t>特性、</w:t>
      </w:r>
      <w:r w:rsidRPr="00D3689E" w:rsidR="00F963AE">
        <w:rPr>
          <w:rFonts w:asciiTheme="minorEastAsia" w:eastAsiaTheme="minorEastAsia" w:hAnsiTheme="minorEastAsia" w:hint="eastAsia"/>
          <w:color w:val="000000" w:themeColor="text1"/>
          <w:szCs w:val="21"/>
        </w:rPr>
        <w:t>运作机制</w:t>
      </w:r>
      <w:r w:rsidRPr="00D3689E">
        <w:rPr>
          <w:rFonts w:asciiTheme="minorEastAsia" w:eastAsiaTheme="minorEastAsia" w:hAnsiTheme="minorEastAsia" w:hint="eastAsia"/>
          <w:color w:val="000000" w:themeColor="text1"/>
          <w:szCs w:val="21"/>
        </w:rPr>
        <w:t>、风险有深入的研究和分析。对拟投资方案可能蕴含的风险进行充分评估，</w:t>
      </w:r>
      <w:r w:rsidRPr="00D3689E" w:rsidR="00F963AE">
        <w:rPr>
          <w:rFonts w:asciiTheme="minorEastAsia" w:eastAsiaTheme="minorEastAsia" w:hAnsiTheme="minorEastAsia" w:hint="eastAsia"/>
          <w:color w:val="000000" w:themeColor="text1"/>
          <w:szCs w:val="21"/>
        </w:rPr>
        <w:t>并进行必要的情形分析和压力测试。金融衍生品的投资方案经投资总监或投资决策委员会审批通过后，方可执行</w:t>
      </w:r>
      <w:r w:rsidRPr="00D3689E">
        <w:rPr>
          <w:rFonts w:asciiTheme="minorEastAsia" w:eastAsiaTheme="minorEastAsia" w:hAnsiTheme="minorEastAsia" w:hint="eastAsia"/>
          <w:color w:val="000000" w:themeColor="text1"/>
          <w:szCs w:val="21"/>
        </w:rPr>
        <w:t>。</w:t>
      </w:r>
    </w:p>
    <w:p w:rsidR="0064594E" w:rsidRPr="00D3689E" w:rsidP="0027358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事中风险控制：衍生品</w:t>
      </w:r>
      <w:r w:rsidRPr="00D3689E" w:rsidR="0063753E">
        <w:rPr>
          <w:rFonts w:asciiTheme="minorEastAsia" w:eastAsiaTheme="minorEastAsia" w:hAnsiTheme="minorEastAsia" w:hint="eastAsia"/>
          <w:color w:val="000000" w:themeColor="text1"/>
          <w:szCs w:val="21"/>
        </w:rPr>
        <w:t>研究</w:t>
      </w:r>
      <w:r w:rsidRPr="00D3689E" w:rsidR="00CB1270">
        <w:rPr>
          <w:rFonts w:asciiTheme="minorEastAsia" w:eastAsiaTheme="minorEastAsia" w:hAnsiTheme="minorEastAsia" w:hint="eastAsia"/>
          <w:color w:val="000000" w:themeColor="text1"/>
          <w:szCs w:val="21"/>
        </w:rPr>
        <w:t>员</w:t>
      </w:r>
      <w:r w:rsidRPr="00D3689E">
        <w:rPr>
          <w:rFonts w:asciiTheme="minorEastAsia" w:eastAsiaTheme="minorEastAsia" w:hAnsiTheme="minorEastAsia" w:hint="eastAsia"/>
          <w:color w:val="000000" w:themeColor="text1"/>
          <w:szCs w:val="21"/>
        </w:rPr>
        <w:t>对交易对手的信用评级进行跟踪，防范信用风险的发生</w:t>
      </w:r>
      <w:r w:rsidRPr="00D3689E" w:rsidR="00341234">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并利用现代金融工程的手段对组合进行风险评估。基金经理或衍生品</w:t>
      </w:r>
      <w:r w:rsidRPr="00D3689E" w:rsidR="0063753E">
        <w:rPr>
          <w:rFonts w:asciiTheme="minorEastAsia" w:eastAsiaTheme="minorEastAsia" w:hAnsiTheme="minorEastAsia" w:hint="eastAsia"/>
          <w:color w:val="000000" w:themeColor="text1"/>
          <w:szCs w:val="21"/>
        </w:rPr>
        <w:t>研究</w:t>
      </w:r>
      <w:r w:rsidRPr="00D3689E" w:rsidR="00CB1270">
        <w:rPr>
          <w:rFonts w:asciiTheme="minorEastAsia" w:eastAsiaTheme="minorEastAsia" w:hAnsiTheme="minorEastAsia" w:hint="eastAsia"/>
          <w:color w:val="000000" w:themeColor="text1"/>
          <w:szCs w:val="21"/>
        </w:rPr>
        <w:t>员</w:t>
      </w:r>
      <w:r w:rsidRPr="00D3689E">
        <w:rPr>
          <w:rFonts w:asciiTheme="minorEastAsia" w:eastAsiaTheme="minorEastAsia" w:hAnsiTheme="minorEastAsia" w:hint="eastAsia"/>
          <w:color w:val="000000" w:themeColor="text1"/>
          <w:szCs w:val="21"/>
        </w:rPr>
        <w:t>对衍生品头寸以及风险敞口进行监控，一旦衍生品的亏损超过投资方案防范的目标，立即向投资决策委员会汇报，考虑采取强制平仓等措施以避免出现严重的风险事件。</w:t>
      </w:r>
    </w:p>
    <w:p w:rsidR="0064594E" w:rsidRPr="00D3689E" w:rsidP="0070412A">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事后风险控制：基金经理或衍生品</w:t>
      </w:r>
      <w:r w:rsidRPr="00D3689E" w:rsidR="0063753E">
        <w:rPr>
          <w:rFonts w:asciiTheme="minorEastAsia" w:eastAsiaTheme="minorEastAsia" w:hAnsiTheme="minorEastAsia" w:hint="eastAsia"/>
          <w:color w:val="000000" w:themeColor="text1"/>
          <w:szCs w:val="21"/>
        </w:rPr>
        <w:t>研究</w:t>
      </w:r>
      <w:r w:rsidRPr="00D3689E" w:rsidR="00CB1270">
        <w:rPr>
          <w:rFonts w:asciiTheme="minorEastAsia" w:eastAsiaTheme="minorEastAsia" w:hAnsiTheme="minorEastAsia" w:hint="eastAsia"/>
          <w:color w:val="000000" w:themeColor="text1"/>
          <w:szCs w:val="21"/>
        </w:rPr>
        <w:t>员</w:t>
      </w:r>
      <w:r w:rsidRPr="00D3689E">
        <w:rPr>
          <w:rFonts w:asciiTheme="minorEastAsia" w:eastAsiaTheme="minorEastAsia" w:hAnsiTheme="minorEastAsia" w:hint="eastAsia"/>
          <w:color w:val="000000" w:themeColor="text1"/>
          <w:szCs w:val="21"/>
        </w:rPr>
        <w:t>定期对基金的衍生品交易策略、运作情况做投资回顾分析和风险评估，识别内部控制中的弱点和系统中的不足，提供改进的建议；定期评估、审定和改进风险管理政策。</w:t>
      </w:r>
    </w:p>
    <w:p w:rsidR="0064594E" w:rsidRPr="00D3689E" w:rsidP="00F82EE5">
      <w:pPr>
        <w:numPr>
          <w:ilvl w:val="0"/>
          <w:numId w:val="5"/>
        </w:numPr>
        <w:tabs>
          <w:tab w:val="num" w:pos="1134"/>
          <w:tab w:val="clear" w:pos="1980"/>
        </w:tabs>
        <w:spacing w:line="312" w:lineRule="auto"/>
        <w:ind w:left="840" w:hanging="420" w:leftChars="200" w:hanging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投资衍生品的</w:t>
      </w:r>
      <w:r w:rsidRPr="00D3689E">
        <w:rPr>
          <w:rFonts w:asciiTheme="minorEastAsia" w:eastAsiaTheme="minorEastAsia" w:hAnsiTheme="minorEastAsia" w:hint="eastAsia"/>
          <w:color w:val="000000" w:themeColor="text1"/>
        </w:rPr>
        <w:t>决策流程</w:t>
      </w:r>
    </w:p>
    <w:p w:rsidR="0064594E" w:rsidRPr="00D3689E" w:rsidP="0070412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金融衍生品的投资决策流程主要包括研究支持、投资决策、交易执行、绩效与风险评估等阶段。</w:t>
      </w:r>
    </w:p>
    <w:p w:rsidR="0064594E" w:rsidRPr="00D3689E" w:rsidP="0070412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衍生品</w:t>
      </w:r>
      <w:r w:rsidRPr="00D3689E" w:rsidR="00564795">
        <w:rPr>
          <w:rFonts w:asciiTheme="minorEastAsia" w:eastAsiaTheme="minorEastAsia" w:hAnsiTheme="minorEastAsia" w:hint="eastAsia"/>
          <w:color w:val="000000" w:themeColor="text1"/>
        </w:rPr>
        <w:t>研究</w:t>
      </w:r>
      <w:r w:rsidRPr="00D3689E" w:rsidR="00F963AE">
        <w:rPr>
          <w:rFonts w:asciiTheme="minorEastAsia" w:eastAsiaTheme="minorEastAsia" w:hAnsiTheme="minorEastAsia" w:hint="eastAsia"/>
          <w:color w:val="000000" w:themeColor="text1"/>
        </w:rPr>
        <w:t>组负责金融衍生品</w:t>
      </w:r>
      <w:r w:rsidRPr="00D3689E">
        <w:rPr>
          <w:rFonts w:asciiTheme="minorEastAsia" w:eastAsiaTheme="minorEastAsia" w:hAnsiTheme="minorEastAsia" w:hint="eastAsia"/>
          <w:color w:val="000000" w:themeColor="text1"/>
        </w:rPr>
        <w:t>的研究工作，对各主要金融衍生品市场进行日常研究，定期或不定期提供相关投资建议的报告，跟踪衍生品交易对手的信用状况。</w:t>
      </w:r>
    </w:p>
    <w:p w:rsidR="00564795" w:rsidRPr="00D3689E" w:rsidP="0070412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基金经理在内外部研究的支持下，本着组合避险和有效管理的策略原则，提出衍生品投资需求，衍生品研究组提供相应的投资及风险评估分析报告。</w:t>
      </w:r>
    </w:p>
    <w:p w:rsidR="0064594E" w:rsidRPr="00D3689E" w:rsidP="0070412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根据拟投资金融衍生品的金额、风险敞口的大小，基金经理将投资方案提交投资总监或投资决策委员会审批。审批通过后，基金经理将投资指令提交集中交易室执行。</w:t>
      </w:r>
    </w:p>
    <w:p w:rsidR="0064594E" w:rsidRPr="00D3689E" w:rsidP="0070412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在定期或不定期召开的投资决策委员会会议上，基金经理对金融衍生品的投资运作情况进行回顾和评估检讨。</w:t>
      </w:r>
    </w:p>
    <w:p w:rsidR="0064594E" w:rsidRPr="00D3689E" w:rsidP="00E040B6">
      <w:pPr>
        <w:spacing w:line="360" w:lineRule="auto"/>
        <w:ind w:firstLine="420" w:firstLineChars="200"/>
        <w:rPr>
          <w:rFonts w:asciiTheme="minorEastAsia" w:eastAsiaTheme="minorEastAsia" w:hAnsiTheme="minorEastAsia"/>
          <w:color w:val="000000" w:themeColor="text1"/>
        </w:rPr>
      </w:pPr>
      <w:bookmarkStart w:id="73" w:name="_Toc308697448"/>
      <w:bookmarkStart w:id="74" w:name="_Toc309285971"/>
      <w:bookmarkStart w:id="75" w:name="_Toc308697449"/>
      <w:bookmarkStart w:id="76" w:name="_Toc309285972"/>
      <w:bookmarkStart w:id="77" w:name="_Toc308697450"/>
      <w:bookmarkStart w:id="78" w:name="_Toc309285973"/>
      <w:bookmarkStart w:id="79" w:name="_Toc308697451"/>
      <w:bookmarkStart w:id="80" w:name="_Toc309285974"/>
      <w:bookmarkStart w:id="81" w:name="_Toc308697452"/>
      <w:bookmarkStart w:id="82" w:name="_Toc309285975"/>
      <w:bookmarkStart w:id="83" w:name="_Toc308697453"/>
      <w:bookmarkStart w:id="84" w:name="_Toc309285976"/>
      <w:bookmarkStart w:id="85" w:name="_Toc308697454"/>
      <w:bookmarkStart w:id="86" w:name="_Toc309285977"/>
      <w:bookmarkStart w:id="87" w:name="_Toc308697455"/>
      <w:bookmarkStart w:id="88" w:name="_Toc309285978"/>
      <w:bookmarkStart w:id="89" w:name="_Toc308697456"/>
      <w:bookmarkStart w:id="90" w:name="_Toc309285979"/>
      <w:bookmarkStart w:id="91" w:name="_Toc308697457"/>
      <w:bookmarkStart w:id="92" w:name="_Toc309285980"/>
      <w:bookmarkStart w:id="93" w:name="_Toc308697458"/>
      <w:bookmarkStart w:id="94" w:name="_Toc309285981"/>
      <w:bookmarkStart w:id="95" w:name="_Toc308697459"/>
      <w:bookmarkStart w:id="96" w:name="_Toc309285982"/>
      <w:bookmarkStart w:id="97" w:name="_Toc308697460"/>
      <w:bookmarkStart w:id="98" w:name="_Toc3092859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D3689E">
        <w:rPr>
          <w:rFonts w:asciiTheme="minorEastAsia" w:eastAsiaTheme="minorEastAsia" w:hAnsiTheme="minorEastAsia" w:hint="eastAsia"/>
          <w:color w:val="000000" w:themeColor="text1"/>
        </w:rPr>
        <w:t>十二、代理投票</w:t>
      </w:r>
    </w:p>
    <w:p w:rsidR="007D677F" w:rsidRPr="00D3689E" w:rsidP="00BF47D0">
      <w:pPr>
        <w:spacing w:line="360" w:lineRule="auto"/>
        <w:ind w:firstLine="420" w:firstLineChars="200"/>
        <w:rPr>
          <w:rFonts w:asciiTheme="minorEastAsia" w:eastAsiaTheme="minorEastAsia" w:hAnsiTheme="minorEastAsia"/>
          <w:color w:val="000000" w:themeColor="text1"/>
        </w:rPr>
      </w:pPr>
      <w:bookmarkStart w:id="99" w:name="_Toc296440114"/>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、基金管理人行使代理投票权应遵循基金</w:t>
      </w:r>
      <w:r w:rsidRPr="00D3689E" w:rsidR="001B3D1F">
        <w:rPr>
          <w:rFonts w:asciiTheme="minorEastAsia" w:eastAsiaTheme="minorEastAsia" w:hAnsiTheme="minorEastAsia" w:hint="eastAsia"/>
          <w:color w:val="000000" w:themeColor="text1"/>
        </w:rPr>
        <w:t>份额</w:t>
      </w:r>
      <w:r w:rsidRPr="00D3689E">
        <w:rPr>
          <w:rFonts w:asciiTheme="minorEastAsia" w:eastAsiaTheme="minorEastAsia" w:hAnsiTheme="minorEastAsia" w:hint="eastAsia"/>
          <w:color w:val="000000" w:themeColor="text1"/>
        </w:rPr>
        <w:t>持有人利益最大化的原则。</w:t>
      </w:r>
      <w:bookmarkEnd w:id="99"/>
    </w:p>
    <w:p w:rsidR="007D677F" w:rsidRPr="00D3689E" w:rsidP="00BF47D0">
      <w:pPr>
        <w:spacing w:line="360" w:lineRule="auto"/>
        <w:ind w:firstLine="420" w:firstLineChars="200"/>
        <w:rPr>
          <w:rFonts w:asciiTheme="minorEastAsia" w:eastAsiaTheme="minorEastAsia" w:hAnsiTheme="minorEastAsia"/>
          <w:color w:val="000000" w:themeColor="text1"/>
        </w:rPr>
      </w:pPr>
      <w:bookmarkStart w:id="100" w:name="_Toc296440115"/>
      <w:r w:rsidRPr="00D3689E">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行使代理投票权应考虑不同地区市场上适用的法律或监管要求、公司治理标准、披露实务操作等存在的差异，充分研究提案的合理性，并综合考虑投资顾问、独立第三方研究机构等的意见后，选择合适的方式行使投票权。本着基金投资者利益最大化的原则，对持股比例较小或审议非重要事项、支付较高费用等情况时，基金管理人可以选择不参与上</w:t>
      </w:r>
      <w:r w:rsidRPr="00D3689E">
        <w:rPr>
          <w:rFonts w:asciiTheme="minorEastAsia" w:eastAsiaTheme="minorEastAsia" w:hAnsiTheme="minorEastAsia" w:hint="eastAsia"/>
          <w:color w:val="000000" w:themeColor="text1"/>
        </w:rPr>
        <w:t>市公司的投票。</w:t>
      </w:r>
      <w:bookmarkEnd w:id="100"/>
    </w:p>
    <w:p w:rsidR="007D677F" w:rsidRPr="00D3689E" w:rsidP="00BF47D0">
      <w:pPr>
        <w:spacing w:line="360" w:lineRule="auto"/>
        <w:ind w:firstLine="420" w:firstLineChars="200"/>
        <w:rPr>
          <w:rFonts w:asciiTheme="minorEastAsia" w:eastAsiaTheme="minorEastAsia" w:hAnsiTheme="minorEastAsia"/>
          <w:color w:val="000000" w:themeColor="text1"/>
        </w:rPr>
      </w:pPr>
      <w:bookmarkStart w:id="101" w:name="_Toc296440116"/>
      <w:r w:rsidRPr="00D3689E">
        <w:rPr>
          <w:rFonts w:asciiTheme="minorEastAsia" w:eastAsiaTheme="minorEastAsia" w:hAnsiTheme="minorEastAsia"/>
          <w:color w:val="000000" w:themeColor="text1"/>
        </w:rPr>
        <w:t>3</w:t>
      </w:r>
      <w:r w:rsidRPr="00D3689E">
        <w:rPr>
          <w:rFonts w:asciiTheme="minorEastAsia" w:eastAsiaTheme="minorEastAsia" w:hAnsiTheme="minorEastAsia" w:hint="eastAsia"/>
          <w:color w:val="000000" w:themeColor="text1"/>
        </w:rPr>
        <w:t>、代理投票权的执行，可选择实地投票、通过交易经纪商系统投票、委托境外投资顾问、托管人或第三方代理投票机构投票等方式。</w:t>
      </w:r>
      <w:bookmarkEnd w:id="101"/>
    </w:p>
    <w:p w:rsidR="0064594E" w:rsidRPr="00D3689E" w:rsidP="00BF47D0">
      <w:pPr>
        <w:spacing w:line="360" w:lineRule="auto"/>
        <w:ind w:firstLine="420" w:firstLineChars="200"/>
        <w:rPr>
          <w:rFonts w:asciiTheme="minorEastAsia" w:eastAsiaTheme="minorEastAsia" w:hAnsiTheme="minorEastAsia"/>
          <w:color w:val="000000" w:themeColor="text1"/>
        </w:rPr>
      </w:pPr>
      <w:bookmarkStart w:id="102" w:name="_Toc296440117"/>
      <w:r w:rsidRPr="00D3689E">
        <w:rPr>
          <w:rFonts w:asciiTheme="minorEastAsia" w:eastAsiaTheme="minorEastAsia" w:hAnsiTheme="minorEastAsia"/>
          <w:color w:val="000000" w:themeColor="text1"/>
        </w:rPr>
        <w:t>4</w:t>
      </w:r>
      <w:r w:rsidRPr="00D3689E">
        <w:rPr>
          <w:rFonts w:asciiTheme="minorEastAsia" w:eastAsiaTheme="minorEastAsia" w:hAnsiTheme="minorEastAsia" w:hint="eastAsia"/>
          <w:color w:val="000000" w:themeColor="text1"/>
        </w:rPr>
        <w:t>、</w:t>
      </w:r>
      <w:r w:rsidRPr="00D3689E" w:rsidR="007D677F">
        <w:rPr>
          <w:rFonts w:asciiTheme="minorEastAsia" w:eastAsiaTheme="minorEastAsia" w:hAnsiTheme="minorEastAsia" w:hint="eastAsia"/>
          <w:color w:val="000000" w:themeColor="text1"/>
        </w:rPr>
        <w:t>基金管理人应保留投票记录。</w:t>
      </w:r>
      <w:bookmarkEnd w:id="102"/>
    </w:p>
    <w:p w:rsidR="0064594E" w:rsidRPr="00D3689E" w:rsidP="00E040B6">
      <w:pPr>
        <w:spacing w:line="360" w:lineRule="auto"/>
        <w:ind w:firstLine="420" w:firstLineChars="200"/>
        <w:rPr>
          <w:rFonts w:asciiTheme="minorEastAsia" w:eastAsiaTheme="minorEastAsia" w:hAnsiTheme="minorEastAsia"/>
          <w:color w:val="000000" w:themeColor="text1"/>
        </w:rPr>
      </w:pPr>
      <w:bookmarkStart w:id="103" w:name="OLE_LINK3"/>
      <w:r w:rsidRPr="00D3689E">
        <w:rPr>
          <w:rFonts w:asciiTheme="minorEastAsia" w:eastAsiaTheme="minorEastAsia" w:hAnsiTheme="minorEastAsia" w:hint="eastAsia"/>
          <w:color w:val="000000" w:themeColor="text1"/>
        </w:rPr>
        <w:t>十三、证券交易管理</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、基金管理人挑选证券经纪商主要考虑的因素包括：交易执行能力、研究报告质量、提供研究服务质量、法规监管资讯服务以及价值贡献等方面。</w:t>
      </w:r>
    </w:p>
    <w:p w:rsidR="00B83016"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）交易执行能力。主要指券商是否能够对投资指令进行有效的执行，以及能否取得较高质量的成交结果。衡量交易执行能力的指标主要有：是否完成交易、成交的及时性、成交价格、对市场的影响等；</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）研究报告的质量。主要是指券商能否提供高质量的宏观经济研究、行业研究及市场走向、个股分析报告和专题研究报告，报告内容是否详实，投资建议是否准确等；</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3</w:t>
      </w:r>
      <w:r w:rsidRPr="00D3689E">
        <w:rPr>
          <w:rFonts w:asciiTheme="minorEastAsia" w:eastAsiaTheme="minorEastAsia" w:hAnsiTheme="minorEastAsia" w:hint="eastAsia"/>
          <w:color w:val="000000" w:themeColor="text1"/>
        </w:rPr>
        <w:t>）提供研究服务的质量。主要包括协助安排上市公司调研、研究资料共享、路演服务、日常沟通交流、接受委托研究的服务质量等方面；</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4</w:t>
      </w:r>
      <w:r w:rsidRPr="00D3689E">
        <w:rPr>
          <w:rFonts w:asciiTheme="minorEastAsia" w:eastAsiaTheme="minorEastAsia" w:hAnsiTheme="minorEastAsia" w:hint="eastAsia"/>
          <w:color w:val="000000" w:themeColor="text1"/>
        </w:rPr>
        <w:t>）法规监管资讯服务。主要包括境外投资法律规定、交易监管规则、信息披露、个人利益冲突、税收等资讯的提供与培训；</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5</w:t>
      </w:r>
      <w:r w:rsidRPr="00D3689E">
        <w:rPr>
          <w:rFonts w:asciiTheme="minorEastAsia" w:eastAsiaTheme="minorEastAsia" w:hAnsiTheme="minorEastAsia" w:hint="eastAsia"/>
          <w:color w:val="000000" w:themeColor="text1"/>
        </w:rPr>
        <w:t>）价值贡献。主要是指证券经纪商对公司研究团队、投资团队在业务能力提升上所做的培训服务、对公司投资提升所作出的贡献；</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6</w:t>
      </w:r>
      <w:r w:rsidRPr="00D3689E">
        <w:rPr>
          <w:rFonts w:asciiTheme="minorEastAsia" w:eastAsiaTheme="minorEastAsia" w:hAnsiTheme="minorEastAsia" w:hint="eastAsia"/>
          <w:color w:val="000000" w:themeColor="text1"/>
        </w:rPr>
        <w:t>）其他因素。主要是证券经纪商的财务状况、经营行为规范、风险管理机制、近年内有无重大违规行为等。</w:t>
      </w:r>
    </w:p>
    <w:p w:rsidR="007D677F" w:rsidRPr="00D3689E" w:rsidP="00BF47D0">
      <w:pPr>
        <w:spacing w:line="360" w:lineRule="auto"/>
        <w:ind w:left="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w:t>
      </w:r>
      <w:r w:rsidRPr="00D3689E" w:rsidR="00331144">
        <w:rPr>
          <w:rFonts w:asciiTheme="minorEastAsia" w:eastAsiaTheme="minorEastAsia" w:hAnsiTheme="minorEastAsia" w:hint="eastAsia"/>
          <w:color w:val="000000" w:themeColor="text1"/>
          <w:szCs w:val="21"/>
        </w:rPr>
        <w:t>交易单元</w:t>
      </w:r>
      <w:r w:rsidRPr="00D3689E">
        <w:rPr>
          <w:rFonts w:asciiTheme="minorEastAsia" w:eastAsiaTheme="minorEastAsia" w:hAnsiTheme="minorEastAsia" w:hint="eastAsia"/>
          <w:color w:val="000000" w:themeColor="text1"/>
          <w:szCs w:val="21"/>
        </w:rPr>
        <w:t>交易量的分配依据</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基金管理人主要根据对证券经纪商的评价结果进行交易量分配。评价证券经纪商将重点依据其交易执行能力、研究报告质量、提供研究服务质量、法规监管资讯服务和价值贡献等方面的指标，并采用十分制进行评分。</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评分的计算公式是：∑i</w:t>
      </w:r>
      <w:r w:rsidRPr="00D3689E" w:rsidR="00AC785D">
        <w:rPr>
          <w:rFonts w:asciiTheme="minorEastAsia" w:eastAsiaTheme="minorEastAsia" w:hAnsiTheme="minorEastAsia" w:hint="eastAsia"/>
          <w:color w:val="000000" w:themeColor="text1"/>
        </w:rPr>
        <w:t>（</w:t>
      </w:r>
      <w:r w:rsidRPr="00D3689E">
        <w:rPr>
          <w:rFonts w:asciiTheme="minorEastAsia" w:eastAsiaTheme="minorEastAsia" w:hAnsiTheme="minorEastAsia" w:hint="eastAsia"/>
          <w:color w:val="000000" w:themeColor="text1"/>
        </w:rPr>
        <w:t>第</w:t>
      </w:r>
      <w:r w:rsidRPr="00D3689E">
        <w:rPr>
          <w:rFonts w:asciiTheme="minorEastAsia" w:eastAsiaTheme="minorEastAsia" w:hAnsiTheme="minorEastAsia"/>
          <w:color w:val="000000" w:themeColor="text1"/>
        </w:rPr>
        <w:t>i</w:t>
      </w:r>
      <w:r w:rsidRPr="00D3689E">
        <w:rPr>
          <w:rFonts w:asciiTheme="minorEastAsia" w:eastAsiaTheme="minorEastAsia" w:hAnsiTheme="minorEastAsia" w:hint="eastAsia"/>
          <w:color w:val="000000" w:themeColor="text1"/>
        </w:rPr>
        <w:t>项评价项目</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项目权重</w:t>
      </w:r>
      <w:r w:rsidRPr="00D3689E" w:rsidR="00AC785D">
        <w:rPr>
          <w:rFonts w:asciiTheme="minorEastAsia" w:eastAsiaTheme="minorEastAsia" w:hAnsiTheme="minorEastAsia" w:hint="eastAsia"/>
          <w:color w:val="000000" w:themeColor="text1"/>
        </w:rPr>
        <w:t>）</w:t>
      </w:r>
      <w:r w:rsidRPr="00D3689E">
        <w:rPr>
          <w:rFonts w:asciiTheme="minorEastAsia" w:eastAsiaTheme="minorEastAsia" w:hAnsiTheme="minorEastAsia" w:hint="eastAsia"/>
          <w:color w:val="000000" w:themeColor="text1"/>
        </w:rPr>
        <w:t>，其中各项目权重由基金管理人根据相关法规要求和内部制度进行确定。</w:t>
      </w:r>
    </w:p>
    <w:p w:rsidR="007D677F" w:rsidRPr="00D3689E" w:rsidP="00BF47D0">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w:t>
      </w:r>
      <w:r w:rsidRPr="00D3689E">
        <w:rPr>
          <w:rFonts w:asciiTheme="minorEastAsia" w:eastAsiaTheme="minorEastAsia" w:hAnsiTheme="minorEastAsia" w:hint="eastAsia"/>
          <w:color w:val="000000" w:themeColor="text1"/>
        </w:rPr>
        <w:t>、其他事项</w:t>
      </w:r>
    </w:p>
    <w:p w:rsidR="00417C26" w:rsidRPr="00D3689E" w:rsidP="00172767">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本基金管理人将根据有关规定，在基金定期报告中对所选择的证券经纪商、基金通过该证券经纪商买卖证券的成交量以及所支付的佣金等进行披露。对于在证券经纪商选择和</w:t>
      </w:r>
      <w:r w:rsidRPr="00D3689E">
        <w:rPr>
          <w:rFonts w:asciiTheme="minorEastAsia" w:eastAsiaTheme="minorEastAsia" w:hAnsiTheme="minorEastAsia" w:hint="eastAsia"/>
          <w:color w:val="000000" w:themeColor="text1"/>
        </w:rPr>
        <w:t>交易量分配中存在或潜在的利益冲突，管理人应该本着尽可能维护持有人的利益进行妥善处理，并按规定进行报告。</w:t>
      </w:r>
      <w:bookmarkStart w:id="104" w:name="_Toc278409349"/>
      <w:bookmarkStart w:id="105" w:name="_Toc278409350"/>
      <w:bookmarkStart w:id="106" w:name="_Toc278409351"/>
      <w:bookmarkStart w:id="107" w:name="_Toc278409352"/>
      <w:bookmarkStart w:id="108" w:name="_Toc278409353"/>
      <w:bookmarkEnd w:id="103"/>
      <w:bookmarkEnd w:id="104"/>
      <w:bookmarkEnd w:id="105"/>
      <w:bookmarkEnd w:id="106"/>
      <w:bookmarkEnd w:id="107"/>
      <w:bookmarkEnd w:id="108"/>
    </w:p>
    <w:p w:rsidR="00D8565C" w:rsidRPr="00D3689E" w:rsidP="0028353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十四、基金投资组合报告（未经审计）</w:t>
      </w:r>
    </w:p>
    <w:p w:rsidR="00D8565C" w:rsidRPr="00D3689E" w:rsidP="0028353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本基金管理人的董事会及董事保证本报告所载资料不存在虚假记载、误导性陈述或重大遗漏，并对其内容的真实性、准确性和完整性承担个别及连带责任。</w:t>
      </w:r>
    </w:p>
    <w:p w:rsidR="00D8565C" w:rsidRPr="00D3689E" w:rsidP="0028353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本基金的托管人招商银行股份有限公司根据本基金合同的规定，复核了本报告的内容，保证复核内容不存在虚假记载、误导性陈述或者重大遗漏。</w:t>
      </w:r>
    </w:p>
    <w:p w:rsidR="00D8565C" w:rsidRPr="00D3689E" w:rsidP="0028353A">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本投资组合报告有关数据的期间为2023年4月1日至2023年6月30日。</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 报告期末基金资产组合情况</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778"/>
        <w:gridCol w:w="3633"/>
        <w:gridCol w:w="2674"/>
        <w:gridCol w:w="1437"/>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4253"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项目</w:t>
            </w:r>
          </w:p>
        </w:tc>
        <w:tc>
          <w:tcPr>
            <w:tcW w:w="2835"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金额（人民币元）</w:t>
            </w:r>
          </w:p>
        </w:tc>
        <w:tc>
          <w:tcPr>
            <w:tcW w:w="1559"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占基金总资产的比例（%）</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权益投资</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其中：普通股</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存托凭证</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优先股</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房地产信托</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基金投资</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9,342,053,959.49</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93.53</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固定收益投资</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303,502,552.89</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3.04</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其中：债券</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303,502,552.89</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3.04</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资产支持证券</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金融衍生品投资</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其中：远期</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期货</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期权</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权证</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买入返售金融资产</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其中：买断式回购的买入返售金融资产</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w:t>
            </w:r>
          </w:p>
        </w:tc>
        <w:tc>
          <w:tcPr>
            <w:tcW w:w="4253"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货币市场工具</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银行存款和结算备付金合计</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312,898,407.79</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3.13</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8</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其他资产</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29,319,003.22</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0.29</w:t>
            </w:r>
          </w:p>
        </w:tc>
      </w:tr>
      <w:tr>
        <w:tblPrEx>
          <w:tblW w:w="0" w:type="auto"/>
          <w:tblLook w:val="04A0"/>
        </w:tblPrEx>
        <w:tc>
          <w:tcPr>
            <w:tcW w:w="85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w:t>
            </w:r>
          </w:p>
        </w:tc>
        <w:tc>
          <w:tcPr>
            <w:tcW w:w="4253"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合计</w:t>
            </w:r>
          </w:p>
        </w:tc>
        <w:tc>
          <w:tcPr>
            <w:tcW w:w="28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9,987,773,923.39</w:t>
            </w:r>
          </w:p>
        </w:tc>
        <w:tc>
          <w:tcPr>
            <w:tcW w:w="1559"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100.00</w:t>
            </w:r>
          </w:p>
        </w:tc>
      </w:tr>
    </w:tbl>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 期末投资目标基金明细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044"/>
        <w:gridCol w:w="1044"/>
        <w:gridCol w:w="1044"/>
        <w:gridCol w:w="1134"/>
        <w:gridCol w:w="1044"/>
        <w:gridCol w:w="1896"/>
        <w:gridCol w:w="1316"/>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17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基金名称</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基金类型</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运作方式</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管理人</w:t>
            </w:r>
          </w:p>
        </w:tc>
        <w:tc>
          <w:tcPr>
            <w:tcW w:w="122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公允价值(人民币元)</w:t>
            </w:r>
          </w:p>
        </w:tc>
        <w:tc>
          <w:tcPr>
            <w:tcW w:w="1435"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占基金资产净值比例（%）</w:t>
            </w:r>
          </w:p>
        </w:tc>
      </w:tr>
      <w:tr>
        <w:tblPrEx>
          <w:tblW w:w="0" w:type="auto"/>
          <w:tblLook w:val="04A0"/>
        </w:tblPrEx>
        <w:tc>
          <w:tcPr>
            <w:tcW w:w="117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w:t>
            </w:r>
            <w:r w:rsidRPr="00D3689E">
              <w:rPr>
                <w:rFonts w:asciiTheme="minorEastAsia" w:eastAsiaTheme="minorEastAsia" w:hAnsiTheme="minorEastAsia"/>
                <w:color w:val="000000" w:themeColor="text1"/>
              </w:rPr>
              <w:t>互联网50交易型开放式指数证券投资基金</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股票型</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交易型开放式（ETF）</w:t>
            </w:r>
          </w:p>
        </w:tc>
        <w:tc>
          <w:tcPr>
            <w:tcW w:w="11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w:t>
            </w:r>
            <w:r w:rsidRPr="00D3689E">
              <w:rPr>
                <w:rFonts w:asciiTheme="minorEastAsia" w:eastAsiaTheme="minorEastAsia" w:hAnsiTheme="minorEastAsia"/>
                <w:color w:val="000000" w:themeColor="text1"/>
              </w:rPr>
              <w:t>公司</w:t>
            </w:r>
          </w:p>
        </w:tc>
        <w:tc>
          <w:tcPr>
            <w:tcW w:w="1220"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9,342,053,959.49</w:t>
            </w:r>
          </w:p>
        </w:tc>
        <w:tc>
          <w:tcPr>
            <w:tcW w:w="143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94.04</w:t>
            </w:r>
          </w:p>
        </w:tc>
      </w:tr>
    </w:tbl>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 报告期末在各个国家（地区）证券市场的股票及存托凭证投资分布</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本基金本报告期末未持有权益投资。</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 报告期末按行业分类的股票及存托凭证投资组合</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本基金本报告期末未持有权益投资。</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 期末按公允价值占基金资产净值比例大小排序的权益投资明细</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 报告期末按公允价值占基金资产净值比例大小排序的前十名股票及存托凭证投资明细</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本基金本报告期末未持有权益投资。</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 报告期末按债券信用等级分类的债券投资组合</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2655"/>
        <w:gridCol w:w="2838"/>
        <w:gridCol w:w="3020"/>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2655"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债券信用等级</w:t>
            </w:r>
          </w:p>
        </w:tc>
        <w:tc>
          <w:tcPr>
            <w:tcW w:w="283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公允价值（人民币元）</w:t>
            </w:r>
          </w:p>
        </w:tc>
        <w:tc>
          <w:tcPr>
            <w:tcW w:w="302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占基金资产净值比例（％）</w:t>
            </w:r>
          </w:p>
        </w:tc>
      </w:tr>
      <w:tr>
        <w:tblPrEx>
          <w:tblW w:w="0" w:type="auto"/>
          <w:tblLook w:val="04A0"/>
        </w:tblPrEx>
        <w:tc>
          <w:tcPr>
            <w:tcW w:w="2655"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未评级</w:t>
            </w:r>
          </w:p>
        </w:tc>
        <w:tc>
          <w:tcPr>
            <w:tcW w:w="283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303,502,552.89</w:t>
            </w:r>
          </w:p>
        </w:tc>
        <w:tc>
          <w:tcPr>
            <w:tcW w:w="3020"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3.06</w:t>
            </w:r>
          </w:p>
        </w:tc>
      </w:tr>
    </w:tbl>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注：本债券投资组合主要采用标准普尔、穆迪、惠誉提供的债券信用评级信息，债券投资以全价列示。</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 报告期末按公允价值占基金资产净值比例大小排序的前五名债券投资明细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239"/>
        <w:gridCol w:w="1303"/>
        <w:gridCol w:w="1269"/>
        <w:gridCol w:w="1425"/>
        <w:gridCol w:w="1686"/>
        <w:gridCol w:w="1600"/>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25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131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债券代码</w:t>
            </w:r>
          </w:p>
        </w:tc>
        <w:tc>
          <w:tcPr>
            <w:tcW w:w="128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债券名称</w:t>
            </w:r>
          </w:p>
        </w:tc>
        <w:tc>
          <w:tcPr>
            <w:tcW w:w="1426"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数量（张）</w:t>
            </w:r>
          </w:p>
        </w:tc>
        <w:tc>
          <w:tcPr>
            <w:tcW w:w="1646"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公允价值（人民币元）</w:t>
            </w:r>
          </w:p>
        </w:tc>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占基金资产净值比例（％）</w:t>
            </w:r>
          </w:p>
        </w:tc>
      </w:tr>
      <w:tr>
        <w:tblPrEx>
          <w:tblW w:w="0" w:type="auto"/>
          <w:tblLook w:val="04A0"/>
        </w:tblPrEx>
        <w:tc>
          <w:tcPr>
            <w:tcW w:w="125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131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210322</w:t>
            </w:r>
          </w:p>
        </w:tc>
        <w:tc>
          <w:tcPr>
            <w:tcW w:w="128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21进出22</w:t>
            </w:r>
          </w:p>
        </w:tc>
        <w:tc>
          <w:tcPr>
            <w:tcW w:w="142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100,000,000</w:t>
            </w:r>
          </w:p>
        </w:tc>
        <w:tc>
          <w:tcPr>
            <w:tcW w:w="164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102,105,041.10</w:t>
            </w:r>
          </w:p>
        </w:tc>
        <w:tc>
          <w:tcPr>
            <w:tcW w:w="161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1.03</w:t>
            </w:r>
          </w:p>
        </w:tc>
      </w:tr>
      <w:tr>
        <w:tblPrEx>
          <w:tblW w:w="0" w:type="auto"/>
          <w:tblLook w:val="04A0"/>
        </w:tblPrEx>
        <w:tc>
          <w:tcPr>
            <w:tcW w:w="125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p>
        </w:tc>
        <w:tc>
          <w:tcPr>
            <w:tcW w:w="131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230206</w:t>
            </w:r>
          </w:p>
        </w:tc>
        <w:tc>
          <w:tcPr>
            <w:tcW w:w="128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23国开06</w:t>
            </w:r>
          </w:p>
        </w:tc>
        <w:tc>
          <w:tcPr>
            <w:tcW w:w="142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100,000,000</w:t>
            </w:r>
          </w:p>
        </w:tc>
        <w:tc>
          <w:tcPr>
            <w:tcW w:w="164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100,258,196.72</w:t>
            </w:r>
          </w:p>
        </w:tc>
        <w:tc>
          <w:tcPr>
            <w:tcW w:w="161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1.01</w:t>
            </w:r>
          </w:p>
        </w:tc>
      </w:tr>
      <w:tr>
        <w:tblPrEx>
          <w:tblW w:w="0" w:type="auto"/>
          <w:tblLook w:val="04A0"/>
        </w:tblPrEx>
        <w:tc>
          <w:tcPr>
            <w:tcW w:w="125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w:t>
            </w:r>
          </w:p>
        </w:tc>
        <w:tc>
          <w:tcPr>
            <w:tcW w:w="131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220308</w:t>
            </w:r>
          </w:p>
        </w:tc>
        <w:tc>
          <w:tcPr>
            <w:tcW w:w="128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22进出08</w:t>
            </w:r>
          </w:p>
        </w:tc>
        <w:tc>
          <w:tcPr>
            <w:tcW w:w="142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50,000,000</w:t>
            </w:r>
          </w:p>
        </w:tc>
        <w:tc>
          <w:tcPr>
            <w:tcW w:w="164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50,611,027.40</w:t>
            </w:r>
          </w:p>
        </w:tc>
        <w:tc>
          <w:tcPr>
            <w:tcW w:w="161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0.51</w:t>
            </w:r>
          </w:p>
        </w:tc>
      </w:tr>
      <w:tr>
        <w:tblPrEx>
          <w:tblW w:w="0" w:type="auto"/>
          <w:tblLook w:val="04A0"/>
        </w:tblPrEx>
        <w:tc>
          <w:tcPr>
            <w:tcW w:w="125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w:t>
            </w:r>
          </w:p>
        </w:tc>
        <w:tc>
          <w:tcPr>
            <w:tcW w:w="131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220216</w:t>
            </w:r>
          </w:p>
        </w:tc>
        <w:tc>
          <w:tcPr>
            <w:tcW w:w="128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22国开16</w:t>
            </w:r>
          </w:p>
        </w:tc>
        <w:tc>
          <w:tcPr>
            <w:tcW w:w="142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50,000,000</w:t>
            </w:r>
          </w:p>
        </w:tc>
        <w:tc>
          <w:tcPr>
            <w:tcW w:w="1646"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50,528,287.67</w:t>
            </w:r>
          </w:p>
        </w:tc>
        <w:tc>
          <w:tcPr>
            <w:tcW w:w="161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0.51</w:t>
            </w:r>
          </w:p>
        </w:tc>
      </w:tr>
    </w:tbl>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注：1.债券代码为ISIN码或当地市场代码。</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2.数量列示债券面值，外币按照期末估值汇率折为人民币，四舍五入保留整数。</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8、 报告期末按公允价值占基金资产净值比例大小排序的前十名资产支持证券投资明细</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本基金本报告期末未持有资产支持证券。</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 报告期末按公允价值占基金资产净值比例大小排名的前五名金融衍生品投资明细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612"/>
        <w:gridCol w:w="1612"/>
        <w:gridCol w:w="1612"/>
        <w:gridCol w:w="1772"/>
        <w:gridCol w:w="1905"/>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衍生品类别</w:t>
            </w:r>
          </w:p>
        </w:tc>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衍生品名称</w:t>
            </w:r>
          </w:p>
        </w:tc>
        <w:tc>
          <w:tcPr>
            <w:tcW w:w="177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公允价值</w:t>
            </w:r>
            <w:r w:rsidRPr="00D3689E">
              <w:rPr>
                <w:rFonts w:asciiTheme="minorEastAsia" w:eastAsiaTheme="minorEastAsia" w:hAnsiTheme="minorEastAsia"/>
                <w:color w:val="000000" w:themeColor="text1"/>
              </w:rPr>
              <w:br/>
              <w:t>(人民币元）</w:t>
            </w:r>
          </w:p>
        </w:tc>
        <w:tc>
          <w:tcPr>
            <w:tcW w:w="1905"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占基金资产</w:t>
            </w:r>
            <w:r w:rsidRPr="00D3689E">
              <w:rPr>
                <w:rFonts w:asciiTheme="minorEastAsia" w:eastAsiaTheme="minorEastAsia" w:hAnsiTheme="minorEastAsia"/>
                <w:color w:val="000000" w:themeColor="text1"/>
              </w:rPr>
              <w:br/>
              <w:t>净值比例（%）</w:t>
            </w:r>
          </w:p>
        </w:tc>
      </w:tr>
      <w:tr>
        <w:tblPrEx>
          <w:tblW w:w="0" w:type="auto"/>
          <w:tblLook w:val="04A0"/>
        </w:tblPrEx>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股指期货</w:t>
            </w:r>
          </w:p>
        </w:tc>
        <w:tc>
          <w:tcPr>
            <w:tcW w:w="161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HSTECH Futures    Jul23</w:t>
            </w:r>
          </w:p>
        </w:tc>
        <w:tc>
          <w:tcPr>
            <w:tcW w:w="177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c>
          <w:tcPr>
            <w:tcW w:w="1905"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bl>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按照期货每日无负债结算的结算规则，根据《基金股指期货投资会计业务核算细则(试行)》及《企业会计准则-金融工具列报》的相关规定，“其他衍生工具-期货投资”与“证券清算款-期货每日无负债结算暂收暂付款”，符合金融资产与金融负债相抵销的条件，故将“其他衍生工具-期货投资”的期末公允价值以抵销后的净额列报，净额为零。期货投资的公允价值变动金额为-806,042.87元，已包含在结算备付金中。</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 报告期末按公允价值占基金资产净值比例大小排序的前十名基金投资明细</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1046"/>
        <w:gridCol w:w="1046"/>
        <w:gridCol w:w="1046"/>
        <w:gridCol w:w="1126"/>
        <w:gridCol w:w="1046"/>
        <w:gridCol w:w="1896"/>
        <w:gridCol w:w="1316"/>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1159"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1158" w:type="dxa"/>
            <w:vAlign w:val="center"/>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基金名称</w:t>
            </w:r>
          </w:p>
        </w:tc>
        <w:tc>
          <w:tcPr>
            <w:tcW w:w="1158" w:type="dxa"/>
            <w:vAlign w:val="center"/>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基金类型</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运作方式</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管理人</w:t>
            </w:r>
          </w:p>
        </w:tc>
        <w:tc>
          <w:tcPr>
            <w:tcW w:w="1302"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公允价值</w:t>
            </w:r>
            <w:r w:rsidRPr="00D3689E">
              <w:rPr>
                <w:rFonts w:asciiTheme="minorEastAsia" w:eastAsiaTheme="minorEastAsia" w:hAnsiTheme="minorEastAsia"/>
                <w:color w:val="000000" w:themeColor="text1"/>
              </w:rPr>
              <w:br/>
              <w:t>（人民币元）</w:t>
            </w:r>
          </w:p>
        </w:tc>
        <w:tc>
          <w:tcPr>
            <w:tcW w:w="1420"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占基金资产净值比例（%）</w:t>
            </w:r>
          </w:p>
        </w:tc>
      </w:tr>
      <w:tr>
        <w:tblPrEx>
          <w:tblW w:w="0" w:type="auto"/>
          <w:tblLook w:val="04A0"/>
        </w:tblPrEx>
        <w:tc>
          <w:tcPr>
            <w:tcW w:w="1159"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股票型</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交易型开放式（ETF）</w:t>
            </w:r>
          </w:p>
        </w:tc>
        <w:tc>
          <w:tcPr>
            <w:tcW w:w="115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w:t>
            </w:r>
          </w:p>
        </w:tc>
        <w:tc>
          <w:tcPr>
            <w:tcW w:w="1302"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9,342,053,959.49</w:t>
            </w:r>
          </w:p>
        </w:tc>
        <w:tc>
          <w:tcPr>
            <w:tcW w:w="1420"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94.04</w:t>
            </w:r>
          </w:p>
        </w:tc>
      </w:tr>
    </w:tbl>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11、投资组合报告附注</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 基金管理人未发现本基金投资的前十名证券的发行主体出现本期被监管部门立案调查，或在报告编制日前一年内受到公开谴责、处罚的情形。</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 本基金本报告期末未持有股票，不存在投资的前十名股票超出基金合同规定的备选股票库情况。</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 其他资产构成</w:t>
      </w: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
      <w:tblGrid>
        <w:gridCol w:w="944"/>
        <w:gridCol w:w="2761"/>
        <w:gridCol w:w="4808"/>
      </w:tblGrid>
      <w:tr>
        <w:tblPrEx>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序号</w:t>
            </w:r>
          </w:p>
        </w:tc>
        <w:tc>
          <w:tcPr>
            <w:tcW w:w="2761"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名称</w:t>
            </w:r>
          </w:p>
        </w:tc>
        <w:tc>
          <w:tcPr>
            <w:tcW w:w="4808"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金额（人民币元）</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存出保证金</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8,387,982.05</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应收证券清算款</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应收股利</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应收利息</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应收申购款</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20,931,021.17</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其他应收款</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其他</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tblPrEx>
          <w:tblW w:w="0" w:type="auto"/>
          <w:tblLook w:val="04A0"/>
        </w:tblPrEx>
        <w:tc>
          <w:tcPr>
            <w:tcW w:w="944" w:type="dxa"/>
            <w:vAlign w:val="center"/>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8</w:t>
            </w:r>
          </w:p>
        </w:tc>
        <w:tc>
          <w:tcPr>
            <w:tcW w:w="2761" w:type="dxa"/>
            <w:vAlign w:val="center"/>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合计</w:t>
            </w:r>
          </w:p>
        </w:tc>
        <w:tc>
          <w:tcPr>
            <w:tcW w:w="4808" w:type="dxa"/>
            <w:vAlign w:val="center"/>
          </w:tcPr>
          <w:p w:rsidR="00007E6D" w:rsidRPr="00D3689E">
            <w:pPr>
              <w:jc w:val="righ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29,319,003.22</w:t>
            </w:r>
          </w:p>
        </w:tc>
      </w:tr>
    </w:tbl>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 报告期末持有的处于转股期的可转换债券明细</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本基金本报告期末未持有处于转股期的可转换债券。</w:t>
      </w:r>
    </w:p>
    <w:p w:rsidR="00007E6D" w:rsidRPr="00D3689E">
      <w:pPr>
        <w:spacing w:line="360" w:lineRule="auto"/>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 报告期末前十名股票中存在流通受限情况的说明</w:t>
      </w:r>
    </w:p>
    <w:p w:rsidR="00007E6D" w:rsidRPr="00D3689E">
      <w:pPr>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本基金本报告期末未持有股票。</w:t>
      </w:r>
      <w:r w:rsidRPr="00D3689E">
        <w:rPr>
          <w:rFonts w:asciiTheme="minorEastAsia" w:eastAsiaTheme="minorEastAsia" w:hAnsiTheme="minorEastAsia"/>
          <w:color w:val="000000" w:themeColor="text1"/>
        </w:rPr>
        <w:br w:type="page"/>
      </w:r>
    </w:p>
    <w:p w:rsidR="00417C26" w:rsidRPr="00D3689E" w:rsidP="00417C26">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109" w:name="_Toc169103835"/>
      <w:r w:rsidRPr="00D3689E">
        <w:rPr>
          <w:rFonts w:asciiTheme="minorEastAsia" w:eastAsiaTheme="minorEastAsia" w:hAnsiTheme="minorEastAsia" w:hint="eastAsia"/>
          <w:color w:val="000000" w:themeColor="text1"/>
        </w:rPr>
        <w:t>基金的业绩</w:t>
      </w:r>
      <w:bookmarkEnd w:id="109"/>
    </w:p>
    <w:p w:rsidR="008D6396" w:rsidRPr="00D3689E" w:rsidP="00172767">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4C43ED" w:rsidRPr="00D3689E" w:rsidP="004C43ED">
      <w:pPr>
        <w:spacing w:before="5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rPr>
        <w:t>本基金合同生效日为2019年1月18日，基金合同生效以来（截至2022年12月31日）的投资业绩及与同期基准的比较如下表所示：</w:t>
      </w:r>
    </w:p>
    <w:p w:rsidR="002E723B" w:rsidRPr="00D3689E" w:rsidP="00E95DC2">
      <w:pPr>
        <w:spacing w:before="50"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、易方达中证海外互联网</w:t>
      </w:r>
      <w:r w:rsidRPr="00D3689E">
        <w:rPr>
          <w:rFonts w:asciiTheme="minorEastAsia" w:eastAsiaTheme="minorEastAsia" w:hAnsiTheme="minorEastAsia"/>
          <w:color w:val="000000" w:themeColor="text1"/>
        </w:rPr>
        <w:t>50ETF</w:t>
      </w:r>
      <w:r w:rsidRPr="00D3689E">
        <w:rPr>
          <w:rFonts w:asciiTheme="minorEastAsia" w:eastAsiaTheme="minorEastAsia" w:hAnsiTheme="minorEastAsia" w:hint="eastAsia"/>
          <w:color w:val="000000" w:themeColor="text1"/>
        </w:rPr>
        <w:t>联接人民币</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类基金份额净值增长率与同期业绩比较基准收益率比较</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332"/>
        <w:gridCol w:w="1440"/>
        <w:gridCol w:w="1260"/>
        <w:gridCol w:w="1260"/>
        <w:gridCol w:w="1260"/>
        <w:gridCol w:w="1080"/>
      </w:tblGrid>
      <w:tr w:rsidTr="006D03CB">
        <w:tblPrEx>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28"/>
        </w:trPr>
        <w:tc>
          <w:tcPr>
            <w:tcW w:w="1879" w:type="dxa"/>
            <w:tcBorders>
              <w:top w:val="single" w:sz="4" w:space="0" w:color="auto"/>
              <w:left w:val="single" w:sz="4" w:space="0" w:color="auto"/>
              <w:bottom w:val="single" w:sz="4" w:space="0" w:color="auto"/>
              <w:right w:val="single" w:sz="4" w:space="0" w:color="auto"/>
            </w:tcBorders>
          </w:tcPr>
          <w:p w:rsidR="002E723B" w:rsidRPr="00D3689E" w:rsidP="006D03CB">
            <w:pPr>
              <w:rPr>
                <w:rFonts w:asciiTheme="minorEastAsia" w:eastAsiaTheme="minorEastAsia" w:hAnsiTheme="minorEastAsia"/>
                <w:color w:val="000000" w:themeColor="text1"/>
                <w:szCs w:val="21"/>
              </w:rPr>
            </w:pPr>
          </w:p>
          <w:p w:rsidR="002E723B" w:rsidRPr="00D3689E" w:rsidP="006D03CB">
            <w:pPr>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（2）-（4）</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自基金合同生效日至2019年12月31日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12.66%</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24.75%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1.30%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-12.09%</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-0.15%</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2020年1月1日至2020年12月31日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40.41%</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1.95%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44.60%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-4.19%</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-0.05%</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2021年1月1日至2021年12月31日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-39.58%</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2.11%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-39.42%</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-0.16%</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-0.10%</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2022年1月1日至2022年12月31日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-15.60%</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3.37%</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-15.51%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3.53%</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-0.09%</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-0.16%</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自基金合同生效日至2022年12月31日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-19.33%</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2.30%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-7.67%</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2.41%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-11.66%</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-0.11%</w:t>
            </w:r>
          </w:p>
        </w:tc>
      </w:tr>
    </w:tbl>
    <w:p w:rsidR="002E723B" w:rsidRPr="00D3689E" w:rsidP="00E95DC2">
      <w:pPr>
        <w:spacing w:before="50"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、易方达中证海外互联网</w:t>
      </w:r>
      <w:r w:rsidRPr="00D3689E">
        <w:rPr>
          <w:rFonts w:asciiTheme="minorEastAsia" w:eastAsiaTheme="minorEastAsia" w:hAnsiTheme="minorEastAsia"/>
          <w:color w:val="000000" w:themeColor="text1"/>
        </w:rPr>
        <w:t>50ETF</w:t>
      </w:r>
      <w:r w:rsidRPr="00D3689E">
        <w:rPr>
          <w:rFonts w:asciiTheme="minorEastAsia" w:eastAsiaTheme="minorEastAsia" w:hAnsiTheme="minorEastAsia" w:hint="eastAsia"/>
          <w:color w:val="000000" w:themeColor="text1"/>
        </w:rPr>
        <w:t>联接人民币</w:t>
      </w:r>
      <w:r w:rsidRPr="00D3689E">
        <w:rPr>
          <w:rFonts w:asciiTheme="minorEastAsia" w:eastAsiaTheme="minorEastAsia" w:hAnsiTheme="minorEastAsia"/>
          <w:color w:val="000000" w:themeColor="text1"/>
        </w:rPr>
        <w:t>C</w:t>
      </w:r>
      <w:r w:rsidRPr="00D3689E">
        <w:rPr>
          <w:rFonts w:asciiTheme="minorEastAsia" w:eastAsiaTheme="minorEastAsia" w:hAnsiTheme="minorEastAsia" w:hint="eastAsia"/>
          <w:color w:val="000000" w:themeColor="text1"/>
        </w:rPr>
        <w:t>类基金份额净值增长率与同期业绩比较基准收益率比较</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9"/>
        <w:gridCol w:w="1332"/>
        <w:gridCol w:w="1440"/>
        <w:gridCol w:w="1260"/>
        <w:gridCol w:w="1260"/>
        <w:gridCol w:w="1260"/>
        <w:gridCol w:w="1080"/>
      </w:tblGrid>
      <w:tr w:rsidTr="006D03CB">
        <w:tblPrEx>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128"/>
        </w:trPr>
        <w:tc>
          <w:tcPr>
            <w:tcW w:w="1879" w:type="dxa"/>
            <w:tcBorders>
              <w:top w:val="single" w:sz="4" w:space="0" w:color="auto"/>
              <w:left w:val="single" w:sz="4" w:space="0" w:color="auto"/>
              <w:bottom w:val="single" w:sz="4" w:space="0" w:color="auto"/>
              <w:right w:val="single" w:sz="4" w:space="0" w:color="auto"/>
            </w:tcBorders>
          </w:tcPr>
          <w:p w:rsidR="002E723B" w:rsidRPr="00D3689E" w:rsidP="006D03CB">
            <w:pPr>
              <w:rPr>
                <w:rFonts w:asciiTheme="minorEastAsia" w:eastAsiaTheme="minorEastAsia" w:hAnsiTheme="minorEastAsia"/>
                <w:color w:val="000000" w:themeColor="text1"/>
                <w:szCs w:val="21"/>
              </w:rPr>
            </w:pPr>
          </w:p>
          <w:p w:rsidR="002E723B" w:rsidRPr="00D3689E" w:rsidP="006D03CB">
            <w:pPr>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阶段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723B" w:rsidRPr="00D3689E" w:rsidP="006D03CB">
            <w:pP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（2）-（4）</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自基金合同生效日至2019年12月31日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11.70%</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24.75%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1.30%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-13.05%</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-0.15%</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2020年1月1日至2020年12月31日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39.86%</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1.95%</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44.60%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-4.74%</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-0.05%</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2021年1月1日至2021年12月31日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-39.80%</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2.11%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-39.42%</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-0.38%</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-0.10%</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2022年1月1日至2022年12月31日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-15.95%</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3.37%</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-15.51%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3.53%</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-0.44%</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-0.16%</w:t>
            </w:r>
          </w:p>
        </w:tc>
      </w:tr>
      <w:tr>
        <w:tblPrEx>
          <w:tblW w:w="9511" w:type="dxa"/>
          <w:tblInd w:w="-318" w:type="dxa"/>
          <w:tblLayout w:type="fixed"/>
          <w:tblLook w:val="0000"/>
        </w:tblPrEx>
        <w:tc>
          <w:tcPr>
            <w:tcW w:w="1879"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自基金合同生效日至2022年12月31日</w:t>
            </w:r>
          </w:p>
        </w:tc>
        <w:tc>
          <w:tcPr>
            <w:tcW w:w="1332"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-20.96%</w:t>
            </w:r>
          </w:p>
        </w:tc>
        <w:tc>
          <w:tcPr>
            <w:tcW w:w="144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2.30%</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-7.67%</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2.41%</w:t>
            </w:r>
          </w:p>
        </w:tc>
        <w:tc>
          <w:tcPr>
            <w:tcW w:w="126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-13.29%</w:t>
            </w:r>
          </w:p>
        </w:tc>
        <w:tc>
          <w:tcPr>
            <w:tcW w:w="1080" w:type="dxa"/>
          </w:tcPr>
          <w:p w:rsidR="00007E6D"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-0.11%</w:t>
            </w:r>
          </w:p>
        </w:tc>
      </w:tr>
    </w:tbl>
    <w:p w:rsidR="00285A97" w:rsidRPr="00D3689E" w:rsidP="00D02A47">
      <w:pPr>
        <w:spacing w:before="50"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注：（1）同期业绩比较基准已经转换为以人民币计价。</w:t>
      </w:r>
    </w:p>
    <w:p w:rsidR="00285A97" w:rsidRPr="00D3689E" w:rsidP="00D02A47">
      <w:pPr>
        <w:spacing w:before="50"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（2）上述净值表现数据按照《证券投资基金信息披露编报规则第2号&lt;基金净值表现的编制及披露&gt;》的相关规定编制。</w:t>
      </w:r>
    </w:p>
    <w:p w:rsidR="006454DD" w:rsidRPr="00D3689E" w:rsidP="00D02A47">
      <w:pPr>
        <w:spacing w:before="50"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3）</w:t>
      </w:r>
      <w:r w:rsidRPr="00D3689E">
        <w:rPr>
          <w:rFonts w:asciiTheme="minorEastAsia" w:eastAsiaTheme="minorEastAsia" w:hAnsiTheme="minorEastAsia"/>
          <w:color w:val="000000" w:themeColor="text1"/>
        </w:rPr>
        <w:t>本基金历任基金经理情况：FAN BING（范冰），管理时间为2019年1月18日至2024年6月7日。</w:t>
      </w:r>
    </w:p>
    <w:p w:rsidR="0064594E" w:rsidRPr="00D3689E" w:rsidP="00A8438B">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110" w:name="_Toc169103836"/>
      <w:r w:rsidRPr="00D3689E">
        <w:rPr>
          <w:rFonts w:asciiTheme="minorEastAsia" w:eastAsiaTheme="minorEastAsia" w:hAnsiTheme="minorEastAsia" w:hint="eastAsia"/>
          <w:color w:val="000000" w:themeColor="text1"/>
        </w:rPr>
        <w:t>基金管理人</w:t>
      </w:r>
      <w:bookmarkEnd w:id="110"/>
    </w:p>
    <w:p w:rsidR="00E040B6" w:rsidRPr="00D3689E" w:rsidP="00CF5EDA">
      <w:pPr>
        <w:spacing w:line="360" w:lineRule="auto"/>
        <w:ind w:firstLine="420"/>
        <w:rPr>
          <w:rFonts w:asciiTheme="minorEastAsia" w:eastAsiaTheme="minorEastAsia" w:hAnsiTheme="minorEastAsia"/>
          <w:color w:val="000000" w:themeColor="text1"/>
        </w:rPr>
      </w:pPr>
    </w:p>
    <w:p w:rsidR="00E040B6" w:rsidRPr="00D3689E" w:rsidP="00E040B6">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一、基金管理人基本情况</w:t>
      </w:r>
    </w:p>
    <w:p w:rsidR="00E040B6" w:rsidRPr="00D3689E" w:rsidP="00E040B6">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、基金管理人：易方达基金管理有限公司</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注册地址：广东省珠海市横琴新区荣粤道188号6层</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办公地址：广州市天河区珠江新城珠江东路30号广州银行大厦40-43楼</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设立日期：2001年4月17日</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法定代表人：刘晓艳</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联系电话：400 881 8088</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联系人：</w:t>
      </w:r>
      <w:r w:rsidRPr="00D3689E" w:rsidR="00FD5013">
        <w:rPr>
          <w:rFonts w:asciiTheme="minorEastAsia" w:eastAsiaTheme="minorEastAsia" w:hAnsiTheme="minorEastAsia"/>
          <w:color w:val="000000" w:themeColor="text1"/>
          <w:szCs w:val="21"/>
        </w:rPr>
        <w:t>李红枫</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注册资本：13,244.2万元人民币</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批准设立机关及文号：中国证券监督管理委员会，证监基金字[2001]4号</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经营范围：公开募集证券投资基金管理、基金销售、特定客户资产管理</w:t>
      </w:r>
    </w:p>
    <w:p w:rsidR="00E040B6" w:rsidRPr="00D3689E" w:rsidP="00E040B6">
      <w:pPr>
        <w:pStyle w:val="PlainText"/>
        <w:adjustRightInd w:val="0"/>
        <w:spacing w:line="360" w:lineRule="auto"/>
        <w:ind w:firstLine="422"/>
        <w:textAlignment w:val="baseline"/>
        <w:rPr>
          <w:rFonts w:asciiTheme="minorEastAsia" w:eastAsiaTheme="minorEastAsia" w:hAnsiTheme="minorEastAsia" w:cs="Times New Roman"/>
          <w:bCs/>
          <w:color w:val="000000" w:themeColor="text1"/>
          <w:kern w:val="0"/>
          <w:szCs w:val="24"/>
        </w:rPr>
      </w:pPr>
      <w:r w:rsidRPr="00D3689E">
        <w:rPr>
          <w:rFonts w:asciiTheme="minorEastAsia" w:eastAsiaTheme="minorEastAsia" w:hAnsiTheme="minorEastAsia" w:hint="eastAsia"/>
          <w:color w:val="000000" w:themeColor="text1"/>
          <w:kern w:val="0"/>
        </w:rPr>
        <w:t>2、股权结构</w:t>
      </w:r>
    </w:p>
    <w:tbl>
      <w:tblPr>
        <w:tblW w:w="6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2"/>
        <w:gridCol w:w="1837"/>
      </w:tblGrid>
      <w:tr w:rsidTr="00D81BB0">
        <w:tblPrEx>
          <w:tblW w:w="6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362" w:type="dxa"/>
            <w:vAlign w:val="center"/>
          </w:tcPr>
          <w:p w:rsidR="00E040B6" w:rsidRPr="00D3689E" w:rsidP="00D81BB0">
            <w:pPr>
              <w:spacing w:line="360" w:lineRule="auto"/>
              <w:ind w:firstLine="49"/>
              <w:jc w:val="center"/>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股东名称</w:t>
            </w:r>
          </w:p>
        </w:tc>
        <w:tc>
          <w:tcPr>
            <w:tcW w:w="1837" w:type="dxa"/>
            <w:vAlign w:val="center"/>
          </w:tcPr>
          <w:p w:rsidR="00E040B6" w:rsidRPr="00D3689E" w:rsidP="00D81BB0">
            <w:pPr>
              <w:spacing w:line="360" w:lineRule="auto"/>
              <w:ind w:firstLine="3"/>
              <w:jc w:val="center"/>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出资比例</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广东粤财信托有限公司</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22.6514％</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广发证券股份有限公司</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22.6514％</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盈峰集团有限公司</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22.6514％</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广东省广晟控股集团有限公司</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15.1010％</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广州市广永国有资产经营有限公司</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7.5505％</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珠海祺荣宝投资合伙企业（有限合伙）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1.5087％</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珠海祺泰宝投资合伙企业（有限合伙）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1.6205％</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珠海祺丰宝投资合伙企业（有限合伙）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1.5309％</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珠海聚莱康投资合伙企业（有限合伙）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1.7558％</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珠海聚宁康投资合伙企业（有限合伙）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1.4396％</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珠海聚弘康投资合伙企业（有限合伙）</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1.5388％</w:t>
            </w:r>
          </w:p>
        </w:tc>
      </w:tr>
      <w:tr>
        <w:tblPrEx>
          <w:tblW w:w="6199" w:type="dxa"/>
          <w:jc w:val="center"/>
          <w:tblLayout w:type="fixed"/>
          <w:tblLook w:val="0000"/>
        </w:tblPrEx>
        <w:trPr>
          <w:jc w:val="center"/>
        </w:trPr>
        <w:tc>
          <w:tcPr>
            <w:tcW w:w="4362"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总   计</w:t>
            </w:r>
          </w:p>
        </w:tc>
        <w:tc>
          <w:tcPr>
            <w:tcW w:w="1837"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100％</w:t>
            </w:r>
          </w:p>
        </w:tc>
      </w:tr>
    </w:tbl>
    <w:p w:rsidR="00E040B6" w:rsidRPr="00D3689E" w:rsidP="00E040B6">
      <w:pPr>
        <w:spacing w:line="360" w:lineRule="auto"/>
        <w:ind w:firstLine="420"/>
        <w:rPr>
          <w:rFonts w:asciiTheme="minorEastAsia" w:eastAsiaTheme="minorEastAsia" w:hAnsiTheme="minorEastAsia"/>
          <w:color w:val="000000" w:themeColor="text1"/>
        </w:rPr>
      </w:pPr>
    </w:p>
    <w:p w:rsidR="00E040B6" w:rsidRPr="00D3689E" w:rsidP="00E040B6">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二、主要人员情况</w:t>
      </w:r>
    </w:p>
    <w:p w:rsidR="00E040B6" w:rsidRPr="00D3689E" w:rsidP="0093363C">
      <w:pPr>
        <w:pStyle w:val="a"/>
        <w:autoSpaceDE w:val="0"/>
        <w:autoSpaceDN w:val="0"/>
        <w:adjustRightInd w:val="0"/>
        <w:spacing w:line="360" w:lineRule="auto"/>
        <w:ind w:firstLine="420" w:firstLineChars="200"/>
        <w:rPr>
          <w:rFonts w:asciiTheme="minorEastAsia" w:eastAsiaTheme="minorEastAsia" w:hAnsiTheme="minorEastAsia" w:cs="Courier New"/>
          <w:color w:val="000000" w:themeColor="text1"/>
          <w:kern w:val="0"/>
          <w:szCs w:val="21"/>
          <w:lang w:val="x-none" w:eastAsia="x-none"/>
        </w:rPr>
      </w:pPr>
      <w:r w:rsidRPr="00D3689E">
        <w:rPr>
          <w:rFonts w:asciiTheme="minorEastAsia" w:eastAsiaTheme="minorEastAsia" w:hAnsiTheme="minorEastAsia" w:cs="Courier New"/>
          <w:color w:val="000000" w:themeColor="text1"/>
          <w:kern w:val="0"/>
          <w:szCs w:val="21"/>
          <w:lang w:val="x-none" w:eastAsia="x-none"/>
        </w:rPr>
        <w:t>1</w:t>
      </w:r>
      <w:r w:rsidRPr="00D3689E">
        <w:rPr>
          <w:rFonts w:asciiTheme="minorEastAsia" w:eastAsiaTheme="minorEastAsia" w:hAnsiTheme="minorEastAsia" w:cs="Courier New" w:hint="eastAsia"/>
          <w:color w:val="000000" w:themeColor="text1"/>
          <w:kern w:val="0"/>
          <w:szCs w:val="21"/>
          <w:lang w:val="x-none" w:eastAsia="x-none"/>
        </w:rPr>
        <w:t>、董事、监事及高级管理人员</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詹余引先生，工商管理博士。现任易方达基金管理有限公司董事长，易方达国际控股</w:t>
      </w:r>
      <w:r w:rsidRPr="00D3689E">
        <w:rPr>
          <w:rFonts w:asciiTheme="minorEastAsia" w:eastAsiaTheme="minorEastAsia" w:hAnsiTheme="minorEastAsia" w:hint="eastAsia"/>
          <w:color w:val="000000" w:themeColor="text1"/>
        </w:rPr>
        <w:t>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刘晓艳女士，经济学博士。现任易方达基金管理有限公司董事长（联席）、总经理，易方达国际控股有限公司董事，广州投资顾问学院管理有限公司董事。曾任广发证券有限责任公司投资理财部副经理、基金经理、基金投资理财部副总经理，易方达基金管理有限公司督察员、监察部总经理、总裁助理、市场总监、副总经理、副董事长，易方达资产管理有限公司董事，易方达资产管理（香港）有限公司董事长。</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周泽群先生，高级管理人员工商管理硕士（</w:t>
      </w:r>
      <w:r w:rsidRPr="00D3689E">
        <w:rPr>
          <w:rFonts w:asciiTheme="minorEastAsia" w:eastAsiaTheme="minorEastAsia" w:hAnsiTheme="minorEastAsia"/>
          <w:color w:val="000000" w:themeColor="text1"/>
        </w:rPr>
        <w:t>EMBA</w:t>
      </w:r>
      <w:r w:rsidRPr="00D3689E">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深圳弘峰企业管理有限公司副董事长，大自然家居（中国）有限公司董事，顾家家居股份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邓谦先生，管理学硕士。现任易方达基金管理有限公司董事，广东省广晟控股集团有</w:t>
      </w:r>
      <w:r w:rsidRPr="00D3689E">
        <w:rPr>
          <w:rFonts w:asciiTheme="minorEastAsia" w:eastAsiaTheme="minorEastAsia" w:hAnsiTheme="minorEastAsia" w:hint="eastAsia"/>
          <w:color w:val="000000" w:themeColor="text1"/>
        </w:rPr>
        <w:t>限公司资本运营部部长，广东省广晟资本投资有限公司董事。曾任深圳市中金岭南有色金属股份有限公司总经理办公室秘书、企业管理部主管、企业发展部高级主管、投资发展部副总经理，深圳市中金岭南先进材料有限公司总经理助理、副总经理，广东省广晟控股集团有限公司海外发展部副部长、海外发展部部长、董事会办公室主任，广晟投资发展有限公司董事长兼总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广东神朗律师事务所兼职律师，深圳市美之高科技股份有限公司独立董事，艾尔玛科技股份有限公司独立董事，祥鑫科技股份有限公司独立董事。曾任美国天普大学法学院访问副教授，广东凯金新能源科技股份有限公司独立董事，江苏凯强医学检验有限公司董事，广东茉莉数字科技集团股份有限公司独立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高建先生，工学博士。现任易方达基金管理有限公司独立董事，清华大学经济管理学院教授、博士生导师、学术委员会副主任，固生堂控股有限公司非执行董事</w:t>
      </w:r>
      <w:r w:rsidRPr="00D3689E">
        <w:rPr>
          <w:rFonts w:asciiTheme="minorEastAsia" w:eastAsiaTheme="minorEastAsia" w:hAnsiTheme="minorEastAsia"/>
          <w:color w:val="000000" w:themeColor="text1"/>
        </w:rPr>
        <w:t xml:space="preserve">, </w:t>
      </w:r>
      <w:r w:rsidRPr="00D3689E">
        <w:rPr>
          <w:rFonts w:asciiTheme="minorEastAsia" w:eastAsiaTheme="minorEastAsia" w:hAnsiTheme="minorEastAsia" w:hint="eastAsia"/>
          <w:color w:val="000000" w:themeColor="text1"/>
        </w:rPr>
        <w:t>南通苏锡通控股集团有限公司创业投资决策委员会外聘专家委员。曾任重庆建筑工程学院建筑管理工程系助教、讲师、教研室副主任，清华大学经济管理学院讲师、副教授、技术经济与管理系主任、创新创业与战略系主任、院长助理、副院长、党委书记，山东新北洋信息技术股份有限公司独立董事，中融人寿保险股份有限公司独立董事</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深圳市力合科创股份有限公司独立董事。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曾任哥伦比亚大学经济学讲师，加州大学洛杉矶分校安德森管理学院助理教授、副教授、终身教授，长江商学院行政副院长、</w:t>
      </w:r>
      <w:r w:rsidRPr="00D3689E">
        <w:rPr>
          <w:rFonts w:asciiTheme="minorEastAsia" w:eastAsiaTheme="minorEastAsia" w:hAnsiTheme="minorEastAsia"/>
          <w:color w:val="000000" w:themeColor="text1"/>
        </w:rPr>
        <w:t>DBA</w:t>
      </w:r>
      <w:r w:rsidRPr="00D3689E">
        <w:rPr>
          <w:rFonts w:asciiTheme="minorEastAsia" w:eastAsiaTheme="minorEastAsia" w:hAnsiTheme="minorEastAsia" w:hint="eastAsia"/>
          <w:color w:val="000000" w:themeColor="text1"/>
        </w:rPr>
        <w:t>项目副院长、创创社区项目发起人兼副院长，云南白药集团股份有限公司独立董事，瑞士银行（中国）有限公司独立董事，秦川机床工具集团股份公司独立董事，浙江红蜻蜓鞋业股份有限公司独立董事，中国天伦燃气控股有限公司独立非执行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刘发宏先生，工商管理硕士。现任易方达基金管理有限公司监事会主席，广东粤财融资担保集团有限公司监事长，广东省融资再担保有限责任公司监事。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w:t>
      </w:r>
      <w:r w:rsidRPr="00D3689E">
        <w:rPr>
          <w:rFonts w:asciiTheme="minorEastAsia" w:eastAsiaTheme="minorEastAsia" w:hAnsiTheme="minorEastAsia" w:hint="eastAsia"/>
          <w:color w:val="000000" w:themeColor="text1"/>
        </w:rPr>
        <w:t>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危勇先生，经济学博士。现任易方达基金管理有限公司监事，广州市广永国有资产经营有限公司董事长，广州银行股份有限公司董事，广州广永科技发展有限公司董事长、总经理。曾任中国水利水电第八工程局三产实业开发部秘书，中国人民银行广州分行统计研究处干部、货币信贷管理处主任科员、营管部综合处助理调研员，广州金融控股集团有限公司行政办公室主任，广州市广永国有资产经营有限公司总裁，广州金融资产交易中心有限公司董事，广州股权交易中心有限公司董事，广州广永丽都酒店有限公司董事长，万联证券股份有限公司监事，广州广永股权投资基金管理有限公司董事长，广州赛马娱乐总公司董事，广州广永投资管理有限公司董事长。</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廖智先生，经济学硕士。现任易方达基金管理有限公司监事、总裁助理、党群工作部联席总经理，易方达资产管理有限公司监事，易方达私募基金管理有限公司监事，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刘炜先生，工商管理硕士（</w:t>
      </w:r>
      <w:r w:rsidRPr="00D3689E">
        <w:rPr>
          <w:rFonts w:asciiTheme="minorEastAsia" w:eastAsiaTheme="minorEastAsia" w:hAnsiTheme="minorEastAsia"/>
          <w:color w:val="000000" w:themeColor="text1"/>
        </w:rPr>
        <w:t>EMBA</w:t>
      </w:r>
      <w:r w:rsidRPr="00D3689E">
        <w:rPr>
          <w:rFonts w:asciiTheme="minorEastAsia" w:eastAsiaTheme="minorEastAsia" w:hAnsiTheme="minorEastAsia" w:hint="eastAsia"/>
          <w:color w:val="000000" w:themeColor="text1"/>
        </w:rPr>
        <w:t>）、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吴欣荣先生，工学硕士。现任易方达基金管理有限公司执行总经理、权益投资决策委员会委员，易方达资产管理（香港）有限公司董事。曾任易方达基金管理有限公司研究员、投资管理部经理、基金经理、基金投资部副总经理、研究部副总经理、研究部总经理、基</w:t>
      </w:r>
      <w:r w:rsidRPr="00D3689E">
        <w:rPr>
          <w:rFonts w:asciiTheme="minorEastAsia" w:eastAsiaTheme="minorEastAsia" w:hAnsiTheme="minorEastAsia" w:hint="eastAsia"/>
          <w:color w:val="000000" w:themeColor="text1"/>
        </w:rPr>
        <w:t>金投资部总经理、总裁助理、公募基金投资部总经理、权益投资总部总经理、权益投资总监、副总经理级高级管理人员，易方达国际控股有限公司董事。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马骏先生，工商管理硕士（</w:t>
      </w:r>
      <w:r w:rsidRPr="00D3689E">
        <w:rPr>
          <w:rFonts w:asciiTheme="minorEastAsia" w:eastAsiaTheme="minorEastAsia" w:hAnsiTheme="minorEastAsia"/>
          <w:color w:val="000000" w:themeColor="text1"/>
        </w:rPr>
        <w:t>EMBA</w:t>
      </w:r>
      <w:r w:rsidRPr="00D3689E">
        <w:rPr>
          <w:rFonts w:asciiTheme="minorEastAsia" w:eastAsiaTheme="minorEastAsia" w:hAnsiTheme="minorEastAsia" w:hint="eastAsia"/>
          <w:color w:val="000000" w:themeColor="text1"/>
        </w:rPr>
        <w:t>）。现任易方达基金管理有限公司副总经理级高级管理人员、固定收益投资决策委员会委员、基础设施资产管理委员会委员，易方达资产管理（香港）有限公司董事长、</w:t>
      </w:r>
      <w:r w:rsidRPr="00D3689E">
        <w:rPr>
          <w:rFonts w:asciiTheme="minorEastAsia" w:eastAsiaTheme="minorEastAsia" w:hAnsiTheme="minorEastAsia"/>
          <w:color w:val="000000" w:themeColor="text1"/>
        </w:rPr>
        <w:t>QFI</w:t>
      </w:r>
      <w:r w:rsidRPr="00D3689E">
        <w:rPr>
          <w:rFonts w:asciiTheme="minorEastAsia" w:eastAsiaTheme="minorEastAsia" w:hAnsiTheme="minorEastAsia" w:hint="eastAsia"/>
          <w:color w:val="000000" w:themeColor="text1"/>
        </w:rPr>
        <w:t>业务负责人、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娄利舟女士，工商管理硕士（</w:t>
      </w:r>
      <w:r w:rsidRPr="00D3689E">
        <w:rPr>
          <w:rFonts w:asciiTheme="minorEastAsia" w:eastAsiaTheme="minorEastAsia" w:hAnsiTheme="minorEastAsia"/>
          <w:color w:val="000000" w:themeColor="text1"/>
        </w:rPr>
        <w:t>EMBA</w:t>
      </w:r>
      <w:r w:rsidRPr="00D3689E">
        <w:rPr>
          <w:rFonts w:asciiTheme="minorEastAsia" w:eastAsiaTheme="minorEastAsia" w:hAnsiTheme="minorEastAsia" w:hint="eastAsia"/>
          <w:color w:val="000000" w:themeColor="text1"/>
        </w:rPr>
        <w:t>）、经济学硕士。现任易方达基金管理有限公司副总经理级高级管理人员、</w:t>
      </w:r>
      <w:r w:rsidRPr="00D3689E">
        <w:rPr>
          <w:rFonts w:asciiTheme="minorEastAsia" w:eastAsiaTheme="minorEastAsia" w:hAnsiTheme="minorEastAsia"/>
          <w:color w:val="000000" w:themeColor="text1"/>
        </w:rPr>
        <w:t>FOF</w:t>
      </w:r>
      <w:r w:rsidRPr="00D3689E">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FD5013"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高松凡先生，工商管理硕士（</w:t>
      </w:r>
      <w:r w:rsidRPr="00D3689E">
        <w:rPr>
          <w:rFonts w:asciiTheme="minorEastAsia" w:eastAsiaTheme="minorEastAsia" w:hAnsiTheme="minorEastAsia"/>
          <w:color w:val="000000" w:themeColor="text1"/>
        </w:rPr>
        <w:t>EMBA</w:t>
      </w:r>
      <w:r w:rsidRPr="00D3689E">
        <w:rPr>
          <w:rFonts w:asciiTheme="minorEastAsia" w:eastAsiaTheme="minorEastAsia" w:hAnsiTheme="minorEastAsia" w:hint="eastAsia"/>
          <w:color w:val="000000" w:themeColor="text1"/>
        </w:rPr>
        <w:t>）。现任易方达基金管理有限公司副总经理级高级管</w:t>
      </w:r>
      <w:r w:rsidRPr="00D3689E">
        <w:rPr>
          <w:rFonts w:asciiTheme="minorEastAsia" w:eastAsiaTheme="minorEastAsia" w:hAnsiTheme="minorEastAsia" w:hint="eastAsia"/>
          <w:color w:val="000000" w:themeColor="text1"/>
        </w:rPr>
        <w:t>理人员（首席养老金业务官）。曾任招商银行总行人事部高级经理、企业年金中心副主任，浦东发展银行总行企业年金部总经理，长江养老保险公司首席市场总监，易方达基金管理有限公司养老金业务总监。</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D3689E">
        <w:rPr>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D3689E">
        <w:rPr>
          <w:rFonts w:asciiTheme="minorEastAsia" w:eastAsiaTheme="minorEastAsia" w:hAnsiTheme="minorEastAsia" w:hint="eastAsia"/>
          <w:color w:val="000000" w:themeColor="text1"/>
        </w:rPr>
        <w:t>董事总经理、大中华地区高级副总裁、中国区行长。</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曾任中国人民银行广州分行统计研究处科员，易方达基金管理有限公司运作支持部经理、核算部总经理助理、核算部副总经理、核算部总经理、投资风险管理部总经理、总裁助理、董事会秘书、公司财务中心主任，易方达资产管理（香港）有限公司董事，易方达私募基金管理有限公司监事，易方达资产管理有限公司监事。</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冯波先生，经济学硕士。现任易方达基金管理有限公司副总经理级高级管理人员、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研究部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陈皓先生，管理学硕士。现任易方达基金管理有限公司副总经理级高级管理人员、投</w:t>
      </w:r>
      <w:r w:rsidRPr="00D3689E">
        <w:rPr>
          <w:rFonts w:asciiTheme="minorEastAsia" w:eastAsiaTheme="minorEastAsia" w:hAnsiTheme="minorEastAsia" w:hint="eastAsia"/>
          <w:color w:val="000000" w:themeColor="text1"/>
        </w:rPr>
        <w:t>资一部总经理、权益投资决策委员会委员、基金经理。曾任易方达基金管理有限公司行业研究员、基金经理助理、投资一部总经理助理、投资一部副总经理、投资经理。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易方达国际控股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全球投资客户部总经理，易方达资产管理（香港）有限公司董事。</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王玉女士，法学硕士。现任易方达基金管理有限公司督察长、内审稽核部总经理，易方达国际控股有限公司董事。曾在北京市国枫律师事务所、中国证监会工作，曾任易方达基金管理有限公司公司法律事务部总经理，易方达资产管理有限公司董事。</w:t>
      </w:r>
    </w:p>
    <w:p w:rsidR="00FD5013" w:rsidRPr="00D3689E" w:rsidP="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王骏先生，会计硕士。现任易方达基金管理有限公司副总经理级高级管理人员（首席市场官）、渠道与营销管理部总经理、产品设计与业务创新部总经理。曾在普华永道中天会计师事务所、证监会广东监管局工作，曾任易方达资产管理有限公司副总经理、合规风控负责人、常务副总经理、董事。</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2、基金经理</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余海燕女士，经济学硕士，本基金的基金经理。现任易方达基金管理有限公司指数投</w:t>
      </w:r>
      <w:r w:rsidRPr="00D3689E">
        <w:rPr>
          <w:rFonts w:asciiTheme="minorEastAsia" w:eastAsiaTheme="minorEastAsia" w:hAnsiTheme="minorEastAsia"/>
          <w:color w:val="000000" w:themeColor="text1"/>
        </w:rPr>
        <w:t>资部副总经理、指数投资决策委员会委员、基金经理。曾任汇丰银行Consumer Credit Risk信用风险分析师，华宝兴业基金管理有限公司分析师、基金经理助理、基金经理，易方达基金管理有限公司投资发展部产品经理。余海燕历任基金经理的基金如下：</w:t>
      </w:r>
    </w:p>
    <w:tbl>
      <w:tblPr>
        <w:tblStyle w:val="TableGrid"/>
        <w:tblW w:w="0" w:type="auto"/>
        <w:jc w:val="center"/>
        <w:tblLook w:val="04A0"/>
      </w:tblPr>
      <w:tblGrid>
        <w:gridCol w:w="4588"/>
        <w:gridCol w:w="1967"/>
        <w:gridCol w:w="1967"/>
      </w:tblGrid>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历任基金经理的基金</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任职时间</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离任时间</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易方达沪深300医药ETF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2013-09-23</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易方达沪深300非银ETF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2014-06-26</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易方达沪深300非银联接</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2015-01-22</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易方达中证500ETF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2016-04-16</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易方达沪深300ETF发起式</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2016-04-16</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易方达沪深300ETF发起式联接</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2016-04-16</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易方达中证海外中国互联网50（QDII-ETF）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2017-01-04</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易方达沪深300医药ETF联接</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2017-11-22</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易方达恒生国企联接（QDII）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2018-08-11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易方达恒生国企（QDII-ETF）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2018-08-11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易方达中证海外中国互联网50ETF联接（QDII）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2019-01-18</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易方达中证500ETF联接发起式</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2019-03-20</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易方达日兴资管日经225ETF（QDII）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2019-06-12</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易方达上证50ETF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2019-09-06</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易方达上证50ETF联接发起式</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2019-09-09</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易方达中证全指证券公司指数（LOF）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2022-11-01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易方达中证军工ETF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2022-11-01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易方达中证军工指数（LOF）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2022-11-01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易方达中证港股通互联网ETF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2023-05-31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易方达中证港股通互联网ETF联接发起式</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2023-09-21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易方达上证50分级</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2015-04-15</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2021-01-01</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易方达国企改革分级</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2015-06-15</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2021-01-01</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易方达军工分级</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2015-07-08</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2021-01-01</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易方达证券公司分级</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2015-07-08</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2021-01-01</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易方达中证军工ETF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2017-07-14</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2021-04-15</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易方达中证全指证券公司ETF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2017-07-27</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2021-04-15</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易方达黄金ETF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2018-08-11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2021-04-15</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易方达黄金ETF联接</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2018-08-11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2021-04-15</w:t>
            </w:r>
          </w:p>
        </w:tc>
      </w:tr>
    </w:tbl>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PAN LINGDAN（潘令旦）先生，理学硕士，本基金的基金经理。现任易方达基金管理有限公司基金经理，易方达资产管理（香港）有限公司基金经理。曾任德意志银行（英国）量化业务分析师、估值分析师，德意志资产管理公司基金经理，瑞士银行联合集团伦敦分行资产管理部基金经理，贝莱德投资管理（英国）有限公司基金经理。PAN LINGDAN（潘令旦）历任基金经理的基金如下：</w:t>
      </w:r>
    </w:p>
    <w:tbl>
      <w:tblPr>
        <w:tblStyle w:val="TableGrid"/>
        <w:tblW w:w="0" w:type="auto"/>
        <w:jc w:val="center"/>
        <w:tblLook w:val="04A0"/>
      </w:tblPr>
      <w:tblGrid>
        <w:gridCol w:w="4891"/>
        <w:gridCol w:w="2035"/>
        <w:gridCol w:w="1596"/>
      </w:tblGrid>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历任基金经理的基金</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任职时间</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b/>
                <w:color w:val="000000" w:themeColor="text1"/>
              </w:rPr>
              <w:t>离任时间</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易方达中证海外中国互联网50ETF联接（QDII）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易方达中证海外中国互联网50（QDII-ETF）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易方达恒生国企联接（QDII）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易方达恒生国企（QDII-ETF）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易方达恒生科技ETF联接（QDII）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易方达恒生科技ETF（QDII）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易方达标普500指数（QDII-LOF）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2023-09-23</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易方达标普信息科技指数（QDII-LOF）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2023-09-23</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易方达恒生ETF（QDII）</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2024-04-10</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r w:rsidTr="00E149F6">
        <w:tblPrEx>
          <w:tblW w:w="0" w:type="auto"/>
          <w:jc w:val="center"/>
          <w:tblLook w:val="04A0"/>
        </w:tblPrEx>
        <w:trPr>
          <w:jc w:val="center"/>
        </w:trPr>
        <w:tc>
          <w:tcPr>
            <w:tcW w:w="8640" w:type="dxa"/>
          </w:tcPr>
          <w:p w:rsidR="00FD5013" w:rsidRPr="00D3689E" w:rsidP="00E149F6">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易方达中证港股通消费主题ETF</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2024-06-08</w:t>
            </w:r>
          </w:p>
        </w:tc>
        <w:tc>
          <w:tcPr>
            <w:tcW w:w="2880" w:type="dxa"/>
          </w:tcPr>
          <w:p w:rsidR="00FD5013" w:rsidRPr="00D3689E" w:rsidP="00E149F6">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w:t>
            </w:r>
          </w:p>
        </w:tc>
      </w:tr>
    </w:tbl>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本基金历任基金经理情况：FAN BING（范冰），管理时间为2019年1月18日至2024年6月7日。</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3、指数投资决策委员会成员</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本公司指数投资决策委员会成员包括：林伟斌先生、余海燕女士、FAN BING（范冰）先生。</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林伟斌先生，易方达基金管理有限公司指数投资部总经理、基金经理。</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余海燕女士，同上。</w:t>
      </w:r>
    </w:p>
    <w:p w:rsidR="00FD5013" w:rsidRPr="00D3689E" w:rsidP="00FD5013">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FAN BING（范冰）先生，易方达基金管理有限公司</w:t>
      </w:r>
      <w:r w:rsidRPr="00D3689E" w:rsidR="0020761D">
        <w:rPr>
          <w:rFonts w:asciiTheme="minorEastAsia" w:eastAsiaTheme="minorEastAsia" w:hAnsiTheme="minorEastAsia"/>
          <w:color w:val="000000" w:themeColor="text1"/>
        </w:rPr>
        <w:t>指数投资决策委员会委员</w:t>
      </w:r>
      <w:r w:rsidRPr="00D3689E">
        <w:rPr>
          <w:rFonts w:asciiTheme="minorEastAsia" w:eastAsiaTheme="minorEastAsia" w:hAnsiTheme="minorEastAsia"/>
          <w:color w:val="000000" w:themeColor="text1"/>
        </w:rPr>
        <w:t>，易方达资产管理（香港）有限公司首席投资官（国际指数）、就证券提供意见负责人员（RO）、提供资产管理负责人员（RO）、投资决策委员会委员。</w:t>
      </w:r>
    </w:p>
    <w:p w:rsidR="00E040B6" w:rsidRPr="00D3689E" w:rsidP="00D3689E">
      <w:pPr>
        <w:spacing w:line="360" w:lineRule="auto"/>
        <w:ind w:firstLine="420"/>
        <w:rPr>
          <w:rFonts w:asciiTheme="minorEastAsia" w:eastAsiaTheme="minorEastAsia" w:hAnsiTheme="minorEastAsia"/>
          <w:color w:val="000000" w:themeColor="text1"/>
          <w:sz w:val="20"/>
          <w:szCs w:val="20"/>
        </w:rPr>
      </w:pPr>
      <w:r w:rsidRPr="00D3689E">
        <w:rPr>
          <w:rFonts w:asciiTheme="minorEastAsia" w:eastAsiaTheme="minorEastAsia" w:hAnsiTheme="minorEastAsia"/>
          <w:color w:val="000000" w:themeColor="text1"/>
        </w:rPr>
        <w:t>4</w:t>
      </w:r>
      <w:r w:rsidRPr="00D3689E" w:rsidR="008A06D5">
        <w:rPr>
          <w:rFonts w:asciiTheme="minorEastAsia" w:eastAsiaTheme="minorEastAsia" w:hAnsiTheme="minorEastAsia" w:hint="eastAsia"/>
          <w:color w:val="000000" w:themeColor="text1"/>
        </w:rPr>
        <w:t>、上述人员之间均不存在近亲属关系。</w:t>
      </w:r>
    </w:p>
    <w:p w:rsidR="00E040B6" w:rsidRPr="00D3689E" w:rsidP="00E040B6">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三、基金管理人的职责</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依法募集资金，办理或者委托经国务院证券监督管理机构认定的其他机构代为办理基金份额的发售、申购、赎回、转换和登记事宜；</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办理基金备案手续；</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对所管理的不同基金财产分别管理、分别记账，进行证券投资；</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按照基金合同的约定确定基金收益分配方案，及时向基金份额持有人分配收益；</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进行基金会计核算并编制基金财务会计报告；</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编制季度</w:t>
      </w:r>
      <w:r w:rsidRPr="00D3689E" w:rsidR="00E75260">
        <w:rPr>
          <w:rFonts w:asciiTheme="minorEastAsia" w:eastAsiaTheme="minorEastAsia" w:hAnsiTheme="minorEastAsia" w:hint="eastAsia"/>
          <w:color w:val="000000" w:themeColor="text1"/>
        </w:rPr>
        <w:t>报告</w:t>
      </w:r>
      <w:r w:rsidRPr="00D3689E">
        <w:rPr>
          <w:rFonts w:asciiTheme="minorEastAsia" w:eastAsiaTheme="minorEastAsia" w:hAnsiTheme="minorEastAsia" w:hint="eastAsia"/>
          <w:color w:val="000000" w:themeColor="text1"/>
        </w:rPr>
        <w:t>、</w:t>
      </w:r>
      <w:r w:rsidRPr="00D3689E" w:rsidR="00E75260">
        <w:rPr>
          <w:rFonts w:asciiTheme="minorEastAsia" w:eastAsiaTheme="minorEastAsia" w:hAnsiTheme="minorEastAsia" w:hint="eastAsia"/>
          <w:color w:val="000000" w:themeColor="text1"/>
        </w:rPr>
        <w:t>中期报告</w:t>
      </w:r>
      <w:r w:rsidRPr="00D3689E">
        <w:rPr>
          <w:rFonts w:asciiTheme="minorEastAsia" w:eastAsiaTheme="minorEastAsia" w:hAnsiTheme="minorEastAsia" w:hint="eastAsia"/>
          <w:color w:val="000000" w:themeColor="text1"/>
        </w:rPr>
        <w:t>和年度报告；</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计算并公告基金净值</w:t>
      </w:r>
      <w:r w:rsidRPr="00D3689E" w:rsidR="00E75260">
        <w:rPr>
          <w:rFonts w:asciiTheme="minorEastAsia" w:eastAsiaTheme="minorEastAsia" w:hAnsiTheme="minorEastAsia" w:hint="eastAsia"/>
          <w:color w:val="000000" w:themeColor="text1"/>
        </w:rPr>
        <w:t>信息</w:t>
      </w:r>
      <w:r w:rsidRPr="00D3689E">
        <w:rPr>
          <w:rFonts w:asciiTheme="minorEastAsia" w:eastAsiaTheme="minorEastAsia" w:hAnsiTheme="minorEastAsia" w:hint="eastAsia"/>
          <w:color w:val="000000" w:themeColor="text1"/>
        </w:rPr>
        <w:t>，确定基金份额申购、赎回价格；</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办理与基金财产管理业务活动有关的信息披露事项；</w:t>
      </w:r>
    </w:p>
    <w:p w:rsidR="00E040B6" w:rsidRPr="00D3689E" w:rsidP="00E040B6">
      <w:pPr>
        <w:numPr>
          <w:ilvl w:val="0"/>
          <w:numId w:val="3"/>
        </w:numPr>
        <w:tabs>
          <w:tab w:val="left" w:pos="735"/>
        </w:tabs>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召集基金份额持有人大会；</w:t>
      </w:r>
    </w:p>
    <w:p w:rsidR="00E040B6" w:rsidRPr="00D3689E" w:rsidP="00E040B6">
      <w:pPr>
        <w:tabs>
          <w:tab w:val="left" w:pos="735"/>
        </w:tabs>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10</w:t>
      </w:r>
      <w:r w:rsidRPr="00D3689E">
        <w:rPr>
          <w:rFonts w:asciiTheme="minorEastAsia" w:eastAsiaTheme="minorEastAsia" w:hAnsiTheme="minorEastAsia" w:hint="eastAsia"/>
          <w:color w:val="000000" w:themeColor="text1"/>
        </w:rPr>
        <w:t>、保存基金财产管理业务活动的记录、账册、报表和其他相关资料；</w:t>
      </w:r>
    </w:p>
    <w:p w:rsidR="00E040B6" w:rsidRPr="00D3689E" w:rsidP="00E040B6">
      <w:pPr>
        <w:tabs>
          <w:tab w:val="left" w:pos="735"/>
        </w:tabs>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11</w:t>
      </w:r>
      <w:r w:rsidRPr="00D3689E">
        <w:rPr>
          <w:rFonts w:asciiTheme="minorEastAsia" w:eastAsiaTheme="minorEastAsia" w:hAnsiTheme="minorEastAsia" w:hint="eastAsia"/>
          <w:color w:val="000000" w:themeColor="text1"/>
        </w:rPr>
        <w:t>、以基金管理人名义，代表基金份额持有人利益行使诉讼权利或者实施其他法律行为；</w:t>
      </w:r>
    </w:p>
    <w:p w:rsidR="00E040B6" w:rsidRPr="00D3689E" w:rsidP="00E040B6">
      <w:pPr>
        <w:tabs>
          <w:tab w:val="left" w:pos="735"/>
        </w:tabs>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12</w:t>
      </w:r>
      <w:r w:rsidRPr="00D3689E">
        <w:rPr>
          <w:rFonts w:asciiTheme="minorEastAsia" w:eastAsiaTheme="minorEastAsia" w:hAnsiTheme="minorEastAsia" w:hint="eastAsia"/>
          <w:color w:val="000000" w:themeColor="text1"/>
        </w:rPr>
        <w:t>、选择、更换或撤销境外投资顾问；</w:t>
      </w:r>
    </w:p>
    <w:p w:rsidR="00E040B6" w:rsidRPr="00D3689E" w:rsidP="00E040B6">
      <w:pPr>
        <w:tabs>
          <w:tab w:val="left" w:pos="735"/>
        </w:tabs>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13</w:t>
      </w:r>
      <w:r w:rsidRPr="00D3689E">
        <w:rPr>
          <w:rFonts w:asciiTheme="minorEastAsia" w:eastAsiaTheme="minorEastAsia" w:hAnsiTheme="minorEastAsia" w:hint="eastAsia"/>
          <w:color w:val="000000" w:themeColor="text1"/>
        </w:rPr>
        <w:t>、国务院证券监督管理机构规定的其他职责。</w:t>
      </w:r>
    </w:p>
    <w:p w:rsidR="00E040B6" w:rsidRPr="00D3689E" w:rsidP="00E040B6">
      <w:pPr>
        <w:autoSpaceDE w:val="0"/>
        <w:autoSpaceDN w:val="0"/>
        <w:adjustRightInd w:val="0"/>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四、基金管理人的承诺</w:t>
      </w:r>
    </w:p>
    <w:p w:rsidR="00E040B6" w:rsidRPr="00D3689E" w:rsidP="00E040B6">
      <w:pPr>
        <w:autoSpaceDE w:val="0"/>
        <w:autoSpaceDN w:val="0"/>
        <w:adjustRightInd w:val="0"/>
        <w:spacing w:line="360" w:lineRule="auto"/>
        <w:ind w:firstLine="420"/>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kern w:val="0"/>
          <w:szCs w:val="21"/>
        </w:rPr>
        <w:t>2</w:t>
      </w: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hint="eastAsia"/>
          <w:color w:val="000000" w:themeColor="text1"/>
        </w:rPr>
        <w:t>本基金管理人承诺严格遵守《证券法》、《基金法》及有关法律法规，建立健全内部控制制度，采取有效措施，防止下列行为发生：</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hint="eastAsia"/>
          <w:color w:val="000000" w:themeColor="text1"/>
          <w:kern w:val="0"/>
          <w:szCs w:val="21"/>
        </w:rPr>
        <w:t>）将其固有财产或者他人财产混同于基金财产从事证券投资；</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2</w:t>
      </w:r>
      <w:r w:rsidRPr="00D3689E">
        <w:rPr>
          <w:rFonts w:asciiTheme="minorEastAsia" w:eastAsiaTheme="minorEastAsia" w:hAnsiTheme="minorEastAsia" w:hint="eastAsia"/>
          <w:color w:val="000000" w:themeColor="text1"/>
          <w:kern w:val="0"/>
          <w:szCs w:val="21"/>
        </w:rPr>
        <w:t>）不公平地对待其管理的不同基金财产；</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3</w:t>
      </w:r>
      <w:r w:rsidRPr="00D3689E">
        <w:rPr>
          <w:rFonts w:asciiTheme="minorEastAsia" w:eastAsiaTheme="minorEastAsia" w:hAnsiTheme="minorEastAsia" w:hint="eastAsia"/>
          <w:color w:val="000000" w:themeColor="text1"/>
          <w:kern w:val="0"/>
          <w:szCs w:val="21"/>
        </w:rPr>
        <w:t>）利用基金财产为基金份额持有人以外的第三人谋取利益；</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4</w:t>
      </w:r>
      <w:r w:rsidRPr="00D3689E">
        <w:rPr>
          <w:rFonts w:asciiTheme="minorEastAsia" w:eastAsiaTheme="minorEastAsia" w:hAnsiTheme="minorEastAsia" w:hint="eastAsia"/>
          <w:color w:val="000000" w:themeColor="text1"/>
          <w:kern w:val="0"/>
          <w:szCs w:val="21"/>
        </w:rPr>
        <w:t>）向基金份额持有人违规承诺收益或者承担损失；</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5</w:t>
      </w:r>
      <w:r w:rsidRPr="00D3689E">
        <w:rPr>
          <w:rFonts w:asciiTheme="minorEastAsia" w:eastAsiaTheme="minorEastAsia" w:hAnsiTheme="minorEastAsia" w:hint="eastAsia"/>
          <w:color w:val="000000" w:themeColor="text1"/>
          <w:kern w:val="0"/>
          <w:szCs w:val="21"/>
        </w:rPr>
        <w:t>）法律法规或中国证监会禁止的其他行为。</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3</w:t>
      </w:r>
      <w:r w:rsidRPr="00D3689E">
        <w:rPr>
          <w:rFonts w:asciiTheme="minorEastAsia" w:eastAsiaTheme="minorEastAsia" w:hAnsiTheme="minorEastAsia" w:hint="eastAsia"/>
          <w:color w:val="000000" w:themeColor="text1"/>
          <w:kern w:val="0"/>
          <w:szCs w:val="21"/>
        </w:rPr>
        <w:t>、本基金管理人承诺加强人员管理，强化职业操守，督促和约束员工遵守国家有关法律、法规及行业规范，诚实信用、勤勉尽责，不从事以下活动：</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hint="eastAsia"/>
          <w:color w:val="000000" w:themeColor="text1"/>
          <w:kern w:val="0"/>
          <w:szCs w:val="21"/>
        </w:rPr>
        <w:t>）越权或违规经营；</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2</w:t>
      </w:r>
      <w:r w:rsidRPr="00D3689E">
        <w:rPr>
          <w:rFonts w:asciiTheme="minorEastAsia" w:eastAsiaTheme="minorEastAsia" w:hAnsiTheme="minorEastAsia" w:hint="eastAsia"/>
          <w:color w:val="000000" w:themeColor="text1"/>
          <w:kern w:val="0"/>
          <w:szCs w:val="21"/>
        </w:rPr>
        <w:t>）违反基金合同或托管协议；</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3</w:t>
      </w:r>
      <w:r w:rsidRPr="00D3689E">
        <w:rPr>
          <w:rFonts w:asciiTheme="minorEastAsia" w:eastAsiaTheme="minorEastAsia" w:hAnsiTheme="minorEastAsia" w:hint="eastAsia"/>
          <w:color w:val="000000" w:themeColor="text1"/>
          <w:kern w:val="0"/>
          <w:szCs w:val="21"/>
        </w:rPr>
        <w:t>）故意损害基金份额持有人或其他基金相关机构的合法利益；</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4</w:t>
      </w:r>
      <w:r w:rsidRPr="00D3689E">
        <w:rPr>
          <w:rFonts w:asciiTheme="minorEastAsia" w:eastAsiaTheme="minorEastAsia" w:hAnsiTheme="minorEastAsia" w:hint="eastAsia"/>
          <w:color w:val="000000" w:themeColor="text1"/>
          <w:kern w:val="0"/>
          <w:szCs w:val="21"/>
        </w:rPr>
        <w:t>）在向中国证监会报送的资料中弄虚作假；</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5</w:t>
      </w:r>
      <w:r w:rsidRPr="00D3689E">
        <w:rPr>
          <w:rFonts w:asciiTheme="minorEastAsia" w:eastAsiaTheme="minorEastAsia" w:hAnsiTheme="minorEastAsia" w:hint="eastAsia"/>
          <w:color w:val="000000" w:themeColor="text1"/>
          <w:kern w:val="0"/>
          <w:szCs w:val="21"/>
        </w:rPr>
        <w:t>）拒绝、干扰、阻挠或严重影响中国证监会依法监管；</w:t>
      </w:r>
    </w:p>
    <w:p w:rsidR="00E040B6" w:rsidRPr="00D3689E" w:rsidP="00E040B6">
      <w:pPr>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6</w:t>
      </w:r>
      <w:r w:rsidRPr="00D3689E">
        <w:rPr>
          <w:rFonts w:asciiTheme="minorEastAsia" w:eastAsiaTheme="minorEastAsia" w:hAnsiTheme="minorEastAsia" w:hint="eastAsia"/>
          <w:color w:val="000000" w:themeColor="text1"/>
          <w:kern w:val="0"/>
          <w:szCs w:val="21"/>
        </w:rPr>
        <w:t>）玩忽职守、滥用职权；</w:t>
      </w:r>
    </w:p>
    <w:p w:rsidR="00E040B6" w:rsidRPr="00D3689E" w:rsidP="00E040B6">
      <w:pPr>
        <w:tabs>
          <w:tab w:val="left" w:pos="851"/>
        </w:tabs>
        <w:autoSpaceDE w:val="0"/>
        <w:autoSpaceDN w:val="0"/>
        <w:adjustRightInd w:val="0"/>
        <w:spacing w:line="360" w:lineRule="auto"/>
        <w:ind w:firstLine="426"/>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7</w:t>
      </w:r>
      <w:r w:rsidRPr="00D3689E">
        <w:rPr>
          <w:rFonts w:asciiTheme="minorEastAsia" w:eastAsiaTheme="minorEastAsia" w:hAnsiTheme="minorEastAsia" w:hint="eastAsia"/>
          <w:color w:val="000000" w:themeColor="text1"/>
          <w:kern w:val="0"/>
          <w:szCs w:val="21"/>
        </w:rPr>
        <w:t>）违反现行有效的有关法律、法规、规章、基金合同和中国证监会的有关规定，</w:t>
      </w:r>
      <w:r w:rsidRPr="00D3689E" w:rsidR="00723541">
        <w:rPr>
          <w:rFonts w:asciiTheme="minorEastAsia" w:eastAsiaTheme="minorEastAsia" w:hAnsiTheme="minorEastAsia" w:hint="eastAsia"/>
          <w:color w:val="000000" w:themeColor="text1"/>
          <w:kern w:val="0"/>
          <w:szCs w:val="21"/>
        </w:rPr>
        <w:t>泄露</w:t>
      </w:r>
      <w:r w:rsidRPr="00D3689E">
        <w:rPr>
          <w:rFonts w:asciiTheme="minorEastAsia" w:eastAsiaTheme="minorEastAsia" w:hAnsiTheme="minorEastAsia" w:hint="eastAsia"/>
          <w:color w:val="000000" w:themeColor="text1"/>
          <w:kern w:val="0"/>
          <w:szCs w:val="21"/>
        </w:rPr>
        <w:t>在任职期间知悉的有关证券、基金的商业秘密，尚未依法公开的基金投资内容、基金投资计划等信息；</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8</w:t>
      </w:r>
      <w:r w:rsidRPr="00D3689E">
        <w:rPr>
          <w:rFonts w:asciiTheme="minorEastAsia" w:eastAsiaTheme="minorEastAsia" w:hAnsiTheme="minorEastAsia" w:hint="eastAsia"/>
          <w:color w:val="000000" w:themeColor="text1"/>
          <w:kern w:val="0"/>
          <w:szCs w:val="21"/>
        </w:rPr>
        <w:t>）违反证券交易场所业务规则，利用对敲、倒仓等手段操纵市场价格，扰乱市场秩序；</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9</w:t>
      </w:r>
      <w:r w:rsidRPr="00D3689E">
        <w:rPr>
          <w:rFonts w:asciiTheme="minorEastAsia" w:eastAsiaTheme="minorEastAsia" w:hAnsiTheme="minorEastAsia" w:hint="eastAsia"/>
          <w:color w:val="000000" w:themeColor="text1"/>
          <w:kern w:val="0"/>
          <w:szCs w:val="21"/>
        </w:rPr>
        <w:t>）贬损同行，以抬高自己；</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10</w:t>
      </w:r>
      <w:r w:rsidRPr="00D3689E">
        <w:rPr>
          <w:rFonts w:asciiTheme="minorEastAsia" w:eastAsiaTheme="minorEastAsia" w:hAnsiTheme="minorEastAsia" w:hint="eastAsia"/>
          <w:color w:val="000000" w:themeColor="text1"/>
          <w:kern w:val="0"/>
          <w:szCs w:val="21"/>
        </w:rPr>
        <w:t>）以不正当手段谋求业务发展；</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11</w:t>
      </w:r>
      <w:r w:rsidRPr="00D3689E">
        <w:rPr>
          <w:rFonts w:asciiTheme="minorEastAsia" w:eastAsiaTheme="minorEastAsia" w:hAnsiTheme="minorEastAsia" w:hint="eastAsia"/>
          <w:color w:val="000000" w:themeColor="text1"/>
          <w:kern w:val="0"/>
          <w:szCs w:val="21"/>
        </w:rPr>
        <w:t>）有悖社会公德，损害证券投资基金人员形象；</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12</w:t>
      </w:r>
      <w:r w:rsidRPr="00D3689E">
        <w:rPr>
          <w:rFonts w:asciiTheme="minorEastAsia" w:eastAsiaTheme="minorEastAsia" w:hAnsiTheme="minorEastAsia" w:hint="eastAsia"/>
          <w:color w:val="000000" w:themeColor="text1"/>
          <w:kern w:val="0"/>
          <w:szCs w:val="21"/>
        </w:rPr>
        <w:t>）在公开信息披露和广告中故意含有虚假、误导、欺诈成分；</w:t>
      </w:r>
    </w:p>
    <w:p w:rsidR="00E040B6" w:rsidRPr="00D3689E" w:rsidP="00E040B6">
      <w:pPr>
        <w:tabs>
          <w:tab w:val="left" w:pos="851"/>
        </w:tabs>
        <w:autoSpaceDE w:val="0"/>
        <w:autoSpaceDN w:val="0"/>
        <w:adjustRightInd w:val="0"/>
        <w:spacing w:line="360" w:lineRule="auto"/>
        <w:ind w:firstLine="424" w:firstLineChars="202"/>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13</w:t>
      </w:r>
      <w:r w:rsidRPr="00D3689E">
        <w:rPr>
          <w:rFonts w:asciiTheme="minorEastAsia" w:eastAsiaTheme="minorEastAsia" w:hAnsiTheme="minorEastAsia" w:hint="eastAsia"/>
          <w:color w:val="000000" w:themeColor="text1"/>
          <w:kern w:val="0"/>
          <w:szCs w:val="21"/>
        </w:rPr>
        <w:t>）其他法律、行政法规以及中国证监会禁止的行为。</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4</w:t>
      </w:r>
      <w:r w:rsidRPr="00D3689E">
        <w:rPr>
          <w:rFonts w:asciiTheme="minorEastAsia" w:eastAsiaTheme="minorEastAsia" w:hAnsiTheme="minorEastAsia" w:hint="eastAsia"/>
          <w:color w:val="000000" w:themeColor="text1"/>
          <w:kern w:val="0"/>
          <w:szCs w:val="21"/>
        </w:rPr>
        <w:t>、基金经理承诺</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hint="eastAsia"/>
          <w:color w:val="000000" w:themeColor="text1"/>
          <w:kern w:val="0"/>
          <w:szCs w:val="21"/>
        </w:rPr>
        <w:t>）依照有关法律、法规和基金合同的规定，本着谨慎的原则为基金份额持有人谋取最大利益；</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w:t>
      </w:r>
      <w:r w:rsidRPr="00D3689E">
        <w:rPr>
          <w:rFonts w:asciiTheme="minorEastAsia" w:eastAsiaTheme="minorEastAsia" w:hAnsiTheme="minorEastAsia"/>
          <w:color w:val="000000" w:themeColor="text1"/>
          <w:kern w:val="0"/>
          <w:szCs w:val="21"/>
        </w:rPr>
        <w:t>2</w:t>
      </w:r>
      <w:r w:rsidRPr="00D3689E">
        <w:rPr>
          <w:rFonts w:asciiTheme="minorEastAsia" w:eastAsiaTheme="minorEastAsia" w:hAnsiTheme="minorEastAsia" w:hint="eastAsia"/>
          <w:color w:val="000000" w:themeColor="text1"/>
          <w:kern w:val="0"/>
          <w:szCs w:val="21"/>
        </w:rPr>
        <w:t>）不利用职务之便为自己及其代理人、受雇人或任何第三人谋取利益；</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rPr>
      </w:pPr>
      <w:r w:rsidRPr="00D3689E">
        <w:rPr>
          <w:rFonts w:asciiTheme="minorEastAsia" w:eastAsiaTheme="minorEastAsia" w:hAnsiTheme="minorEastAsia" w:hint="eastAsia"/>
          <w:color w:val="000000" w:themeColor="text1"/>
          <w:kern w:val="0"/>
        </w:rPr>
        <w:t>（</w:t>
      </w:r>
      <w:r w:rsidRPr="00D3689E">
        <w:rPr>
          <w:rFonts w:asciiTheme="minorEastAsia" w:eastAsiaTheme="minorEastAsia" w:hAnsiTheme="minorEastAsia"/>
          <w:color w:val="000000" w:themeColor="text1"/>
          <w:kern w:val="0"/>
        </w:rPr>
        <w:t>3</w:t>
      </w:r>
      <w:r w:rsidRPr="00D3689E">
        <w:rPr>
          <w:rFonts w:asciiTheme="minorEastAsia" w:eastAsiaTheme="minorEastAsia" w:hAnsiTheme="minorEastAsia" w:hint="eastAsia"/>
          <w:color w:val="000000" w:themeColor="text1"/>
          <w:kern w:val="0"/>
        </w:rPr>
        <w:t>）不</w:t>
      </w:r>
      <w:r w:rsidRPr="00D3689E">
        <w:rPr>
          <w:rFonts w:asciiTheme="minorEastAsia" w:eastAsiaTheme="minorEastAsia" w:hAnsiTheme="minorEastAsia" w:hint="eastAsia"/>
          <w:color w:val="000000" w:themeColor="text1"/>
          <w:kern w:val="0"/>
          <w:szCs w:val="21"/>
        </w:rPr>
        <w:t>违反现行有效的有关法律、法规、规章、基金合同和中国证监会的有关规定，</w:t>
      </w:r>
      <w:r w:rsidRPr="00D3689E" w:rsidR="00723541">
        <w:rPr>
          <w:rFonts w:asciiTheme="minorEastAsia" w:eastAsiaTheme="minorEastAsia" w:hAnsiTheme="minorEastAsia" w:hint="eastAsia"/>
          <w:color w:val="000000" w:themeColor="text1"/>
          <w:kern w:val="0"/>
        </w:rPr>
        <w:t>泄露</w:t>
      </w:r>
      <w:r w:rsidRPr="00D3689E">
        <w:rPr>
          <w:rFonts w:asciiTheme="minorEastAsia" w:eastAsiaTheme="minorEastAsia" w:hAnsiTheme="minorEastAsia" w:hint="eastAsia"/>
          <w:color w:val="000000" w:themeColor="text1"/>
          <w:kern w:val="0"/>
        </w:rPr>
        <w:t>在任职期间知悉的有关证券、基金的商业秘密、尚未依法公开的基金投资内容、基金投资计划等信息；</w:t>
      </w:r>
    </w:p>
    <w:p w:rsidR="00E040B6" w:rsidRPr="00D3689E" w:rsidP="00E040B6">
      <w:pPr>
        <w:autoSpaceDE w:val="0"/>
        <w:autoSpaceDN w:val="0"/>
        <w:adjustRightInd w:val="0"/>
        <w:spacing w:line="360" w:lineRule="auto"/>
        <w:ind w:firstLine="420" w:firstLineChars="200"/>
        <w:jc w:val="left"/>
        <w:rPr>
          <w:rFonts w:asciiTheme="minorEastAsia" w:eastAsiaTheme="minorEastAsia" w:hAnsiTheme="minorEastAsia"/>
          <w:color w:val="000000" w:themeColor="text1"/>
          <w:kern w:val="0"/>
        </w:rPr>
      </w:pPr>
      <w:r w:rsidRPr="00D3689E">
        <w:rPr>
          <w:rFonts w:asciiTheme="minorEastAsia" w:eastAsiaTheme="minorEastAsia" w:hAnsiTheme="minorEastAsia" w:hint="eastAsia"/>
          <w:color w:val="000000" w:themeColor="text1"/>
          <w:kern w:val="0"/>
        </w:rPr>
        <w:t>（</w:t>
      </w:r>
      <w:r w:rsidRPr="00D3689E">
        <w:rPr>
          <w:rFonts w:asciiTheme="minorEastAsia" w:eastAsiaTheme="minorEastAsia" w:hAnsiTheme="minorEastAsia"/>
          <w:color w:val="000000" w:themeColor="text1"/>
          <w:kern w:val="0"/>
        </w:rPr>
        <w:t>4</w:t>
      </w:r>
      <w:r w:rsidRPr="00D3689E">
        <w:rPr>
          <w:rFonts w:asciiTheme="minorEastAsia" w:eastAsiaTheme="minorEastAsia" w:hAnsiTheme="minorEastAsia" w:hint="eastAsia"/>
          <w:color w:val="000000" w:themeColor="text1"/>
          <w:kern w:val="0"/>
        </w:rPr>
        <w:t>）不从事损害基金财产和基金份额持有人利益的证券交易及其他活动。</w:t>
      </w:r>
    </w:p>
    <w:p w:rsidR="00E040B6" w:rsidRPr="00D3689E" w:rsidP="00E040B6">
      <w:pPr>
        <w:autoSpaceDE w:val="0"/>
        <w:autoSpaceDN w:val="0"/>
        <w:adjustRightInd w:val="0"/>
        <w:spacing w:line="360" w:lineRule="auto"/>
        <w:ind w:firstLine="420"/>
        <w:jc w:val="left"/>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五、基金管理人的内部控制制度</w:t>
      </w:r>
    </w:p>
    <w:p w:rsidR="00E040B6" w:rsidRPr="00D3689E" w:rsidP="00E040B6">
      <w:pPr>
        <w:pStyle w:val="a"/>
        <w:autoSpaceDE w:val="0"/>
        <w:autoSpaceDN w:val="0"/>
        <w:adjustRightInd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1、公司内部控制的总体目标</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（1）保证公司经营管理活动的合法合规性；</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（2）保证各类基金份额持有人及委托人的合法权益不受侵犯；</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（4）督促公司全体员工恪守职业操守，正直诚信，廉洁自律，勤勉尽责；</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（5）维护公司的声誉，保持公司的良好形象。</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2、公司内部控制遵循的原则</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（2）有效性原则。通过科学的内控手段和方法，建立合理的内控程序，维护内控制度的有效执行。</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（3）独立性原则。公司机构、部门和岗位职责应当保持相对独立，除非法律法规另有</w:t>
      </w:r>
      <w:r w:rsidRPr="00D3689E">
        <w:rPr>
          <w:rFonts w:asciiTheme="minorEastAsia" w:eastAsiaTheme="minorEastAsia" w:hAnsiTheme="minorEastAsia"/>
          <w:color w:val="000000" w:themeColor="text1"/>
        </w:rPr>
        <w:t>规定，公司基金资产、自有资产、其他资产的运作应当分离。</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（4）相互制约原则。公司内部部门和岗位的设置应当体现权责分明、相互制衡。</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3、内部控制的制度体系</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4、关于授权、研究、投资、交易等方面的控制点</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（1）授权制度</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（2）公司研究业务</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（3）基金投资业务</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w:t>
      </w:r>
      <w:r w:rsidRPr="00D3689E">
        <w:rPr>
          <w:rFonts w:asciiTheme="minorEastAsia" w:eastAsiaTheme="minorEastAsia" w:hAnsiTheme="minorEastAsia"/>
          <w:color w:val="000000" w:themeColor="text1"/>
        </w:rPr>
        <w:t>评估与管理制度，将重点投资限制在规定的风险权限范围内；建立科学的投资业绩评价体系，及时回顾分析和评估投资结果。</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（4）交易业务</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（5）基金会计核算</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（6）信息披露</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（7）监察与合规管理</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5、基金管理人关于内部控制制度声明书</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（1）本公司承诺以上关于内部控制制度的披露真实、准确；</w:t>
      </w:r>
    </w:p>
    <w:p w:rsidR="00E040B6" w:rsidRPr="00D3689E" w:rsidP="00277CCD">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（2）本公司承诺根据市场变化和公司业务发展不断完善内部控制制度。</w:t>
      </w:r>
    </w:p>
    <w:p w:rsidR="005F64D3" w:rsidRPr="00D3689E" w:rsidP="005F64D3">
      <w:pPr>
        <w:rPr>
          <w:rFonts w:asciiTheme="minorEastAsia" w:eastAsiaTheme="minorEastAsia" w:hAnsiTheme="minorEastAsia"/>
          <w:color w:val="000000" w:themeColor="text1"/>
        </w:rPr>
      </w:pPr>
      <w:bookmarkStart w:id="111" w:name="_Toc296526926"/>
      <w:bookmarkStart w:id="112" w:name="_Toc296526927"/>
      <w:bookmarkStart w:id="113" w:name="_Toc296526928"/>
      <w:bookmarkStart w:id="114" w:name="_Toc296526929"/>
      <w:bookmarkStart w:id="115" w:name="_Toc296526931"/>
      <w:bookmarkStart w:id="116" w:name="_Toc296526932"/>
      <w:bookmarkStart w:id="117" w:name="_Toc296526933"/>
      <w:bookmarkStart w:id="118" w:name="_Toc296526934"/>
      <w:bookmarkStart w:id="119" w:name="_Toc296526936"/>
      <w:bookmarkStart w:id="120" w:name="_Toc296526958"/>
      <w:bookmarkStart w:id="121" w:name="_Toc272569765"/>
      <w:bookmarkStart w:id="122" w:name="_Toc272569766"/>
      <w:bookmarkStart w:id="123" w:name="_Toc272569767"/>
      <w:bookmarkStart w:id="124" w:name="_Toc272569768"/>
      <w:bookmarkStart w:id="125" w:name="_Toc272569769"/>
      <w:bookmarkStart w:id="126" w:name="_Toc272569770"/>
      <w:bookmarkStart w:id="127" w:name="_Toc272569771"/>
      <w:bookmarkStart w:id="128" w:name="_Toc272569772"/>
      <w:bookmarkStart w:id="129" w:name="_Toc27256977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5F64D3" w:rsidRPr="00D3689E" w:rsidP="005F64D3">
      <w:pPr>
        <w:rPr>
          <w:rFonts w:asciiTheme="minorEastAsia" w:eastAsiaTheme="minorEastAsia" w:hAnsiTheme="minorEastAsia"/>
          <w:color w:val="000000" w:themeColor="text1"/>
        </w:rPr>
      </w:pPr>
    </w:p>
    <w:p w:rsidR="0064594E" w:rsidRPr="00D3689E" w:rsidP="005F64D3">
      <w:pPr>
        <w:rPr>
          <w:rFonts w:asciiTheme="minorEastAsia" w:eastAsiaTheme="minorEastAsia" w:hAnsiTheme="minorEastAsia"/>
          <w:color w:val="000000" w:themeColor="text1"/>
        </w:rPr>
        <w:sectPr w:rsidSect="00D95573">
          <w:pgSz w:w="11906" w:h="16838" w:code="9"/>
          <w:pgMar w:top="1440" w:right="1800" w:bottom="1440" w:left="1800" w:header="851" w:footer="992" w:gutter="0"/>
          <w:cols w:space="425"/>
          <w:docGrid w:type="linesAndChars" w:linePitch="312"/>
        </w:sectPr>
      </w:pPr>
    </w:p>
    <w:p w:rsidR="003A6F89" w:rsidRPr="00D3689E" w:rsidP="00A8438B">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130" w:name="_Toc296440126"/>
      <w:bookmarkStart w:id="131" w:name="_Toc296526963"/>
      <w:bookmarkStart w:id="132" w:name="_Toc38432432"/>
      <w:bookmarkStart w:id="133" w:name="_Toc169103837"/>
      <w:bookmarkEnd w:id="130"/>
      <w:bookmarkEnd w:id="131"/>
      <w:r w:rsidRPr="00D3689E">
        <w:rPr>
          <w:rFonts w:asciiTheme="minorEastAsia" w:eastAsiaTheme="minorEastAsia" w:hAnsiTheme="minorEastAsia" w:hint="eastAsia"/>
          <w:color w:val="000000" w:themeColor="text1"/>
        </w:rPr>
        <w:t>基金份额类别</w:t>
      </w:r>
      <w:bookmarkEnd w:id="133"/>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本基金根据所收取费用的差异，将基金份额分为不同的类别。在投资人认购</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申购基金时收取认购</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申购费用，并不再从本类别基金资产中计提销售服务费的基金份额，称为</w:t>
      </w: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类基金份额；从本类基金资产中计提销售服务费，并不收取认购</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申购费用的基金份额，称为</w:t>
      </w:r>
      <w:r w:rsidRPr="00D3689E">
        <w:rPr>
          <w:rFonts w:asciiTheme="minorEastAsia" w:eastAsiaTheme="minorEastAsia" w:hAnsiTheme="minorEastAsia"/>
          <w:color w:val="000000" w:themeColor="text1"/>
          <w:szCs w:val="21"/>
        </w:rPr>
        <w:t>C</w:t>
      </w:r>
      <w:r w:rsidRPr="00D3689E">
        <w:rPr>
          <w:rFonts w:asciiTheme="minorEastAsia" w:eastAsiaTheme="minorEastAsia" w:hAnsiTheme="minorEastAsia" w:hint="eastAsia"/>
          <w:color w:val="000000" w:themeColor="text1"/>
          <w:szCs w:val="21"/>
        </w:rPr>
        <w:t>类基金份额。在每一份额类别内，根据认购、申购、赎回计价币种的不同，分为人民币份额和美元份额（特指美元现汇基金份额，下同）。</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本基金对</w:t>
      </w: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类人民币份额、</w:t>
      </w: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类美元份额、</w:t>
      </w:r>
      <w:r w:rsidRPr="00D3689E">
        <w:rPr>
          <w:rFonts w:asciiTheme="minorEastAsia" w:eastAsiaTheme="minorEastAsia" w:hAnsiTheme="minorEastAsia"/>
          <w:color w:val="000000" w:themeColor="text1"/>
          <w:szCs w:val="21"/>
        </w:rPr>
        <w:t>C</w:t>
      </w:r>
      <w:r w:rsidRPr="00D3689E">
        <w:rPr>
          <w:rFonts w:asciiTheme="minorEastAsia" w:eastAsiaTheme="minorEastAsia" w:hAnsiTheme="minorEastAsia" w:hint="eastAsia"/>
          <w:color w:val="000000" w:themeColor="text1"/>
          <w:szCs w:val="21"/>
        </w:rPr>
        <w:t>类人民币份额、</w:t>
      </w:r>
      <w:r w:rsidRPr="00D3689E">
        <w:rPr>
          <w:rFonts w:asciiTheme="minorEastAsia" w:eastAsiaTheme="minorEastAsia" w:hAnsiTheme="minorEastAsia"/>
          <w:color w:val="000000" w:themeColor="text1"/>
          <w:szCs w:val="21"/>
        </w:rPr>
        <w:t>C</w:t>
      </w:r>
      <w:r w:rsidRPr="00D3689E">
        <w:rPr>
          <w:rFonts w:asciiTheme="minorEastAsia" w:eastAsiaTheme="minorEastAsia" w:hAnsiTheme="minorEastAsia" w:hint="eastAsia"/>
          <w:color w:val="000000" w:themeColor="text1"/>
          <w:szCs w:val="21"/>
        </w:rPr>
        <w:t>类美元份额分别设置代码，分别披露基金份额净值和基金份额累计净值。人民币份额和美元份额合并投资运作，共同承担投资换汇产生的费用。投资者在认购、申购基金份额时可自行选择基金份额类别，并交付相应币种的款项。</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1"/>
        <w:gridCol w:w="1676"/>
        <w:gridCol w:w="1701"/>
        <w:gridCol w:w="1843"/>
        <w:gridCol w:w="1771"/>
      </w:tblGrid>
      <w:tr w:rsidTr="009B0A6E">
        <w:tblPrEx>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D3689E">
              <w:rPr>
                <w:rFonts w:asciiTheme="minorEastAsia" w:eastAsiaTheme="minorEastAsia" w:hAnsiTheme="minorEastAsia" w:cs="宋体S....." w:hint="eastAsia"/>
                <w:b/>
                <w:color w:val="000000" w:themeColor="text1"/>
                <w:kern w:val="0"/>
                <w:szCs w:val="21"/>
              </w:rPr>
              <w:t>份额类别</w:t>
            </w:r>
          </w:p>
        </w:tc>
        <w:tc>
          <w:tcPr>
            <w:tcW w:w="1676"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D3689E">
              <w:rPr>
                <w:rFonts w:asciiTheme="minorEastAsia" w:eastAsiaTheme="minorEastAsia" w:hAnsiTheme="minorEastAsia" w:hint="eastAsia"/>
                <w:b/>
                <w:bCs/>
                <w:color w:val="000000" w:themeColor="text1"/>
                <w:kern w:val="0"/>
                <w:szCs w:val="21"/>
              </w:rPr>
              <w:t>A类人民币份额</w:t>
            </w:r>
          </w:p>
        </w:tc>
        <w:tc>
          <w:tcPr>
            <w:tcW w:w="170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D3689E">
              <w:rPr>
                <w:rFonts w:asciiTheme="minorEastAsia" w:eastAsiaTheme="minorEastAsia" w:hAnsiTheme="minorEastAsia" w:hint="eastAsia"/>
                <w:b/>
                <w:bCs/>
                <w:color w:val="000000" w:themeColor="text1"/>
                <w:kern w:val="0"/>
                <w:szCs w:val="21"/>
              </w:rPr>
              <w:t>C类人民币份额</w:t>
            </w:r>
          </w:p>
        </w:tc>
        <w:tc>
          <w:tcPr>
            <w:tcW w:w="1843"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D3689E">
              <w:rPr>
                <w:rFonts w:asciiTheme="minorEastAsia" w:eastAsiaTheme="minorEastAsia" w:hAnsiTheme="minorEastAsia" w:hint="eastAsia"/>
                <w:b/>
                <w:bCs/>
                <w:color w:val="000000" w:themeColor="text1"/>
                <w:kern w:val="0"/>
                <w:szCs w:val="21"/>
              </w:rPr>
              <w:t>A类美元份额</w:t>
            </w:r>
          </w:p>
        </w:tc>
        <w:tc>
          <w:tcPr>
            <w:tcW w:w="177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D3689E">
              <w:rPr>
                <w:rFonts w:asciiTheme="minorEastAsia" w:eastAsiaTheme="minorEastAsia" w:hAnsiTheme="minorEastAsia" w:hint="eastAsia"/>
                <w:b/>
                <w:bCs/>
                <w:color w:val="000000" w:themeColor="text1"/>
                <w:kern w:val="0"/>
                <w:szCs w:val="21"/>
              </w:rPr>
              <w:t>C类美元份额</w:t>
            </w:r>
          </w:p>
        </w:tc>
      </w:tr>
      <w:tr w:rsidTr="009B0A6E">
        <w:tblPrEx>
          <w:tblW w:w="8542" w:type="dxa"/>
          <w:tblLook w:val="0000"/>
        </w:tblPrEx>
        <w:trPr>
          <w:trHeight w:val="157"/>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s="宋体S....." w:hint="eastAsia"/>
                <w:color w:val="000000" w:themeColor="text1"/>
                <w:kern w:val="0"/>
                <w:szCs w:val="21"/>
              </w:rPr>
              <w:t>首次申购最低金额</w:t>
            </w:r>
          </w:p>
        </w:tc>
        <w:tc>
          <w:tcPr>
            <w:tcW w:w="1676"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元（直销中心为</w:t>
            </w:r>
            <w:r w:rsidRPr="00D3689E">
              <w:rPr>
                <w:rFonts w:asciiTheme="minorEastAsia" w:eastAsiaTheme="minorEastAsia" w:hAnsiTheme="minorEastAsia"/>
                <w:color w:val="000000" w:themeColor="text1"/>
                <w:kern w:val="0"/>
                <w:szCs w:val="21"/>
              </w:rPr>
              <w:t>5</w:t>
            </w:r>
            <w:r w:rsidRPr="00D3689E">
              <w:rPr>
                <w:rFonts w:asciiTheme="minorEastAsia" w:eastAsiaTheme="minorEastAsia" w:hAnsiTheme="minorEastAsia" w:cs="宋体S....." w:hint="eastAsia"/>
                <w:color w:val="000000" w:themeColor="text1"/>
                <w:kern w:val="0"/>
                <w:szCs w:val="21"/>
              </w:rPr>
              <w:t>万元）</w:t>
            </w:r>
          </w:p>
        </w:tc>
        <w:tc>
          <w:tcPr>
            <w:tcW w:w="1701"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元（直销中心为</w:t>
            </w:r>
            <w:r w:rsidRPr="00D3689E">
              <w:rPr>
                <w:rFonts w:asciiTheme="minorEastAsia" w:eastAsiaTheme="minorEastAsia" w:hAnsiTheme="minorEastAsia"/>
                <w:color w:val="000000" w:themeColor="text1"/>
                <w:kern w:val="0"/>
                <w:szCs w:val="21"/>
              </w:rPr>
              <w:t>5</w:t>
            </w:r>
            <w:r w:rsidRPr="00D3689E">
              <w:rPr>
                <w:rFonts w:asciiTheme="minorEastAsia" w:eastAsiaTheme="minorEastAsia" w:hAnsiTheme="minorEastAsia" w:cs="宋体S....." w:hint="eastAsia"/>
                <w:color w:val="000000" w:themeColor="text1"/>
                <w:kern w:val="0"/>
                <w:szCs w:val="21"/>
              </w:rPr>
              <w:t>万元）</w:t>
            </w:r>
          </w:p>
        </w:tc>
        <w:tc>
          <w:tcPr>
            <w:tcW w:w="1843" w:type="dxa"/>
            <w:vAlign w:val="center"/>
          </w:tcPr>
          <w:p w:rsidR="0095247C" w:rsidRPr="00D3689E" w:rsidP="00441E70">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1美元</w:t>
            </w:r>
            <w:r w:rsidRPr="00D3689E">
              <w:rPr>
                <w:rFonts w:asciiTheme="minorEastAsia" w:eastAsiaTheme="minorEastAsia" w:hAnsiTheme="minorEastAsia" w:cs="宋体S....." w:hint="eastAsia"/>
                <w:color w:val="000000" w:themeColor="text1"/>
                <w:kern w:val="0"/>
                <w:szCs w:val="21"/>
              </w:rPr>
              <w:t>（直销中心为</w:t>
            </w:r>
            <w:r w:rsidRPr="00D3689E" w:rsidR="00441E70">
              <w:rPr>
                <w:rFonts w:asciiTheme="minorEastAsia" w:eastAsiaTheme="minorEastAsia" w:hAnsiTheme="minorEastAsia"/>
                <w:color w:val="000000" w:themeColor="text1"/>
                <w:szCs w:val="21"/>
              </w:rPr>
              <w:t>1</w:t>
            </w:r>
            <w:r w:rsidRPr="00D3689E">
              <w:rPr>
                <w:rFonts w:asciiTheme="minorEastAsia" w:eastAsiaTheme="minorEastAsia" w:hAnsiTheme="minorEastAsia"/>
                <w:color w:val="000000" w:themeColor="text1"/>
                <w:szCs w:val="21"/>
              </w:rPr>
              <w:t>00</w:t>
            </w:r>
            <w:r w:rsidRPr="00D3689E">
              <w:rPr>
                <w:rFonts w:asciiTheme="minorEastAsia" w:eastAsiaTheme="minorEastAsia" w:hAnsiTheme="minorEastAsia" w:hint="eastAsia"/>
                <w:color w:val="000000" w:themeColor="text1"/>
                <w:kern w:val="0"/>
                <w:szCs w:val="21"/>
              </w:rPr>
              <w:t>美元</w:t>
            </w:r>
            <w:r w:rsidRPr="00D3689E">
              <w:rPr>
                <w:rFonts w:asciiTheme="minorEastAsia" w:eastAsiaTheme="minorEastAsia" w:hAnsiTheme="minorEastAsia" w:cs="宋体S....." w:hint="eastAsia"/>
                <w:color w:val="000000" w:themeColor="text1"/>
                <w:kern w:val="0"/>
                <w:szCs w:val="21"/>
              </w:rPr>
              <w:t>）</w:t>
            </w:r>
          </w:p>
        </w:tc>
        <w:tc>
          <w:tcPr>
            <w:tcW w:w="1771" w:type="dxa"/>
            <w:vAlign w:val="center"/>
          </w:tcPr>
          <w:p w:rsidR="0095247C" w:rsidRPr="00D3689E" w:rsidP="00441E70">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1美元</w:t>
            </w:r>
            <w:r w:rsidRPr="00D3689E">
              <w:rPr>
                <w:rFonts w:asciiTheme="minorEastAsia" w:eastAsiaTheme="minorEastAsia" w:hAnsiTheme="minorEastAsia" w:cs="宋体S....." w:hint="eastAsia"/>
                <w:color w:val="000000" w:themeColor="text1"/>
                <w:kern w:val="0"/>
                <w:szCs w:val="21"/>
              </w:rPr>
              <w:t>（直销中心为</w:t>
            </w:r>
            <w:r w:rsidRPr="00D3689E" w:rsidR="00441E70">
              <w:rPr>
                <w:rFonts w:asciiTheme="minorEastAsia" w:eastAsiaTheme="minorEastAsia" w:hAnsiTheme="minorEastAsia"/>
                <w:color w:val="000000" w:themeColor="text1"/>
                <w:szCs w:val="21"/>
              </w:rPr>
              <w:t>1</w:t>
            </w:r>
            <w:r w:rsidRPr="00D3689E">
              <w:rPr>
                <w:rFonts w:asciiTheme="minorEastAsia" w:eastAsiaTheme="minorEastAsia" w:hAnsiTheme="minorEastAsia"/>
                <w:color w:val="000000" w:themeColor="text1"/>
                <w:szCs w:val="21"/>
              </w:rPr>
              <w:t>00</w:t>
            </w:r>
            <w:r w:rsidRPr="00D3689E">
              <w:rPr>
                <w:rFonts w:asciiTheme="minorEastAsia" w:eastAsiaTheme="minorEastAsia" w:hAnsiTheme="minorEastAsia" w:hint="eastAsia"/>
                <w:color w:val="000000" w:themeColor="text1"/>
                <w:kern w:val="0"/>
                <w:szCs w:val="21"/>
              </w:rPr>
              <w:t>美元</w:t>
            </w:r>
            <w:r w:rsidRPr="00D3689E">
              <w:rPr>
                <w:rFonts w:asciiTheme="minorEastAsia" w:eastAsiaTheme="minorEastAsia" w:hAnsiTheme="minorEastAsia" w:cs="宋体S....." w:hint="eastAsia"/>
                <w:color w:val="000000" w:themeColor="text1"/>
                <w:kern w:val="0"/>
                <w:szCs w:val="21"/>
              </w:rPr>
              <w:t>）</w:t>
            </w:r>
          </w:p>
        </w:tc>
      </w:tr>
      <w:tr w:rsidTr="009B0A6E">
        <w:tblPrEx>
          <w:tblW w:w="8542" w:type="dxa"/>
          <w:tblLook w:val="0000"/>
        </w:tblPrEx>
        <w:trPr>
          <w:trHeight w:val="157"/>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s="宋体S....." w:hint="eastAsia"/>
                <w:color w:val="000000" w:themeColor="text1"/>
                <w:kern w:val="0"/>
                <w:szCs w:val="21"/>
              </w:rPr>
              <w:t>追加申购最低金额</w:t>
            </w:r>
          </w:p>
        </w:tc>
        <w:tc>
          <w:tcPr>
            <w:tcW w:w="1676"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元（直销中心为1000元）</w:t>
            </w:r>
          </w:p>
        </w:tc>
        <w:tc>
          <w:tcPr>
            <w:tcW w:w="1701"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元（直销中心为1000元）</w:t>
            </w:r>
          </w:p>
        </w:tc>
        <w:tc>
          <w:tcPr>
            <w:tcW w:w="1843"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1美</w:t>
            </w:r>
            <w:r w:rsidRPr="00D3689E">
              <w:rPr>
                <w:rFonts w:asciiTheme="minorEastAsia" w:eastAsiaTheme="minorEastAsia" w:hAnsiTheme="minorEastAsia" w:cs="宋体S....." w:hint="eastAsia"/>
                <w:color w:val="000000" w:themeColor="text1"/>
                <w:kern w:val="0"/>
                <w:szCs w:val="21"/>
              </w:rPr>
              <w:t>元（直销中心为100美元）</w:t>
            </w:r>
          </w:p>
        </w:tc>
        <w:tc>
          <w:tcPr>
            <w:tcW w:w="1771" w:type="dxa"/>
            <w:vAlign w:val="center"/>
          </w:tcPr>
          <w:p w:rsidR="0095247C" w:rsidRPr="00D3689E" w:rsidP="0095247C">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1美</w:t>
            </w:r>
            <w:r w:rsidRPr="00D3689E">
              <w:rPr>
                <w:rFonts w:asciiTheme="minorEastAsia" w:eastAsiaTheme="minorEastAsia" w:hAnsiTheme="minorEastAsia" w:cs="宋体S....." w:hint="eastAsia"/>
                <w:color w:val="000000" w:themeColor="text1"/>
                <w:kern w:val="0"/>
                <w:szCs w:val="21"/>
              </w:rPr>
              <w:t>元（直销中心为100美元）</w:t>
            </w:r>
          </w:p>
        </w:tc>
      </w:tr>
      <w:tr w:rsidTr="009B0A6E">
        <w:tblPrEx>
          <w:tblW w:w="8542" w:type="dxa"/>
          <w:tblLook w:val="0000"/>
        </w:tblPrEx>
        <w:trPr>
          <w:trHeight w:val="157"/>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s="宋体S....." w:hint="eastAsia"/>
                <w:color w:val="000000" w:themeColor="text1"/>
                <w:kern w:val="0"/>
                <w:szCs w:val="21"/>
              </w:rPr>
              <w:t>单笔赎回最低份额</w:t>
            </w:r>
          </w:p>
        </w:tc>
        <w:tc>
          <w:tcPr>
            <w:tcW w:w="1676"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份</w:t>
            </w:r>
          </w:p>
        </w:tc>
        <w:tc>
          <w:tcPr>
            <w:tcW w:w="170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份</w:t>
            </w:r>
          </w:p>
        </w:tc>
        <w:tc>
          <w:tcPr>
            <w:tcW w:w="1843"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sidR="006104BD">
              <w:rPr>
                <w:rFonts w:asciiTheme="minorEastAsia" w:eastAsiaTheme="minorEastAsia" w:hAnsiTheme="minorEastAsia" w:hint="eastAsia"/>
                <w:color w:val="000000" w:themeColor="text1"/>
                <w:kern w:val="0"/>
                <w:szCs w:val="21"/>
              </w:rPr>
              <w:t>0</w:t>
            </w:r>
            <w:r w:rsidRPr="00D3689E">
              <w:rPr>
                <w:rFonts w:asciiTheme="minorEastAsia" w:eastAsiaTheme="minorEastAsia" w:hAnsiTheme="minorEastAsia" w:cs="宋体S....." w:hint="eastAsia"/>
                <w:color w:val="000000" w:themeColor="text1"/>
                <w:kern w:val="0"/>
                <w:szCs w:val="21"/>
              </w:rPr>
              <w:t>份</w:t>
            </w:r>
          </w:p>
        </w:tc>
        <w:tc>
          <w:tcPr>
            <w:tcW w:w="177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sidR="006104BD">
              <w:rPr>
                <w:rFonts w:asciiTheme="minorEastAsia" w:eastAsiaTheme="minorEastAsia" w:hAnsiTheme="minorEastAsia" w:hint="eastAsia"/>
                <w:color w:val="000000" w:themeColor="text1"/>
                <w:kern w:val="0"/>
                <w:szCs w:val="21"/>
              </w:rPr>
              <w:t>0</w:t>
            </w:r>
            <w:r w:rsidRPr="00D3689E">
              <w:rPr>
                <w:rFonts w:asciiTheme="minorEastAsia" w:eastAsiaTheme="minorEastAsia" w:hAnsiTheme="minorEastAsia" w:cs="宋体S....." w:hint="eastAsia"/>
                <w:color w:val="000000" w:themeColor="text1"/>
                <w:kern w:val="0"/>
                <w:szCs w:val="21"/>
              </w:rPr>
              <w:t>份</w:t>
            </w:r>
          </w:p>
        </w:tc>
      </w:tr>
      <w:tr w:rsidTr="009B0A6E">
        <w:tblPrEx>
          <w:tblW w:w="8542" w:type="dxa"/>
          <w:tblLook w:val="0000"/>
        </w:tblPrEx>
        <w:trPr>
          <w:trHeight w:val="157"/>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s="宋体S....." w:hint="eastAsia"/>
                <w:color w:val="000000" w:themeColor="text1"/>
                <w:kern w:val="0"/>
                <w:szCs w:val="21"/>
              </w:rPr>
              <w:t>基金账户最低基金份额余额</w:t>
            </w:r>
          </w:p>
        </w:tc>
        <w:tc>
          <w:tcPr>
            <w:tcW w:w="1676"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份</w:t>
            </w:r>
          </w:p>
        </w:tc>
        <w:tc>
          <w:tcPr>
            <w:tcW w:w="170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olor w:val="000000" w:themeColor="text1"/>
                <w:kern w:val="0"/>
                <w:szCs w:val="21"/>
              </w:rPr>
              <w:t>1</w:t>
            </w:r>
            <w:r w:rsidRPr="00D3689E">
              <w:rPr>
                <w:rFonts w:asciiTheme="minorEastAsia" w:eastAsiaTheme="minorEastAsia" w:hAnsiTheme="minorEastAsia" w:cs="宋体S....." w:hint="eastAsia"/>
                <w:color w:val="000000" w:themeColor="text1"/>
                <w:kern w:val="0"/>
                <w:szCs w:val="21"/>
              </w:rPr>
              <w:t>份</w:t>
            </w:r>
          </w:p>
        </w:tc>
        <w:tc>
          <w:tcPr>
            <w:tcW w:w="1843"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sidR="006104BD">
              <w:rPr>
                <w:rFonts w:asciiTheme="minorEastAsia" w:eastAsiaTheme="minorEastAsia" w:hAnsiTheme="minorEastAsia" w:hint="eastAsia"/>
                <w:color w:val="000000" w:themeColor="text1"/>
                <w:kern w:val="0"/>
                <w:szCs w:val="21"/>
              </w:rPr>
              <w:t>0</w:t>
            </w:r>
            <w:r w:rsidRPr="00D3689E">
              <w:rPr>
                <w:rFonts w:asciiTheme="minorEastAsia" w:eastAsiaTheme="minorEastAsia" w:hAnsiTheme="minorEastAsia" w:cs="宋体S....." w:hint="eastAsia"/>
                <w:color w:val="000000" w:themeColor="text1"/>
                <w:kern w:val="0"/>
                <w:szCs w:val="21"/>
              </w:rPr>
              <w:t>份</w:t>
            </w:r>
          </w:p>
        </w:tc>
        <w:tc>
          <w:tcPr>
            <w:tcW w:w="177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w:t>
            </w:r>
            <w:r w:rsidRPr="00D3689E" w:rsidR="006104BD">
              <w:rPr>
                <w:rFonts w:asciiTheme="minorEastAsia" w:eastAsiaTheme="minorEastAsia" w:hAnsiTheme="minorEastAsia" w:hint="eastAsia"/>
                <w:color w:val="000000" w:themeColor="text1"/>
                <w:kern w:val="0"/>
                <w:szCs w:val="21"/>
              </w:rPr>
              <w:t>0</w:t>
            </w:r>
            <w:r w:rsidRPr="00D3689E">
              <w:rPr>
                <w:rFonts w:asciiTheme="minorEastAsia" w:eastAsiaTheme="minorEastAsia" w:hAnsiTheme="minorEastAsia" w:cs="宋体S....." w:hint="eastAsia"/>
                <w:color w:val="000000" w:themeColor="text1"/>
                <w:kern w:val="0"/>
                <w:szCs w:val="21"/>
              </w:rPr>
              <w:t>份</w:t>
            </w:r>
          </w:p>
        </w:tc>
      </w:tr>
      <w:tr w:rsidTr="009B0A6E">
        <w:tblPrEx>
          <w:tblW w:w="8542" w:type="dxa"/>
          <w:tblLook w:val="0000"/>
        </w:tblPrEx>
        <w:trPr>
          <w:trHeight w:val="157"/>
        </w:trPr>
        <w:tc>
          <w:tcPr>
            <w:tcW w:w="0" w:type="auto"/>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D3689E">
              <w:rPr>
                <w:rFonts w:asciiTheme="minorEastAsia" w:eastAsiaTheme="minorEastAsia" w:hAnsiTheme="minorEastAsia" w:cs="宋体S....." w:hint="eastAsia"/>
                <w:color w:val="000000" w:themeColor="text1"/>
                <w:kern w:val="0"/>
                <w:szCs w:val="21"/>
              </w:rPr>
              <w:t>销售服务费（年费率）</w:t>
            </w:r>
          </w:p>
        </w:tc>
        <w:tc>
          <w:tcPr>
            <w:tcW w:w="1676"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0</w:t>
            </w:r>
          </w:p>
        </w:tc>
        <w:tc>
          <w:tcPr>
            <w:tcW w:w="170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0.4%</w:t>
            </w:r>
          </w:p>
        </w:tc>
        <w:tc>
          <w:tcPr>
            <w:tcW w:w="1843"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0</w:t>
            </w:r>
          </w:p>
        </w:tc>
        <w:tc>
          <w:tcPr>
            <w:tcW w:w="1771" w:type="dxa"/>
            <w:vAlign w:val="center"/>
          </w:tcPr>
          <w:p w:rsidR="0095247C" w:rsidRPr="00D3689E" w:rsidP="009B0A6E">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0.4%</w:t>
            </w:r>
          </w:p>
        </w:tc>
      </w:tr>
    </w:tbl>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根据基金销售情况，基金管理人可在不违反法律法规以及对基金份额持有人利益无实质性不利影响的情况下，增加新的基金份额类别、或者调整现有基金份额类别的费率水平、或者停止现有基金份额类别的销售、或者增加美元现钞份额、或者增加新的销售币种、或者调整现有基金销售币种设置、或者停止现有币种的销售等，调整前基金管理人需及时公告并报中国证监会备案，无须召开基金份额持有人大会审议批准。</w:t>
      </w:r>
    </w:p>
    <w:p w:rsidR="00F63DAA" w:rsidRPr="00D3689E" w:rsidP="00E040B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除非基金管理人在未来条件成熟后另行公告开通相关业务，本基金不同基金份额类别之间不得互相转换。</w:t>
      </w:r>
    </w:p>
    <w:p w:rsidR="004008C7" w:rsidRPr="00D3689E" w:rsidP="00F63DAA">
      <w:pPr>
        <w:pStyle w:val="NormalInden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br w:type="page"/>
      </w:r>
    </w:p>
    <w:p w:rsidR="0064594E" w:rsidRPr="00D3689E" w:rsidP="00A8438B">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134" w:name="_Toc169103838"/>
      <w:r w:rsidRPr="00D3689E">
        <w:rPr>
          <w:rFonts w:asciiTheme="minorEastAsia" w:eastAsiaTheme="minorEastAsia" w:hAnsiTheme="minorEastAsia" w:hint="eastAsia"/>
          <w:color w:val="000000" w:themeColor="text1"/>
        </w:rPr>
        <w:t>基金的募集</w:t>
      </w:r>
      <w:bookmarkEnd w:id="132"/>
      <w:bookmarkEnd w:id="134"/>
    </w:p>
    <w:p w:rsidR="005A0BA8" w:rsidRPr="00D3689E" w:rsidP="00656762">
      <w:pPr>
        <w:snapToGrid w:val="0"/>
        <w:spacing w:line="360" w:lineRule="auto"/>
        <w:ind w:firstLine="420" w:firstLineChars="200"/>
        <w:rPr>
          <w:rFonts w:asciiTheme="minorEastAsia" w:eastAsiaTheme="minorEastAsia" w:hAnsiTheme="minorEastAsia"/>
          <w:color w:val="000000" w:themeColor="text1"/>
        </w:rPr>
      </w:pPr>
      <w:bookmarkStart w:id="135" w:name="_Toc38432433"/>
    </w:p>
    <w:p w:rsidR="00415F20" w:rsidRPr="00D3689E" w:rsidP="009959A9">
      <w:pPr>
        <w:snapToGrid w:val="0"/>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本基金由基金管理人依照</w:t>
      </w:r>
      <w:r w:rsidRPr="00D3689E" w:rsidR="00322F19">
        <w:rPr>
          <w:rFonts w:asciiTheme="minorEastAsia" w:eastAsiaTheme="minorEastAsia" w:hAnsiTheme="minorEastAsia"/>
          <w:color w:val="000000" w:themeColor="text1"/>
        </w:rPr>
        <w:t>《基金法》、《运作办法》、《销售办法》、《信息披露办法》</w:t>
      </w:r>
      <w:r w:rsidRPr="00D3689E" w:rsidR="005F789B">
        <w:rPr>
          <w:rFonts w:asciiTheme="minorEastAsia" w:eastAsiaTheme="minorEastAsia" w:hAnsiTheme="minorEastAsia"/>
          <w:color w:val="000000" w:themeColor="text1"/>
        </w:rPr>
        <w:t>、</w:t>
      </w:r>
      <w:r w:rsidRPr="00D3689E" w:rsidR="00322F19">
        <w:rPr>
          <w:rFonts w:asciiTheme="minorEastAsia" w:eastAsiaTheme="minorEastAsia" w:hAnsiTheme="minorEastAsia"/>
          <w:color w:val="000000" w:themeColor="text1"/>
        </w:rPr>
        <w:t>基金合同及其他有关规定募集</w:t>
      </w:r>
      <w:r w:rsidRPr="00D3689E">
        <w:rPr>
          <w:rFonts w:asciiTheme="minorEastAsia" w:eastAsiaTheme="minorEastAsia" w:hAnsiTheme="minorEastAsia"/>
          <w:color w:val="000000" w:themeColor="text1"/>
        </w:rPr>
        <w:t>，</w:t>
      </w:r>
      <w:r w:rsidRPr="00D3689E" w:rsidR="00B75DFC">
        <w:rPr>
          <w:rFonts w:asciiTheme="minorEastAsia" w:eastAsiaTheme="minorEastAsia" w:hAnsiTheme="minorEastAsia"/>
          <w:color w:val="000000" w:themeColor="text1"/>
        </w:rPr>
        <w:t>本基金</w:t>
      </w:r>
      <w:r w:rsidRPr="00D3689E">
        <w:rPr>
          <w:rFonts w:asciiTheme="minorEastAsia" w:eastAsiaTheme="minorEastAsia" w:hAnsiTheme="minorEastAsia" w:hint="eastAsia"/>
          <w:color w:val="000000" w:themeColor="text1"/>
        </w:rPr>
        <w:t>已经</w:t>
      </w:r>
      <w:r w:rsidRPr="00D3689E">
        <w:rPr>
          <w:rFonts w:asciiTheme="minorEastAsia" w:eastAsiaTheme="minorEastAsia" w:hAnsiTheme="minorEastAsia"/>
          <w:color w:val="000000" w:themeColor="text1"/>
        </w:rPr>
        <w:t>中国证券监督管理委员会</w:t>
      </w:r>
      <w:r w:rsidRPr="00D3689E">
        <w:rPr>
          <w:rFonts w:asciiTheme="minorEastAsia" w:eastAsiaTheme="minorEastAsia" w:hAnsiTheme="minorEastAsia" w:hint="eastAsia"/>
          <w:color w:val="000000" w:themeColor="text1"/>
        </w:rPr>
        <w:t>2018年8月9日《</w:t>
      </w:r>
      <w:r w:rsidRPr="00D3689E" w:rsidR="00C662F1">
        <w:rPr>
          <w:rFonts w:asciiTheme="minorEastAsia" w:eastAsiaTheme="minorEastAsia" w:hAnsiTheme="minorEastAsia" w:hint="eastAsia"/>
          <w:color w:val="000000" w:themeColor="text1"/>
        </w:rPr>
        <w:t>关于准予易方达中证海外中国互联网50交易型开放式指数证券投资基金联接基金注册的批复</w:t>
      </w:r>
      <w:r w:rsidRPr="00D3689E">
        <w:rPr>
          <w:rFonts w:asciiTheme="minorEastAsia" w:eastAsiaTheme="minorEastAsia" w:hAnsiTheme="minorEastAsia"/>
          <w:color w:val="000000" w:themeColor="text1"/>
        </w:rPr>
        <w:t>》(证监许可【2018</w:t>
      </w: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1270</w:t>
      </w:r>
      <w:r w:rsidRPr="00D3689E">
        <w:rPr>
          <w:rFonts w:asciiTheme="minorEastAsia" w:eastAsiaTheme="minorEastAsia" w:hAnsiTheme="minorEastAsia" w:hint="eastAsia"/>
          <w:color w:val="000000" w:themeColor="text1"/>
        </w:rPr>
        <w:t>号</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注册。</w:t>
      </w:r>
    </w:p>
    <w:p w:rsidR="009959A9" w:rsidRPr="00D3689E" w:rsidP="009959A9">
      <w:pPr>
        <w:snapToGrid w:val="0"/>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本基金为</w:t>
      </w:r>
      <w:r w:rsidRPr="00D3689E">
        <w:rPr>
          <w:rFonts w:asciiTheme="minorEastAsia" w:eastAsiaTheme="minorEastAsia" w:hAnsiTheme="minorEastAsia" w:hint="eastAsia"/>
          <w:color w:val="000000" w:themeColor="text1"/>
          <w:szCs w:val="21"/>
        </w:rPr>
        <w:t>境外指数基金、联接基金</w:t>
      </w:r>
      <w:r w:rsidRPr="00D3689E">
        <w:rPr>
          <w:rFonts w:asciiTheme="minorEastAsia" w:eastAsiaTheme="minorEastAsia" w:hAnsiTheme="minorEastAsia"/>
          <w:color w:val="000000" w:themeColor="text1"/>
          <w:szCs w:val="21"/>
        </w:rPr>
        <w:t>，基金运作方式为契约型、开放式</w:t>
      </w:r>
      <w:r w:rsidRPr="00D3689E">
        <w:rPr>
          <w:rFonts w:asciiTheme="minorEastAsia" w:eastAsiaTheme="minorEastAsia" w:hAnsiTheme="minorEastAsia" w:hint="eastAsia"/>
          <w:color w:val="000000" w:themeColor="text1"/>
          <w:szCs w:val="21"/>
        </w:rPr>
        <w:t>。基金的存续期为</w:t>
      </w:r>
      <w:r w:rsidRPr="00D3689E">
        <w:rPr>
          <w:rFonts w:asciiTheme="minorEastAsia" w:eastAsiaTheme="minorEastAsia" w:hAnsiTheme="minorEastAsia"/>
          <w:color w:val="000000" w:themeColor="text1"/>
          <w:szCs w:val="21"/>
        </w:rPr>
        <w:t>不定期</w:t>
      </w:r>
      <w:r w:rsidRPr="00D3689E">
        <w:rPr>
          <w:rFonts w:asciiTheme="minorEastAsia" w:eastAsiaTheme="minorEastAsia" w:hAnsiTheme="minorEastAsia" w:hint="eastAsia"/>
          <w:color w:val="000000" w:themeColor="text1"/>
          <w:szCs w:val="21"/>
        </w:rPr>
        <w:t>。</w:t>
      </w:r>
    </w:p>
    <w:p w:rsidR="009959A9" w:rsidRPr="00D3689E" w:rsidP="009959A9">
      <w:pPr>
        <w:snapToGrid w:val="0"/>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w:t>
      </w:r>
      <w:r w:rsidRPr="00D3689E">
        <w:rPr>
          <w:rFonts w:asciiTheme="minorEastAsia" w:eastAsiaTheme="minorEastAsia" w:hAnsiTheme="minorEastAsia" w:hint="eastAsia"/>
          <w:color w:val="000000" w:themeColor="text1"/>
        </w:rPr>
        <w:t>募集期间</w:t>
      </w:r>
      <w:r w:rsidRPr="00D3689E" w:rsidR="00AF0021">
        <w:rPr>
          <w:rStyle w:val="da"/>
          <w:rFonts w:asciiTheme="minorEastAsia" w:eastAsiaTheme="minorEastAsia" w:hAnsiTheme="minorEastAsia" w:hint="eastAsia"/>
          <w:color w:val="000000" w:themeColor="text1"/>
        </w:rPr>
        <w:t>人民币份额的初始面值为每份基金份额人民币1.00元；美元份额的初始面值为人民币份额的初始面值按照募集期最后一日美元估值汇率进行折算，以美元为单位，四舍五入保留小数点后8位。</w:t>
      </w:r>
    </w:p>
    <w:p w:rsidR="00DB2D81" w:rsidRPr="00D3689E" w:rsidP="0028353A">
      <w:pPr>
        <w:snapToGrid w:val="0"/>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本基金募集期自</w:t>
      </w:r>
      <w:r w:rsidRPr="00D3689E">
        <w:rPr>
          <w:rFonts w:asciiTheme="minorEastAsia" w:eastAsiaTheme="minorEastAsia" w:hAnsiTheme="minorEastAsia"/>
          <w:color w:val="000000" w:themeColor="text1"/>
        </w:rPr>
        <w:t>201</w:t>
      </w:r>
      <w:r w:rsidRPr="00D3689E" w:rsidR="00285A97">
        <w:rPr>
          <w:rFonts w:asciiTheme="minorEastAsia" w:eastAsiaTheme="minorEastAsia" w:hAnsiTheme="minorEastAsia"/>
          <w:color w:val="000000" w:themeColor="text1"/>
        </w:rPr>
        <w:t>9</w:t>
      </w:r>
      <w:r w:rsidRPr="00D3689E">
        <w:rPr>
          <w:rFonts w:asciiTheme="minorEastAsia" w:eastAsiaTheme="minorEastAsia" w:hAnsiTheme="minorEastAsia" w:hint="eastAsia"/>
          <w:color w:val="000000" w:themeColor="text1"/>
        </w:rPr>
        <w:t>年</w:t>
      </w:r>
      <w:r w:rsidRPr="00D3689E" w:rsidR="00285A97">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月</w:t>
      </w:r>
      <w:r w:rsidRPr="00D3689E" w:rsidR="00285A97">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日至</w:t>
      </w:r>
      <w:r w:rsidRPr="00D3689E">
        <w:rPr>
          <w:rFonts w:asciiTheme="minorEastAsia" w:eastAsiaTheme="minorEastAsia" w:hAnsiTheme="minorEastAsia"/>
          <w:color w:val="000000" w:themeColor="text1"/>
        </w:rPr>
        <w:t>201</w:t>
      </w:r>
      <w:r w:rsidRPr="00D3689E" w:rsidR="00285A97">
        <w:rPr>
          <w:rFonts w:asciiTheme="minorEastAsia" w:eastAsiaTheme="minorEastAsia" w:hAnsiTheme="minorEastAsia"/>
          <w:color w:val="000000" w:themeColor="text1"/>
        </w:rPr>
        <w:t>9</w:t>
      </w:r>
      <w:r w:rsidRPr="00D3689E">
        <w:rPr>
          <w:rFonts w:asciiTheme="minorEastAsia" w:eastAsiaTheme="minorEastAsia" w:hAnsiTheme="minorEastAsia" w:hint="eastAsia"/>
          <w:color w:val="000000" w:themeColor="text1"/>
        </w:rPr>
        <w:t>年</w:t>
      </w: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月</w:t>
      </w:r>
      <w:r w:rsidRPr="00D3689E" w:rsidR="00285A97">
        <w:rPr>
          <w:rFonts w:asciiTheme="minorEastAsia" w:eastAsiaTheme="minorEastAsia" w:hAnsiTheme="minorEastAsia"/>
          <w:color w:val="000000" w:themeColor="text1"/>
        </w:rPr>
        <w:t>15</w:t>
      </w:r>
      <w:r w:rsidRPr="00D3689E">
        <w:rPr>
          <w:rFonts w:asciiTheme="minorEastAsia" w:eastAsiaTheme="minorEastAsia" w:hAnsiTheme="minorEastAsia" w:hint="eastAsia"/>
          <w:color w:val="000000" w:themeColor="text1"/>
        </w:rPr>
        <w:t>日。</w:t>
      </w:r>
    </w:p>
    <w:p w:rsidR="00DB2D81" w:rsidRPr="00D3689E" w:rsidP="0028353A">
      <w:pPr>
        <w:snapToGrid w:val="0"/>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募集对象为符合法律法规规定的可投资于证券投资基金的个人投资者、机构投资者和合格境外机构投资者以及法律法规或中国证监会允许购买证券投资基金的其他投资人。</w:t>
      </w:r>
    </w:p>
    <w:p w:rsidR="00DB2D81" w:rsidRPr="00D3689E" w:rsidP="00172767">
      <w:pPr>
        <w:snapToGrid w:val="0"/>
        <w:spacing w:line="360" w:lineRule="auto"/>
        <w:ind w:firstLine="420" w:firstLineChars="200"/>
        <w:rPr>
          <w:rFonts w:asciiTheme="minorEastAsia" w:eastAsiaTheme="minorEastAsia" w:hAnsiTheme="minorEastAsia"/>
          <w:color w:val="000000" w:themeColor="text1"/>
        </w:rPr>
      </w:pPr>
    </w:p>
    <w:p w:rsidR="00DB2D81" w:rsidRPr="00D3689E" w:rsidP="00172767">
      <w:pPr>
        <w:snapToGrid w:val="0"/>
        <w:spacing w:line="360" w:lineRule="auto"/>
        <w:ind w:firstLine="420" w:firstLineChars="200"/>
        <w:rPr>
          <w:rFonts w:asciiTheme="minorEastAsia" w:eastAsiaTheme="minorEastAsia" w:hAnsiTheme="minorEastAsia"/>
          <w:color w:val="000000" w:themeColor="text1"/>
        </w:rPr>
      </w:pPr>
    </w:p>
    <w:p w:rsidR="001C6317" w:rsidRPr="00D3689E" w:rsidP="005A0BA8">
      <w:pPr>
        <w:snapToGrid w:val="0"/>
        <w:spacing w:line="360" w:lineRule="auto"/>
        <w:ind w:firstLine="420" w:firstLineChars="200"/>
        <w:rPr>
          <w:rFonts w:asciiTheme="minorEastAsia" w:eastAsiaTheme="minorEastAsia" w:hAnsiTheme="minorEastAsia"/>
          <w:color w:val="000000" w:themeColor="text1"/>
        </w:rPr>
      </w:pPr>
      <w:bookmarkStart w:id="136" w:name="_Toc296440129"/>
      <w:bookmarkStart w:id="137" w:name="_Toc296526966"/>
      <w:bookmarkStart w:id="138" w:name="_Toc296440130"/>
      <w:bookmarkStart w:id="139" w:name="_Toc296526967"/>
      <w:bookmarkEnd w:id="136"/>
      <w:bookmarkEnd w:id="137"/>
      <w:bookmarkEnd w:id="138"/>
      <w:bookmarkEnd w:id="139"/>
    </w:p>
    <w:bookmarkEnd w:id="135"/>
    <w:p w:rsidR="00F50058" w:rsidRPr="00D3689E" w:rsidP="005A0BA8">
      <w:pPr>
        <w:spacing w:line="360" w:lineRule="auto"/>
        <w:ind w:firstLine="420" w:firstLineChars="200"/>
        <w:rPr>
          <w:rFonts w:asciiTheme="minorEastAsia" w:eastAsiaTheme="minorEastAsia" w:hAnsiTheme="minorEastAsia"/>
          <w:color w:val="000000" w:themeColor="text1"/>
          <w:szCs w:val="21"/>
        </w:rPr>
      </w:pPr>
    </w:p>
    <w:p w:rsidR="00604184" w:rsidRPr="00D3689E">
      <w:pPr>
        <w:pStyle w:val="1"/>
        <w:numPr>
          <w:ilvl w:val="0"/>
          <w:numId w:val="4"/>
        </w:numPr>
        <w:spacing w:before="156" w:beforeLines="50" w:after="156" w:afterLines="50" w:line="360" w:lineRule="auto"/>
        <w:ind w:left="1809" w:hanging="1168" w:firstLineChars="0"/>
        <w:rPr>
          <w:rFonts w:asciiTheme="minorEastAsia" w:eastAsiaTheme="minorEastAsia" w:hAnsiTheme="minorEastAsia"/>
          <w:color w:val="000000" w:themeColor="text1"/>
        </w:rPr>
      </w:pPr>
      <w:bookmarkStart w:id="140" w:name="_Toc13851885"/>
      <w:bookmarkStart w:id="141" w:name="_Toc13851886"/>
      <w:bookmarkStart w:id="142" w:name="_Toc13851887"/>
      <w:bookmarkStart w:id="143" w:name="_Toc13851888"/>
      <w:bookmarkStart w:id="144" w:name="_Toc13851889"/>
      <w:bookmarkStart w:id="145" w:name="_Toc13851890"/>
      <w:bookmarkStart w:id="146" w:name="_Toc13851891"/>
      <w:bookmarkStart w:id="147" w:name="_Toc13851892"/>
      <w:bookmarkStart w:id="148" w:name="_Toc13851893"/>
      <w:bookmarkStart w:id="149" w:name="_Toc13851894"/>
      <w:bookmarkStart w:id="150" w:name="_Toc13851895"/>
      <w:bookmarkStart w:id="151" w:name="_Toc13851896"/>
      <w:bookmarkStart w:id="152" w:name="_Toc13851897"/>
      <w:bookmarkStart w:id="153" w:name="_Toc13851898"/>
      <w:bookmarkStart w:id="154" w:name="_Toc13851899"/>
      <w:bookmarkStart w:id="155" w:name="_Toc13851900"/>
      <w:bookmarkStart w:id="156" w:name="_Toc13851901"/>
      <w:bookmarkStart w:id="157" w:name="_Toc13851902"/>
      <w:bookmarkStart w:id="158" w:name="_Toc13851903"/>
      <w:bookmarkStart w:id="159" w:name="_Toc13851904"/>
      <w:bookmarkStart w:id="160" w:name="_Toc13851905"/>
      <w:bookmarkStart w:id="161" w:name="_Toc13851906"/>
      <w:bookmarkStart w:id="162" w:name="_Toc13851907"/>
      <w:bookmarkStart w:id="163" w:name="_Toc13851908"/>
      <w:bookmarkStart w:id="164" w:name="_Toc13851924"/>
      <w:bookmarkStart w:id="165" w:name="_Toc13851940"/>
      <w:bookmarkStart w:id="166" w:name="_Toc13851941"/>
      <w:bookmarkStart w:id="167" w:name="_Toc13851942"/>
      <w:bookmarkStart w:id="168" w:name="_Toc13851966"/>
      <w:bookmarkStart w:id="169" w:name="_Toc13851967"/>
      <w:bookmarkStart w:id="170" w:name="_Toc13851968"/>
      <w:bookmarkStart w:id="171" w:name="_Toc13851969"/>
      <w:bookmarkStart w:id="172" w:name="_Toc13851970"/>
      <w:bookmarkStart w:id="173" w:name="_Toc13851971"/>
      <w:bookmarkStart w:id="174" w:name="_Toc13851972"/>
      <w:bookmarkStart w:id="175" w:name="_Toc13851973"/>
      <w:bookmarkStart w:id="176" w:name="_Toc13851974"/>
      <w:bookmarkStart w:id="177" w:name="_Toc13851975"/>
      <w:bookmarkStart w:id="178" w:name="_Toc13851976"/>
      <w:bookmarkStart w:id="179" w:name="_Toc13851977"/>
      <w:bookmarkStart w:id="180" w:name="_Toc13851978"/>
      <w:bookmarkStart w:id="181" w:name="_Toc13851979"/>
      <w:bookmarkStart w:id="182" w:name="_Toc13851980"/>
      <w:bookmarkStart w:id="183" w:name="_Toc13851981"/>
      <w:bookmarkStart w:id="184" w:name="_Toc13851982"/>
      <w:bookmarkStart w:id="185" w:name="_Toc13851983"/>
      <w:bookmarkStart w:id="186" w:name="_Toc13851984"/>
      <w:bookmarkStart w:id="187" w:name="_Toc13851985"/>
      <w:bookmarkStart w:id="188" w:name="_Toc13851986"/>
      <w:bookmarkStart w:id="189" w:name="_Toc13851987"/>
      <w:bookmarkStart w:id="190" w:name="_Toc13851988"/>
      <w:bookmarkStart w:id="191" w:name="_Toc13851989"/>
      <w:bookmarkStart w:id="192" w:name="_Toc13851990"/>
      <w:bookmarkStart w:id="193" w:name="_Toc13851991"/>
      <w:bookmarkStart w:id="194" w:name="_Toc13851992"/>
      <w:bookmarkStart w:id="195" w:name="_Toc13851993"/>
      <w:bookmarkStart w:id="196" w:name="_Toc13851994"/>
      <w:bookmarkStart w:id="197" w:name="_Toc13851995"/>
      <w:bookmarkStart w:id="198" w:name="_Toc13851996"/>
      <w:bookmarkStart w:id="199" w:name="_Toc13851997"/>
      <w:bookmarkStart w:id="200" w:name="_Toc13851998"/>
      <w:bookmarkStart w:id="201" w:name="_Toc13851999"/>
      <w:bookmarkStart w:id="202" w:name="_Toc13852000"/>
      <w:bookmarkStart w:id="203" w:name="_Toc296526974"/>
      <w:bookmarkStart w:id="204" w:name="_Toc1691038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3689E">
        <w:rPr>
          <w:rFonts w:asciiTheme="minorEastAsia" w:eastAsiaTheme="minorEastAsia" w:hAnsiTheme="minorEastAsia" w:hint="eastAsia"/>
          <w:color w:val="000000" w:themeColor="text1"/>
        </w:rPr>
        <w:t>基金</w:t>
      </w:r>
      <w:r w:rsidRPr="00D3689E" w:rsidR="00777739">
        <w:rPr>
          <w:rFonts w:asciiTheme="minorEastAsia" w:eastAsiaTheme="minorEastAsia" w:hAnsiTheme="minorEastAsia" w:hint="eastAsia"/>
          <w:color w:val="000000" w:themeColor="text1"/>
        </w:rPr>
        <w:t>合同的生效</w:t>
      </w:r>
      <w:bookmarkEnd w:id="204"/>
    </w:p>
    <w:p w:rsidR="005A0BA8" w:rsidRPr="00D3689E" w:rsidP="00BA6F0E">
      <w:pPr>
        <w:spacing w:line="360" w:lineRule="auto"/>
        <w:ind w:firstLine="420"/>
        <w:rPr>
          <w:rFonts w:asciiTheme="minorEastAsia" w:eastAsiaTheme="minorEastAsia" w:hAnsiTheme="minorEastAsia"/>
          <w:color w:val="000000" w:themeColor="text1"/>
          <w:kern w:val="0"/>
          <w:szCs w:val="21"/>
        </w:rPr>
      </w:pPr>
    </w:p>
    <w:p w:rsidR="00777739" w:rsidRPr="00D3689E" w:rsidP="00777739">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一、基金合同的生效</w:t>
      </w:r>
    </w:p>
    <w:p w:rsidR="00777739" w:rsidRPr="00D3689E" w:rsidP="00777739">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本基金基金合同于2019年1月18日正式生效。自基金合同生效日起，本基金管理人正式开始管理本基金。</w:t>
      </w:r>
    </w:p>
    <w:p w:rsidR="001C6317" w:rsidRPr="00D3689E" w:rsidP="001C6317">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二、基金存续期内的基金份额持有人数量和资产规模</w:t>
      </w:r>
    </w:p>
    <w:p w:rsidR="001C6317" w:rsidRPr="00D3689E" w:rsidP="001C6317">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《基金合同》生效后，连续二十个工作日出现基金份额持有人数量不满二百人或者基金资产净值低于五千万元</w:t>
      </w:r>
      <w:r w:rsidRPr="00D3689E" w:rsidR="0095444A">
        <w:rPr>
          <w:rFonts w:asciiTheme="minorEastAsia" w:eastAsiaTheme="minorEastAsia" w:hAnsiTheme="minorEastAsia" w:hint="eastAsia"/>
          <w:color w:val="000000" w:themeColor="text1"/>
          <w:kern w:val="0"/>
          <w:szCs w:val="21"/>
        </w:rPr>
        <w:t>人民币或等值货币</w:t>
      </w:r>
      <w:r w:rsidRPr="00D3689E">
        <w:rPr>
          <w:rFonts w:asciiTheme="minorEastAsia" w:eastAsiaTheme="minorEastAsia" w:hAnsiTheme="minorEastAsia" w:hint="eastAsia"/>
          <w:color w:val="000000" w:themeColor="text1"/>
          <w:kern w:val="0"/>
          <w:szCs w:val="21"/>
        </w:rPr>
        <w:t>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5A0BA8" w:rsidRPr="00D3689E" w:rsidP="005A0BA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kern w:val="0"/>
          <w:szCs w:val="21"/>
        </w:rPr>
        <w:t>法律法规或基金合同另有规定时，从其规定。</w:t>
      </w:r>
    </w:p>
    <w:p w:rsidR="001C6317" w:rsidRPr="00D3689E" w:rsidP="005A0BA8">
      <w:pPr>
        <w:spacing w:line="360" w:lineRule="auto"/>
        <w:ind w:firstLine="420"/>
        <w:rPr>
          <w:rFonts w:asciiTheme="minorEastAsia" w:eastAsiaTheme="minorEastAsia" w:hAnsiTheme="minorEastAsia"/>
          <w:color w:val="000000" w:themeColor="text1"/>
          <w:kern w:val="0"/>
          <w:szCs w:val="21"/>
        </w:rPr>
      </w:pPr>
    </w:p>
    <w:p w:rsidR="0064594E" w:rsidRPr="00D3689E" w:rsidP="002C1A0C">
      <w:pPr>
        <w:pStyle w:val="1"/>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205" w:name="_Toc169103840"/>
      <w:r w:rsidRPr="00D3689E">
        <w:rPr>
          <w:rFonts w:asciiTheme="minorEastAsia" w:eastAsiaTheme="minorEastAsia" w:hAnsiTheme="minorEastAsia" w:hint="eastAsia"/>
          <w:color w:val="000000" w:themeColor="text1"/>
        </w:rPr>
        <w:t>基金份额的申购、赎回</w:t>
      </w:r>
      <w:bookmarkEnd w:id="205"/>
    </w:p>
    <w:p w:rsidR="00085202" w:rsidRPr="00D3689E" w:rsidP="00085202">
      <w:pPr>
        <w:spacing w:line="360" w:lineRule="auto"/>
        <w:ind w:firstLine="420" w:firstLineChars="200"/>
        <w:rPr>
          <w:rFonts w:asciiTheme="minorEastAsia" w:eastAsiaTheme="minorEastAsia" w:hAnsiTheme="minorEastAsia"/>
          <w:color w:val="000000" w:themeColor="text1"/>
          <w:kern w:val="0"/>
          <w:szCs w:val="21"/>
        </w:rPr>
      </w:pP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w:t>
      </w:r>
      <w:r w:rsidRPr="00D3689E">
        <w:rPr>
          <w:rFonts w:asciiTheme="minorEastAsia" w:eastAsiaTheme="minorEastAsia" w:hAnsiTheme="minorEastAsia"/>
          <w:color w:val="000000" w:themeColor="text1"/>
          <w:szCs w:val="21"/>
        </w:rPr>
        <w:t>基金投资者范围</w:t>
      </w:r>
    </w:p>
    <w:p w:rsidR="0064594E" w:rsidRPr="00D3689E" w:rsidP="00085202">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Cs w:val="21"/>
        </w:rPr>
        <w:t>个人投资者、机构投资者和合格境外机构投资者以及法律法规或中国证监会允许购买证券投资基金的其他投资者</w:t>
      </w:r>
      <w:r w:rsidRPr="00D3689E" w:rsidR="0011446F">
        <w:rPr>
          <w:rFonts w:asciiTheme="minorEastAsia" w:eastAsiaTheme="minorEastAsia" w:hAnsiTheme="minorEastAsia" w:hint="eastAsia"/>
          <w:color w:val="000000" w:themeColor="text1"/>
          <w:kern w:val="0"/>
          <w:szCs w:val="21"/>
        </w:rPr>
        <w:t>。</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w:t>
      </w:r>
      <w:r w:rsidRPr="00D3689E">
        <w:rPr>
          <w:rFonts w:asciiTheme="minorEastAsia" w:eastAsiaTheme="minorEastAsia" w:hAnsiTheme="minorEastAsia"/>
          <w:color w:val="000000" w:themeColor="text1"/>
          <w:szCs w:val="21"/>
        </w:rPr>
        <w:t>申购</w:t>
      </w:r>
      <w:r w:rsidRPr="00D3689E" w:rsidR="00B828C1">
        <w:rPr>
          <w:rFonts w:asciiTheme="minorEastAsia" w:eastAsiaTheme="minorEastAsia" w:hAnsiTheme="minorEastAsia"/>
          <w:color w:val="000000" w:themeColor="text1"/>
          <w:szCs w:val="21"/>
        </w:rPr>
        <w:t>与</w:t>
      </w:r>
      <w:r w:rsidRPr="00D3689E">
        <w:rPr>
          <w:rFonts w:asciiTheme="minorEastAsia" w:eastAsiaTheme="minorEastAsia" w:hAnsiTheme="minorEastAsia"/>
          <w:color w:val="000000" w:themeColor="text1"/>
          <w:szCs w:val="21"/>
        </w:rPr>
        <w:t>赎回的场所</w:t>
      </w:r>
    </w:p>
    <w:p w:rsidR="003037CE" w:rsidRPr="00D3689E" w:rsidP="003037C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本基金的销售机构包括基金管理人和基金管理人委托的</w:t>
      </w:r>
      <w:r w:rsidRPr="00D3689E" w:rsidR="00E24E30">
        <w:rPr>
          <w:rFonts w:asciiTheme="minorEastAsia" w:eastAsiaTheme="minorEastAsia" w:hAnsiTheme="minorEastAsia" w:hint="eastAsia"/>
          <w:color w:val="000000" w:themeColor="text1"/>
          <w:szCs w:val="21"/>
        </w:rPr>
        <w:t>非直销销售</w:t>
      </w:r>
      <w:r w:rsidRPr="00D3689E">
        <w:rPr>
          <w:rFonts w:asciiTheme="minorEastAsia" w:eastAsiaTheme="minorEastAsia" w:hAnsiTheme="minorEastAsia" w:hint="eastAsia"/>
          <w:color w:val="000000" w:themeColor="text1"/>
          <w:szCs w:val="21"/>
        </w:rPr>
        <w:t>机构。</w:t>
      </w:r>
    </w:p>
    <w:p w:rsidR="000F6441" w:rsidRPr="00D3689E" w:rsidP="0034444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投资者应当在销售机构办理基金销售业务的营业场所或按销售机构提供的其他方式办理基金的申购与赎回。</w:t>
      </w:r>
      <w:r w:rsidRPr="00D3689E" w:rsidR="004757F6">
        <w:rPr>
          <w:rFonts w:asciiTheme="minorEastAsia" w:eastAsiaTheme="minorEastAsia" w:hAnsiTheme="minorEastAsia" w:hint="eastAsia"/>
          <w:color w:val="000000" w:themeColor="text1"/>
          <w:szCs w:val="21"/>
        </w:rPr>
        <w:t>投资者可在基金管理人指定的销售机构申购和赎回美元等外币基金份额，具体详见相关公告。</w:t>
      </w:r>
      <w:r w:rsidRPr="00D3689E" w:rsidR="009D42B2">
        <w:rPr>
          <w:rFonts w:asciiTheme="minorEastAsia" w:eastAsiaTheme="minorEastAsia" w:hAnsiTheme="minorEastAsia" w:hint="eastAsia"/>
          <w:color w:val="000000" w:themeColor="text1"/>
          <w:szCs w:val="21"/>
        </w:rPr>
        <w:t>基金管理人可根据情况</w:t>
      </w:r>
      <w:r w:rsidRPr="00D3689E" w:rsidR="00A73E53">
        <w:rPr>
          <w:rFonts w:asciiTheme="minorEastAsia" w:eastAsiaTheme="minorEastAsia" w:hAnsiTheme="minorEastAsia" w:hint="eastAsia"/>
          <w:color w:val="000000" w:themeColor="text1"/>
          <w:szCs w:val="21"/>
        </w:rPr>
        <w:t>变更</w:t>
      </w:r>
      <w:r w:rsidRPr="00D3689E" w:rsidR="009D42B2">
        <w:rPr>
          <w:rFonts w:asciiTheme="minorEastAsia" w:eastAsiaTheme="minorEastAsia" w:hAnsiTheme="minorEastAsia" w:hint="eastAsia"/>
          <w:color w:val="000000" w:themeColor="text1"/>
          <w:szCs w:val="21"/>
        </w:rPr>
        <w:t>基金销售机构</w:t>
      </w:r>
      <w:r w:rsidRPr="00D3689E">
        <w:rPr>
          <w:rFonts w:asciiTheme="minorEastAsia" w:eastAsiaTheme="minorEastAsia" w:hAnsiTheme="minorEastAsia" w:hint="eastAsia"/>
          <w:color w:val="000000" w:themeColor="text1"/>
          <w:szCs w:val="21"/>
        </w:rPr>
        <w:t>，</w:t>
      </w:r>
      <w:r w:rsidRPr="00D3689E" w:rsidR="00E75260">
        <w:rPr>
          <w:rFonts w:asciiTheme="minorEastAsia" w:eastAsiaTheme="minorEastAsia" w:hAnsiTheme="minorEastAsia" w:hint="eastAsia"/>
          <w:color w:val="000000" w:themeColor="text1"/>
          <w:szCs w:val="21"/>
        </w:rPr>
        <w:t>并在基金管理人网站公示</w:t>
      </w:r>
      <w:r w:rsidRPr="00D3689E">
        <w:rPr>
          <w:rFonts w:asciiTheme="minorEastAsia" w:eastAsiaTheme="minorEastAsia" w:hAnsiTheme="minorEastAsia" w:hint="eastAsia"/>
          <w:color w:val="000000" w:themeColor="text1"/>
          <w:szCs w:val="21"/>
        </w:rPr>
        <w:t>。</w:t>
      </w:r>
    </w:p>
    <w:p w:rsidR="006D119B" w:rsidRPr="00D3689E" w:rsidP="006D119B">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若基金管理人或</w:t>
      </w:r>
      <w:r w:rsidRPr="00D3689E" w:rsidR="00517CD6">
        <w:rPr>
          <w:rFonts w:asciiTheme="minorEastAsia" w:eastAsiaTheme="minorEastAsia" w:hAnsiTheme="minorEastAsia" w:hint="eastAsia"/>
          <w:color w:val="000000" w:themeColor="text1"/>
          <w:szCs w:val="21"/>
        </w:rPr>
        <w:t>非直销销售</w:t>
      </w:r>
      <w:r w:rsidRPr="00D3689E">
        <w:rPr>
          <w:rFonts w:asciiTheme="minorEastAsia" w:eastAsiaTheme="minorEastAsia" w:hAnsiTheme="minorEastAsia" w:hint="eastAsia"/>
          <w:color w:val="000000" w:themeColor="text1"/>
          <w:szCs w:val="21"/>
        </w:rPr>
        <w:t>机构开通电话、传真或网上交易业务的，投资者可以以电话、传真或网上交易等形式进行基金的申购和赎回，</w:t>
      </w:r>
      <w:r w:rsidRPr="00D3689E" w:rsidR="00A10BA3">
        <w:rPr>
          <w:rFonts w:asciiTheme="minorEastAsia" w:eastAsiaTheme="minorEastAsia" w:hAnsiTheme="minorEastAsia" w:hint="eastAsia"/>
          <w:color w:val="000000" w:themeColor="text1"/>
          <w:szCs w:val="21"/>
        </w:rPr>
        <w:t>具体以各销售机构的规定为准</w:t>
      </w:r>
      <w:r w:rsidRPr="00D3689E">
        <w:rPr>
          <w:rFonts w:asciiTheme="minorEastAsia" w:eastAsiaTheme="minorEastAsia" w:hAnsiTheme="minorEastAsia" w:hint="eastAsia"/>
          <w:color w:val="000000" w:themeColor="text1"/>
          <w:szCs w:val="21"/>
        </w:rPr>
        <w:t>。</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bookmarkStart w:id="206" w:name="_Toc323051000"/>
      <w:bookmarkEnd w:id="206"/>
      <w:r w:rsidRPr="00D3689E">
        <w:rPr>
          <w:rFonts w:asciiTheme="minorEastAsia" w:eastAsiaTheme="minorEastAsia" w:hAnsiTheme="minorEastAsia" w:hint="eastAsia"/>
          <w:color w:val="000000" w:themeColor="text1"/>
          <w:szCs w:val="21"/>
        </w:rPr>
        <w:t>三、</w:t>
      </w:r>
      <w:r w:rsidRPr="00D3689E">
        <w:rPr>
          <w:rFonts w:asciiTheme="minorEastAsia" w:eastAsiaTheme="minorEastAsia" w:hAnsiTheme="minorEastAsia"/>
          <w:color w:val="000000" w:themeColor="text1"/>
          <w:szCs w:val="21"/>
        </w:rPr>
        <w:t>申购</w:t>
      </w:r>
      <w:r w:rsidRPr="00D3689E" w:rsidR="006823CA">
        <w:rPr>
          <w:rFonts w:asciiTheme="minorEastAsia" w:eastAsiaTheme="minorEastAsia" w:hAnsiTheme="minorEastAsia"/>
          <w:color w:val="000000" w:themeColor="text1"/>
          <w:szCs w:val="21"/>
        </w:rPr>
        <w:t>和</w:t>
      </w:r>
      <w:r w:rsidRPr="00D3689E">
        <w:rPr>
          <w:rFonts w:asciiTheme="minorEastAsia" w:eastAsiaTheme="minorEastAsia" w:hAnsiTheme="minorEastAsia"/>
          <w:color w:val="000000" w:themeColor="text1"/>
          <w:szCs w:val="21"/>
        </w:rPr>
        <w:t>赎回的</w:t>
      </w:r>
      <w:r w:rsidRPr="00D3689E" w:rsidR="00F227F1">
        <w:rPr>
          <w:rFonts w:asciiTheme="minorEastAsia" w:eastAsiaTheme="minorEastAsia" w:hAnsiTheme="minorEastAsia"/>
          <w:color w:val="000000" w:themeColor="text1"/>
          <w:szCs w:val="21"/>
        </w:rPr>
        <w:t>开放日及</w:t>
      </w:r>
      <w:r w:rsidRPr="00D3689E">
        <w:rPr>
          <w:rFonts w:asciiTheme="minorEastAsia" w:eastAsiaTheme="minorEastAsia" w:hAnsiTheme="minorEastAsia"/>
          <w:color w:val="000000" w:themeColor="text1"/>
          <w:szCs w:val="21"/>
        </w:rPr>
        <w:t>时间</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sidR="00D5442C">
        <w:rPr>
          <w:rFonts w:asciiTheme="minorEastAsia" w:eastAsiaTheme="minorEastAsia" w:hAnsiTheme="minorEastAsia" w:hint="eastAsia"/>
          <w:color w:val="000000" w:themeColor="text1"/>
          <w:szCs w:val="21"/>
        </w:rPr>
        <w:t>本基金已于</w:t>
      </w:r>
      <w:r w:rsidRPr="00D3689E" w:rsidR="00D5442C">
        <w:rPr>
          <w:rFonts w:asciiTheme="minorEastAsia" w:eastAsiaTheme="minorEastAsia" w:hAnsiTheme="minorEastAsia"/>
          <w:color w:val="000000" w:themeColor="text1"/>
          <w:szCs w:val="21"/>
        </w:rPr>
        <w:t>2019年2月19日开放办理日常申购、赎回业务。</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FD0191">
        <w:rPr>
          <w:rFonts w:asciiTheme="minorEastAsia" w:eastAsiaTheme="minorEastAsia" w:hAnsiTheme="minorEastAsia" w:hint="eastAsia"/>
          <w:color w:val="000000" w:themeColor="text1"/>
        </w:rPr>
        <w:t>申购和赎回的开放日为上海证券交易所以及境外主要投资场所（香港证券交易所</w:t>
      </w:r>
      <w:r w:rsidRPr="00D3689E" w:rsidR="00371D8C">
        <w:rPr>
          <w:rFonts w:asciiTheme="minorEastAsia" w:eastAsiaTheme="minorEastAsia" w:hAnsiTheme="minorEastAsia" w:hint="eastAsia"/>
          <w:color w:val="000000" w:themeColor="text1"/>
          <w:szCs w:val="21"/>
        </w:rPr>
        <w:t>、纽约证券交易所和</w:t>
      </w:r>
      <w:r w:rsidRPr="00D3689E" w:rsidR="00FD0191">
        <w:rPr>
          <w:rFonts w:asciiTheme="minorEastAsia" w:eastAsiaTheme="minorEastAsia" w:hAnsiTheme="minorEastAsia" w:hint="eastAsia"/>
          <w:color w:val="000000" w:themeColor="text1"/>
        </w:rPr>
        <w:t>纳斯达克证券交易所等）同时开放的每个工作日（基金管理人公告暂停申购或赎回时除外），具体办理时间为上海证券交易所的正常交易日的交易时间，在此时间之外不办理基金份额的申购、赎回</w:t>
      </w:r>
      <w:r w:rsidRPr="00D3689E">
        <w:rPr>
          <w:rFonts w:asciiTheme="minorEastAsia" w:eastAsiaTheme="minorEastAsia" w:hAnsiTheme="minorEastAsia" w:hint="eastAsia"/>
          <w:color w:val="000000" w:themeColor="text1"/>
          <w:szCs w:val="21"/>
        </w:rPr>
        <w:t>。</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3、投资者在开放日办理基金份额的申购和赎回，但基金管理人公告暂停申购、赎回时除外。</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4、基金管理人可与销售机构约定，在开放日的其他时间或非开放日受理投资者的申购、赎回申请，届时以基金管理人或者销售机构的公告为准。如果本基金接受投资者在非开放</w:t>
      </w:r>
      <w:r w:rsidRPr="00D3689E">
        <w:rPr>
          <w:rFonts w:asciiTheme="minorEastAsia" w:eastAsiaTheme="minorEastAsia" w:hAnsiTheme="minorEastAsia" w:hint="eastAsia"/>
          <w:color w:val="000000" w:themeColor="text1"/>
          <w:szCs w:val="21"/>
        </w:rPr>
        <w:t>时间提出申购、赎回申请且登记机构接受的，其基金份额申购、赎回价格为下一开放日基金份额申购、赎回的价格。</w:t>
      </w:r>
    </w:p>
    <w:p w:rsidR="00085202" w:rsidRPr="00D3689E" w:rsidP="00085202">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5、若出现新的证券交易市场或交易所交易时间更改或实际情况需要，基金管理人可对申购、赎回开放日及开放时间进行调整并公告。</w:t>
      </w:r>
      <w:bookmarkStart w:id="207" w:name="_Toc308697488"/>
      <w:bookmarkStart w:id="208" w:name="_Toc309286010"/>
      <w:bookmarkEnd w:id="207"/>
      <w:bookmarkEnd w:id="208"/>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w:t>
      </w:r>
      <w:r w:rsidRPr="00D3689E">
        <w:rPr>
          <w:rFonts w:asciiTheme="minorEastAsia" w:eastAsiaTheme="minorEastAsia" w:hAnsiTheme="minorEastAsia"/>
          <w:color w:val="000000" w:themeColor="text1"/>
          <w:szCs w:val="21"/>
        </w:rPr>
        <w:t>、申购</w:t>
      </w:r>
      <w:r w:rsidRPr="00D3689E" w:rsidR="007A18CE">
        <w:rPr>
          <w:rFonts w:asciiTheme="minorEastAsia" w:eastAsiaTheme="minorEastAsia" w:hAnsiTheme="minorEastAsia"/>
          <w:color w:val="000000" w:themeColor="text1"/>
          <w:szCs w:val="21"/>
        </w:rPr>
        <w:t>与</w:t>
      </w:r>
      <w:r w:rsidRPr="00D3689E">
        <w:rPr>
          <w:rFonts w:asciiTheme="minorEastAsia" w:eastAsiaTheme="minorEastAsia" w:hAnsiTheme="minorEastAsia"/>
          <w:color w:val="000000" w:themeColor="text1"/>
          <w:szCs w:val="21"/>
        </w:rPr>
        <w:t>赎回的原则</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1、“未知价”原则，即基金份额申购、赎回价格以申请当日的该类基金份额净值为基准进行计算；</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2、本基金采用“金额申购、份额赎回”的方式，即申购以金额申请，赎回以份额申请；</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3、基金份额持有人赎回时，除指定赎回外，基金管理人按先进先出的原则，对该持有人账户在该销售机构托管的基金份额进行处理，即先确认的份额先赎回，后确认的份额后赎回，以确定所适用的赎回费率；</w:t>
      </w:r>
    </w:p>
    <w:p w:rsidR="001C6317" w:rsidRPr="00D3689E" w:rsidP="001C6317">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4、当日的申购与赎回申请可以在基金管理人规定的时间以内撤销，在当日业务办理时间结束后不得撤销；</w:t>
      </w:r>
    </w:p>
    <w:p w:rsidR="001C631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基金管理人可根据基金运作的实际情况依法对上述原则进行调整。基金管理人必须在新规则开始实施前依照《信息披露办法》的有关规定在指定媒介上公告。</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w:t>
      </w:r>
      <w:r w:rsidRPr="00D3689E">
        <w:rPr>
          <w:rFonts w:asciiTheme="minorEastAsia" w:eastAsiaTheme="minorEastAsia" w:hAnsiTheme="minorEastAsia"/>
          <w:color w:val="000000" w:themeColor="text1"/>
          <w:szCs w:val="21"/>
        </w:rPr>
        <w:t>申购</w:t>
      </w:r>
      <w:r w:rsidRPr="00D3689E" w:rsidR="006823CA">
        <w:rPr>
          <w:rFonts w:asciiTheme="minorEastAsia" w:eastAsiaTheme="minorEastAsia" w:hAnsiTheme="minorEastAsia"/>
          <w:color w:val="000000" w:themeColor="text1"/>
          <w:szCs w:val="21"/>
        </w:rPr>
        <w:t>和</w:t>
      </w:r>
      <w:r w:rsidRPr="00D3689E">
        <w:rPr>
          <w:rFonts w:asciiTheme="minorEastAsia" w:eastAsiaTheme="minorEastAsia" w:hAnsiTheme="minorEastAsia"/>
          <w:color w:val="000000" w:themeColor="text1"/>
          <w:szCs w:val="21"/>
        </w:rPr>
        <w:t>赎回的程序</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1、申购和赎回的申请方式</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投资者须按销售机构规定的手续，在开放日的开放时间提出申购、赎回的申请。</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投资者在申购本基金时须按销售机构规定的方式备足申购资金</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投资者交付申购款项，申购成立；基金份额登记机构确认基金份额时，申购生效；投资者在提交赎回申请时，必须有足够的该类基金份额余额，基金份额持有人递交赎回申请，赎回成立；基金份额登记机构确认赎回时，赎回生效。</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2、申购和赎回申请的确认</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T日规定时间受理的申请，正常情况下，登记机构在T+2日内为投资者对该交易的有效性进行确认，在T＋3日后（包括该日）投资者应向销售机构或以销售机构规定的其他方式及时查询申购与赎回的成交情况，否则，如因申请未得到登记机构的确认而造成的损失，由投资者自行承担。</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基金销售机构申购、赎回申请的受理并不代表该申购、赎回申请一定成功，而仅代表销售机构确实接收到该申购、赎回申请。申购、赎回的确认以注册登记机构的确认结果为准。</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3、申购和赎回的款项支付</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申购采用全额缴款方式，若申购资金在规定时间内未全额到账则申购不成功，若申购不成功或无效，申购款项本金将退回投资者账户。</w:t>
      </w:r>
    </w:p>
    <w:p w:rsidR="00085202" w:rsidRPr="00D3689E" w:rsidP="00085202">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w:t>
      </w:r>
      <w:r w:rsidRPr="00D3689E">
        <w:rPr>
          <w:rFonts w:asciiTheme="minorEastAsia" w:eastAsiaTheme="minorEastAsia" w:hAnsiTheme="minorEastAsia"/>
          <w:color w:val="000000" w:themeColor="text1"/>
          <w:szCs w:val="21"/>
        </w:rPr>
        <w:t>T日赎回申请成功后，基金管理人将在法律法规规定的期限内将赎回款项划往</w:t>
      </w:r>
      <w:r w:rsidRPr="00D3689E">
        <w:rPr>
          <w:rFonts w:asciiTheme="minorEastAsia" w:eastAsiaTheme="minorEastAsia" w:hAnsiTheme="minorEastAsia"/>
          <w:color w:val="000000" w:themeColor="text1"/>
          <w:szCs w:val="21"/>
        </w:rPr>
        <w:t>基金份额持有人账户，但中国证监会另有规定除外；如遇国家外汇局相关规定有变更或本基金境外投资主要市场的交易清算规则有变更、基金境外投资主要市场及外汇市场休市或暂停交易、交易所或交易市场数据传输延迟、通讯系统故障、银行数据交换系统故障或其它非基金管理人及基金托管人所能控制的因素影响业务处理流程，则赎回款项的支付时间可相应顺延。在发生巨额赎回或《基金合同》载明的其他暂停赎回或延缓支付赎回款项的情形时，款项的支付办法按照《基金合同》有关条款处理</w:t>
      </w:r>
      <w:r w:rsidRPr="00D3689E" w:rsidR="00B22930">
        <w:rPr>
          <w:rFonts w:asciiTheme="minorEastAsia" w:eastAsiaTheme="minorEastAsia" w:hAnsiTheme="minorEastAsia" w:hint="eastAsia"/>
          <w:color w:val="000000" w:themeColor="text1"/>
          <w:szCs w:val="21"/>
        </w:rPr>
        <w:t>。</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w:t>
      </w:r>
      <w:r w:rsidRPr="00D3689E">
        <w:rPr>
          <w:rFonts w:asciiTheme="minorEastAsia" w:eastAsiaTheme="minorEastAsia" w:hAnsiTheme="minorEastAsia"/>
          <w:color w:val="000000" w:themeColor="text1"/>
          <w:szCs w:val="21"/>
        </w:rPr>
        <w:t>申购</w:t>
      </w:r>
      <w:r w:rsidRPr="00D3689E" w:rsidR="006823CA">
        <w:rPr>
          <w:rFonts w:asciiTheme="minorEastAsia" w:eastAsiaTheme="minorEastAsia" w:hAnsiTheme="minorEastAsia"/>
          <w:color w:val="000000" w:themeColor="text1"/>
          <w:szCs w:val="21"/>
        </w:rPr>
        <w:t>和</w:t>
      </w:r>
      <w:r w:rsidRPr="00D3689E">
        <w:rPr>
          <w:rFonts w:asciiTheme="minorEastAsia" w:eastAsiaTheme="minorEastAsia" w:hAnsiTheme="minorEastAsia"/>
          <w:color w:val="000000" w:themeColor="text1"/>
          <w:szCs w:val="21"/>
        </w:rPr>
        <w:t>赎回的数额限制</w:t>
      </w:r>
    </w:p>
    <w:p w:rsidR="0064594E" w:rsidRPr="00D3689E" w:rsidP="00A2664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1、申购基金的金额限制</w:t>
      </w:r>
    </w:p>
    <w:p w:rsidR="004676FE" w:rsidRPr="00D3689E" w:rsidP="004676F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人民币份额：投资者通过</w:t>
      </w:r>
      <w:r w:rsidRPr="00D3689E" w:rsidR="00E24E30">
        <w:rPr>
          <w:rFonts w:asciiTheme="minorEastAsia" w:eastAsiaTheme="minorEastAsia" w:hAnsiTheme="minorEastAsia" w:hint="eastAsia"/>
          <w:color w:val="000000" w:themeColor="text1"/>
          <w:szCs w:val="21"/>
        </w:rPr>
        <w:t>非直销销售</w:t>
      </w:r>
      <w:r w:rsidRPr="00D3689E">
        <w:rPr>
          <w:rFonts w:asciiTheme="minorEastAsia" w:eastAsiaTheme="minorEastAsia" w:hAnsiTheme="minorEastAsia" w:hint="eastAsia"/>
          <w:color w:val="000000" w:themeColor="text1"/>
          <w:szCs w:val="21"/>
        </w:rPr>
        <w:t>机构或本公司网上交易系统以人民币首次</w:t>
      </w:r>
      <w:r w:rsidRPr="00D3689E" w:rsidR="009511E2">
        <w:rPr>
          <w:rFonts w:asciiTheme="minorEastAsia" w:eastAsiaTheme="minorEastAsia" w:hAnsiTheme="minorEastAsia" w:hint="eastAsia"/>
          <w:color w:val="000000" w:themeColor="text1"/>
          <w:szCs w:val="21"/>
        </w:rPr>
        <w:t>申</w:t>
      </w:r>
      <w:r w:rsidRPr="00D3689E">
        <w:rPr>
          <w:rFonts w:asciiTheme="minorEastAsia" w:eastAsiaTheme="minorEastAsia" w:hAnsiTheme="minorEastAsia" w:hint="eastAsia"/>
          <w:color w:val="000000" w:themeColor="text1"/>
          <w:szCs w:val="21"/>
        </w:rPr>
        <w:t>购</w:t>
      </w:r>
      <w:r w:rsidRPr="00D3689E" w:rsidR="0073333D">
        <w:rPr>
          <w:rFonts w:asciiTheme="minorEastAsia" w:eastAsiaTheme="minorEastAsia" w:hAnsiTheme="minorEastAsia"/>
          <w:color w:val="000000" w:themeColor="text1"/>
        </w:rPr>
        <w:t>A</w:t>
      </w:r>
      <w:r w:rsidRPr="00D3689E" w:rsidR="0073333D">
        <w:rPr>
          <w:rFonts w:asciiTheme="minorEastAsia" w:eastAsiaTheme="minorEastAsia" w:hAnsiTheme="minorEastAsia" w:hint="eastAsia"/>
          <w:color w:val="000000" w:themeColor="text1"/>
        </w:rPr>
        <w:t>类人民币份额或</w:t>
      </w:r>
      <w:r w:rsidRPr="00D3689E" w:rsidR="0073333D">
        <w:rPr>
          <w:rFonts w:asciiTheme="minorEastAsia" w:eastAsiaTheme="minorEastAsia" w:hAnsiTheme="minorEastAsia"/>
          <w:color w:val="000000" w:themeColor="text1"/>
        </w:rPr>
        <w:t>C</w:t>
      </w:r>
      <w:r w:rsidRPr="00D3689E" w:rsidR="0073333D">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hint="eastAsia"/>
          <w:color w:val="000000" w:themeColor="text1"/>
          <w:szCs w:val="21"/>
        </w:rPr>
        <w:t>的单笔最低限额为</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元，追加</w:t>
      </w:r>
      <w:r w:rsidRPr="00D3689E" w:rsidR="009511E2">
        <w:rPr>
          <w:rFonts w:asciiTheme="minorEastAsia" w:eastAsiaTheme="minorEastAsia" w:hAnsiTheme="minorEastAsia" w:hint="eastAsia"/>
          <w:color w:val="000000" w:themeColor="text1"/>
          <w:szCs w:val="21"/>
        </w:rPr>
        <w:t>申</w:t>
      </w:r>
      <w:r w:rsidRPr="00D3689E">
        <w:rPr>
          <w:rFonts w:asciiTheme="minorEastAsia" w:eastAsiaTheme="minorEastAsia" w:hAnsiTheme="minorEastAsia" w:hint="eastAsia"/>
          <w:color w:val="000000" w:themeColor="text1"/>
          <w:szCs w:val="21"/>
        </w:rPr>
        <w:t>购单笔最低限额为</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元；投资者通过</w:t>
      </w:r>
      <w:r w:rsidRPr="00D3689E" w:rsidR="00A46F74">
        <w:rPr>
          <w:rFonts w:asciiTheme="minorEastAsia" w:eastAsiaTheme="minorEastAsia" w:hAnsiTheme="minorEastAsia" w:hint="eastAsia"/>
          <w:color w:val="000000" w:themeColor="text1"/>
          <w:szCs w:val="21"/>
        </w:rPr>
        <w:t>本公司</w:t>
      </w:r>
      <w:r w:rsidRPr="00D3689E">
        <w:rPr>
          <w:rFonts w:asciiTheme="minorEastAsia" w:eastAsiaTheme="minorEastAsia" w:hAnsiTheme="minorEastAsia" w:hint="eastAsia"/>
          <w:color w:val="000000" w:themeColor="text1"/>
          <w:szCs w:val="21"/>
        </w:rPr>
        <w:t>直销中心以人民币</w:t>
      </w:r>
      <w:r w:rsidRPr="00D3689E" w:rsidR="00363FA4">
        <w:rPr>
          <w:rFonts w:asciiTheme="minorEastAsia" w:eastAsiaTheme="minorEastAsia" w:hAnsiTheme="minorEastAsia" w:hint="eastAsia"/>
          <w:color w:val="000000" w:themeColor="text1"/>
          <w:szCs w:val="21"/>
        </w:rPr>
        <w:t>首次申</w:t>
      </w:r>
      <w:r w:rsidRPr="00D3689E">
        <w:rPr>
          <w:rFonts w:asciiTheme="minorEastAsia" w:eastAsiaTheme="minorEastAsia" w:hAnsiTheme="minorEastAsia" w:hint="eastAsia"/>
          <w:color w:val="000000" w:themeColor="text1"/>
          <w:szCs w:val="21"/>
        </w:rPr>
        <w:t>购</w:t>
      </w:r>
      <w:r w:rsidRPr="00D3689E" w:rsidR="0073333D">
        <w:rPr>
          <w:rFonts w:asciiTheme="minorEastAsia" w:eastAsiaTheme="minorEastAsia" w:hAnsiTheme="minorEastAsia"/>
          <w:color w:val="000000" w:themeColor="text1"/>
        </w:rPr>
        <w:t>A</w:t>
      </w:r>
      <w:r w:rsidRPr="00D3689E" w:rsidR="0073333D">
        <w:rPr>
          <w:rFonts w:asciiTheme="minorEastAsia" w:eastAsiaTheme="minorEastAsia" w:hAnsiTheme="minorEastAsia" w:hint="eastAsia"/>
          <w:color w:val="000000" w:themeColor="text1"/>
        </w:rPr>
        <w:t>类人民币份额或</w:t>
      </w:r>
      <w:r w:rsidRPr="00D3689E" w:rsidR="0073333D">
        <w:rPr>
          <w:rFonts w:asciiTheme="minorEastAsia" w:eastAsiaTheme="minorEastAsia" w:hAnsiTheme="minorEastAsia"/>
          <w:color w:val="000000" w:themeColor="text1"/>
        </w:rPr>
        <w:t>C</w:t>
      </w:r>
      <w:r w:rsidRPr="00D3689E" w:rsidR="0073333D">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hint="eastAsia"/>
          <w:color w:val="000000" w:themeColor="text1"/>
          <w:szCs w:val="21"/>
        </w:rPr>
        <w:t>的单笔最低限额为</w:t>
      </w:r>
      <w:r w:rsidRPr="00D3689E">
        <w:rPr>
          <w:rFonts w:asciiTheme="minorEastAsia" w:eastAsiaTheme="minorEastAsia" w:hAnsiTheme="minorEastAsia"/>
          <w:color w:val="000000" w:themeColor="text1"/>
          <w:szCs w:val="21"/>
        </w:rPr>
        <w:t>50,000</w:t>
      </w:r>
      <w:r w:rsidRPr="00D3689E" w:rsidR="00363FA4">
        <w:rPr>
          <w:rFonts w:asciiTheme="minorEastAsia" w:eastAsiaTheme="minorEastAsia" w:hAnsiTheme="minorEastAsia" w:hint="eastAsia"/>
          <w:color w:val="000000" w:themeColor="text1"/>
          <w:szCs w:val="21"/>
        </w:rPr>
        <w:t>元，追加申</w:t>
      </w:r>
      <w:r w:rsidRPr="00D3689E">
        <w:rPr>
          <w:rFonts w:asciiTheme="minorEastAsia" w:eastAsiaTheme="minorEastAsia" w:hAnsiTheme="minorEastAsia" w:hint="eastAsia"/>
          <w:color w:val="000000" w:themeColor="text1"/>
          <w:szCs w:val="21"/>
        </w:rPr>
        <w:t>购单笔最低限额为</w:t>
      </w:r>
      <w:r w:rsidRPr="00D3689E">
        <w:rPr>
          <w:rFonts w:asciiTheme="minorEastAsia" w:eastAsiaTheme="minorEastAsia" w:hAnsiTheme="minorEastAsia"/>
          <w:color w:val="000000" w:themeColor="text1"/>
          <w:szCs w:val="21"/>
        </w:rPr>
        <w:t>1,000</w:t>
      </w:r>
      <w:r w:rsidRPr="00D3689E">
        <w:rPr>
          <w:rFonts w:asciiTheme="minorEastAsia" w:eastAsiaTheme="minorEastAsia" w:hAnsiTheme="minorEastAsia" w:hint="eastAsia"/>
          <w:color w:val="000000" w:themeColor="text1"/>
          <w:szCs w:val="21"/>
        </w:rPr>
        <w:t>元。</w:t>
      </w:r>
    </w:p>
    <w:p w:rsidR="005676E3" w:rsidRPr="00D3689E" w:rsidP="004676F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美元份额：投资者通过</w:t>
      </w:r>
      <w:r w:rsidRPr="00D3689E" w:rsidR="00E24E30">
        <w:rPr>
          <w:rFonts w:asciiTheme="minorEastAsia" w:eastAsiaTheme="minorEastAsia" w:hAnsiTheme="minorEastAsia" w:hint="eastAsia"/>
          <w:color w:val="000000" w:themeColor="text1"/>
          <w:szCs w:val="21"/>
        </w:rPr>
        <w:t>非直销销售</w:t>
      </w:r>
      <w:r w:rsidRPr="00D3689E" w:rsidR="009511E2">
        <w:rPr>
          <w:rFonts w:asciiTheme="minorEastAsia" w:eastAsiaTheme="minorEastAsia" w:hAnsiTheme="minorEastAsia" w:hint="eastAsia"/>
          <w:color w:val="000000" w:themeColor="text1"/>
          <w:szCs w:val="21"/>
        </w:rPr>
        <w:t>机构</w:t>
      </w:r>
      <w:r w:rsidRPr="00D3689E" w:rsidR="00441E70">
        <w:rPr>
          <w:rFonts w:asciiTheme="minorEastAsia" w:eastAsiaTheme="minorEastAsia" w:hAnsiTheme="minorEastAsia" w:hint="eastAsia"/>
          <w:color w:val="000000" w:themeColor="text1"/>
          <w:szCs w:val="21"/>
        </w:rPr>
        <w:t>或本公司网上交易系统</w:t>
      </w:r>
      <w:r w:rsidRPr="00D3689E">
        <w:rPr>
          <w:rFonts w:asciiTheme="minorEastAsia" w:eastAsiaTheme="minorEastAsia" w:hAnsiTheme="minorEastAsia" w:hint="eastAsia"/>
          <w:color w:val="000000" w:themeColor="text1"/>
          <w:szCs w:val="21"/>
        </w:rPr>
        <w:t>以美元首次申购</w:t>
      </w:r>
      <w:r w:rsidRPr="00D3689E" w:rsidR="0073333D">
        <w:rPr>
          <w:rFonts w:asciiTheme="minorEastAsia" w:eastAsiaTheme="minorEastAsia" w:hAnsiTheme="minorEastAsia"/>
          <w:color w:val="000000" w:themeColor="text1"/>
          <w:szCs w:val="21"/>
        </w:rPr>
        <w:t>A</w:t>
      </w:r>
      <w:r w:rsidRPr="00D3689E" w:rsidR="0073333D">
        <w:rPr>
          <w:rFonts w:asciiTheme="minorEastAsia" w:eastAsiaTheme="minorEastAsia" w:hAnsiTheme="minorEastAsia" w:hint="eastAsia"/>
          <w:color w:val="000000" w:themeColor="text1"/>
          <w:szCs w:val="21"/>
        </w:rPr>
        <w:t>类美元份额</w:t>
      </w:r>
      <w:r w:rsidRPr="00D3689E" w:rsidR="0073333D">
        <w:rPr>
          <w:rFonts w:asciiTheme="minorEastAsia" w:eastAsiaTheme="minorEastAsia" w:hAnsiTheme="minorEastAsia" w:hint="eastAsia"/>
          <w:color w:val="000000" w:themeColor="text1"/>
        </w:rPr>
        <w:t>或</w:t>
      </w:r>
      <w:r w:rsidRPr="00D3689E" w:rsidR="0073333D">
        <w:rPr>
          <w:rFonts w:asciiTheme="minorEastAsia" w:eastAsiaTheme="minorEastAsia" w:hAnsiTheme="minorEastAsia"/>
          <w:color w:val="000000" w:themeColor="text1"/>
          <w:szCs w:val="21"/>
        </w:rPr>
        <w:t>C</w:t>
      </w:r>
      <w:r w:rsidRPr="00D3689E" w:rsidR="0073333D">
        <w:rPr>
          <w:rFonts w:asciiTheme="minorEastAsia" w:eastAsiaTheme="minorEastAsia" w:hAnsiTheme="minorEastAsia" w:hint="eastAsia"/>
          <w:color w:val="000000" w:themeColor="text1"/>
          <w:szCs w:val="21"/>
        </w:rPr>
        <w:t>类美元份额</w:t>
      </w:r>
      <w:r w:rsidRPr="00D3689E">
        <w:rPr>
          <w:rFonts w:asciiTheme="minorEastAsia" w:eastAsiaTheme="minorEastAsia" w:hAnsiTheme="minorEastAsia" w:hint="eastAsia"/>
          <w:color w:val="000000" w:themeColor="text1"/>
          <w:szCs w:val="21"/>
        </w:rPr>
        <w:t>的单笔最低限额为</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美元，追加申购单笔最低限额为</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美元；机构投资者通过本公司直销中心以美元首次申购</w:t>
      </w:r>
      <w:r w:rsidRPr="00D3689E" w:rsidR="0073333D">
        <w:rPr>
          <w:rFonts w:asciiTheme="minorEastAsia" w:eastAsiaTheme="minorEastAsia" w:hAnsiTheme="minorEastAsia"/>
          <w:color w:val="000000" w:themeColor="text1"/>
          <w:szCs w:val="21"/>
        </w:rPr>
        <w:t>A</w:t>
      </w:r>
      <w:r w:rsidRPr="00D3689E" w:rsidR="0073333D">
        <w:rPr>
          <w:rFonts w:asciiTheme="minorEastAsia" w:eastAsiaTheme="minorEastAsia" w:hAnsiTheme="minorEastAsia" w:hint="eastAsia"/>
          <w:color w:val="000000" w:themeColor="text1"/>
          <w:szCs w:val="21"/>
        </w:rPr>
        <w:t>类美元份额</w:t>
      </w:r>
      <w:r w:rsidRPr="00D3689E" w:rsidR="0073333D">
        <w:rPr>
          <w:rFonts w:asciiTheme="minorEastAsia" w:eastAsiaTheme="minorEastAsia" w:hAnsiTheme="minorEastAsia" w:hint="eastAsia"/>
          <w:color w:val="000000" w:themeColor="text1"/>
        </w:rPr>
        <w:t>或</w:t>
      </w:r>
      <w:r w:rsidRPr="00D3689E" w:rsidR="0073333D">
        <w:rPr>
          <w:rFonts w:asciiTheme="minorEastAsia" w:eastAsiaTheme="minorEastAsia" w:hAnsiTheme="minorEastAsia"/>
          <w:color w:val="000000" w:themeColor="text1"/>
          <w:szCs w:val="21"/>
        </w:rPr>
        <w:t>C</w:t>
      </w:r>
      <w:r w:rsidRPr="00D3689E" w:rsidR="0073333D">
        <w:rPr>
          <w:rFonts w:asciiTheme="minorEastAsia" w:eastAsiaTheme="minorEastAsia" w:hAnsiTheme="minorEastAsia" w:hint="eastAsia"/>
          <w:color w:val="000000" w:themeColor="text1"/>
          <w:szCs w:val="21"/>
        </w:rPr>
        <w:t>类美元份额</w:t>
      </w:r>
      <w:r w:rsidRPr="00D3689E">
        <w:rPr>
          <w:rFonts w:asciiTheme="minorEastAsia" w:eastAsiaTheme="minorEastAsia" w:hAnsiTheme="minorEastAsia" w:hint="eastAsia"/>
          <w:color w:val="000000" w:themeColor="text1"/>
          <w:szCs w:val="21"/>
        </w:rPr>
        <w:t>的单笔最低限额为</w:t>
      </w:r>
      <w:r w:rsidRPr="00D3689E" w:rsidR="0098283C">
        <w:rPr>
          <w:rFonts w:asciiTheme="minorEastAsia" w:eastAsiaTheme="minorEastAsia" w:hAnsiTheme="minorEastAsia"/>
          <w:color w:val="000000" w:themeColor="text1"/>
          <w:szCs w:val="21"/>
        </w:rPr>
        <w:t>1</w:t>
      </w:r>
      <w:r w:rsidRPr="00D3689E">
        <w:rPr>
          <w:rFonts w:asciiTheme="minorEastAsia" w:eastAsiaTheme="minorEastAsia" w:hAnsiTheme="minorEastAsia"/>
          <w:color w:val="000000" w:themeColor="text1"/>
          <w:szCs w:val="21"/>
        </w:rPr>
        <w:t>00美元，追加申购单笔最低限额为100美元</w:t>
      </w:r>
      <w:r w:rsidRPr="00D3689E" w:rsidR="007C1691">
        <w:rPr>
          <w:rFonts w:asciiTheme="minorEastAsia" w:eastAsiaTheme="minorEastAsia" w:hAnsiTheme="minorEastAsia" w:hint="eastAsia"/>
          <w:color w:val="000000" w:themeColor="text1"/>
          <w:szCs w:val="21"/>
        </w:rPr>
        <w:t>（直销中心暂不开通个人投资者外币申购业务）</w:t>
      </w:r>
      <w:r w:rsidRPr="00D3689E" w:rsidR="00AC39CE">
        <w:rPr>
          <w:rFonts w:asciiTheme="minorEastAsia" w:eastAsiaTheme="minorEastAsia" w:hAnsiTheme="minorEastAsia" w:hint="eastAsia"/>
          <w:color w:val="000000" w:themeColor="text1"/>
          <w:szCs w:val="21"/>
        </w:rPr>
        <w:t>。</w:t>
      </w:r>
    </w:p>
    <w:p w:rsidR="009A4B8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各</w:t>
      </w:r>
      <w:r w:rsidRPr="00D3689E" w:rsidR="00A73E53">
        <w:rPr>
          <w:rFonts w:asciiTheme="minorEastAsia" w:eastAsiaTheme="minorEastAsia" w:hAnsiTheme="minorEastAsia" w:hint="eastAsia"/>
          <w:color w:val="000000" w:themeColor="text1"/>
          <w:szCs w:val="21"/>
        </w:rPr>
        <w:t>销售</w:t>
      </w:r>
      <w:r w:rsidRPr="00D3689E">
        <w:rPr>
          <w:rFonts w:asciiTheme="minorEastAsia" w:eastAsiaTheme="minorEastAsia" w:hAnsiTheme="minorEastAsia" w:hint="eastAsia"/>
          <w:color w:val="000000" w:themeColor="text1"/>
          <w:szCs w:val="21"/>
        </w:rPr>
        <w:t>机构对最低申购限额及交易级差有其他规定的</w:t>
      </w:r>
      <w:r w:rsidRPr="00D3689E">
        <w:rPr>
          <w:rFonts w:asciiTheme="minorEastAsia" w:eastAsiaTheme="minorEastAsia" w:hAnsiTheme="minorEastAsia"/>
          <w:color w:val="000000" w:themeColor="text1"/>
          <w:szCs w:val="21"/>
        </w:rPr>
        <w:t>,</w:t>
      </w:r>
      <w:r w:rsidRPr="00D3689E" w:rsidR="00353F45">
        <w:rPr>
          <w:rFonts w:asciiTheme="minorEastAsia" w:eastAsiaTheme="minorEastAsia" w:hAnsiTheme="minorEastAsia" w:hint="eastAsia"/>
          <w:color w:val="000000" w:themeColor="text1"/>
          <w:szCs w:val="21"/>
        </w:rPr>
        <w:t>需同时遵循该销售机构的相关规定</w:t>
      </w:r>
      <w:r w:rsidRPr="00D3689E">
        <w:rPr>
          <w:rFonts w:asciiTheme="minorEastAsia" w:eastAsiaTheme="minorEastAsia" w:hAnsiTheme="minorEastAsia" w:hint="eastAsia"/>
          <w:color w:val="000000" w:themeColor="text1"/>
          <w:szCs w:val="21"/>
        </w:rPr>
        <w:t>。</w:t>
      </w:r>
      <w:r w:rsidRPr="00D3689E" w:rsidR="00AC39CE">
        <w:rPr>
          <w:rFonts w:asciiTheme="minorEastAsia" w:eastAsiaTheme="minorEastAsia" w:hAnsiTheme="minorEastAsia" w:hint="eastAsia"/>
          <w:color w:val="000000" w:themeColor="text1"/>
          <w:szCs w:val="21"/>
        </w:rPr>
        <w:t>（以上金额均含申购费）</w:t>
      </w:r>
    </w:p>
    <w:p w:rsidR="009A4B8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投资者将当期分配的基金收益转购基金份额或采用定期定额投资计划时，不受最低申购金额的限制。</w:t>
      </w:r>
    </w:p>
    <w:p w:rsidR="00F0430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投资者可多次申购，对单个投资者累计持有份额不设上限限制。</w:t>
      </w:r>
      <w:r w:rsidRPr="00D3689E" w:rsidR="00CE2EFA">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D3689E" w:rsidR="00CE2EFA">
        <w:rPr>
          <w:rFonts w:asciiTheme="minorEastAsia" w:eastAsiaTheme="minorEastAsia" w:hAnsiTheme="minorEastAsia"/>
          <w:color w:val="000000" w:themeColor="text1"/>
          <w:szCs w:val="21"/>
        </w:rPr>
        <w:t>,</w:t>
      </w:r>
      <w:r w:rsidRPr="00D3689E" w:rsidR="00CE2EFA">
        <w:rPr>
          <w:rFonts w:asciiTheme="minorEastAsia" w:eastAsiaTheme="minorEastAsia" w:hAnsiTheme="minorEastAsia" w:hint="eastAsia"/>
          <w:color w:val="000000" w:themeColor="text1"/>
          <w:szCs w:val="21"/>
        </w:rPr>
        <w:t>具体请参见相关公告。</w:t>
      </w:r>
      <w:r w:rsidRPr="00D3689E">
        <w:rPr>
          <w:rFonts w:asciiTheme="minorEastAsia" w:eastAsiaTheme="minorEastAsia" w:hAnsiTheme="minorEastAsia" w:hint="eastAsia"/>
          <w:color w:val="000000" w:themeColor="text1"/>
          <w:szCs w:val="21"/>
        </w:rPr>
        <w:t>法律法规、中国证监会另有规定的除外。</w:t>
      </w:r>
      <w:bookmarkStart w:id="209" w:name="_Toc296440149"/>
      <w:bookmarkStart w:id="210" w:name="_Toc296526988"/>
      <w:bookmarkStart w:id="211" w:name="_Toc306614217"/>
      <w:bookmarkStart w:id="212" w:name="_Toc308697492"/>
      <w:bookmarkStart w:id="213" w:name="_Toc309286014"/>
      <w:bookmarkStart w:id="214" w:name="_Toc310513330"/>
      <w:bookmarkStart w:id="215" w:name="_Toc323051005"/>
      <w:bookmarkStart w:id="216" w:name="OLE_LINK2"/>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2、赎回的份额限制</w:t>
      </w:r>
      <w:bookmarkEnd w:id="209"/>
      <w:bookmarkEnd w:id="210"/>
      <w:bookmarkEnd w:id="211"/>
      <w:bookmarkEnd w:id="212"/>
      <w:bookmarkEnd w:id="213"/>
      <w:bookmarkEnd w:id="214"/>
      <w:bookmarkEnd w:id="215"/>
    </w:p>
    <w:p w:rsidR="0083515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投资者可将其全部或部分基金</w:t>
      </w:r>
      <w:r w:rsidRPr="00D3689E">
        <w:rPr>
          <w:rFonts w:asciiTheme="minorEastAsia" w:eastAsiaTheme="minorEastAsia" w:hAnsiTheme="minorEastAsia" w:hint="eastAsia"/>
          <w:color w:val="000000" w:themeColor="text1"/>
          <w:szCs w:val="21"/>
        </w:rPr>
        <w:t>份额</w:t>
      </w:r>
      <w:r w:rsidRPr="00D3689E">
        <w:rPr>
          <w:rFonts w:asciiTheme="minorEastAsia" w:eastAsiaTheme="minorEastAsia" w:hAnsiTheme="minorEastAsia"/>
          <w:color w:val="000000" w:themeColor="text1"/>
          <w:szCs w:val="21"/>
        </w:rPr>
        <w:t>赎回。</w:t>
      </w:r>
    </w:p>
    <w:p w:rsidR="00C304D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color w:val="000000" w:themeColor="text1"/>
        </w:rPr>
        <w:t>C</w:t>
      </w:r>
      <w:r w:rsidRPr="00D3689E">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color w:val="000000" w:themeColor="text1"/>
          <w:szCs w:val="21"/>
        </w:rPr>
        <w:t>单</w:t>
      </w:r>
      <w:r w:rsidRPr="00D3689E">
        <w:rPr>
          <w:rFonts w:asciiTheme="minorEastAsia" w:eastAsiaTheme="minorEastAsia" w:hAnsiTheme="minorEastAsia"/>
          <w:color w:val="000000" w:themeColor="text1"/>
        </w:rPr>
        <w:t>笔赎回或转换不得少于1份（如该</w:t>
      </w:r>
      <w:r w:rsidRPr="00D3689E" w:rsidR="00152F17">
        <w:rPr>
          <w:rFonts w:asciiTheme="minorEastAsia" w:eastAsiaTheme="minorEastAsia" w:hAnsiTheme="minorEastAsia" w:hint="eastAsia"/>
          <w:color w:val="000000" w:themeColor="text1"/>
        </w:rPr>
        <w:t>账</w:t>
      </w:r>
      <w:r w:rsidRPr="00D3689E">
        <w:rPr>
          <w:rFonts w:asciiTheme="minorEastAsia" w:eastAsiaTheme="minorEastAsia" w:hAnsiTheme="minorEastAsia"/>
          <w:color w:val="000000" w:themeColor="text1"/>
        </w:rPr>
        <w:t>户在该销售机</w:t>
      </w:r>
      <w:r w:rsidRPr="00D3689E">
        <w:rPr>
          <w:rFonts w:asciiTheme="minorEastAsia" w:eastAsiaTheme="minorEastAsia" w:hAnsiTheme="minorEastAsia"/>
          <w:color w:val="000000" w:themeColor="text1"/>
        </w:rPr>
        <w:t>构托管的</w:t>
      </w:r>
      <w:r w:rsidRPr="00D3689E" w:rsidR="00441E70">
        <w:rPr>
          <w:rFonts w:asciiTheme="minorEastAsia" w:eastAsiaTheme="minorEastAsia" w:hAnsiTheme="minorEastAsia" w:hint="eastAsia"/>
          <w:color w:val="000000" w:themeColor="text1"/>
        </w:rPr>
        <w:t>该类</w:t>
      </w:r>
      <w:r w:rsidRPr="00D3689E" w:rsidR="00E4123F">
        <w:rPr>
          <w:rFonts w:asciiTheme="minorEastAsia" w:eastAsiaTheme="minorEastAsia" w:hAnsiTheme="minorEastAsia" w:hint="eastAsia"/>
          <w:color w:val="000000" w:themeColor="text1"/>
        </w:rPr>
        <w:t>人民币份额</w:t>
      </w:r>
      <w:r w:rsidRPr="00D3689E">
        <w:rPr>
          <w:rFonts w:asciiTheme="minorEastAsia" w:eastAsiaTheme="minorEastAsia" w:hAnsiTheme="minorEastAsia"/>
          <w:color w:val="000000" w:themeColor="text1"/>
        </w:rPr>
        <w:t>余额不足1份</w:t>
      </w: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则必须一次性赎回或转出</w:t>
      </w:r>
      <w:r w:rsidRPr="00D3689E" w:rsidR="00441E70">
        <w:rPr>
          <w:rFonts w:asciiTheme="minorEastAsia" w:eastAsiaTheme="minorEastAsia" w:hAnsiTheme="minorEastAsia" w:hint="eastAsia"/>
          <w:color w:val="000000" w:themeColor="text1"/>
        </w:rPr>
        <w:t>该类</w:t>
      </w:r>
      <w:r w:rsidRPr="00D3689E" w:rsidR="00E4123F">
        <w:rPr>
          <w:rFonts w:asciiTheme="minorEastAsia" w:eastAsiaTheme="minorEastAsia" w:hAnsiTheme="minorEastAsia" w:hint="eastAsia"/>
          <w:color w:val="000000" w:themeColor="text1"/>
        </w:rPr>
        <w:t>人民币份额</w:t>
      </w:r>
      <w:r w:rsidRPr="00D3689E">
        <w:rPr>
          <w:rFonts w:asciiTheme="minorEastAsia" w:eastAsiaTheme="minorEastAsia" w:hAnsiTheme="minorEastAsia"/>
          <w:color w:val="000000" w:themeColor="text1"/>
        </w:rPr>
        <w:t>全部份额）；若某笔赎回将导致投资者在销售机构托管的</w:t>
      </w:r>
      <w:r w:rsidRPr="00D3689E" w:rsidR="00441E70">
        <w:rPr>
          <w:rFonts w:asciiTheme="minorEastAsia" w:eastAsiaTheme="minorEastAsia" w:hAnsiTheme="minorEastAsia" w:hint="eastAsia"/>
          <w:color w:val="000000" w:themeColor="text1"/>
        </w:rPr>
        <w:t>该类</w:t>
      </w:r>
      <w:r w:rsidRPr="00D3689E" w:rsidR="00E4123F">
        <w:rPr>
          <w:rFonts w:asciiTheme="minorEastAsia" w:eastAsiaTheme="minorEastAsia" w:hAnsiTheme="minorEastAsia" w:hint="eastAsia"/>
          <w:color w:val="000000" w:themeColor="text1"/>
        </w:rPr>
        <w:t>人民币份额</w:t>
      </w:r>
      <w:r w:rsidRPr="00D3689E">
        <w:rPr>
          <w:rFonts w:asciiTheme="minorEastAsia" w:eastAsiaTheme="minorEastAsia" w:hAnsiTheme="minorEastAsia"/>
          <w:color w:val="000000" w:themeColor="text1"/>
        </w:rPr>
        <w:t>余额不足1份时</w:t>
      </w:r>
      <w:r w:rsidRPr="00D3689E">
        <w:rPr>
          <w:rFonts w:asciiTheme="minorEastAsia" w:eastAsiaTheme="minorEastAsia" w:hAnsiTheme="minorEastAsia" w:hint="eastAsia"/>
          <w:color w:val="000000" w:themeColor="text1"/>
        </w:rPr>
        <w:t>，</w:t>
      </w:r>
      <w:r w:rsidRPr="00D3689E">
        <w:rPr>
          <w:rFonts w:asciiTheme="minorEastAsia" w:eastAsiaTheme="minorEastAsia" w:hAnsiTheme="minorEastAsia"/>
          <w:color w:val="000000" w:themeColor="text1"/>
        </w:rPr>
        <w:t>基金管理人有权将投资者在该销售机构托管的</w:t>
      </w:r>
      <w:r w:rsidRPr="00D3689E" w:rsidR="00441E70">
        <w:rPr>
          <w:rFonts w:asciiTheme="minorEastAsia" w:eastAsiaTheme="minorEastAsia" w:hAnsiTheme="minorEastAsia" w:hint="eastAsia"/>
          <w:color w:val="000000" w:themeColor="text1"/>
        </w:rPr>
        <w:t>该类</w:t>
      </w:r>
      <w:r w:rsidRPr="00D3689E" w:rsidR="00E4123F">
        <w:rPr>
          <w:rFonts w:asciiTheme="minorEastAsia" w:eastAsiaTheme="minorEastAsia" w:hAnsiTheme="minorEastAsia" w:hint="eastAsia"/>
          <w:color w:val="000000" w:themeColor="text1"/>
        </w:rPr>
        <w:t>人民币份额</w:t>
      </w:r>
      <w:r w:rsidRPr="00D3689E">
        <w:rPr>
          <w:rFonts w:asciiTheme="minorEastAsia" w:eastAsiaTheme="minorEastAsia" w:hAnsiTheme="minorEastAsia"/>
          <w:color w:val="000000" w:themeColor="text1"/>
        </w:rPr>
        <w:t>剩</w:t>
      </w:r>
      <w:r w:rsidRPr="00D3689E">
        <w:rPr>
          <w:rFonts w:asciiTheme="minorEastAsia" w:eastAsiaTheme="minorEastAsia" w:hAnsiTheme="minorEastAsia"/>
          <w:color w:val="000000" w:themeColor="text1"/>
          <w:szCs w:val="21"/>
        </w:rPr>
        <w:t>余份额一次性全部赎回。</w:t>
      </w:r>
    </w:p>
    <w:p w:rsidR="00C304D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A类</w:t>
      </w:r>
      <w:r w:rsidRPr="00D3689E">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color w:val="000000" w:themeColor="text1"/>
          <w:szCs w:val="21"/>
        </w:rPr>
        <w:t>C类美元份额</w:t>
      </w:r>
      <w:r w:rsidRPr="00D3689E">
        <w:rPr>
          <w:rFonts w:asciiTheme="minorEastAsia" w:eastAsiaTheme="minorEastAsia" w:hAnsiTheme="minorEastAsia" w:hint="eastAsia"/>
          <w:color w:val="000000" w:themeColor="text1"/>
          <w:szCs w:val="21"/>
        </w:rPr>
        <w:t>的</w:t>
      </w:r>
      <w:r w:rsidRPr="00D3689E">
        <w:rPr>
          <w:rFonts w:asciiTheme="minorEastAsia" w:eastAsiaTheme="minorEastAsia" w:hAnsiTheme="minorEastAsia"/>
          <w:color w:val="000000" w:themeColor="text1"/>
          <w:szCs w:val="21"/>
        </w:rPr>
        <w:t>单笔赎回或转换</w:t>
      </w:r>
      <w:r w:rsidRPr="00D3689E">
        <w:rPr>
          <w:rFonts w:asciiTheme="minorEastAsia" w:eastAsiaTheme="minorEastAsia" w:hAnsiTheme="minorEastAsia" w:hint="eastAsia"/>
          <w:color w:val="000000" w:themeColor="text1"/>
          <w:szCs w:val="21"/>
        </w:rPr>
        <w:t>分别</w:t>
      </w:r>
      <w:r w:rsidRPr="00D3689E">
        <w:rPr>
          <w:rFonts w:asciiTheme="minorEastAsia" w:eastAsiaTheme="minorEastAsia" w:hAnsiTheme="minorEastAsia"/>
          <w:color w:val="000000" w:themeColor="text1"/>
          <w:szCs w:val="21"/>
        </w:rPr>
        <w:t>不得少于1</w:t>
      </w:r>
      <w:r w:rsidRPr="00D3689E" w:rsidR="00D5442C">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份（如该</w:t>
      </w:r>
      <w:r w:rsidRPr="00D3689E" w:rsidR="00152F17">
        <w:rPr>
          <w:rFonts w:asciiTheme="minorEastAsia" w:eastAsiaTheme="minorEastAsia" w:hAnsiTheme="minorEastAsia" w:hint="eastAsia"/>
          <w:color w:val="000000" w:themeColor="text1"/>
          <w:szCs w:val="21"/>
        </w:rPr>
        <w:t>账</w:t>
      </w:r>
      <w:r w:rsidRPr="00D3689E">
        <w:rPr>
          <w:rFonts w:asciiTheme="minorEastAsia" w:eastAsiaTheme="minorEastAsia" w:hAnsiTheme="minorEastAsia"/>
          <w:color w:val="000000" w:themeColor="text1"/>
          <w:szCs w:val="21"/>
        </w:rPr>
        <w:t>户在该销售机构托管的</w:t>
      </w:r>
      <w:r w:rsidRPr="00D3689E" w:rsidR="00441E70">
        <w:rPr>
          <w:rFonts w:asciiTheme="minorEastAsia" w:eastAsiaTheme="minorEastAsia" w:hAnsiTheme="minorEastAsia" w:hint="eastAsia"/>
          <w:color w:val="000000" w:themeColor="text1"/>
          <w:szCs w:val="21"/>
        </w:rPr>
        <w:t>该类</w:t>
      </w:r>
      <w:r w:rsidRPr="00D3689E">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color w:val="000000" w:themeColor="text1"/>
          <w:szCs w:val="21"/>
        </w:rPr>
        <w:t>余额不足1</w:t>
      </w:r>
      <w:r w:rsidRPr="00D3689E" w:rsidR="00D5442C">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份</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则必须一次性赎回或转出</w:t>
      </w:r>
      <w:r w:rsidRPr="00D3689E">
        <w:rPr>
          <w:rFonts w:asciiTheme="minorEastAsia" w:eastAsiaTheme="minorEastAsia" w:hAnsiTheme="minorEastAsia" w:hint="eastAsia"/>
          <w:color w:val="000000" w:themeColor="text1"/>
          <w:szCs w:val="21"/>
        </w:rPr>
        <w:t>该类</w:t>
      </w:r>
      <w:r w:rsidRPr="00D3689E" w:rsidR="00441E70">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hint="eastAsia"/>
          <w:color w:val="000000" w:themeColor="text1"/>
          <w:szCs w:val="21"/>
        </w:rPr>
        <w:t>份额</w:t>
      </w:r>
      <w:r w:rsidRPr="00D3689E">
        <w:rPr>
          <w:rFonts w:asciiTheme="minorEastAsia" w:eastAsiaTheme="minorEastAsia" w:hAnsiTheme="minorEastAsia"/>
          <w:color w:val="000000" w:themeColor="text1"/>
          <w:szCs w:val="21"/>
        </w:rPr>
        <w:t>全部份额）；若某笔赎回将导致投资者在销售机构托管的</w:t>
      </w:r>
      <w:r w:rsidRPr="00D3689E" w:rsidR="00441E70">
        <w:rPr>
          <w:rFonts w:asciiTheme="minorEastAsia" w:eastAsiaTheme="minorEastAsia" w:hAnsiTheme="minorEastAsia" w:hint="eastAsia"/>
          <w:color w:val="000000" w:themeColor="text1"/>
          <w:szCs w:val="21"/>
        </w:rPr>
        <w:t>该类</w:t>
      </w:r>
      <w:r w:rsidRPr="00D3689E">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color w:val="000000" w:themeColor="text1"/>
          <w:szCs w:val="21"/>
        </w:rPr>
        <w:t>余额不足1</w:t>
      </w:r>
      <w:r w:rsidRPr="00D3689E" w:rsidR="00D5442C">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份时</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基金管理人有权将投资者在该销售机构托管的</w:t>
      </w:r>
      <w:r w:rsidRPr="00D3689E">
        <w:rPr>
          <w:rFonts w:asciiTheme="minorEastAsia" w:eastAsiaTheme="minorEastAsia" w:hAnsiTheme="minorEastAsia" w:hint="eastAsia"/>
          <w:color w:val="000000" w:themeColor="text1"/>
          <w:szCs w:val="21"/>
        </w:rPr>
        <w:t>该类</w:t>
      </w:r>
      <w:r w:rsidRPr="00D3689E" w:rsidR="00441E70">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hint="eastAsia"/>
          <w:color w:val="000000" w:themeColor="text1"/>
          <w:szCs w:val="21"/>
        </w:rPr>
        <w:t>份额</w:t>
      </w:r>
      <w:r w:rsidRPr="00D3689E">
        <w:rPr>
          <w:rFonts w:asciiTheme="minorEastAsia" w:eastAsiaTheme="minorEastAsia" w:hAnsiTheme="minorEastAsia"/>
          <w:color w:val="000000" w:themeColor="text1"/>
          <w:szCs w:val="21"/>
        </w:rPr>
        <w:t>剩余份额一次性全部赎回。</w:t>
      </w:r>
    </w:p>
    <w:p w:rsidR="00C304D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在符合法律法规规定的前提下，各销售机构对赎回份额限制有其他规定的，需同时遵循该销售机构的相关规定。</w:t>
      </w:r>
    </w:p>
    <w:bookmarkEnd w:id="216"/>
    <w:p w:rsidR="004C7E2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sidR="002A33BC">
        <w:rPr>
          <w:rFonts w:asciiTheme="minorEastAsia" w:eastAsiaTheme="minorEastAsia" w:hAnsiTheme="minorEastAsia" w:hint="eastAsia"/>
          <w:color w:val="000000" w:themeColor="text1"/>
        </w:rPr>
        <w:t>基金管理人可根据基金运作情况、市场情况和投资者需求等因素，调整申购和赎回的数额限制。基金管理人必须在调整生效前依照《信息披露办法》的有关规定在指定媒介公告。</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bookmarkStart w:id="217" w:name="_Toc296526989"/>
      <w:bookmarkEnd w:id="217"/>
      <w:r w:rsidRPr="00D3689E">
        <w:rPr>
          <w:rFonts w:asciiTheme="minorEastAsia" w:eastAsiaTheme="minorEastAsia" w:hAnsiTheme="minorEastAsia" w:hint="eastAsia"/>
          <w:color w:val="000000" w:themeColor="text1"/>
          <w:szCs w:val="21"/>
        </w:rPr>
        <w:t>七、</w:t>
      </w:r>
      <w:r w:rsidRPr="00D3689E">
        <w:rPr>
          <w:rFonts w:asciiTheme="minorEastAsia" w:eastAsiaTheme="minorEastAsia" w:hAnsiTheme="minorEastAsia"/>
          <w:color w:val="000000" w:themeColor="text1"/>
          <w:szCs w:val="21"/>
        </w:rPr>
        <w:t>申购</w:t>
      </w:r>
      <w:r w:rsidRPr="00D3689E" w:rsidR="00C148F8">
        <w:rPr>
          <w:rFonts w:asciiTheme="minorEastAsia" w:eastAsiaTheme="minorEastAsia" w:hAnsiTheme="minorEastAsia"/>
          <w:color w:val="000000" w:themeColor="text1"/>
          <w:szCs w:val="21"/>
        </w:rPr>
        <w:t>与</w:t>
      </w:r>
      <w:r w:rsidRPr="00D3689E">
        <w:rPr>
          <w:rFonts w:asciiTheme="minorEastAsia" w:eastAsiaTheme="minorEastAsia" w:hAnsiTheme="minorEastAsia"/>
          <w:color w:val="000000" w:themeColor="text1"/>
          <w:szCs w:val="21"/>
        </w:rPr>
        <w:t>赎回的费率</w:t>
      </w:r>
    </w:p>
    <w:p w:rsidR="0064594E" w:rsidRPr="00D3689E" w:rsidP="00417C26">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1、本基金的申</w:t>
      </w:r>
      <w:r w:rsidRPr="00D3689E">
        <w:rPr>
          <w:rFonts w:asciiTheme="minorEastAsia" w:eastAsiaTheme="minorEastAsia" w:hAnsiTheme="minorEastAsia" w:hint="eastAsia"/>
          <w:color w:val="000000" w:themeColor="text1"/>
        </w:rPr>
        <w:t>购费率</w:t>
      </w:r>
    </w:p>
    <w:p w:rsidR="00921856" w:rsidRPr="00D3689E" w:rsidP="0063405D">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w:t>
      </w:r>
      <w:r w:rsidRPr="00D3689E" w:rsidR="00CF2D5C">
        <w:rPr>
          <w:rFonts w:asciiTheme="minorEastAsia" w:eastAsiaTheme="minorEastAsia" w:hAnsiTheme="minorEastAsia" w:hint="eastAsia"/>
          <w:color w:val="000000" w:themeColor="text1"/>
          <w:szCs w:val="21"/>
        </w:rPr>
        <w:t>以人民币</w:t>
      </w:r>
      <w:r w:rsidRPr="00D3689E">
        <w:rPr>
          <w:rFonts w:asciiTheme="minorEastAsia" w:eastAsiaTheme="minorEastAsia" w:hAnsiTheme="minorEastAsia" w:hint="eastAsia"/>
          <w:color w:val="000000" w:themeColor="text1"/>
          <w:szCs w:val="21"/>
        </w:rPr>
        <w:t>申购本基金</w:t>
      </w:r>
      <w:r w:rsidRPr="00D3689E" w:rsidR="0073333D">
        <w:rPr>
          <w:rFonts w:asciiTheme="minorEastAsia" w:eastAsiaTheme="minorEastAsia" w:hAnsiTheme="minorEastAsia"/>
          <w:color w:val="000000" w:themeColor="text1"/>
        </w:rPr>
        <w:t>A</w:t>
      </w:r>
      <w:r w:rsidRPr="00D3689E" w:rsidR="0073333D">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hint="eastAsia"/>
          <w:color w:val="000000" w:themeColor="text1"/>
          <w:szCs w:val="21"/>
        </w:rPr>
        <w:t>的申购费率见下表：</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297"/>
      </w:tblGrid>
      <w:tr>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420" w:type="dxa"/>
          </w:tcPr>
          <w:p w:rsidR="00F27E41" w:rsidRPr="00D3689E" w:rsidP="00AC3D80">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b/>
                <w:bCs/>
                <w:color w:val="000000" w:themeColor="text1"/>
                <w:sz w:val="20"/>
                <w:szCs w:val="20"/>
              </w:rPr>
              <w:t>申购金额</w:t>
            </w:r>
            <w:r w:rsidRPr="00D3689E">
              <w:rPr>
                <w:rFonts w:asciiTheme="minorEastAsia" w:eastAsiaTheme="minorEastAsia" w:hAnsiTheme="minorEastAsia"/>
                <w:b/>
                <w:bCs/>
                <w:color w:val="000000" w:themeColor="text1"/>
                <w:sz w:val="20"/>
                <w:szCs w:val="20"/>
              </w:rPr>
              <w:t>M（</w:t>
            </w:r>
            <w:r w:rsidRPr="00D3689E" w:rsidR="007D094E">
              <w:rPr>
                <w:rFonts w:asciiTheme="minorEastAsia" w:eastAsiaTheme="minorEastAsia" w:hAnsiTheme="minorEastAsia" w:hint="eastAsia"/>
                <w:b/>
                <w:bCs/>
                <w:color w:val="000000" w:themeColor="text1"/>
                <w:sz w:val="20"/>
                <w:szCs w:val="20"/>
              </w:rPr>
              <w:t>人民币</w:t>
            </w:r>
            <w:r w:rsidRPr="00D3689E" w:rsidR="00AC3D80">
              <w:rPr>
                <w:rFonts w:asciiTheme="minorEastAsia" w:eastAsiaTheme="minorEastAsia" w:hAnsiTheme="minorEastAsia" w:hint="eastAsia"/>
                <w:b/>
                <w:bCs/>
                <w:color w:val="000000" w:themeColor="text1"/>
                <w:sz w:val="20"/>
                <w:szCs w:val="20"/>
              </w:rPr>
              <w:t>元</w:t>
            </w:r>
            <w:r w:rsidRPr="00D3689E">
              <w:rPr>
                <w:rFonts w:asciiTheme="minorEastAsia" w:eastAsiaTheme="minorEastAsia" w:hAnsiTheme="minorEastAsia" w:hint="eastAsia"/>
                <w:b/>
                <w:bCs/>
                <w:color w:val="000000" w:themeColor="text1"/>
                <w:sz w:val="20"/>
                <w:szCs w:val="20"/>
              </w:rPr>
              <w:t>）（含申购费）</w:t>
            </w:r>
          </w:p>
        </w:tc>
        <w:tc>
          <w:tcPr>
            <w:tcW w:w="3297"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b/>
                <w:bCs/>
                <w:color w:val="000000" w:themeColor="text1"/>
                <w:sz w:val="20"/>
                <w:szCs w:val="20"/>
              </w:rPr>
              <w:t>申购费率</w:t>
            </w:r>
          </w:p>
        </w:tc>
      </w:tr>
      <w:tr>
        <w:tblPrEx>
          <w:tblW w:w="0" w:type="auto"/>
          <w:tblInd w:w="1368" w:type="dxa"/>
          <w:tblLook w:val="0000"/>
        </w:tblPrEx>
        <w:tc>
          <w:tcPr>
            <w:tcW w:w="3420"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M＜100万</w:t>
            </w:r>
          </w:p>
        </w:tc>
        <w:tc>
          <w:tcPr>
            <w:tcW w:w="3297"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1.2%</w:t>
            </w:r>
          </w:p>
        </w:tc>
      </w:tr>
      <w:tr>
        <w:tblPrEx>
          <w:tblW w:w="0" w:type="auto"/>
          <w:tblInd w:w="1368" w:type="dxa"/>
          <w:tblLook w:val="0000"/>
        </w:tblPrEx>
        <w:tc>
          <w:tcPr>
            <w:tcW w:w="3420"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100万≤M＜</w:t>
            </w:r>
            <w:r w:rsidRPr="00D3689E">
              <w:rPr>
                <w:rFonts w:asciiTheme="minorEastAsia" w:eastAsiaTheme="minorEastAsia" w:hAnsiTheme="minorEastAsia"/>
                <w:color w:val="000000" w:themeColor="text1"/>
                <w:sz w:val="20"/>
                <w:szCs w:val="20"/>
              </w:rPr>
              <w:t>2</w:t>
            </w:r>
            <w:r w:rsidRPr="00D3689E">
              <w:rPr>
                <w:rFonts w:asciiTheme="minorEastAsia" w:eastAsiaTheme="minorEastAsia" w:hAnsiTheme="minorEastAsia" w:hint="eastAsia"/>
                <w:color w:val="000000" w:themeColor="text1"/>
                <w:sz w:val="20"/>
                <w:szCs w:val="20"/>
              </w:rPr>
              <w:t>00万</w:t>
            </w:r>
          </w:p>
        </w:tc>
        <w:tc>
          <w:tcPr>
            <w:tcW w:w="3297"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0.8%</w:t>
            </w:r>
          </w:p>
        </w:tc>
      </w:tr>
      <w:tr>
        <w:tblPrEx>
          <w:tblW w:w="0" w:type="auto"/>
          <w:tblInd w:w="1368" w:type="dxa"/>
          <w:tblLook w:val="0000"/>
        </w:tblPrEx>
        <w:tc>
          <w:tcPr>
            <w:tcW w:w="3420"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200万≤M＜500万</w:t>
            </w:r>
          </w:p>
        </w:tc>
        <w:tc>
          <w:tcPr>
            <w:tcW w:w="3297" w:type="dxa"/>
          </w:tcPr>
          <w:p w:rsidR="00F27E41" w:rsidRPr="00D3689E" w:rsidP="00A26649">
            <w:pPr>
              <w:widowControl/>
              <w:spacing w:line="360" w:lineRule="auto"/>
              <w:jc w:val="center"/>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sz w:val="20"/>
                <w:szCs w:val="20"/>
              </w:rPr>
              <w:t>0.5%</w:t>
            </w:r>
          </w:p>
        </w:tc>
      </w:tr>
      <w:tr>
        <w:tblPrEx>
          <w:tblW w:w="0" w:type="auto"/>
          <w:tblInd w:w="1368" w:type="dxa"/>
          <w:tblLook w:val="0000"/>
        </w:tblPrEx>
        <w:tc>
          <w:tcPr>
            <w:tcW w:w="3420"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M≥500万</w:t>
            </w:r>
          </w:p>
        </w:tc>
        <w:tc>
          <w:tcPr>
            <w:tcW w:w="3297" w:type="dxa"/>
          </w:tcPr>
          <w:p w:rsidR="00F27E41" w:rsidRPr="00D3689E" w:rsidP="00A26649">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1</w:t>
            </w:r>
            <w:r w:rsidRPr="00D3689E" w:rsidR="00CC0DA7">
              <w:rPr>
                <w:rFonts w:asciiTheme="minorEastAsia" w:eastAsiaTheme="minorEastAsia" w:hAnsiTheme="minorEastAsia" w:hint="eastAsia"/>
                <w:color w:val="000000" w:themeColor="text1"/>
                <w:sz w:val="20"/>
                <w:szCs w:val="20"/>
              </w:rPr>
              <w:t>,</w:t>
            </w:r>
            <w:r w:rsidRPr="00D3689E">
              <w:rPr>
                <w:rFonts w:asciiTheme="minorEastAsia" w:eastAsiaTheme="minorEastAsia" w:hAnsiTheme="minorEastAsia" w:hint="eastAsia"/>
                <w:color w:val="000000" w:themeColor="text1"/>
                <w:sz w:val="20"/>
                <w:szCs w:val="20"/>
              </w:rPr>
              <w:t>000元/笔</w:t>
            </w:r>
          </w:p>
        </w:tc>
      </w:tr>
    </w:tbl>
    <w:p w:rsidR="00CF2D5C" w:rsidRPr="00D3689E" w:rsidP="00E870B4">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投资者以美元申购本基金</w:t>
      </w:r>
      <w:r w:rsidRPr="00D3689E" w:rsidR="0073333D">
        <w:rPr>
          <w:rFonts w:asciiTheme="minorEastAsia" w:eastAsiaTheme="minorEastAsia" w:hAnsiTheme="minorEastAsia"/>
          <w:color w:val="000000" w:themeColor="text1"/>
          <w:szCs w:val="21"/>
        </w:rPr>
        <w:t>A</w:t>
      </w:r>
      <w:r w:rsidRPr="00D3689E" w:rsidR="0073333D">
        <w:rPr>
          <w:rFonts w:asciiTheme="minorEastAsia" w:eastAsiaTheme="minorEastAsia" w:hAnsiTheme="minorEastAsia" w:hint="eastAsia"/>
          <w:color w:val="000000" w:themeColor="text1"/>
          <w:szCs w:val="21"/>
        </w:rPr>
        <w:t>类美元份额</w:t>
      </w:r>
      <w:r w:rsidRPr="00D3689E">
        <w:rPr>
          <w:rFonts w:asciiTheme="minorEastAsia" w:eastAsiaTheme="minorEastAsia" w:hAnsiTheme="minorEastAsia" w:hint="eastAsia"/>
          <w:color w:val="000000" w:themeColor="text1"/>
          <w:szCs w:val="21"/>
        </w:rPr>
        <w:t>的申购费率见下表：</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297"/>
      </w:tblGrid>
      <w:tr w:rsidTr="009B3C0D">
        <w:tblPrEx>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3420"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b/>
                <w:bCs/>
                <w:color w:val="000000" w:themeColor="text1"/>
                <w:sz w:val="20"/>
                <w:szCs w:val="20"/>
              </w:rPr>
              <w:t>申购金额</w:t>
            </w:r>
            <w:r w:rsidRPr="00D3689E">
              <w:rPr>
                <w:rFonts w:asciiTheme="minorEastAsia" w:eastAsiaTheme="minorEastAsia" w:hAnsiTheme="minorEastAsia"/>
                <w:b/>
                <w:bCs/>
                <w:color w:val="000000" w:themeColor="text1"/>
                <w:sz w:val="20"/>
                <w:szCs w:val="20"/>
              </w:rPr>
              <w:t>M（美元）（含申购费）</w:t>
            </w:r>
          </w:p>
        </w:tc>
        <w:tc>
          <w:tcPr>
            <w:tcW w:w="3297"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b/>
                <w:bCs/>
                <w:color w:val="000000" w:themeColor="text1"/>
                <w:sz w:val="20"/>
                <w:szCs w:val="20"/>
              </w:rPr>
              <w:t>申购费率</w:t>
            </w:r>
          </w:p>
        </w:tc>
      </w:tr>
      <w:tr w:rsidTr="009B3C0D">
        <w:tblPrEx>
          <w:tblW w:w="0" w:type="auto"/>
          <w:tblInd w:w="1368" w:type="dxa"/>
          <w:tblLook w:val="0000"/>
        </w:tblPrEx>
        <w:tc>
          <w:tcPr>
            <w:tcW w:w="3420"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M＜20万</w:t>
            </w:r>
          </w:p>
        </w:tc>
        <w:tc>
          <w:tcPr>
            <w:tcW w:w="3297"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1.2%</w:t>
            </w:r>
          </w:p>
        </w:tc>
      </w:tr>
      <w:tr w:rsidTr="009B3C0D">
        <w:tblPrEx>
          <w:tblW w:w="0" w:type="auto"/>
          <w:tblInd w:w="1368" w:type="dxa"/>
          <w:tblLook w:val="0000"/>
        </w:tblPrEx>
        <w:tc>
          <w:tcPr>
            <w:tcW w:w="3420"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20万≤M＜</w:t>
            </w:r>
            <w:r w:rsidRPr="00D3689E">
              <w:rPr>
                <w:rFonts w:asciiTheme="minorEastAsia" w:eastAsiaTheme="minorEastAsia" w:hAnsiTheme="minorEastAsia"/>
                <w:color w:val="000000" w:themeColor="text1"/>
                <w:sz w:val="20"/>
                <w:szCs w:val="20"/>
              </w:rPr>
              <w:t>4</w:t>
            </w:r>
            <w:r w:rsidRPr="00D3689E">
              <w:rPr>
                <w:rFonts w:asciiTheme="minorEastAsia" w:eastAsiaTheme="minorEastAsia" w:hAnsiTheme="minorEastAsia" w:hint="eastAsia"/>
                <w:color w:val="000000" w:themeColor="text1"/>
                <w:sz w:val="20"/>
                <w:szCs w:val="20"/>
              </w:rPr>
              <w:t>0万</w:t>
            </w:r>
          </w:p>
        </w:tc>
        <w:tc>
          <w:tcPr>
            <w:tcW w:w="3297"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0.8%</w:t>
            </w:r>
          </w:p>
        </w:tc>
      </w:tr>
      <w:tr w:rsidTr="009B3C0D">
        <w:tblPrEx>
          <w:tblW w:w="0" w:type="auto"/>
          <w:tblInd w:w="1368" w:type="dxa"/>
          <w:tblLook w:val="0000"/>
        </w:tblPrEx>
        <w:tc>
          <w:tcPr>
            <w:tcW w:w="3420"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40万≤M＜100万</w:t>
            </w:r>
          </w:p>
        </w:tc>
        <w:tc>
          <w:tcPr>
            <w:tcW w:w="3297" w:type="dxa"/>
          </w:tcPr>
          <w:p w:rsidR="00CF2D5C" w:rsidRPr="00D3689E" w:rsidP="009B3C0D">
            <w:pPr>
              <w:widowControl/>
              <w:spacing w:line="360" w:lineRule="auto"/>
              <w:jc w:val="center"/>
              <w:rPr>
                <w:rFonts w:asciiTheme="minorEastAsia" w:eastAsiaTheme="minorEastAsia" w:hAnsiTheme="minorEastAsia"/>
                <w:color w:val="000000" w:themeColor="text1"/>
                <w:sz w:val="20"/>
                <w:szCs w:val="20"/>
              </w:rPr>
            </w:pPr>
            <w:r w:rsidRPr="00D3689E">
              <w:rPr>
                <w:rFonts w:asciiTheme="minorEastAsia" w:eastAsiaTheme="minorEastAsia" w:hAnsiTheme="minorEastAsia" w:hint="eastAsia"/>
                <w:color w:val="000000" w:themeColor="text1"/>
                <w:sz w:val="20"/>
                <w:szCs w:val="20"/>
              </w:rPr>
              <w:t>0.5%</w:t>
            </w:r>
          </w:p>
        </w:tc>
      </w:tr>
      <w:tr w:rsidTr="009B3C0D">
        <w:tblPrEx>
          <w:tblW w:w="0" w:type="auto"/>
          <w:tblInd w:w="1368" w:type="dxa"/>
          <w:tblLook w:val="0000"/>
        </w:tblPrEx>
        <w:tc>
          <w:tcPr>
            <w:tcW w:w="3420"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M≥100万</w:t>
            </w:r>
          </w:p>
        </w:tc>
        <w:tc>
          <w:tcPr>
            <w:tcW w:w="3297" w:type="dxa"/>
          </w:tcPr>
          <w:p w:rsidR="00CF2D5C" w:rsidRPr="00D3689E" w:rsidP="009B3C0D">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 w:val="20"/>
                <w:szCs w:val="20"/>
              </w:rPr>
              <w:t>200美元/笔</w:t>
            </w:r>
          </w:p>
        </w:tc>
      </w:tr>
    </w:tbl>
    <w:p w:rsidR="0073333D" w:rsidRPr="00D3689E" w:rsidP="0073333D">
      <w:pPr>
        <w:spacing w:line="48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本基金对通过</w:t>
      </w:r>
      <w:r w:rsidRPr="00D3689E" w:rsidR="00441E70">
        <w:rPr>
          <w:rFonts w:asciiTheme="minorEastAsia" w:eastAsiaTheme="minorEastAsia" w:hAnsiTheme="minorEastAsia" w:hint="eastAsia"/>
          <w:color w:val="000000" w:themeColor="text1"/>
          <w:szCs w:val="21"/>
        </w:rPr>
        <w:t>本公司</w:t>
      </w:r>
      <w:r w:rsidRPr="00D3689E">
        <w:rPr>
          <w:rFonts w:asciiTheme="minorEastAsia" w:eastAsiaTheme="minorEastAsia" w:hAnsiTheme="minorEastAsia" w:hint="eastAsia"/>
          <w:color w:val="000000" w:themeColor="text1"/>
          <w:szCs w:val="21"/>
        </w:rPr>
        <w:t>直销中心申购的</w:t>
      </w:r>
      <w:r w:rsidRPr="00D3689E">
        <w:rPr>
          <w:rStyle w:val="da"/>
          <w:rFonts w:asciiTheme="minorEastAsia" w:eastAsiaTheme="minorEastAsia" w:hAnsiTheme="minorEastAsia" w:hint="eastAsia"/>
          <w:color w:val="000000" w:themeColor="text1"/>
        </w:rPr>
        <w:t>特定投资群体</w:t>
      </w:r>
      <w:r w:rsidRPr="00D3689E">
        <w:rPr>
          <w:rFonts w:asciiTheme="minorEastAsia" w:eastAsiaTheme="minorEastAsia" w:hAnsiTheme="minorEastAsia" w:hint="eastAsia"/>
          <w:color w:val="000000" w:themeColor="text1"/>
          <w:szCs w:val="21"/>
        </w:rPr>
        <w:t>与除此之外的其他投资者实施差别的申购费率。</w:t>
      </w:r>
    </w:p>
    <w:p w:rsidR="0073333D" w:rsidRPr="00D3689E" w:rsidP="0073333D">
      <w:pPr>
        <w:spacing w:line="48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特定投资群体指全国社会保障基金、依法设立的基本养老保险基金、依法制定的企业</w:t>
      </w:r>
      <w:r w:rsidRPr="00D3689E">
        <w:rPr>
          <w:rFonts w:asciiTheme="minorEastAsia" w:eastAsiaTheme="minorEastAsia" w:hAnsiTheme="minorEastAsia" w:hint="eastAsia"/>
          <w:color w:val="000000" w:themeColor="text1"/>
        </w:rPr>
        <w:t>年金计划筹集的资金及其投资运营收益形成的企业补充养老保险基金（包括企业年金单一计划以及集合计划），以及可以投资基金的其他社会保险基金。如将来出现可以投</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资基金的住房公积金、享受税收优惠的个人养老账户、经养老基金监管部门认可的新的养老基金类型，基金管理人可将其纳入特定投资群体范围。通过</w:t>
      </w:r>
      <w:r w:rsidRPr="00D3689E" w:rsidR="00441E70">
        <w:rPr>
          <w:rFonts w:asciiTheme="minorEastAsia" w:eastAsiaTheme="minorEastAsia" w:hAnsiTheme="minorEastAsia" w:hint="eastAsia"/>
          <w:color w:val="000000" w:themeColor="text1"/>
          <w:szCs w:val="21"/>
        </w:rPr>
        <w:t>本公司</w:t>
      </w:r>
      <w:r w:rsidRPr="00D3689E">
        <w:rPr>
          <w:rFonts w:asciiTheme="minorEastAsia" w:eastAsiaTheme="minorEastAsia" w:hAnsiTheme="minorEastAsia" w:hint="eastAsia"/>
          <w:color w:val="000000" w:themeColor="text1"/>
        </w:rPr>
        <w:t>直销中心申购本基金的特定投资群体具体费率如下：</w:t>
      </w:r>
    </w:p>
    <w:tbl>
      <w:tblPr>
        <w:tblW w:w="82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2835"/>
        <w:gridCol w:w="2835"/>
      </w:tblGrid>
      <w:tr w:rsidTr="0073333D">
        <w:tblPrEx>
          <w:tblW w:w="82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2557" w:type="dxa"/>
            <w:vAlign w:val="center"/>
          </w:tcPr>
          <w:p w:rsidR="008C7223" w:rsidRPr="00D3689E" w:rsidP="0073333D">
            <w:pPr>
              <w:spacing w:line="480" w:lineRule="auto"/>
              <w:jc w:val="center"/>
              <w:rPr>
                <w:rFonts w:asciiTheme="minorEastAsia" w:eastAsiaTheme="minorEastAsia" w:hAnsiTheme="minorEastAsia"/>
                <w:b/>
                <w:bCs/>
                <w:color w:val="000000" w:themeColor="text1"/>
                <w:sz w:val="20"/>
                <w:szCs w:val="20"/>
              </w:rPr>
            </w:pPr>
            <w:r w:rsidRPr="00D3689E">
              <w:rPr>
                <w:rFonts w:asciiTheme="minorEastAsia" w:eastAsiaTheme="minorEastAsia" w:hAnsiTheme="minorEastAsia" w:hint="eastAsia"/>
                <w:b/>
                <w:bCs/>
                <w:color w:val="000000" w:themeColor="text1"/>
                <w:sz w:val="20"/>
                <w:szCs w:val="20"/>
              </w:rPr>
              <w:t>申购金额</w:t>
            </w:r>
            <w:r w:rsidRPr="00D3689E">
              <w:rPr>
                <w:rFonts w:asciiTheme="minorEastAsia" w:eastAsiaTheme="minorEastAsia" w:hAnsiTheme="minorEastAsia"/>
                <w:b/>
                <w:bCs/>
                <w:color w:val="000000" w:themeColor="text1"/>
                <w:sz w:val="20"/>
                <w:szCs w:val="20"/>
              </w:rPr>
              <w:t>M（人民币元）</w:t>
            </w:r>
          </w:p>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hint="eastAsia"/>
                <w:b/>
                <w:bCs/>
                <w:color w:val="000000" w:themeColor="text1"/>
                <w:sz w:val="20"/>
                <w:szCs w:val="20"/>
              </w:rPr>
              <w:t>（含申购费）</w:t>
            </w:r>
          </w:p>
        </w:tc>
        <w:tc>
          <w:tcPr>
            <w:tcW w:w="2835" w:type="dxa"/>
            <w:vAlign w:val="center"/>
          </w:tcPr>
          <w:p w:rsidR="008C7223" w:rsidRPr="00D3689E" w:rsidP="0073333D">
            <w:pPr>
              <w:spacing w:line="480" w:lineRule="auto"/>
              <w:jc w:val="center"/>
              <w:rPr>
                <w:rFonts w:asciiTheme="minorEastAsia" w:eastAsiaTheme="minorEastAsia" w:hAnsiTheme="minorEastAsia"/>
                <w:b/>
                <w:bCs/>
                <w:color w:val="000000" w:themeColor="text1"/>
                <w:sz w:val="20"/>
                <w:szCs w:val="20"/>
              </w:rPr>
            </w:pPr>
            <w:r w:rsidRPr="00D3689E">
              <w:rPr>
                <w:rFonts w:asciiTheme="minorEastAsia" w:eastAsiaTheme="minorEastAsia" w:hAnsiTheme="minorEastAsia" w:hint="eastAsia"/>
                <w:b/>
                <w:bCs/>
                <w:color w:val="000000" w:themeColor="text1"/>
                <w:sz w:val="20"/>
                <w:szCs w:val="20"/>
              </w:rPr>
              <w:t>申购金额</w:t>
            </w:r>
            <w:r w:rsidRPr="00D3689E">
              <w:rPr>
                <w:rFonts w:asciiTheme="minorEastAsia" w:eastAsiaTheme="minorEastAsia" w:hAnsiTheme="minorEastAsia"/>
                <w:b/>
                <w:bCs/>
                <w:color w:val="000000" w:themeColor="text1"/>
                <w:sz w:val="20"/>
                <w:szCs w:val="20"/>
              </w:rPr>
              <w:t>M（美元）</w:t>
            </w:r>
          </w:p>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hint="eastAsia"/>
                <w:b/>
                <w:bCs/>
                <w:color w:val="000000" w:themeColor="text1"/>
                <w:sz w:val="20"/>
                <w:szCs w:val="20"/>
              </w:rPr>
              <w:t>（含申购费）</w:t>
            </w:r>
          </w:p>
        </w:tc>
        <w:tc>
          <w:tcPr>
            <w:tcW w:w="2835" w:type="dxa"/>
            <w:vAlign w:val="center"/>
          </w:tcPr>
          <w:p w:rsidR="0073333D" w:rsidRPr="00D3689E" w:rsidP="0073333D">
            <w:pPr>
              <w:spacing w:line="480" w:lineRule="auto"/>
              <w:jc w:val="center"/>
              <w:rPr>
                <w:rFonts w:asciiTheme="minorEastAsia" w:eastAsiaTheme="minorEastAsia" w:hAnsiTheme="minorEastAsia"/>
                <w:b/>
                <w:color w:val="000000" w:themeColor="text1"/>
              </w:rPr>
            </w:pPr>
            <w:r w:rsidRPr="00D3689E">
              <w:rPr>
                <w:rFonts w:asciiTheme="minorEastAsia" w:eastAsiaTheme="minorEastAsia" w:hAnsiTheme="minorEastAsia" w:hint="eastAsia"/>
                <w:b/>
                <w:color w:val="000000" w:themeColor="text1"/>
              </w:rPr>
              <w:t>申购费率</w:t>
            </w:r>
          </w:p>
        </w:tc>
      </w:tr>
      <w:tr w:rsidTr="0073333D">
        <w:tblPrEx>
          <w:tblW w:w="8227" w:type="dxa"/>
          <w:tblInd w:w="318" w:type="dxa"/>
          <w:tblLook w:val="0000"/>
        </w:tblPrEx>
        <w:tc>
          <w:tcPr>
            <w:tcW w:w="2557"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M</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100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M</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0.12%</w:t>
            </w:r>
          </w:p>
        </w:tc>
      </w:tr>
      <w:tr w:rsidTr="0073333D">
        <w:tblPrEx>
          <w:tblW w:w="8227" w:type="dxa"/>
          <w:tblInd w:w="318" w:type="dxa"/>
          <w:tblLook w:val="0000"/>
        </w:tblPrEx>
        <w:tc>
          <w:tcPr>
            <w:tcW w:w="2557"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100</w:t>
            </w:r>
            <w:r w:rsidRPr="00D3689E">
              <w:rPr>
                <w:rFonts w:asciiTheme="minorEastAsia" w:eastAsiaTheme="minorEastAsia" w:hAnsiTheme="minorEastAsia" w:hint="eastAsia"/>
                <w:color w:val="000000" w:themeColor="text1"/>
                <w:szCs w:val="21"/>
              </w:rPr>
              <w:t>万≤M＜</w:t>
            </w:r>
            <w:r w:rsidRPr="00D3689E">
              <w:rPr>
                <w:rFonts w:asciiTheme="minorEastAsia" w:eastAsiaTheme="minorEastAsia" w:hAnsiTheme="minorEastAsia"/>
                <w:color w:val="000000" w:themeColor="text1"/>
                <w:szCs w:val="21"/>
              </w:rPr>
              <w:t>200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20</w:t>
            </w:r>
            <w:r w:rsidRPr="00D3689E">
              <w:rPr>
                <w:rFonts w:asciiTheme="minorEastAsia" w:eastAsiaTheme="minorEastAsia" w:hAnsiTheme="minorEastAsia" w:hint="eastAsia"/>
                <w:color w:val="000000" w:themeColor="text1"/>
                <w:szCs w:val="21"/>
              </w:rPr>
              <w:t>万≤</w:t>
            </w:r>
            <w:r w:rsidRPr="00D3689E">
              <w:rPr>
                <w:rFonts w:asciiTheme="minorEastAsia" w:eastAsiaTheme="minorEastAsia" w:hAnsiTheme="minorEastAsia"/>
                <w:color w:val="000000" w:themeColor="text1"/>
                <w:szCs w:val="21"/>
              </w:rPr>
              <w:t>M</w:t>
            </w:r>
            <w:r w:rsidRPr="00D3689E">
              <w:rPr>
                <w:rFonts w:asciiTheme="minorEastAsia" w:eastAsiaTheme="minorEastAsia" w:hAnsiTheme="minorEastAsia" w:hint="eastAsia"/>
                <w:color w:val="000000" w:themeColor="text1"/>
                <w:szCs w:val="21"/>
              </w:rPr>
              <w:t>＜</w:t>
            </w:r>
            <w:r w:rsidRPr="00D3689E" w:rsidR="00695132">
              <w:rPr>
                <w:rFonts w:asciiTheme="minorEastAsia" w:eastAsiaTheme="minorEastAsia" w:hAnsiTheme="minorEastAsia"/>
                <w:color w:val="000000" w:themeColor="text1"/>
                <w:szCs w:val="21"/>
              </w:rPr>
              <w:t>4</w:t>
            </w:r>
            <w:r w:rsidRPr="00D3689E">
              <w:rPr>
                <w:rFonts w:asciiTheme="minorEastAsia" w:eastAsiaTheme="minorEastAsia" w:hAnsiTheme="minorEastAsia"/>
                <w:color w:val="000000" w:themeColor="text1"/>
                <w:szCs w:val="21"/>
              </w:rPr>
              <w:t>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0.08%</w:t>
            </w:r>
          </w:p>
        </w:tc>
      </w:tr>
      <w:tr w:rsidTr="0073333D">
        <w:tblPrEx>
          <w:tblW w:w="8227" w:type="dxa"/>
          <w:tblInd w:w="318" w:type="dxa"/>
          <w:tblLook w:val="0000"/>
        </w:tblPrEx>
        <w:tc>
          <w:tcPr>
            <w:tcW w:w="2557"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200</w:t>
            </w:r>
            <w:r w:rsidRPr="00D3689E">
              <w:rPr>
                <w:rFonts w:asciiTheme="minorEastAsia" w:eastAsiaTheme="minorEastAsia" w:hAnsiTheme="minorEastAsia" w:hint="eastAsia"/>
                <w:color w:val="000000" w:themeColor="text1"/>
                <w:szCs w:val="21"/>
              </w:rPr>
              <w:t>万≤M＜</w:t>
            </w:r>
            <w:r w:rsidRPr="00D3689E">
              <w:rPr>
                <w:rFonts w:asciiTheme="minorEastAsia" w:eastAsiaTheme="minorEastAsia" w:hAnsiTheme="minorEastAsia"/>
                <w:color w:val="000000" w:themeColor="text1"/>
                <w:szCs w:val="21"/>
              </w:rPr>
              <w:t>500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40</w:t>
            </w:r>
            <w:r w:rsidRPr="00D3689E">
              <w:rPr>
                <w:rFonts w:asciiTheme="minorEastAsia" w:eastAsiaTheme="minorEastAsia" w:hAnsiTheme="minorEastAsia" w:hint="eastAsia"/>
                <w:color w:val="000000" w:themeColor="text1"/>
                <w:szCs w:val="21"/>
              </w:rPr>
              <w:t>万≤</w:t>
            </w:r>
            <w:r w:rsidRPr="00D3689E">
              <w:rPr>
                <w:rFonts w:asciiTheme="minorEastAsia" w:eastAsiaTheme="minorEastAsia" w:hAnsiTheme="minorEastAsia"/>
                <w:color w:val="000000" w:themeColor="text1"/>
                <w:szCs w:val="21"/>
              </w:rPr>
              <w:t>M</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100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0.05%</w:t>
            </w:r>
          </w:p>
        </w:tc>
      </w:tr>
      <w:tr w:rsidTr="0073333D">
        <w:tblPrEx>
          <w:tblW w:w="8227" w:type="dxa"/>
          <w:tblInd w:w="318" w:type="dxa"/>
          <w:tblLook w:val="0000"/>
        </w:tblPrEx>
        <w:tc>
          <w:tcPr>
            <w:tcW w:w="2557"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M≥500万</w:t>
            </w:r>
          </w:p>
        </w:tc>
        <w:tc>
          <w:tcPr>
            <w:tcW w:w="2835" w:type="dxa"/>
            <w:vAlign w:val="center"/>
          </w:tcPr>
          <w:p w:rsidR="0073333D" w:rsidRPr="00D3689E" w:rsidP="008C7223">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M</w:t>
            </w:r>
            <w:r w:rsidRPr="00D3689E">
              <w:rPr>
                <w:rFonts w:asciiTheme="minorEastAsia" w:eastAsiaTheme="minorEastAsia" w:hAnsiTheme="minorEastAsia" w:hint="eastAsia"/>
                <w:color w:val="000000" w:themeColor="text1"/>
                <w:szCs w:val="21"/>
              </w:rPr>
              <w:t>≥</w:t>
            </w:r>
            <w:r w:rsidRPr="00D3689E" w:rsidR="00695132">
              <w:rPr>
                <w:rFonts w:asciiTheme="minorEastAsia" w:eastAsiaTheme="minorEastAsia" w:hAnsiTheme="minorEastAsia"/>
                <w:color w:val="000000" w:themeColor="text1"/>
                <w:szCs w:val="21"/>
              </w:rPr>
              <w:t>1</w:t>
            </w:r>
            <w:r w:rsidRPr="00D3689E">
              <w:rPr>
                <w:rFonts w:asciiTheme="minorEastAsia" w:eastAsiaTheme="minorEastAsia" w:hAnsiTheme="minorEastAsia"/>
                <w:color w:val="000000" w:themeColor="text1"/>
                <w:szCs w:val="21"/>
              </w:rPr>
              <w:t>00</w:t>
            </w:r>
            <w:r w:rsidRPr="00D3689E">
              <w:rPr>
                <w:rFonts w:asciiTheme="minorEastAsia" w:eastAsiaTheme="minorEastAsia" w:hAnsiTheme="minorEastAsia" w:hint="eastAsia"/>
                <w:color w:val="000000" w:themeColor="text1"/>
                <w:szCs w:val="21"/>
              </w:rPr>
              <w:t>万</w:t>
            </w:r>
          </w:p>
        </w:tc>
        <w:tc>
          <w:tcPr>
            <w:tcW w:w="2835" w:type="dxa"/>
            <w:vAlign w:val="center"/>
          </w:tcPr>
          <w:p w:rsidR="0073333D" w:rsidRPr="00D3689E" w:rsidP="0073333D">
            <w:pPr>
              <w:jc w:val="center"/>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类人民币份额</w:t>
            </w:r>
            <w:r w:rsidRPr="00D3689E">
              <w:rPr>
                <w:rFonts w:asciiTheme="minorEastAsia" w:eastAsiaTheme="minorEastAsia" w:hAnsiTheme="minorEastAsia"/>
                <w:color w:val="000000" w:themeColor="text1"/>
                <w:szCs w:val="21"/>
              </w:rPr>
              <w:t>1,000</w:t>
            </w:r>
            <w:r w:rsidRPr="00D3689E">
              <w:rPr>
                <w:rFonts w:asciiTheme="minorEastAsia" w:eastAsiaTheme="minorEastAsia" w:hAnsiTheme="minorEastAsia" w:hint="eastAsia"/>
                <w:color w:val="000000" w:themeColor="text1"/>
                <w:szCs w:val="21"/>
              </w:rPr>
              <w:t>元</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笔</w:t>
            </w:r>
          </w:p>
          <w:p w:rsidR="0073333D" w:rsidRPr="00D3689E" w:rsidP="0073333D">
            <w:pPr>
              <w:spacing w:line="480" w:lineRule="auto"/>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类美元份额</w:t>
            </w:r>
            <w:r w:rsidRPr="00D3689E">
              <w:rPr>
                <w:rFonts w:asciiTheme="minorEastAsia" w:eastAsiaTheme="minorEastAsia" w:hAnsiTheme="minorEastAsia"/>
                <w:color w:val="000000" w:themeColor="text1"/>
                <w:szCs w:val="21"/>
              </w:rPr>
              <w:t>200</w:t>
            </w:r>
            <w:r w:rsidRPr="00D3689E">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笔</w:t>
            </w:r>
          </w:p>
        </w:tc>
      </w:tr>
    </w:tbl>
    <w:p w:rsidR="00F564CE" w:rsidRPr="00D3689E" w:rsidP="00A26649">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D25FC4" w:rsidRPr="00D3689E" w:rsidP="00A26649">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w:t>
      </w:r>
      <w:r w:rsidRPr="00D3689E">
        <w:rPr>
          <w:rFonts w:asciiTheme="minorEastAsia" w:eastAsiaTheme="minorEastAsia" w:hAnsiTheme="minorEastAsia"/>
          <w:color w:val="000000" w:themeColor="text1"/>
          <w:szCs w:val="21"/>
        </w:rPr>
        <w:t>基金C类人民币份额、C类美元份额</w:t>
      </w:r>
      <w:r w:rsidRPr="00D3689E">
        <w:rPr>
          <w:rFonts w:asciiTheme="minorEastAsia" w:eastAsiaTheme="minorEastAsia" w:hAnsiTheme="minorEastAsia" w:hint="eastAsia"/>
          <w:color w:val="000000" w:themeColor="text1"/>
        </w:rPr>
        <w:t>申购费率为</w:t>
      </w:r>
      <w:r w:rsidRPr="00D3689E">
        <w:rPr>
          <w:rFonts w:asciiTheme="minorEastAsia" w:eastAsiaTheme="minorEastAsia" w:hAnsiTheme="minorEastAsia"/>
          <w:color w:val="000000" w:themeColor="text1"/>
        </w:rPr>
        <w:t>0</w:t>
      </w:r>
      <w:r w:rsidRPr="00D3689E">
        <w:rPr>
          <w:rFonts w:asciiTheme="minorEastAsia" w:eastAsiaTheme="minorEastAsia" w:hAnsiTheme="minorEastAsia"/>
          <w:color w:val="000000" w:themeColor="text1"/>
          <w:szCs w:val="21"/>
        </w:rPr>
        <w:t>。</w:t>
      </w:r>
    </w:p>
    <w:p w:rsidR="00F564CE" w:rsidRPr="00D3689E" w:rsidP="00A26649">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、本基金的赎回费率</w:t>
      </w:r>
    </w:p>
    <w:p w:rsidR="004142B1" w:rsidRPr="00D3689E" w:rsidP="004142B1">
      <w:pPr>
        <w:spacing w:line="312"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1）本基金</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4031"/>
      </w:tblGrid>
      <w:tr w:rsidTr="0063405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申请</w:t>
            </w:r>
            <w:r w:rsidRPr="00D3689E">
              <w:rPr>
                <w:rFonts w:asciiTheme="minorEastAsia" w:eastAsiaTheme="minorEastAsia" w:hAnsiTheme="minorEastAsia"/>
                <w:color w:val="000000" w:themeColor="text1"/>
                <w:kern w:val="0"/>
                <w:szCs w:val="21"/>
              </w:rPr>
              <w:t>份额持有时间（D）</w:t>
            </w:r>
          </w:p>
        </w:tc>
        <w:tc>
          <w:tcPr>
            <w:tcW w:w="4031"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color w:val="000000" w:themeColor="text1"/>
                <w:kern w:val="0"/>
                <w:szCs w:val="21"/>
              </w:rPr>
              <w:t>赎回费率</w:t>
            </w:r>
          </w:p>
        </w:tc>
      </w:tr>
      <w:tr w:rsidTr="0063405D">
        <w:tblPrEx>
          <w:tblW w:w="0" w:type="auto"/>
          <w:jc w:val="center"/>
          <w:tblLayout w:type="fixed"/>
          <w:tblLook w:val="01E0"/>
        </w:tblPrEx>
        <w:trPr>
          <w:trHeight w:val="462"/>
          <w:jc w:val="center"/>
        </w:trPr>
        <w:tc>
          <w:tcPr>
            <w:tcW w:w="3806"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D&lt;7</w:t>
            </w:r>
            <w:r w:rsidRPr="00D3689E">
              <w:rPr>
                <w:rFonts w:asciiTheme="minorEastAsia" w:eastAsiaTheme="minorEastAsia" w:hAnsiTheme="minorEastAsia" w:hint="eastAsia"/>
                <w:color w:val="000000" w:themeColor="text1"/>
                <w:kern w:val="0"/>
                <w:szCs w:val="21"/>
              </w:rPr>
              <w:t>天</w:t>
            </w:r>
          </w:p>
        </w:tc>
        <w:tc>
          <w:tcPr>
            <w:tcW w:w="4031"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1.5%</w:t>
            </w:r>
          </w:p>
        </w:tc>
      </w:tr>
      <w:tr w:rsidTr="0063405D">
        <w:tblPrEx>
          <w:tblW w:w="0" w:type="auto"/>
          <w:jc w:val="center"/>
          <w:tblLayout w:type="fixed"/>
          <w:tblLook w:val="01E0"/>
        </w:tblPrEx>
        <w:trPr>
          <w:trHeight w:val="474"/>
          <w:jc w:val="center"/>
        </w:trPr>
        <w:tc>
          <w:tcPr>
            <w:tcW w:w="3806"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w:t>
            </w:r>
          </w:p>
        </w:tc>
        <w:tc>
          <w:tcPr>
            <w:tcW w:w="4031"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0.75%</w:t>
            </w:r>
          </w:p>
        </w:tc>
      </w:tr>
      <w:tr w:rsidTr="0063405D">
        <w:tblPrEx>
          <w:tblW w:w="0" w:type="auto"/>
          <w:jc w:val="center"/>
          <w:tblLayout w:type="fixed"/>
          <w:tblLook w:val="01E0"/>
        </w:tblPrEx>
        <w:trPr>
          <w:trHeight w:val="462"/>
          <w:jc w:val="center"/>
        </w:trPr>
        <w:tc>
          <w:tcPr>
            <w:tcW w:w="3806"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90天</w:t>
            </w:r>
          </w:p>
        </w:tc>
        <w:tc>
          <w:tcPr>
            <w:tcW w:w="4031"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0.5%</w:t>
            </w:r>
          </w:p>
        </w:tc>
      </w:tr>
      <w:tr w:rsidTr="0063405D">
        <w:tblPrEx>
          <w:tblW w:w="0" w:type="auto"/>
          <w:jc w:val="center"/>
          <w:tblLayout w:type="fixed"/>
          <w:tblLook w:val="01E0"/>
        </w:tblPrEx>
        <w:trPr>
          <w:trHeight w:val="462"/>
          <w:jc w:val="center"/>
        </w:trPr>
        <w:tc>
          <w:tcPr>
            <w:tcW w:w="3806"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180天</w:t>
            </w:r>
          </w:p>
        </w:tc>
        <w:tc>
          <w:tcPr>
            <w:tcW w:w="4031"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0.5%</w:t>
            </w:r>
          </w:p>
        </w:tc>
      </w:tr>
      <w:tr w:rsidTr="0063405D">
        <w:tblPrEx>
          <w:tblW w:w="0" w:type="auto"/>
          <w:jc w:val="center"/>
          <w:tblLayout w:type="fixed"/>
          <w:tblLook w:val="01E0"/>
        </w:tblPrEx>
        <w:trPr>
          <w:trHeight w:val="474"/>
          <w:jc w:val="center"/>
        </w:trPr>
        <w:tc>
          <w:tcPr>
            <w:tcW w:w="3806"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180</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p>
        </w:tc>
        <w:tc>
          <w:tcPr>
            <w:tcW w:w="4031"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w:t>
            </w:r>
          </w:p>
        </w:tc>
      </w:tr>
    </w:tbl>
    <w:p w:rsidR="004142B1" w:rsidRPr="00D3689E" w:rsidP="004142B1">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投资者可将其持有的全部或部分</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类人民币份额或</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hint="eastAsia"/>
          <w:color w:val="000000" w:themeColor="text1"/>
          <w:szCs w:val="21"/>
        </w:rPr>
        <w:t>赎回。赎回费用由赎回基金份额的基金份额持有人承担，在基金份额持有人赎回基金份额时收取。对持有期少于</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天（不含）的</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类人民币份额或</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hint="eastAsia"/>
          <w:color w:val="000000" w:themeColor="text1"/>
          <w:szCs w:val="21"/>
        </w:rPr>
        <w:t>持有人所收取赎回费用全额计入基金财</w:t>
      </w:r>
      <w:r w:rsidRPr="00D3689E">
        <w:rPr>
          <w:rFonts w:asciiTheme="minorEastAsia" w:eastAsiaTheme="minorEastAsia" w:hAnsiTheme="minorEastAsia" w:hint="eastAsia"/>
          <w:color w:val="000000" w:themeColor="text1"/>
          <w:szCs w:val="21"/>
        </w:rPr>
        <w:t>产；对持有期在</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天以上（含）且少于</w:t>
      </w: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天（不含）的</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类人民币份额或</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hint="eastAsia"/>
          <w:color w:val="000000" w:themeColor="text1"/>
          <w:szCs w:val="21"/>
        </w:rPr>
        <w:t>持有人所收取赎回费用总额的</w:t>
      </w:r>
      <w:r w:rsidRPr="00D3689E">
        <w:rPr>
          <w:rFonts w:asciiTheme="minorEastAsia" w:eastAsiaTheme="minorEastAsia" w:hAnsiTheme="minorEastAsia"/>
          <w:color w:val="000000" w:themeColor="text1"/>
          <w:szCs w:val="21"/>
        </w:rPr>
        <w:t>75%计入</w:t>
      </w:r>
      <w:r w:rsidRPr="00D3689E">
        <w:rPr>
          <w:rFonts w:asciiTheme="minorEastAsia" w:eastAsiaTheme="minorEastAsia" w:hAnsiTheme="minorEastAsia" w:hint="eastAsia"/>
          <w:color w:val="000000" w:themeColor="text1"/>
          <w:szCs w:val="21"/>
        </w:rPr>
        <w:t>基金财产；对持有期在</w:t>
      </w:r>
      <w:r w:rsidRPr="00D3689E">
        <w:rPr>
          <w:rFonts w:asciiTheme="minorEastAsia" w:eastAsiaTheme="minorEastAsia" w:hAnsiTheme="minorEastAsia"/>
          <w:color w:val="000000" w:themeColor="text1"/>
          <w:szCs w:val="21"/>
        </w:rPr>
        <w:t>90</w:t>
      </w:r>
      <w:r w:rsidRPr="00D3689E">
        <w:rPr>
          <w:rFonts w:asciiTheme="minorEastAsia" w:eastAsiaTheme="minorEastAsia" w:hAnsiTheme="minorEastAsia" w:hint="eastAsia"/>
          <w:color w:val="000000" w:themeColor="text1"/>
          <w:szCs w:val="21"/>
        </w:rPr>
        <w:t>天以上（含）且少于</w:t>
      </w:r>
      <w:r w:rsidRPr="00D3689E">
        <w:rPr>
          <w:rFonts w:asciiTheme="minorEastAsia" w:eastAsiaTheme="minorEastAsia" w:hAnsiTheme="minorEastAsia"/>
          <w:color w:val="000000" w:themeColor="text1"/>
          <w:szCs w:val="21"/>
        </w:rPr>
        <w:t>180</w:t>
      </w:r>
      <w:r w:rsidRPr="00D3689E">
        <w:rPr>
          <w:rFonts w:asciiTheme="minorEastAsia" w:eastAsiaTheme="minorEastAsia" w:hAnsiTheme="minorEastAsia" w:hint="eastAsia"/>
          <w:color w:val="000000" w:themeColor="text1"/>
          <w:szCs w:val="21"/>
        </w:rPr>
        <w:t>天（不含）的</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类人民币份额或</w:t>
      </w:r>
      <w:r w:rsidRPr="00D3689E">
        <w:rPr>
          <w:rFonts w:asciiTheme="minorEastAsia" w:eastAsiaTheme="minorEastAsia" w:hAnsiTheme="minorEastAsia"/>
          <w:color w:val="000000" w:themeColor="text1"/>
        </w:rPr>
        <w:t>A</w:t>
      </w:r>
      <w:r w:rsidRPr="00D3689E">
        <w:rPr>
          <w:rFonts w:asciiTheme="minorEastAsia" w:eastAsiaTheme="minorEastAsia" w:hAnsiTheme="minorEastAsia" w:hint="eastAsia"/>
          <w:color w:val="000000" w:themeColor="text1"/>
        </w:rPr>
        <w:t>类美元份额</w:t>
      </w:r>
      <w:r w:rsidRPr="00D3689E">
        <w:rPr>
          <w:rFonts w:asciiTheme="minorEastAsia" w:eastAsiaTheme="minorEastAsia" w:hAnsiTheme="minorEastAsia" w:hint="eastAsia"/>
          <w:color w:val="000000" w:themeColor="text1"/>
          <w:szCs w:val="21"/>
        </w:rPr>
        <w:t>持有人所收取赎回费用总额</w:t>
      </w:r>
      <w:r w:rsidRPr="00D3689E">
        <w:rPr>
          <w:rFonts w:asciiTheme="minorEastAsia" w:eastAsiaTheme="minorEastAsia" w:hAnsiTheme="minorEastAsia"/>
          <w:color w:val="000000" w:themeColor="text1"/>
          <w:szCs w:val="21"/>
        </w:rPr>
        <w:t>的50%计入</w:t>
      </w:r>
      <w:r w:rsidRPr="00D3689E">
        <w:rPr>
          <w:rFonts w:asciiTheme="minorEastAsia" w:eastAsiaTheme="minorEastAsia" w:hAnsiTheme="minorEastAsia" w:hint="eastAsia"/>
          <w:color w:val="000000" w:themeColor="text1"/>
          <w:szCs w:val="21"/>
        </w:rPr>
        <w:t>基金财产；其余用于支付市场推广、注册登记费和其他手续费。</w:t>
      </w:r>
    </w:p>
    <w:p w:rsidR="004142B1" w:rsidRPr="00D3689E" w:rsidP="004142B1">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2）本基金C类人民币份额、C类美元份额</w:t>
      </w:r>
      <w:r w:rsidRPr="00D3689E">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D11E5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D3689E">
              <w:rPr>
                <w:rFonts w:asciiTheme="minorEastAsia" w:eastAsiaTheme="minorEastAsia" w:hAnsiTheme="minorEastAsia" w:cs="宋体" w:hint="eastAsia"/>
                <w:color w:val="000000" w:themeColor="text1"/>
                <w:kern w:val="0"/>
                <w:szCs w:val="21"/>
              </w:rPr>
              <w:t>申请</w:t>
            </w:r>
            <w:r w:rsidRPr="00D3689E">
              <w:rPr>
                <w:rFonts w:asciiTheme="minorEastAsia" w:eastAsiaTheme="minorEastAsia" w:hAnsiTheme="minorEastAsia" w:cs="宋体"/>
                <w:color w:val="000000" w:themeColor="text1"/>
                <w:kern w:val="0"/>
                <w:szCs w:val="21"/>
              </w:rPr>
              <w:t>份额</w:t>
            </w:r>
            <w:r w:rsidRPr="00D3689E">
              <w:rPr>
                <w:rFonts w:asciiTheme="minorEastAsia" w:eastAsiaTheme="minorEastAsia" w:hAnsiTheme="minorEastAsia" w:cs="宋体" w:hint="eastAsia"/>
                <w:color w:val="000000" w:themeColor="text1"/>
                <w:kern w:val="0"/>
                <w:szCs w:val="21"/>
              </w:rPr>
              <w:t>持有时间</w:t>
            </w:r>
            <w:r w:rsidRPr="00D3689E">
              <w:rPr>
                <w:rFonts w:asciiTheme="minorEastAsia" w:eastAsiaTheme="minorEastAsia" w:hAnsiTheme="minorEastAsia" w:cs="宋体"/>
                <w:color w:val="000000" w:themeColor="text1"/>
                <w:kern w:val="0"/>
                <w:szCs w:val="21"/>
              </w:rPr>
              <w:t>(D)</w:t>
            </w:r>
          </w:p>
        </w:tc>
        <w:tc>
          <w:tcPr>
            <w:tcW w:w="3798"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D3689E">
              <w:rPr>
                <w:rFonts w:asciiTheme="minorEastAsia" w:eastAsiaTheme="minorEastAsia" w:hAnsiTheme="minorEastAsia"/>
                <w:color w:val="000000" w:themeColor="text1"/>
                <w:szCs w:val="21"/>
              </w:rPr>
              <w:t>C类人民币份额、C类美元份额</w:t>
            </w:r>
            <w:r w:rsidRPr="00D3689E">
              <w:rPr>
                <w:rFonts w:asciiTheme="minorEastAsia" w:eastAsiaTheme="minorEastAsia" w:hAnsiTheme="minorEastAsia" w:cs="宋体" w:hint="eastAsia"/>
                <w:color w:val="000000" w:themeColor="text1"/>
                <w:kern w:val="0"/>
                <w:szCs w:val="21"/>
              </w:rPr>
              <w:t>赎回费率</w:t>
            </w:r>
          </w:p>
        </w:tc>
      </w:tr>
      <w:tr w:rsidTr="00D11E5A">
        <w:tblPrEx>
          <w:tblW w:w="0" w:type="auto"/>
          <w:jc w:val="center"/>
          <w:tblLayout w:type="fixed"/>
          <w:tblLook w:val="01E0"/>
        </w:tblPrEx>
        <w:trPr>
          <w:jc w:val="center"/>
        </w:trPr>
        <w:tc>
          <w:tcPr>
            <w:tcW w:w="3870"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D3689E">
              <w:rPr>
                <w:rFonts w:asciiTheme="minorEastAsia" w:eastAsiaTheme="minorEastAsia" w:hAnsiTheme="minorEastAsia"/>
                <w:color w:val="000000" w:themeColor="text1"/>
                <w:kern w:val="0"/>
                <w:szCs w:val="21"/>
              </w:rPr>
              <w:t>D&lt;7</w:t>
            </w:r>
            <w:r w:rsidRPr="00D3689E">
              <w:rPr>
                <w:rFonts w:asciiTheme="minorEastAsia" w:eastAsiaTheme="minorEastAsia" w:hAnsiTheme="minorEastAsia" w:hint="eastAsia"/>
                <w:color w:val="000000" w:themeColor="text1"/>
                <w:kern w:val="0"/>
                <w:szCs w:val="21"/>
              </w:rPr>
              <w:t>天</w:t>
            </w:r>
          </w:p>
        </w:tc>
        <w:tc>
          <w:tcPr>
            <w:tcW w:w="3798" w:type="dxa"/>
          </w:tcPr>
          <w:p w:rsidR="004142B1" w:rsidRPr="00D3689E" w:rsidP="00D11E5A">
            <w:pPr>
              <w:widowControl/>
              <w:spacing w:before="100" w:beforeAutospacing="1" w:after="100" w:afterAutospacing="1" w:line="360" w:lineRule="auto"/>
              <w:jc w:val="center"/>
              <w:rPr>
                <w:rFonts w:asciiTheme="minorEastAsia" w:eastAsiaTheme="minorEastAsia" w:hAnsiTheme="minorEastAsia" w:cs="宋体"/>
                <w:color w:val="000000" w:themeColor="text1"/>
                <w:kern w:val="0"/>
                <w:szCs w:val="21"/>
              </w:rPr>
            </w:pPr>
            <w:r w:rsidRPr="00D3689E">
              <w:rPr>
                <w:rFonts w:asciiTheme="minorEastAsia" w:eastAsiaTheme="minorEastAsia" w:hAnsiTheme="minorEastAsia"/>
                <w:color w:val="000000" w:themeColor="text1"/>
                <w:kern w:val="0"/>
                <w:szCs w:val="21"/>
              </w:rPr>
              <w:t>1.5%</w:t>
            </w:r>
          </w:p>
        </w:tc>
      </w:tr>
      <w:tr w:rsidTr="00D11E5A">
        <w:tblPrEx>
          <w:tblW w:w="0" w:type="auto"/>
          <w:jc w:val="center"/>
          <w:tblLayout w:type="fixed"/>
          <w:tblLook w:val="01E0"/>
        </w:tblPrEx>
        <w:trPr>
          <w:jc w:val="center"/>
        </w:trPr>
        <w:tc>
          <w:tcPr>
            <w:tcW w:w="3870"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w:t>
            </w:r>
          </w:p>
        </w:tc>
        <w:tc>
          <w:tcPr>
            <w:tcW w:w="3798"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0.5%</w:t>
            </w:r>
          </w:p>
        </w:tc>
      </w:tr>
      <w:tr w:rsidTr="00D11E5A">
        <w:tblPrEx>
          <w:tblW w:w="0" w:type="auto"/>
          <w:jc w:val="center"/>
          <w:tblLayout w:type="fixed"/>
          <w:tblLook w:val="01E0"/>
        </w:tblPrEx>
        <w:trPr>
          <w:jc w:val="center"/>
        </w:trPr>
        <w:tc>
          <w:tcPr>
            <w:tcW w:w="3870"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w:t>
            </w:r>
            <w:r w:rsidRPr="00D3689E">
              <w:rPr>
                <w:rFonts w:asciiTheme="minorEastAsia" w:eastAsiaTheme="minorEastAsia" w:hAnsiTheme="minorEastAsia"/>
                <w:color w:val="000000" w:themeColor="text1"/>
                <w:szCs w:val="21"/>
              </w:rPr>
              <w:t>D</w:t>
            </w:r>
          </w:p>
        </w:tc>
        <w:tc>
          <w:tcPr>
            <w:tcW w:w="3798" w:type="dxa"/>
          </w:tcPr>
          <w:p w:rsidR="004142B1" w:rsidRPr="00D3689E" w:rsidP="00D11E5A">
            <w:pPr>
              <w:widowControl/>
              <w:spacing w:line="360" w:lineRule="auto"/>
              <w:jc w:val="center"/>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0%</w:t>
            </w:r>
          </w:p>
        </w:tc>
      </w:tr>
    </w:tbl>
    <w:p w:rsidR="004142B1" w:rsidRPr="00D3689E" w:rsidP="00A26649">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投资者可将其持有的全部或部分</w:t>
      </w:r>
      <w:r w:rsidRPr="00D3689E">
        <w:rPr>
          <w:rFonts w:asciiTheme="minorEastAsia" w:eastAsiaTheme="minorEastAsia" w:hAnsiTheme="minorEastAsia"/>
          <w:color w:val="000000" w:themeColor="text1"/>
          <w:szCs w:val="21"/>
        </w:rPr>
        <w:t>C类人民币份额</w:t>
      </w:r>
      <w:r w:rsidRPr="00D3689E">
        <w:rPr>
          <w:rFonts w:asciiTheme="minorEastAsia" w:eastAsiaTheme="minorEastAsia" w:hAnsiTheme="minorEastAsia" w:hint="eastAsia"/>
          <w:color w:val="000000" w:themeColor="text1"/>
          <w:szCs w:val="21"/>
        </w:rPr>
        <w:t>或</w:t>
      </w:r>
      <w:r w:rsidRPr="00D3689E">
        <w:rPr>
          <w:rFonts w:asciiTheme="minorEastAsia" w:eastAsiaTheme="minorEastAsia" w:hAnsiTheme="minorEastAsia"/>
          <w:color w:val="000000" w:themeColor="text1"/>
          <w:szCs w:val="21"/>
        </w:rPr>
        <w:t>C类美元份额</w:t>
      </w:r>
      <w:r w:rsidRPr="00D3689E">
        <w:rPr>
          <w:rFonts w:asciiTheme="minorEastAsia" w:eastAsiaTheme="minorEastAsia" w:hAnsiTheme="minorEastAsia" w:hint="eastAsia"/>
          <w:color w:val="000000" w:themeColor="text1"/>
          <w:szCs w:val="21"/>
        </w:rPr>
        <w:t>赎回。赎回费用由赎回基金份额的基金份额持有人承担，在基金份额持有人赎回基金份额时收取。对持有期少于</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天（不含）的</w:t>
      </w:r>
      <w:r w:rsidRPr="00D3689E">
        <w:rPr>
          <w:rFonts w:asciiTheme="minorEastAsia" w:eastAsiaTheme="minorEastAsia" w:hAnsiTheme="minorEastAsia"/>
          <w:color w:val="000000" w:themeColor="text1"/>
          <w:szCs w:val="21"/>
        </w:rPr>
        <w:t>C类人民币份额</w:t>
      </w:r>
      <w:r w:rsidRPr="00D3689E">
        <w:rPr>
          <w:rFonts w:asciiTheme="minorEastAsia" w:eastAsiaTheme="minorEastAsia" w:hAnsiTheme="minorEastAsia" w:hint="eastAsia"/>
          <w:color w:val="000000" w:themeColor="text1"/>
          <w:szCs w:val="21"/>
        </w:rPr>
        <w:t>或</w:t>
      </w:r>
      <w:r w:rsidRPr="00D3689E">
        <w:rPr>
          <w:rFonts w:asciiTheme="minorEastAsia" w:eastAsiaTheme="minorEastAsia" w:hAnsiTheme="minorEastAsia"/>
          <w:color w:val="000000" w:themeColor="text1"/>
          <w:szCs w:val="21"/>
        </w:rPr>
        <w:t>C类美元份额</w:t>
      </w:r>
      <w:r w:rsidRPr="00D3689E">
        <w:rPr>
          <w:rFonts w:asciiTheme="minorEastAsia" w:eastAsiaTheme="minorEastAsia" w:hAnsiTheme="minorEastAsia" w:hint="eastAsia"/>
          <w:color w:val="000000" w:themeColor="text1"/>
          <w:szCs w:val="21"/>
        </w:rPr>
        <w:t>持有人所收取赎回费用全额计入基金财产。</w:t>
      </w:r>
    </w:p>
    <w:p w:rsidR="0064594E" w:rsidRPr="00D3689E" w:rsidP="00341919">
      <w:pPr>
        <w:pStyle w:val="BodyText"/>
        <w:snapToGrid w:val="0"/>
        <w:spacing w:after="0"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、基金管理人可以在基金合同规定的范围内调整申购费率和赎回费率，调整后的申购费率和赎回费率在更新的招募说明书中列示。上述费率如发生变更，基金管理人还应于新的费率实施前</w:t>
      </w:r>
      <w:r w:rsidRPr="00D3689E" w:rsidR="00C248D4">
        <w:rPr>
          <w:rFonts w:asciiTheme="minorEastAsia" w:eastAsiaTheme="minorEastAsia" w:hAnsiTheme="minorEastAsia" w:hint="eastAsia"/>
          <w:color w:val="000000" w:themeColor="text1"/>
          <w:szCs w:val="21"/>
        </w:rPr>
        <w:t>依照《信息披露办法》的有关规定在指定</w:t>
      </w:r>
      <w:r w:rsidRPr="00D3689E" w:rsidR="006A4F60">
        <w:rPr>
          <w:rFonts w:asciiTheme="minorEastAsia" w:eastAsiaTheme="minorEastAsia" w:hAnsiTheme="minorEastAsia" w:hint="eastAsia"/>
          <w:color w:val="000000" w:themeColor="text1"/>
          <w:szCs w:val="21"/>
        </w:rPr>
        <w:t>媒介</w:t>
      </w:r>
      <w:r w:rsidRPr="00D3689E" w:rsidR="00C248D4">
        <w:rPr>
          <w:rFonts w:asciiTheme="minorEastAsia" w:eastAsiaTheme="minorEastAsia" w:hAnsiTheme="minorEastAsia" w:hint="eastAsia"/>
          <w:color w:val="000000" w:themeColor="text1"/>
          <w:szCs w:val="21"/>
        </w:rPr>
        <w:t>上公告。</w:t>
      </w:r>
    </w:p>
    <w:p w:rsidR="00341919"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、对特定交易方式（如网上交易、电话交易</w:t>
      </w:r>
      <w:r w:rsidRPr="00D3689E" w:rsidR="00CF2D5C">
        <w:rPr>
          <w:rFonts w:asciiTheme="minorEastAsia" w:eastAsiaTheme="minorEastAsia" w:hAnsiTheme="minorEastAsia" w:hint="eastAsia"/>
          <w:color w:val="000000" w:themeColor="text1"/>
          <w:szCs w:val="21"/>
        </w:rPr>
        <w:t>、手机交易</w:t>
      </w:r>
      <w:r w:rsidRPr="00D3689E">
        <w:rPr>
          <w:rFonts w:asciiTheme="minorEastAsia" w:eastAsiaTheme="minorEastAsia" w:hAnsiTheme="minorEastAsia" w:hint="eastAsia"/>
          <w:color w:val="000000" w:themeColor="text1"/>
          <w:szCs w:val="21"/>
        </w:rPr>
        <w:t>等），基金管理人可以采用低于柜台交易方式的基金申购费率和基金赎回费率。</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sidR="00500862">
        <w:rPr>
          <w:rFonts w:asciiTheme="minorEastAsia" w:eastAsiaTheme="minorEastAsia" w:hAnsiTheme="minorEastAsia"/>
          <w:color w:val="000000" w:themeColor="text1"/>
          <w:szCs w:val="21"/>
        </w:rPr>
        <w:t>、</w:t>
      </w:r>
      <w:r w:rsidRPr="00D3689E">
        <w:rPr>
          <w:rFonts w:asciiTheme="minorEastAsia" w:eastAsiaTheme="minorEastAsia" w:hAnsiTheme="minorEastAsia"/>
          <w:color w:val="000000" w:themeColor="text1"/>
          <w:szCs w:val="21"/>
        </w:rPr>
        <w:t>基金管理人可以在不违背法律法规规定及《基金合同》约定的情形下根据市场情况制定基金促销计划</w:t>
      </w:r>
      <w:r w:rsidRPr="00D3689E" w:rsidR="00CE2EFA">
        <w:rPr>
          <w:rFonts w:asciiTheme="minorEastAsia" w:eastAsiaTheme="minorEastAsia" w:hAnsiTheme="minorEastAsia" w:hint="eastAsia"/>
          <w:color w:val="000000" w:themeColor="text1"/>
          <w:szCs w:val="21"/>
        </w:rPr>
        <w:t>，针对基金投资者定期和不定期地开展基金促销活动。在基金促销活动期间，</w:t>
      </w:r>
      <w:r w:rsidRPr="00D3689E" w:rsidR="00F0430E">
        <w:rPr>
          <w:rFonts w:asciiTheme="minorEastAsia" w:eastAsiaTheme="minorEastAsia" w:hAnsiTheme="minorEastAsia" w:hint="eastAsia"/>
          <w:color w:val="000000" w:themeColor="text1"/>
          <w:szCs w:val="21"/>
        </w:rPr>
        <w:t>对存量份额持有人利益无实质性不利影响下，</w:t>
      </w:r>
      <w:r w:rsidRPr="00D3689E" w:rsidR="00CE2EFA">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八、</w:t>
      </w:r>
      <w:r w:rsidRPr="00D3689E">
        <w:rPr>
          <w:rFonts w:asciiTheme="minorEastAsia" w:eastAsiaTheme="minorEastAsia" w:hAnsiTheme="minorEastAsia"/>
          <w:color w:val="000000" w:themeColor="text1"/>
          <w:szCs w:val="21"/>
        </w:rPr>
        <w:t>申购份额</w:t>
      </w:r>
      <w:r w:rsidRPr="00D3689E" w:rsidR="00C148F8">
        <w:rPr>
          <w:rFonts w:asciiTheme="minorEastAsia" w:eastAsiaTheme="minorEastAsia" w:hAnsiTheme="minorEastAsia"/>
          <w:color w:val="000000" w:themeColor="text1"/>
          <w:szCs w:val="21"/>
        </w:rPr>
        <w:t>与</w:t>
      </w:r>
      <w:r w:rsidRPr="00D3689E">
        <w:rPr>
          <w:rFonts w:asciiTheme="minorEastAsia" w:eastAsiaTheme="minorEastAsia" w:hAnsiTheme="minorEastAsia"/>
          <w:color w:val="000000" w:themeColor="text1"/>
          <w:szCs w:val="21"/>
        </w:rPr>
        <w:t>赎回金额的计算</w:t>
      </w:r>
    </w:p>
    <w:p w:rsidR="00391D11"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1、申购份额的计算</w:t>
      </w:r>
    </w:p>
    <w:p w:rsidR="0076638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本基金的申购金额包括申购费用和净申购金额，其中：</w:t>
      </w:r>
    </w:p>
    <w:p w:rsidR="0076638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净申购金额</w:t>
      </w:r>
      <w:r w:rsidRPr="00D3689E">
        <w:rPr>
          <w:rFonts w:asciiTheme="minorEastAsia" w:eastAsiaTheme="minorEastAsia" w:hAnsiTheme="minorEastAsia"/>
          <w:color w:val="000000" w:themeColor="text1"/>
          <w:szCs w:val="21"/>
        </w:rPr>
        <w:t>=申购金额/（1+申购费率）</w:t>
      </w:r>
    </w:p>
    <w:p w:rsidR="0076638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申购费用</w:t>
      </w:r>
      <w:r w:rsidRPr="00D3689E">
        <w:rPr>
          <w:rFonts w:asciiTheme="minorEastAsia" w:eastAsiaTheme="minorEastAsia" w:hAnsiTheme="minorEastAsia"/>
          <w:color w:val="000000" w:themeColor="text1"/>
          <w:szCs w:val="21"/>
        </w:rPr>
        <w:t>=申购金额-净申购金额</w:t>
      </w:r>
    </w:p>
    <w:p w:rsidR="0076638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申购份数</w:t>
      </w:r>
      <w:r w:rsidRPr="00D3689E">
        <w:rPr>
          <w:rFonts w:asciiTheme="minorEastAsia" w:eastAsiaTheme="minorEastAsia" w:hAnsiTheme="minorEastAsia"/>
          <w:color w:val="000000" w:themeColor="text1"/>
          <w:szCs w:val="21"/>
        </w:rPr>
        <w:t>=净申购金额/T日基金份额净值</w:t>
      </w:r>
    </w:p>
    <w:p w:rsidR="002E6A0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对于</w:t>
      </w:r>
      <w:r w:rsidRPr="00D3689E">
        <w:rPr>
          <w:rFonts w:asciiTheme="minorEastAsia" w:eastAsiaTheme="minorEastAsia" w:hAnsiTheme="minorEastAsia"/>
          <w:color w:val="000000" w:themeColor="text1"/>
          <w:szCs w:val="21"/>
        </w:rPr>
        <w:t>500万元人民币（含）以上或100万美元（含）以上的申购，净申购金额=申购金额-固定申购费金额</w:t>
      </w:r>
    </w:p>
    <w:p w:rsidR="00920E3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举例说明</w:t>
      </w:r>
      <w:r w:rsidRPr="00D3689E" w:rsidR="00391D11">
        <w:rPr>
          <w:rFonts w:asciiTheme="minorEastAsia" w:eastAsiaTheme="minorEastAsia" w:hAnsiTheme="minorEastAsia"/>
          <w:color w:val="000000" w:themeColor="text1"/>
          <w:szCs w:val="21"/>
        </w:rPr>
        <w:t>：</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例</w:t>
      </w:r>
      <w:r w:rsidRPr="00D3689E" w:rsidR="00B644DD">
        <w:rPr>
          <w:rFonts w:asciiTheme="minorEastAsia" w:eastAsiaTheme="minorEastAsia" w:hAnsiTheme="minorEastAsia" w:hint="eastAsia"/>
          <w:color w:val="000000" w:themeColor="text1"/>
          <w:szCs w:val="21"/>
        </w:rPr>
        <w:t>一</w:t>
      </w:r>
      <w:r w:rsidRPr="00D3689E">
        <w:rPr>
          <w:rFonts w:asciiTheme="minorEastAsia" w:eastAsiaTheme="minorEastAsia" w:hAnsiTheme="minorEastAsia" w:hint="eastAsia"/>
          <w:color w:val="000000" w:themeColor="text1"/>
          <w:szCs w:val="21"/>
        </w:rPr>
        <w:t>：</w:t>
      </w:r>
      <w:r w:rsidRPr="00D3689E" w:rsidR="0027589F">
        <w:rPr>
          <w:rFonts w:asciiTheme="minorEastAsia" w:eastAsiaTheme="minorEastAsia" w:hAnsiTheme="minorEastAsia"/>
          <w:color w:val="000000" w:themeColor="text1"/>
          <w:szCs w:val="21"/>
        </w:rPr>
        <w:t>某投资</w:t>
      </w:r>
      <w:r w:rsidRPr="00D3689E" w:rsidR="0027589F">
        <w:rPr>
          <w:rFonts w:asciiTheme="minorEastAsia" w:eastAsiaTheme="minorEastAsia" w:hAnsiTheme="minorEastAsia" w:hint="eastAsia"/>
          <w:color w:val="000000" w:themeColor="text1"/>
          <w:szCs w:val="21"/>
        </w:rPr>
        <w:t>者</w:t>
      </w:r>
      <w:r w:rsidRPr="00D3689E" w:rsidR="00441E70">
        <w:rPr>
          <w:rFonts w:asciiTheme="minorEastAsia" w:eastAsiaTheme="minorEastAsia" w:hAnsiTheme="minorEastAsia" w:hint="eastAsia"/>
          <w:color w:val="000000" w:themeColor="text1"/>
          <w:szCs w:val="21"/>
        </w:rPr>
        <w:t>（非特定投资群体）</w:t>
      </w:r>
      <w:r w:rsidRPr="00D3689E" w:rsidR="0027589F">
        <w:rPr>
          <w:rFonts w:asciiTheme="minorEastAsia" w:eastAsiaTheme="minorEastAsia" w:hAnsiTheme="minorEastAsia"/>
          <w:color w:val="000000" w:themeColor="text1"/>
          <w:szCs w:val="21"/>
        </w:rPr>
        <w:t>投资</w:t>
      </w:r>
      <w:r w:rsidRPr="00D3689E">
        <w:rPr>
          <w:rFonts w:asciiTheme="minorEastAsia" w:eastAsiaTheme="minorEastAsia" w:hAnsiTheme="minorEastAsia"/>
          <w:color w:val="000000" w:themeColor="text1"/>
          <w:szCs w:val="21"/>
        </w:rPr>
        <w:t>4万元</w:t>
      </w:r>
      <w:r w:rsidRPr="00D3689E" w:rsidR="002E6A07">
        <w:rPr>
          <w:rFonts w:asciiTheme="minorEastAsia" w:eastAsiaTheme="minorEastAsia" w:hAnsiTheme="minorEastAsia" w:hint="eastAsia"/>
          <w:color w:val="000000" w:themeColor="text1"/>
          <w:szCs w:val="21"/>
        </w:rPr>
        <w:t>人民币</w:t>
      </w:r>
      <w:r w:rsidRPr="00D3689E">
        <w:rPr>
          <w:rFonts w:asciiTheme="minorEastAsia" w:eastAsiaTheme="minorEastAsia" w:hAnsiTheme="minorEastAsia"/>
          <w:color w:val="000000" w:themeColor="text1"/>
          <w:szCs w:val="21"/>
        </w:rPr>
        <w:t>申购本基金</w:t>
      </w:r>
      <w:r w:rsidRPr="00D3689E" w:rsidR="004142B1">
        <w:rPr>
          <w:rFonts w:asciiTheme="minorEastAsia" w:eastAsiaTheme="minorEastAsia" w:hAnsiTheme="minorEastAsia"/>
          <w:color w:val="000000" w:themeColor="text1"/>
          <w:szCs w:val="21"/>
        </w:rPr>
        <w:t>A类人民币份额</w:t>
      </w:r>
      <w:r w:rsidRPr="00D3689E">
        <w:rPr>
          <w:rFonts w:asciiTheme="minorEastAsia" w:eastAsiaTheme="minorEastAsia" w:hAnsiTheme="minorEastAsia"/>
          <w:color w:val="000000" w:themeColor="text1"/>
          <w:szCs w:val="21"/>
        </w:rPr>
        <w:t>，申购费率为1.2%，假设申购</w:t>
      </w:r>
      <w:r w:rsidRPr="00D3689E" w:rsidR="00C0793C">
        <w:rPr>
          <w:rFonts w:asciiTheme="minorEastAsia" w:eastAsiaTheme="minorEastAsia" w:hAnsiTheme="minorEastAsia"/>
          <w:color w:val="000000" w:themeColor="text1"/>
          <w:szCs w:val="21"/>
        </w:rPr>
        <w:t>当日</w:t>
      </w:r>
      <w:r w:rsidRPr="00D3689E" w:rsidR="004142B1">
        <w:rPr>
          <w:rFonts w:asciiTheme="minorEastAsia" w:eastAsiaTheme="minorEastAsia" w:hAnsiTheme="minorEastAsia"/>
          <w:color w:val="000000" w:themeColor="text1"/>
          <w:szCs w:val="21"/>
        </w:rPr>
        <w:t>A类人民币份额</w:t>
      </w:r>
      <w:r w:rsidRPr="00D3689E">
        <w:rPr>
          <w:rFonts w:asciiTheme="minorEastAsia" w:eastAsiaTheme="minorEastAsia" w:hAnsiTheme="minorEastAsia"/>
          <w:color w:val="000000" w:themeColor="text1"/>
          <w:szCs w:val="21"/>
        </w:rPr>
        <w:t>净值为1.040</w:t>
      </w:r>
      <w:r w:rsidRPr="00D3689E" w:rsidR="00DD2DCD">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元</w:t>
      </w:r>
      <w:r w:rsidRPr="00D3689E" w:rsidR="002E6A07">
        <w:rPr>
          <w:rFonts w:asciiTheme="minorEastAsia" w:eastAsiaTheme="minorEastAsia" w:hAnsiTheme="minorEastAsia" w:hint="eastAsia"/>
          <w:color w:val="000000" w:themeColor="text1"/>
          <w:szCs w:val="21"/>
        </w:rPr>
        <w:t>人民币</w:t>
      </w:r>
      <w:r w:rsidRPr="00D3689E">
        <w:rPr>
          <w:rFonts w:asciiTheme="minorEastAsia" w:eastAsiaTheme="minorEastAsia" w:hAnsiTheme="minorEastAsia"/>
          <w:color w:val="000000" w:themeColor="text1"/>
          <w:szCs w:val="21"/>
        </w:rPr>
        <w:t>，则其可得到的</w:t>
      </w:r>
      <w:r w:rsidRPr="00D3689E" w:rsidR="004142B1">
        <w:rPr>
          <w:rFonts w:asciiTheme="minorEastAsia" w:eastAsiaTheme="minorEastAsia" w:hAnsiTheme="minorEastAsia"/>
          <w:color w:val="000000" w:themeColor="text1"/>
          <w:szCs w:val="21"/>
        </w:rPr>
        <w:t>A类人民币份额</w:t>
      </w:r>
      <w:r w:rsidRPr="00D3689E">
        <w:rPr>
          <w:rFonts w:asciiTheme="minorEastAsia" w:eastAsiaTheme="minorEastAsia" w:hAnsiTheme="minorEastAsia"/>
          <w:color w:val="000000" w:themeColor="text1"/>
          <w:szCs w:val="21"/>
        </w:rPr>
        <w:t>为：</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净申购金额=40,000/（1+1.2%）=39,525.69元</w:t>
      </w:r>
      <w:r w:rsidRPr="00D3689E" w:rsidR="002E6A07">
        <w:rPr>
          <w:rFonts w:asciiTheme="minorEastAsia" w:eastAsiaTheme="minorEastAsia" w:hAnsiTheme="minorEastAsia" w:hint="eastAsia"/>
          <w:color w:val="000000" w:themeColor="text1"/>
          <w:szCs w:val="21"/>
        </w:rPr>
        <w:t>人民币</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申购费用=40,000-39,525.69=474.31元</w:t>
      </w:r>
      <w:r w:rsidRPr="00D3689E" w:rsidR="002E6A07">
        <w:rPr>
          <w:rFonts w:asciiTheme="minorEastAsia" w:eastAsiaTheme="minorEastAsia" w:hAnsiTheme="minorEastAsia" w:hint="eastAsia"/>
          <w:color w:val="000000" w:themeColor="text1"/>
          <w:szCs w:val="21"/>
        </w:rPr>
        <w:t>人民币</w:t>
      </w:r>
    </w:p>
    <w:p w:rsidR="00D9747A"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A类人民币份额</w:t>
      </w:r>
      <w:r w:rsidRPr="00D3689E" w:rsidR="00FF0BC0">
        <w:rPr>
          <w:rFonts w:asciiTheme="minorEastAsia" w:eastAsiaTheme="minorEastAsia" w:hAnsiTheme="minorEastAsia"/>
          <w:color w:val="000000" w:themeColor="text1"/>
          <w:szCs w:val="21"/>
        </w:rPr>
        <w:t>=39,525.69/1.040</w:t>
      </w:r>
      <w:r w:rsidRPr="00D3689E" w:rsidR="007D094E">
        <w:rPr>
          <w:rFonts w:asciiTheme="minorEastAsia" w:eastAsiaTheme="minorEastAsia" w:hAnsiTheme="minorEastAsia"/>
          <w:color w:val="000000" w:themeColor="text1"/>
          <w:szCs w:val="21"/>
        </w:rPr>
        <w:t>0</w:t>
      </w:r>
      <w:r w:rsidRPr="00D3689E" w:rsidR="00FF0BC0">
        <w:rPr>
          <w:rFonts w:asciiTheme="minorEastAsia" w:eastAsiaTheme="minorEastAsia" w:hAnsiTheme="minorEastAsia"/>
          <w:color w:val="000000" w:themeColor="text1"/>
          <w:szCs w:val="21"/>
        </w:rPr>
        <w:t>=38,005.47份</w:t>
      </w:r>
    </w:p>
    <w:p w:rsidR="0027589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例二：</w:t>
      </w:r>
      <w:r w:rsidRPr="00D3689E">
        <w:rPr>
          <w:rFonts w:asciiTheme="minorEastAsia" w:eastAsiaTheme="minorEastAsia" w:hAnsiTheme="minorEastAsia"/>
          <w:color w:val="000000" w:themeColor="text1"/>
          <w:szCs w:val="21"/>
        </w:rPr>
        <w:t>某投资者</w:t>
      </w:r>
      <w:r w:rsidRPr="00D3689E" w:rsidR="00441E70">
        <w:rPr>
          <w:rFonts w:asciiTheme="minorEastAsia" w:eastAsiaTheme="minorEastAsia" w:hAnsiTheme="minorEastAsia" w:hint="eastAsia"/>
          <w:color w:val="000000" w:themeColor="text1"/>
          <w:szCs w:val="21"/>
        </w:rPr>
        <w:t>（非特定投资群体）</w:t>
      </w:r>
      <w:r w:rsidRPr="00D3689E">
        <w:rPr>
          <w:rFonts w:asciiTheme="minorEastAsia" w:eastAsiaTheme="minorEastAsia" w:hAnsiTheme="minorEastAsia"/>
          <w:color w:val="000000" w:themeColor="text1"/>
          <w:szCs w:val="21"/>
        </w:rPr>
        <w:t>投资4万</w:t>
      </w:r>
      <w:r w:rsidRPr="00D3689E">
        <w:rPr>
          <w:rFonts w:asciiTheme="minorEastAsia" w:eastAsiaTheme="minorEastAsia" w:hAnsiTheme="minorEastAsia" w:hint="eastAsia"/>
          <w:color w:val="000000" w:themeColor="text1"/>
          <w:szCs w:val="21"/>
        </w:rPr>
        <w:t>美元申</w:t>
      </w:r>
      <w:r w:rsidRPr="00D3689E">
        <w:rPr>
          <w:rFonts w:asciiTheme="minorEastAsia" w:eastAsiaTheme="minorEastAsia" w:hAnsiTheme="minorEastAsia"/>
          <w:color w:val="000000" w:themeColor="text1"/>
          <w:szCs w:val="21"/>
        </w:rPr>
        <w:t>购本基金</w:t>
      </w:r>
      <w:r w:rsidRPr="00D3689E" w:rsidR="004C77B3">
        <w:rPr>
          <w:rFonts w:asciiTheme="minorEastAsia" w:eastAsiaTheme="minorEastAsia" w:hAnsiTheme="minorEastAsia"/>
          <w:color w:val="000000" w:themeColor="text1"/>
          <w:szCs w:val="21"/>
        </w:rPr>
        <w:t>A类美元份额</w:t>
      </w:r>
      <w:r w:rsidRPr="00D3689E">
        <w:rPr>
          <w:rFonts w:asciiTheme="minorEastAsia" w:eastAsiaTheme="minorEastAsia" w:hAnsiTheme="minorEastAsia"/>
          <w:color w:val="000000" w:themeColor="text1"/>
          <w:szCs w:val="21"/>
        </w:rPr>
        <w:t>，申购费率为1.2%，假设申购当日</w:t>
      </w:r>
      <w:r w:rsidRPr="00D3689E" w:rsidR="00441E70">
        <w:rPr>
          <w:rFonts w:asciiTheme="minorEastAsia" w:eastAsiaTheme="minorEastAsia" w:hAnsiTheme="minorEastAsia"/>
          <w:color w:val="000000" w:themeColor="text1"/>
          <w:szCs w:val="21"/>
        </w:rPr>
        <w:t>A</w:t>
      </w:r>
      <w:r w:rsidRPr="00D3689E" w:rsidR="004C77B3">
        <w:rPr>
          <w:rFonts w:asciiTheme="minorEastAsia" w:eastAsiaTheme="minorEastAsia" w:hAnsiTheme="minorEastAsia"/>
          <w:color w:val="000000" w:themeColor="text1"/>
          <w:szCs w:val="21"/>
        </w:rPr>
        <w:t>类</w:t>
      </w:r>
      <w:r w:rsidRPr="00D3689E">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color w:val="000000" w:themeColor="text1"/>
          <w:szCs w:val="21"/>
        </w:rPr>
        <w:t>净值为</w:t>
      </w:r>
      <w:r w:rsidRPr="00D3689E" w:rsidR="00DD2DCD">
        <w:rPr>
          <w:rFonts w:asciiTheme="minorEastAsia" w:eastAsiaTheme="minorEastAsia" w:hAnsiTheme="minorEastAsia"/>
          <w:color w:val="000000" w:themeColor="text1"/>
          <w:szCs w:val="21"/>
        </w:rPr>
        <w:t>0.1645</w:t>
      </w:r>
      <w:r w:rsidRPr="00D3689E" w:rsidR="00E1213E">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color w:val="000000" w:themeColor="text1"/>
          <w:szCs w:val="21"/>
        </w:rPr>
        <w:t>，则其可得到的</w:t>
      </w:r>
      <w:r w:rsidRPr="00D3689E" w:rsidR="004C77B3">
        <w:rPr>
          <w:rFonts w:asciiTheme="minorEastAsia" w:eastAsiaTheme="minorEastAsia" w:hAnsiTheme="minorEastAsia"/>
          <w:color w:val="000000" w:themeColor="text1"/>
          <w:szCs w:val="21"/>
        </w:rPr>
        <w:t>A类美元份额</w:t>
      </w:r>
      <w:r w:rsidRPr="00D3689E">
        <w:rPr>
          <w:rFonts w:asciiTheme="minorEastAsia" w:eastAsiaTheme="minorEastAsia" w:hAnsiTheme="minorEastAsia"/>
          <w:color w:val="000000" w:themeColor="text1"/>
          <w:szCs w:val="21"/>
        </w:rPr>
        <w:t>为：</w:t>
      </w:r>
    </w:p>
    <w:p w:rsidR="0027589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净申购金额=40,000/（1+1.2%）=39,525.69美元</w:t>
      </w:r>
    </w:p>
    <w:p w:rsidR="0027589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申购费用=40,000-39,525.69=474.31美元</w:t>
      </w:r>
    </w:p>
    <w:p w:rsidR="0027589F"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A类美元份额=</w:t>
      </w:r>
      <w:r w:rsidRPr="00D3689E" w:rsidR="00DD2DCD">
        <w:rPr>
          <w:rFonts w:asciiTheme="minorEastAsia" w:eastAsiaTheme="minorEastAsia" w:hAnsiTheme="minorEastAsia"/>
          <w:color w:val="000000" w:themeColor="text1"/>
          <w:szCs w:val="21"/>
        </w:rPr>
        <w:t>39,525.69</w:t>
      </w:r>
      <w:r w:rsidRPr="00D3689E">
        <w:rPr>
          <w:rFonts w:asciiTheme="minorEastAsia" w:eastAsiaTheme="minorEastAsia" w:hAnsiTheme="minorEastAsia"/>
          <w:color w:val="000000" w:themeColor="text1"/>
          <w:szCs w:val="21"/>
        </w:rPr>
        <w:t>/</w:t>
      </w:r>
      <w:r w:rsidRPr="00D3689E" w:rsidR="00DD2DCD">
        <w:rPr>
          <w:rFonts w:asciiTheme="minorEastAsia" w:eastAsiaTheme="minorEastAsia" w:hAnsiTheme="minorEastAsia"/>
          <w:color w:val="000000" w:themeColor="text1"/>
          <w:szCs w:val="21"/>
        </w:rPr>
        <w:t>0.1645</w:t>
      </w:r>
      <w:r w:rsidRPr="00D3689E">
        <w:rPr>
          <w:rFonts w:asciiTheme="minorEastAsia" w:eastAsiaTheme="minorEastAsia" w:hAnsiTheme="minorEastAsia"/>
          <w:color w:val="000000" w:themeColor="text1"/>
          <w:szCs w:val="21"/>
        </w:rPr>
        <w:t>=</w:t>
      </w:r>
      <w:r w:rsidRPr="00D3689E" w:rsidR="00DD2DCD">
        <w:rPr>
          <w:rFonts w:asciiTheme="minorEastAsia" w:eastAsiaTheme="minorEastAsia" w:hAnsiTheme="minorEastAsia"/>
          <w:color w:val="000000" w:themeColor="text1"/>
          <w:szCs w:val="21"/>
        </w:rPr>
        <w:t>240</w:t>
      </w:r>
      <w:r w:rsidRPr="00D3689E" w:rsidR="00881EE6">
        <w:rPr>
          <w:rFonts w:asciiTheme="minorEastAsia" w:eastAsiaTheme="minorEastAsia" w:hAnsiTheme="minorEastAsia"/>
          <w:color w:val="000000" w:themeColor="text1"/>
          <w:szCs w:val="21"/>
        </w:rPr>
        <w:t>,</w:t>
      </w:r>
      <w:r w:rsidRPr="00D3689E" w:rsidR="00DD2DCD">
        <w:rPr>
          <w:rFonts w:asciiTheme="minorEastAsia" w:eastAsiaTheme="minorEastAsia" w:hAnsiTheme="minorEastAsia"/>
          <w:color w:val="000000" w:themeColor="text1"/>
          <w:szCs w:val="21"/>
        </w:rPr>
        <w:t>277.75</w:t>
      </w:r>
      <w:r w:rsidRPr="00D3689E">
        <w:rPr>
          <w:rFonts w:asciiTheme="minorEastAsia" w:eastAsiaTheme="minorEastAsia" w:hAnsiTheme="minorEastAsia"/>
          <w:color w:val="000000" w:themeColor="text1"/>
          <w:szCs w:val="21"/>
        </w:rPr>
        <w:t>份</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例三</w:t>
      </w:r>
      <w:r w:rsidRPr="00D3689E">
        <w:rPr>
          <w:rFonts w:asciiTheme="minorEastAsia" w:eastAsiaTheme="minorEastAsia" w:hAnsiTheme="minorEastAsia"/>
          <w:color w:val="000000" w:themeColor="text1"/>
          <w:szCs w:val="21"/>
        </w:rPr>
        <w:t>：某投资</w:t>
      </w:r>
      <w:r w:rsidRPr="00D3689E">
        <w:rPr>
          <w:rFonts w:asciiTheme="minorEastAsia" w:eastAsiaTheme="minorEastAsia" w:hAnsiTheme="minorEastAsia" w:hint="eastAsia"/>
          <w:color w:val="000000" w:themeColor="text1"/>
          <w:szCs w:val="21"/>
        </w:rPr>
        <w:t>者</w:t>
      </w:r>
      <w:r w:rsidRPr="00D3689E">
        <w:rPr>
          <w:rFonts w:asciiTheme="minorEastAsia" w:eastAsiaTheme="minorEastAsia" w:hAnsiTheme="minorEastAsia"/>
          <w:color w:val="000000" w:themeColor="text1"/>
          <w:szCs w:val="21"/>
        </w:rPr>
        <w:t>投资4万元</w:t>
      </w:r>
      <w:r w:rsidRPr="00D3689E">
        <w:rPr>
          <w:rFonts w:asciiTheme="minorEastAsia" w:eastAsiaTheme="minorEastAsia" w:hAnsiTheme="minorEastAsia" w:hint="eastAsia"/>
          <w:color w:val="000000" w:themeColor="text1"/>
          <w:szCs w:val="21"/>
        </w:rPr>
        <w:t>人民币</w:t>
      </w:r>
      <w:r w:rsidRPr="00D3689E">
        <w:rPr>
          <w:rFonts w:asciiTheme="minorEastAsia" w:eastAsiaTheme="minorEastAsia" w:hAnsiTheme="minorEastAsia"/>
          <w:color w:val="000000" w:themeColor="text1"/>
          <w:szCs w:val="21"/>
        </w:rPr>
        <w:t>申购本基金C类人民币份额，申购费率为0，假设申购当日C类人民币份额净值为1.0200元</w:t>
      </w:r>
      <w:r w:rsidRPr="00D3689E">
        <w:rPr>
          <w:rFonts w:asciiTheme="minorEastAsia" w:eastAsiaTheme="minorEastAsia" w:hAnsiTheme="minorEastAsia" w:hint="eastAsia"/>
          <w:color w:val="000000" w:themeColor="text1"/>
          <w:szCs w:val="21"/>
        </w:rPr>
        <w:t>人民币</w:t>
      </w:r>
      <w:r w:rsidRPr="00D3689E">
        <w:rPr>
          <w:rFonts w:asciiTheme="minorEastAsia" w:eastAsiaTheme="minorEastAsia" w:hAnsiTheme="minorEastAsia"/>
          <w:color w:val="000000" w:themeColor="text1"/>
          <w:szCs w:val="21"/>
        </w:rPr>
        <w:t>，则其可得到的C类人民币份额为：</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净申购金额=40,000元</w:t>
      </w:r>
      <w:r w:rsidRPr="00D3689E">
        <w:rPr>
          <w:rFonts w:asciiTheme="minorEastAsia" w:eastAsiaTheme="minorEastAsia" w:hAnsiTheme="minorEastAsia" w:hint="eastAsia"/>
          <w:color w:val="000000" w:themeColor="text1"/>
          <w:szCs w:val="21"/>
        </w:rPr>
        <w:t>人民币</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申购费用=0元</w:t>
      </w:r>
      <w:r w:rsidRPr="00D3689E">
        <w:rPr>
          <w:rFonts w:asciiTheme="minorEastAsia" w:eastAsiaTheme="minorEastAsia" w:hAnsiTheme="minorEastAsia" w:hint="eastAsia"/>
          <w:color w:val="000000" w:themeColor="text1"/>
          <w:szCs w:val="21"/>
        </w:rPr>
        <w:t>人民币</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C类人民币份额=40,000/1.0200=39,215.69份</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例四：</w:t>
      </w:r>
      <w:r w:rsidRPr="00D3689E">
        <w:rPr>
          <w:rFonts w:asciiTheme="minorEastAsia" w:eastAsiaTheme="minorEastAsia" w:hAnsiTheme="minorEastAsia"/>
          <w:color w:val="000000" w:themeColor="text1"/>
          <w:szCs w:val="21"/>
        </w:rPr>
        <w:t>某投资者投资4万</w:t>
      </w:r>
      <w:r w:rsidRPr="00D3689E">
        <w:rPr>
          <w:rFonts w:asciiTheme="minorEastAsia" w:eastAsiaTheme="minorEastAsia" w:hAnsiTheme="minorEastAsia" w:hint="eastAsia"/>
          <w:color w:val="000000" w:themeColor="text1"/>
          <w:szCs w:val="21"/>
        </w:rPr>
        <w:t>美元申</w:t>
      </w:r>
      <w:r w:rsidRPr="00D3689E">
        <w:rPr>
          <w:rFonts w:asciiTheme="minorEastAsia" w:eastAsiaTheme="minorEastAsia" w:hAnsiTheme="minorEastAsia"/>
          <w:color w:val="000000" w:themeColor="text1"/>
          <w:szCs w:val="21"/>
        </w:rPr>
        <w:t>购本基金C类美元份额，申购费率为0，假设申购当日C类</w:t>
      </w:r>
      <w:r w:rsidRPr="00D3689E">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color w:val="000000" w:themeColor="text1"/>
          <w:szCs w:val="21"/>
        </w:rPr>
        <w:t>净值为0.1625美元，则其可得到的C类美元份额为：</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净申购金额=40,000</w:t>
      </w:r>
      <w:r w:rsidRPr="00D3689E">
        <w:rPr>
          <w:rFonts w:asciiTheme="minorEastAsia" w:eastAsiaTheme="minorEastAsia" w:hAnsiTheme="minorEastAsia" w:hint="eastAsia"/>
          <w:color w:val="000000" w:themeColor="text1"/>
          <w:szCs w:val="21"/>
        </w:rPr>
        <w:t>美元</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申购费用=0</w:t>
      </w:r>
      <w:r w:rsidRPr="00D3689E">
        <w:rPr>
          <w:rFonts w:asciiTheme="minorEastAsia" w:eastAsiaTheme="minorEastAsia" w:hAnsiTheme="minorEastAsia" w:hint="eastAsia"/>
          <w:color w:val="000000" w:themeColor="text1"/>
          <w:szCs w:val="21"/>
        </w:rPr>
        <w:t>美元</w:t>
      </w:r>
    </w:p>
    <w:p w:rsidR="004C77B3" w:rsidRPr="00D3689E" w:rsidP="004C77B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C类美元份额=40,000/0.1625=246,153.85份</w:t>
      </w:r>
    </w:p>
    <w:p w:rsidR="00154491"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申购费用以人民币元</w:t>
      </w:r>
      <w:r w:rsidRPr="00D3689E" w:rsidR="00502123">
        <w:rPr>
          <w:rFonts w:asciiTheme="minorEastAsia" w:eastAsiaTheme="minorEastAsia" w:hAnsiTheme="minorEastAsia" w:hint="eastAsia"/>
          <w:color w:val="000000" w:themeColor="text1"/>
          <w:szCs w:val="21"/>
        </w:rPr>
        <w:t>或美元</w:t>
      </w:r>
      <w:r w:rsidRPr="00D3689E">
        <w:rPr>
          <w:rFonts w:asciiTheme="minorEastAsia" w:eastAsiaTheme="minorEastAsia" w:hAnsiTheme="minorEastAsia" w:hint="eastAsia"/>
          <w:color w:val="000000" w:themeColor="text1"/>
          <w:szCs w:val="21"/>
        </w:rPr>
        <w:t>为单位，四舍五入，保留至小数点后二位；申购份额采取四舍五入的方法保留小数点后二位，由此误差产生的损失由基金财产承担，产生的收益归基金财产所有。</w:t>
      </w:r>
    </w:p>
    <w:p w:rsidR="005F784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sidR="00391D11">
        <w:rPr>
          <w:rFonts w:asciiTheme="minorEastAsia" w:eastAsiaTheme="minorEastAsia" w:hAnsiTheme="minorEastAsia"/>
          <w:color w:val="000000" w:themeColor="text1"/>
          <w:szCs w:val="21"/>
        </w:rPr>
        <w:t>、赎回金额的计算</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赎回费用</w:t>
      </w:r>
      <w:r w:rsidRPr="00D3689E">
        <w:rPr>
          <w:rFonts w:asciiTheme="minorEastAsia" w:eastAsiaTheme="minorEastAsia" w:hAnsiTheme="minorEastAsia"/>
          <w:color w:val="000000" w:themeColor="text1"/>
          <w:szCs w:val="21"/>
        </w:rPr>
        <w:t>=赎回份额×T日基金份额净值×赎回费率</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赎回金额</w:t>
      </w:r>
      <w:r w:rsidRPr="00D3689E">
        <w:rPr>
          <w:rFonts w:asciiTheme="minorEastAsia" w:eastAsiaTheme="minorEastAsia" w:hAnsiTheme="minorEastAsia"/>
          <w:color w:val="000000" w:themeColor="text1"/>
          <w:szCs w:val="21"/>
        </w:rPr>
        <w:t>=赎回份额×T日基金份额净值-赎回费用</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例</w:t>
      </w:r>
      <w:r w:rsidRPr="00D3689E">
        <w:rPr>
          <w:rFonts w:asciiTheme="minorEastAsia" w:eastAsiaTheme="minorEastAsia" w:hAnsiTheme="minorEastAsia" w:hint="eastAsia"/>
          <w:color w:val="000000" w:themeColor="text1"/>
          <w:szCs w:val="21"/>
        </w:rPr>
        <w:t>五</w:t>
      </w:r>
      <w:r w:rsidRPr="00D3689E">
        <w:rPr>
          <w:rFonts w:asciiTheme="minorEastAsia" w:eastAsiaTheme="minorEastAsia" w:hAnsiTheme="minorEastAsia"/>
          <w:color w:val="000000" w:themeColor="text1"/>
          <w:szCs w:val="21"/>
        </w:rPr>
        <w:t>：某投资者T日赎回1万份A类</w:t>
      </w:r>
      <w:r w:rsidRPr="00D3689E" w:rsidR="00E4123F">
        <w:rPr>
          <w:rFonts w:asciiTheme="minorEastAsia" w:eastAsiaTheme="minorEastAsia" w:hAnsiTheme="minorEastAsia" w:hint="eastAsia"/>
          <w:color w:val="000000" w:themeColor="text1"/>
          <w:szCs w:val="21"/>
        </w:rPr>
        <w:t>人民币份额</w:t>
      </w:r>
      <w:r w:rsidRPr="00D3689E">
        <w:rPr>
          <w:rFonts w:asciiTheme="minorEastAsia" w:eastAsiaTheme="minorEastAsia" w:hAnsiTheme="minorEastAsia"/>
          <w:color w:val="000000" w:themeColor="text1"/>
          <w:szCs w:val="21"/>
        </w:rPr>
        <w:t>，对应的赎回费率为0.5%，T日A类</w:t>
      </w:r>
      <w:r w:rsidRPr="00D3689E">
        <w:rPr>
          <w:rFonts w:asciiTheme="minorEastAsia" w:eastAsiaTheme="minorEastAsia" w:hAnsiTheme="minorEastAsia" w:hint="eastAsia"/>
          <w:color w:val="000000" w:themeColor="text1"/>
          <w:szCs w:val="21"/>
        </w:rPr>
        <w:t>人民币份额</w:t>
      </w:r>
      <w:r w:rsidRPr="00D3689E">
        <w:rPr>
          <w:rFonts w:asciiTheme="minorEastAsia" w:eastAsiaTheme="minorEastAsia" w:hAnsiTheme="minorEastAsia"/>
          <w:color w:val="000000" w:themeColor="text1"/>
          <w:szCs w:val="21"/>
        </w:rPr>
        <w:t>净值是1.016</w:t>
      </w:r>
      <w:r w:rsidRPr="00D3689E" w:rsidR="00461C2E">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元</w:t>
      </w:r>
      <w:r w:rsidRPr="00D3689E" w:rsidR="006F43DA">
        <w:rPr>
          <w:rFonts w:asciiTheme="minorEastAsia" w:eastAsiaTheme="minorEastAsia" w:hAnsiTheme="minorEastAsia" w:hint="eastAsia"/>
          <w:color w:val="000000" w:themeColor="text1"/>
          <w:szCs w:val="21"/>
        </w:rPr>
        <w:t>人民币</w:t>
      </w:r>
      <w:r w:rsidRPr="00D3689E">
        <w:rPr>
          <w:rFonts w:asciiTheme="minorEastAsia" w:eastAsiaTheme="minorEastAsia" w:hAnsiTheme="minorEastAsia"/>
          <w:color w:val="000000" w:themeColor="text1"/>
          <w:szCs w:val="21"/>
        </w:rPr>
        <w:t>，则其可得到的赎回金额计算如下：</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赎回费用=10,000×1.016</w:t>
      </w:r>
      <w:r w:rsidRPr="00D3689E" w:rsidR="00461C2E">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×0.5%=50.80元</w:t>
      </w:r>
      <w:r w:rsidRPr="00D3689E" w:rsidR="006F43DA">
        <w:rPr>
          <w:rFonts w:asciiTheme="minorEastAsia" w:eastAsiaTheme="minorEastAsia" w:hAnsiTheme="minorEastAsia" w:hint="eastAsia"/>
          <w:color w:val="000000" w:themeColor="text1"/>
          <w:szCs w:val="21"/>
        </w:rPr>
        <w:t>人民币</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赎回金额=10,000×1.016</w:t>
      </w:r>
      <w:r w:rsidRPr="00D3689E" w:rsidR="00461C2E">
        <w:rPr>
          <w:rFonts w:asciiTheme="minorEastAsia" w:eastAsiaTheme="minorEastAsia" w:hAnsiTheme="minorEastAsia"/>
          <w:color w:val="000000" w:themeColor="text1"/>
          <w:szCs w:val="21"/>
        </w:rPr>
        <w:t>0</w:t>
      </w:r>
      <w:r w:rsidRPr="00D3689E">
        <w:rPr>
          <w:rFonts w:asciiTheme="minorEastAsia" w:eastAsiaTheme="minorEastAsia" w:hAnsiTheme="minorEastAsia"/>
          <w:color w:val="000000" w:themeColor="text1"/>
          <w:szCs w:val="21"/>
        </w:rPr>
        <w:t>-50.80=10,109.20元</w:t>
      </w:r>
      <w:r w:rsidRPr="00D3689E" w:rsidR="006F43DA">
        <w:rPr>
          <w:rFonts w:asciiTheme="minorEastAsia" w:eastAsiaTheme="minorEastAsia" w:hAnsiTheme="minorEastAsia" w:hint="eastAsia"/>
          <w:color w:val="000000" w:themeColor="text1"/>
          <w:szCs w:val="21"/>
        </w:rPr>
        <w:t>人民币</w:t>
      </w:r>
    </w:p>
    <w:p w:rsidR="00C80B0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例</w:t>
      </w:r>
      <w:r w:rsidRPr="00D3689E">
        <w:rPr>
          <w:rFonts w:asciiTheme="minorEastAsia" w:eastAsiaTheme="minorEastAsia" w:hAnsiTheme="minorEastAsia" w:hint="eastAsia"/>
          <w:color w:val="000000" w:themeColor="text1"/>
          <w:szCs w:val="21"/>
        </w:rPr>
        <w:t>六</w:t>
      </w:r>
      <w:r w:rsidRPr="00D3689E">
        <w:rPr>
          <w:rFonts w:asciiTheme="minorEastAsia" w:eastAsiaTheme="minorEastAsia" w:hAnsiTheme="minorEastAsia"/>
          <w:color w:val="000000" w:themeColor="text1"/>
          <w:szCs w:val="21"/>
        </w:rPr>
        <w:t>：某投资者T日赎回1万份C类</w:t>
      </w:r>
      <w:r w:rsidRPr="00D3689E" w:rsidR="00BA6960">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color w:val="000000" w:themeColor="text1"/>
          <w:szCs w:val="21"/>
        </w:rPr>
        <w:t>份额，对应的赎回费率为0.5%，T日C类</w:t>
      </w:r>
      <w:r w:rsidRPr="00D3689E">
        <w:rPr>
          <w:rFonts w:asciiTheme="minorEastAsia" w:eastAsiaTheme="minorEastAsia" w:hAnsiTheme="minorEastAsia" w:hint="eastAsia"/>
          <w:color w:val="000000" w:themeColor="text1"/>
          <w:szCs w:val="21"/>
        </w:rPr>
        <w:t>美元</w:t>
      </w:r>
      <w:r w:rsidRPr="00D3689E">
        <w:rPr>
          <w:rFonts w:asciiTheme="minorEastAsia" w:eastAsiaTheme="minorEastAsia" w:hAnsiTheme="minorEastAsia"/>
          <w:color w:val="000000" w:themeColor="text1"/>
          <w:szCs w:val="21"/>
        </w:rPr>
        <w:t>份额</w:t>
      </w:r>
      <w:r w:rsidRPr="00D3689E" w:rsidR="00301B85">
        <w:rPr>
          <w:rFonts w:asciiTheme="minorEastAsia" w:eastAsiaTheme="minorEastAsia" w:hAnsiTheme="minorEastAsia"/>
          <w:color w:val="000000" w:themeColor="text1"/>
          <w:szCs w:val="21"/>
        </w:rPr>
        <w:t>净值</w:t>
      </w:r>
      <w:r w:rsidRPr="00D3689E" w:rsidR="00301B85">
        <w:rPr>
          <w:rFonts w:asciiTheme="minorEastAsia" w:eastAsiaTheme="minorEastAsia" w:hAnsiTheme="minorEastAsia" w:hint="eastAsia"/>
          <w:color w:val="000000" w:themeColor="text1"/>
          <w:szCs w:val="21"/>
        </w:rPr>
        <w:t>为</w:t>
      </w:r>
      <w:r w:rsidRPr="00D3689E" w:rsidR="00BA6960">
        <w:rPr>
          <w:rFonts w:asciiTheme="minorEastAsia" w:eastAsiaTheme="minorEastAsia" w:hAnsiTheme="minorEastAsia"/>
          <w:color w:val="000000" w:themeColor="text1"/>
          <w:szCs w:val="21"/>
        </w:rPr>
        <w:t>0.1607美元</w:t>
      </w:r>
      <w:r w:rsidRPr="00D3689E">
        <w:rPr>
          <w:rFonts w:asciiTheme="minorEastAsia" w:eastAsiaTheme="minorEastAsia" w:hAnsiTheme="minorEastAsia"/>
          <w:color w:val="000000" w:themeColor="text1"/>
          <w:szCs w:val="21"/>
        </w:rPr>
        <w:t>，则其可得到的赎回金额计算如下：</w:t>
      </w:r>
    </w:p>
    <w:p w:rsidR="00C80B0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赎回费用=10,000×</w:t>
      </w:r>
      <w:r w:rsidRPr="00D3689E" w:rsidR="00301B85">
        <w:rPr>
          <w:rFonts w:asciiTheme="minorEastAsia" w:eastAsiaTheme="minorEastAsia" w:hAnsiTheme="minorEastAsia"/>
          <w:color w:val="000000" w:themeColor="text1"/>
          <w:szCs w:val="21"/>
        </w:rPr>
        <w:t>0.1607</w:t>
      </w:r>
      <w:r w:rsidRPr="00D3689E">
        <w:rPr>
          <w:rFonts w:asciiTheme="minorEastAsia" w:eastAsiaTheme="minorEastAsia" w:hAnsiTheme="minorEastAsia"/>
          <w:color w:val="000000" w:themeColor="text1"/>
          <w:szCs w:val="21"/>
        </w:rPr>
        <w:t>×0.5%=</w:t>
      </w:r>
      <w:r w:rsidRPr="00D3689E" w:rsidR="00301B85">
        <w:rPr>
          <w:rFonts w:asciiTheme="minorEastAsia" w:eastAsiaTheme="minorEastAsia" w:hAnsiTheme="minorEastAsia"/>
          <w:color w:val="000000" w:themeColor="text1"/>
          <w:szCs w:val="21"/>
        </w:rPr>
        <w:t>8.04</w:t>
      </w:r>
      <w:r w:rsidRPr="00D3689E" w:rsidR="001A0E08">
        <w:rPr>
          <w:rFonts w:asciiTheme="minorEastAsia" w:eastAsiaTheme="minorEastAsia" w:hAnsiTheme="minorEastAsia" w:hint="eastAsia"/>
          <w:color w:val="000000" w:themeColor="text1"/>
          <w:szCs w:val="21"/>
        </w:rPr>
        <w:t>美元</w:t>
      </w:r>
    </w:p>
    <w:p w:rsidR="00C80B04"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赎回金额=10,000×</w:t>
      </w:r>
      <w:r w:rsidRPr="00D3689E" w:rsidR="00301B85">
        <w:rPr>
          <w:rFonts w:asciiTheme="minorEastAsia" w:eastAsiaTheme="minorEastAsia" w:hAnsiTheme="minorEastAsia"/>
          <w:color w:val="000000" w:themeColor="text1"/>
          <w:szCs w:val="21"/>
        </w:rPr>
        <w:t>0.1607</w:t>
      </w:r>
      <w:r w:rsidRPr="00D3689E">
        <w:rPr>
          <w:rFonts w:asciiTheme="minorEastAsia" w:eastAsiaTheme="minorEastAsia" w:hAnsiTheme="minorEastAsia"/>
          <w:color w:val="000000" w:themeColor="text1"/>
          <w:szCs w:val="21"/>
        </w:rPr>
        <w:t>-</w:t>
      </w:r>
      <w:r w:rsidRPr="00D3689E" w:rsidR="00301B85">
        <w:rPr>
          <w:rFonts w:asciiTheme="minorEastAsia" w:eastAsiaTheme="minorEastAsia" w:hAnsiTheme="minorEastAsia"/>
          <w:color w:val="000000" w:themeColor="text1"/>
          <w:szCs w:val="21"/>
        </w:rPr>
        <w:t>8.04</w:t>
      </w:r>
      <w:r w:rsidRPr="00D3689E">
        <w:rPr>
          <w:rFonts w:asciiTheme="minorEastAsia" w:eastAsiaTheme="minorEastAsia" w:hAnsiTheme="minorEastAsia"/>
          <w:color w:val="000000" w:themeColor="text1"/>
          <w:szCs w:val="21"/>
        </w:rPr>
        <w:t>=</w:t>
      </w:r>
      <w:r w:rsidRPr="00D3689E" w:rsidR="00301B85">
        <w:rPr>
          <w:rFonts w:asciiTheme="minorEastAsia" w:eastAsiaTheme="minorEastAsia" w:hAnsiTheme="minorEastAsia"/>
          <w:color w:val="000000" w:themeColor="text1"/>
          <w:szCs w:val="21"/>
        </w:rPr>
        <w:t>1598.96</w:t>
      </w:r>
      <w:r w:rsidRPr="00D3689E" w:rsidR="001A0E08">
        <w:rPr>
          <w:rFonts w:asciiTheme="minorEastAsia" w:eastAsiaTheme="minorEastAsia" w:hAnsiTheme="minorEastAsia" w:hint="eastAsia"/>
          <w:color w:val="000000" w:themeColor="text1"/>
          <w:szCs w:val="21"/>
        </w:rPr>
        <w:t>美元</w:t>
      </w:r>
    </w:p>
    <w:p w:rsidR="00FF0BC0"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赎回金额、赎回费用以人民币元</w:t>
      </w:r>
      <w:r w:rsidRPr="00D3689E" w:rsidR="00825A78">
        <w:rPr>
          <w:rFonts w:asciiTheme="minorEastAsia" w:eastAsiaTheme="minorEastAsia" w:hAnsiTheme="minorEastAsia" w:hint="eastAsia"/>
          <w:color w:val="000000" w:themeColor="text1"/>
          <w:szCs w:val="21"/>
        </w:rPr>
        <w:t>或美元</w:t>
      </w:r>
      <w:r w:rsidRPr="00D3689E">
        <w:rPr>
          <w:rFonts w:asciiTheme="minorEastAsia" w:eastAsiaTheme="minorEastAsia" w:hAnsiTheme="minorEastAsia" w:hint="eastAsia"/>
          <w:color w:val="000000" w:themeColor="text1"/>
          <w:szCs w:val="21"/>
        </w:rPr>
        <w:t>为单位，四舍五入，保留小数点后两位，由此误差产生的损失由基金财产承担，产生的收益归基金财产所有</w:t>
      </w:r>
      <w:r w:rsidRPr="00D3689E">
        <w:rPr>
          <w:rFonts w:asciiTheme="minorEastAsia" w:eastAsiaTheme="minorEastAsia" w:hAnsiTheme="minorEastAsia"/>
          <w:color w:val="000000" w:themeColor="text1"/>
          <w:szCs w:val="21"/>
        </w:rPr>
        <w:t>。</w:t>
      </w:r>
    </w:p>
    <w:p w:rsidR="00391D11"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3、基金份额净值的计算公式</w:t>
      </w:r>
    </w:p>
    <w:p w:rsidR="004C77B3"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T</w:t>
      </w:r>
      <w:r w:rsidRPr="00D3689E">
        <w:rPr>
          <w:rFonts w:asciiTheme="minorEastAsia" w:eastAsiaTheme="minorEastAsia" w:hAnsiTheme="minorEastAsia" w:hint="eastAsia"/>
          <w:color w:val="000000" w:themeColor="text1"/>
          <w:szCs w:val="21"/>
        </w:rPr>
        <w:t>日的基金份额净值在</w:t>
      </w:r>
      <w:r w:rsidRPr="00D3689E">
        <w:rPr>
          <w:rFonts w:asciiTheme="minorEastAsia" w:eastAsiaTheme="minorEastAsia" w:hAnsiTheme="minorEastAsia"/>
          <w:color w:val="000000" w:themeColor="text1"/>
          <w:szCs w:val="21"/>
        </w:rPr>
        <w:t>T+1日计算，并在T+2日通过基金管理人网站披露。遇特殊情况，</w:t>
      </w:r>
      <w:r w:rsidRPr="00D3689E">
        <w:rPr>
          <w:rFonts w:asciiTheme="minorEastAsia" w:eastAsiaTheme="minorEastAsia" w:hAnsiTheme="minorEastAsia" w:hint="eastAsia"/>
          <w:color w:val="000000" w:themeColor="text1"/>
          <w:szCs w:val="21"/>
        </w:rPr>
        <w:t>基金管理人</w:t>
      </w:r>
      <w:r w:rsidRPr="00D3689E">
        <w:rPr>
          <w:rFonts w:asciiTheme="minorEastAsia" w:eastAsiaTheme="minorEastAsia" w:hAnsiTheme="minorEastAsia"/>
          <w:color w:val="000000" w:themeColor="text1"/>
          <w:szCs w:val="21"/>
        </w:rPr>
        <w:t>可以适当延迟计算或公告。其计算公式为：</w:t>
      </w:r>
    </w:p>
    <w:p w:rsidR="00CF74A4" w:rsidRPr="00D3689E" w:rsidP="00CF74A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A类人民币份额净值、C类人民币份额净值=计算日该类各币种基金资产净值÷计算日该类各币种基金份额余额的合计数</w:t>
      </w:r>
    </w:p>
    <w:p w:rsidR="004C77B3"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A类美元份额净值、C类美元份额净值=该类对应人民币基金份额净值÷计算日美元估值汇率</w:t>
      </w:r>
    </w:p>
    <w:p w:rsidR="00456BC7"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4、本基金的申购费由申购</w:t>
      </w:r>
      <w:r w:rsidRPr="00D3689E" w:rsidR="0056427B">
        <w:rPr>
          <w:rFonts w:asciiTheme="minorEastAsia" w:eastAsiaTheme="minorEastAsia" w:hAnsiTheme="minorEastAsia" w:hint="eastAsia"/>
          <w:color w:val="000000" w:themeColor="text1"/>
          <w:szCs w:val="21"/>
        </w:rPr>
        <w:t>投资者</w:t>
      </w:r>
      <w:r w:rsidRPr="00D3689E">
        <w:rPr>
          <w:rFonts w:asciiTheme="minorEastAsia" w:eastAsiaTheme="minorEastAsia" w:hAnsiTheme="minorEastAsia" w:hint="eastAsia"/>
          <w:color w:val="000000" w:themeColor="text1"/>
          <w:szCs w:val="21"/>
        </w:rPr>
        <w:t>承担，不计入基金财产，主要用于本基金的市场推广、销售、注册登记等各项费用。</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bookmarkStart w:id="218" w:name="_Toc323051008"/>
      <w:bookmarkStart w:id="219" w:name="_Toc296526992"/>
      <w:bookmarkStart w:id="220" w:name="_Toc296526993"/>
      <w:bookmarkStart w:id="221" w:name="_Toc277752499"/>
      <w:bookmarkStart w:id="222" w:name="_Toc277786078"/>
      <w:bookmarkStart w:id="223" w:name="_Toc277787599"/>
      <w:bookmarkStart w:id="224" w:name="_Toc277787873"/>
      <w:bookmarkStart w:id="225" w:name="_Toc278409384"/>
      <w:bookmarkEnd w:id="218"/>
      <w:bookmarkEnd w:id="219"/>
      <w:bookmarkEnd w:id="220"/>
      <w:bookmarkEnd w:id="221"/>
      <w:bookmarkEnd w:id="222"/>
      <w:bookmarkEnd w:id="223"/>
      <w:bookmarkEnd w:id="224"/>
      <w:bookmarkEnd w:id="225"/>
      <w:r w:rsidRPr="00D3689E">
        <w:rPr>
          <w:rFonts w:asciiTheme="minorEastAsia" w:eastAsiaTheme="minorEastAsia" w:hAnsiTheme="minorEastAsia" w:hint="eastAsia"/>
          <w:color w:val="000000" w:themeColor="text1"/>
          <w:szCs w:val="21"/>
        </w:rPr>
        <w:t>九、</w:t>
      </w:r>
      <w:r w:rsidRPr="00D3689E">
        <w:rPr>
          <w:rFonts w:asciiTheme="minorEastAsia" w:eastAsiaTheme="minorEastAsia" w:hAnsiTheme="minorEastAsia"/>
          <w:color w:val="000000" w:themeColor="text1"/>
          <w:szCs w:val="21"/>
        </w:rPr>
        <w:t>申购</w:t>
      </w:r>
      <w:r w:rsidRPr="00D3689E" w:rsidR="00785833">
        <w:rPr>
          <w:rFonts w:asciiTheme="minorEastAsia" w:eastAsiaTheme="minorEastAsia" w:hAnsiTheme="minorEastAsia"/>
          <w:color w:val="000000" w:themeColor="text1"/>
          <w:szCs w:val="21"/>
        </w:rPr>
        <w:t>和</w:t>
      </w:r>
      <w:r w:rsidRPr="00D3689E">
        <w:rPr>
          <w:rFonts w:asciiTheme="minorEastAsia" w:eastAsiaTheme="minorEastAsia" w:hAnsiTheme="minorEastAsia"/>
          <w:color w:val="000000" w:themeColor="text1"/>
          <w:szCs w:val="21"/>
        </w:rPr>
        <w:t>赎回的</w:t>
      </w:r>
      <w:r w:rsidRPr="00D3689E" w:rsidR="00D81B1A">
        <w:rPr>
          <w:rFonts w:asciiTheme="minorEastAsia" w:eastAsiaTheme="minorEastAsia" w:hAnsiTheme="minorEastAsia" w:hint="eastAsia"/>
          <w:color w:val="000000" w:themeColor="text1"/>
          <w:szCs w:val="21"/>
        </w:rPr>
        <w:t>注册</w:t>
      </w:r>
      <w:r w:rsidRPr="00D3689E">
        <w:rPr>
          <w:rFonts w:asciiTheme="minorEastAsia" w:eastAsiaTheme="minorEastAsia" w:hAnsiTheme="minorEastAsia"/>
          <w:color w:val="000000" w:themeColor="text1"/>
          <w:szCs w:val="21"/>
        </w:rPr>
        <w:t>登记</w:t>
      </w:r>
    </w:p>
    <w:p w:rsidR="00743DA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本基金申购与赎回的注册登记业务按照登记机构的有关规定办理。正常情况下，投资者申购基金成功后，登记机构在</w:t>
      </w:r>
      <w:r w:rsidRPr="00D3689E">
        <w:rPr>
          <w:rFonts w:asciiTheme="minorEastAsia" w:eastAsiaTheme="minorEastAsia" w:hAnsiTheme="minorEastAsia"/>
          <w:color w:val="000000" w:themeColor="text1"/>
          <w:szCs w:val="21"/>
        </w:rPr>
        <w:t>T+2日为投资者登记权益并办理注册登记手续，投资者自T+3日（含该日）后有权赎回该部分基金份额。</w:t>
      </w:r>
    </w:p>
    <w:p w:rsidR="00743DA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投资者赎回基金成功后，正常情况下，登记机构在</w:t>
      </w:r>
      <w:r w:rsidRPr="00D3689E">
        <w:rPr>
          <w:rFonts w:asciiTheme="minorEastAsia" w:eastAsiaTheme="minorEastAsia" w:hAnsiTheme="minorEastAsia"/>
          <w:color w:val="000000" w:themeColor="text1"/>
          <w:szCs w:val="21"/>
        </w:rPr>
        <w:t>T+2</w:t>
      </w:r>
      <w:r w:rsidRPr="00D3689E">
        <w:rPr>
          <w:rFonts w:asciiTheme="minorEastAsia" w:eastAsiaTheme="minorEastAsia" w:hAnsiTheme="minorEastAsia" w:hint="eastAsia"/>
          <w:color w:val="000000" w:themeColor="text1"/>
          <w:szCs w:val="21"/>
        </w:rPr>
        <w:t>日为投资者办理扣除权益的注册登记手续。</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基金管理人可以在法律法规允许的范围内，依法对上述注册登记办理时间进行调整，并最迟于开始实施前依照《信息披露办法》的有关规定在指定媒介公告。</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十、拒绝或暂停申购的情形及处理</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如果出现如下情形，基金管理人可暂停或拒绝基金投资者某一类币种或多类币种份额</w:t>
      </w:r>
      <w:r w:rsidRPr="00D3689E">
        <w:rPr>
          <w:rFonts w:asciiTheme="minorEastAsia" w:eastAsiaTheme="minorEastAsia" w:hAnsiTheme="minorEastAsia" w:hint="eastAsia"/>
          <w:color w:val="000000" w:themeColor="text1"/>
          <w:szCs w:val="21"/>
        </w:rPr>
        <w:t>的申购申请：</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1、不可抗力的原因导致基金无法正常运作；</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2、本基金进行交易的主要证券交易市场或外汇市场交易时间临时停市；</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3、本基金投资的主要证券交易市场或外汇市场的公众节假日，并可能影响本基金正常估值时；</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4、本基金的资产组合中的重要部分发生暂停交易或其他重大事件，继续接受申购可能会影响或损害其他基金份额持有人利益时；</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5、基金管理人、基金托管人、销售机构或登记机构因技术保障不充分或人员伤亡导致基金销售系统或注册登记系统、证券注册登记系统或基金会计系统无法正常运行；</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6、基金资产规模过大，使基金管理人无法找到合适的投资品种，或可能对基金业绩产生负面影响，或其他损害现有基金份额持有人利益的；</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7、基金资产规模或者份额数量达到了基金管理人规定的上限（基金管理人可根据外管局的审批及市场情况进行调整）；</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8、接受某笔或某些申购申请可能会影响或损害现有基金份额持有人利益的；</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9、目标ETF</w:t>
      </w:r>
      <w:r w:rsidRPr="00D3689E">
        <w:rPr>
          <w:rFonts w:asciiTheme="minorEastAsia" w:eastAsiaTheme="minorEastAsia" w:hAnsiTheme="minorEastAsia" w:hint="eastAsia"/>
          <w:color w:val="000000" w:themeColor="text1"/>
          <w:szCs w:val="21"/>
        </w:rPr>
        <w:t>暂停估值，导致基金管理人无法计算当日基金资产净值；</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10、目标ETF</w:t>
      </w:r>
      <w:r w:rsidRPr="00D3689E">
        <w:rPr>
          <w:rFonts w:asciiTheme="minorEastAsia" w:eastAsiaTheme="minorEastAsia" w:hAnsiTheme="minorEastAsia" w:hint="eastAsia"/>
          <w:color w:val="000000" w:themeColor="text1"/>
          <w:szCs w:val="21"/>
        </w:rPr>
        <w:t>暂停申赎、暂停上市或目标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停牌，基金管理人认为有必要暂停本基金申购的；</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11、发生《基金合同》规定的暂停基金资产估值情况；</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12、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13、当前一估值日基金资产净值50%以上的资产出现无可参考的活跃市场价格且采用</w:t>
      </w:r>
      <w:r w:rsidRPr="00D3689E">
        <w:rPr>
          <w:rFonts w:asciiTheme="minorEastAsia" w:eastAsiaTheme="minorEastAsia" w:hAnsiTheme="minorEastAsia" w:hint="eastAsia"/>
          <w:color w:val="000000" w:themeColor="text1"/>
          <w:szCs w:val="21"/>
        </w:rPr>
        <w:t>估值技术仍导致公允价值存在重大不确定性时，经与基金托管人协商确认后，基金管理人应当采取暂停接受基金申购申请的措施。</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14、法律法规规定或中国证监会认定的其他可暂停申购的情形。</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发生上述情形之一且基金管理人决定暂停申购的，申购款项本金将全额退还投资者。发生上述</w:t>
      </w:r>
      <w:r w:rsidRPr="00D3689E">
        <w:rPr>
          <w:rFonts w:asciiTheme="minorEastAsia" w:eastAsiaTheme="minorEastAsia" w:hAnsiTheme="minorEastAsia"/>
          <w:color w:val="000000" w:themeColor="text1"/>
          <w:szCs w:val="21"/>
        </w:rPr>
        <w:t>1到7项、第9项和第14项暂停申购情形时，基金管理人应当依据《信息披露办法》的有关规定在指定媒介刊登暂停申购公告。</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在暂停申购的情况消除时，基金管理人应及时恢复申购业务的办理，并依照有关规定在指定媒介公告。</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十一、暂停赎回或者延缓支付赎回款项的情形及处理方式</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如果出现如下情形，基金管理人可拒绝接受或暂停基金份额持有人某一类币种或多类币种份额的赎回申请或者延缓支付赎回款项：</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1、不可抗力的原因导致基金管理人不能支付赎回款项；</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2、本基金进行交易的主要证券交易市场或外汇市场交易时间非正常停市；</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3、因市场剧烈波动或其他原因而出现连续2个或2个以上开放日巨额赎回；</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4、本基金投资的主要证券交易市场或外汇市场的公众节假日、休市，并可能影响本基金正常估值与投资；</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5、目标ETF暂停估值，导致基金管理人无法计算当日基金资产净值；</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6、目标ETF暂停申赎、暂停上市或目标ETF停牌，基金管理人认为有必要暂停本基金赎回的；</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7、继续接受赎回申请将损害现有基金份额持有人利益的情形时，可暂停接受投资者的赎回申请；</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8、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9、法律法规规定或中国证监会认定的其他情形；</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发生上述情形之一且基金管理人决定暂停赎回或者延期支付赎回款项的，基金管理人应向中国证监会备案。在出现上述第3项的情形时，按基金合同的相关条款处理。投资者在申请赎回时可事先选择将当日可能未获受理部分予以撤销。</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暂停基金的赎回，基金管理人应及时在指定媒介刊登暂停赎回公告。</w:t>
      </w:r>
    </w:p>
    <w:p w:rsidR="0063405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在暂停赎回的情况消除时，基金管理人应及时恢复赎回业务的办理，并依照有关规定在指定媒介公告。</w:t>
      </w:r>
    </w:p>
    <w:p w:rsidR="0064594E" w:rsidRPr="00D3689E" w:rsidP="00417C26">
      <w:pPr>
        <w:spacing w:line="360" w:lineRule="auto"/>
        <w:ind w:firstLine="420" w:firstLineChars="200"/>
        <w:rPr>
          <w:rFonts w:asciiTheme="minorEastAsia" w:eastAsiaTheme="minorEastAsia" w:hAnsiTheme="minorEastAsia"/>
          <w:color w:val="000000" w:themeColor="text1"/>
          <w:szCs w:val="21"/>
        </w:rPr>
      </w:pPr>
      <w:bookmarkStart w:id="226" w:name="_Toc308697497"/>
      <w:bookmarkStart w:id="227" w:name="_Toc309286019"/>
      <w:bookmarkStart w:id="228" w:name="_Toc308697498"/>
      <w:bookmarkStart w:id="229" w:name="_Toc309286020"/>
      <w:bookmarkStart w:id="230" w:name="_Toc308697499"/>
      <w:bookmarkStart w:id="231" w:name="_Toc309286021"/>
      <w:bookmarkStart w:id="232" w:name="_Toc308697500"/>
      <w:bookmarkStart w:id="233" w:name="_Toc309286022"/>
      <w:bookmarkStart w:id="234" w:name="_Toc308697501"/>
      <w:bookmarkStart w:id="235" w:name="_Toc309286023"/>
      <w:bookmarkStart w:id="236" w:name="_Toc308697502"/>
      <w:bookmarkStart w:id="237" w:name="_Toc309286024"/>
      <w:bookmarkStart w:id="238" w:name="_Toc308697503"/>
      <w:bookmarkStart w:id="239" w:name="_Toc309286025"/>
      <w:bookmarkStart w:id="240" w:name="_Toc308697504"/>
      <w:bookmarkStart w:id="241" w:name="_Toc309286026"/>
      <w:bookmarkStart w:id="242" w:name="_Toc308697505"/>
      <w:bookmarkStart w:id="243" w:name="_Toc309286027"/>
      <w:bookmarkStart w:id="244" w:name="_Toc308697506"/>
      <w:bookmarkStart w:id="245" w:name="_Toc309286028"/>
      <w:bookmarkStart w:id="246" w:name="_Toc308697507"/>
      <w:bookmarkStart w:id="247" w:name="_Toc309286029"/>
      <w:bookmarkStart w:id="248" w:name="_Toc308697508"/>
      <w:bookmarkStart w:id="249" w:name="_Toc309286030"/>
      <w:bookmarkStart w:id="250" w:name="_Toc308697509"/>
      <w:bookmarkStart w:id="251" w:name="_Toc309286031"/>
      <w:bookmarkStart w:id="252" w:name="_Toc308697510"/>
      <w:bookmarkStart w:id="253" w:name="_Toc309286032"/>
      <w:bookmarkStart w:id="254" w:name="_Toc308697511"/>
      <w:bookmarkStart w:id="255" w:name="_Toc309286033"/>
      <w:bookmarkStart w:id="256" w:name="_Toc308697512"/>
      <w:bookmarkStart w:id="257" w:name="_Toc309286034"/>
      <w:bookmarkStart w:id="258" w:name="_Toc308697513"/>
      <w:bookmarkStart w:id="259" w:name="_Toc309286035"/>
      <w:bookmarkStart w:id="260" w:name="_Toc277752504"/>
      <w:bookmarkStart w:id="261" w:name="_Toc277786083"/>
      <w:bookmarkStart w:id="262" w:name="_Toc277787604"/>
      <w:bookmarkStart w:id="263" w:name="_Toc277787878"/>
      <w:bookmarkStart w:id="264" w:name="_Toc278409389"/>
      <w:bookmarkStart w:id="265" w:name="_Toc277752505"/>
      <w:bookmarkStart w:id="266" w:name="_Toc277786084"/>
      <w:bookmarkStart w:id="267" w:name="_Toc277787605"/>
      <w:bookmarkStart w:id="268" w:name="_Toc277787879"/>
      <w:bookmarkStart w:id="269" w:name="_Toc278409390"/>
      <w:bookmarkStart w:id="270" w:name="_Toc277752506"/>
      <w:bookmarkStart w:id="271" w:name="_Toc277786085"/>
      <w:bookmarkStart w:id="272" w:name="_Toc277787606"/>
      <w:bookmarkStart w:id="273" w:name="_Toc277787880"/>
      <w:bookmarkStart w:id="274" w:name="_Toc278409391"/>
      <w:bookmarkStart w:id="275" w:name="_Toc277752507"/>
      <w:bookmarkStart w:id="276" w:name="_Toc277786086"/>
      <w:bookmarkStart w:id="277" w:name="_Toc277787607"/>
      <w:bookmarkStart w:id="278" w:name="_Toc277787881"/>
      <w:bookmarkStart w:id="279" w:name="_Toc278409392"/>
      <w:bookmarkStart w:id="280" w:name="_Toc277752508"/>
      <w:bookmarkStart w:id="281" w:name="_Toc277786087"/>
      <w:bookmarkStart w:id="282" w:name="_Toc277787608"/>
      <w:bookmarkStart w:id="283" w:name="_Toc277787882"/>
      <w:bookmarkStart w:id="284" w:name="_Toc278409393"/>
      <w:bookmarkStart w:id="285" w:name="_Toc277752509"/>
      <w:bookmarkStart w:id="286" w:name="_Toc277786088"/>
      <w:bookmarkStart w:id="287" w:name="_Toc277787609"/>
      <w:bookmarkStart w:id="288" w:name="_Toc277787883"/>
      <w:bookmarkStart w:id="289" w:name="_Toc27840939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D3689E">
        <w:rPr>
          <w:rFonts w:asciiTheme="minorEastAsia" w:eastAsiaTheme="minorEastAsia" w:hAnsiTheme="minorEastAsia" w:hint="eastAsia"/>
          <w:color w:val="000000" w:themeColor="text1"/>
          <w:szCs w:val="21"/>
        </w:rPr>
        <w:t>十二</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巨额赎回的认定及处理方式</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1.巨额赎回的认定</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若本基金单个开放日内的基金份额净赎回申请</w:t>
      </w:r>
      <w:r w:rsidRPr="00D3689E">
        <w:rPr>
          <w:rFonts w:asciiTheme="minorEastAsia" w:eastAsiaTheme="minorEastAsia" w:hAnsiTheme="minorEastAsia"/>
          <w:color w:val="000000" w:themeColor="text1"/>
          <w:szCs w:val="21"/>
        </w:rPr>
        <w:t>(赎回申请份额总数加上基金转换中转出申请份额总数扣除申购申请份额总数及基金转换中转入申请份额总数后的余额)超过上</w:t>
      </w:r>
      <w:r w:rsidRPr="00D3689E">
        <w:rPr>
          <w:rFonts w:asciiTheme="minorEastAsia" w:eastAsiaTheme="minorEastAsia" w:hAnsiTheme="minorEastAsia"/>
          <w:color w:val="000000" w:themeColor="text1"/>
          <w:szCs w:val="21"/>
        </w:rPr>
        <w:t>一日的基金总份额的10%，即认为是发生了巨额赎回。</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2.巨额赎回的处理方式</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当基金出现巨额赎回时，基金管理人可以根据基金当时的资产组合状况决定全额赎回或部分延期赎回。</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(1)全额赎回：当基金管理人认为有能力支付投资者的全部赎回申请时，按正常赎回程序执行。</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部分延期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延期办理赎回申请：若本基金发生巨额赎回且单个基金份额持有人的赎回申请超过上一开放日基金总份额10%的，基金管理人有权对该单个基金份额持有人超出该比例的赎回申请实施延期办理，对该单个基金份额持有人剩余赎回申请，基金管理人可以根据前款“（1）全部赎回”或“（2）部分延期赎回”约定的方式与其他份额持有人的赎回申请一并办理。</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延期的赎回申请与下一开放日赎回申请一并处理，无优先权并以下一开放日的基金份额净值为基础计算赎回金额，以此类推，直至延期办理的赎回申请全部办理完毕。</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rsidR="00F0430E"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（5）巨额赎回的公告</w:t>
      </w:r>
    </w:p>
    <w:p w:rsidR="00305EEE"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当发生上述巨额赎回并延期办理时，基金管理人应当通过邮寄、传真或者招募说明书规定的其他方式在3个交易日内通知基金份额持有人，说明有关处理方法，</w:t>
      </w:r>
      <w:r w:rsidRPr="00D3689E" w:rsidR="00E75260">
        <w:rPr>
          <w:rFonts w:asciiTheme="minorEastAsia" w:eastAsiaTheme="minorEastAsia" w:hAnsiTheme="minorEastAsia" w:hint="eastAsia"/>
          <w:color w:val="000000" w:themeColor="text1"/>
          <w:szCs w:val="21"/>
        </w:rPr>
        <w:t>并在2日内</w:t>
      </w:r>
      <w:r w:rsidRPr="00D3689E">
        <w:rPr>
          <w:rFonts w:asciiTheme="minorEastAsia" w:eastAsiaTheme="minorEastAsia" w:hAnsiTheme="minorEastAsia" w:hint="eastAsia"/>
          <w:color w:val="000000" w:themeColor="text1"/>
          <w:szCs w:val="21"/>
        </w:rPr>
        <w:t>在指定媒介上刊登公告。</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十三、暂停申购或赎回的公告和重新开放申购或赎回的公告</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1、发生上述暂停申购或赎回情况的，基金管理人应在规定期限内在指定媒介上刊登暂停公告。</w:t>
      </w:r>
    </w:p>
    <w:p w:rsidR="00743DA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bookmarkStart w:id="290" w:name="_Hlt70481650"/>
      <w:bookmarkEnd w:id="290"/>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十四</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基金转换</w:t>
      </w:r>
    </w:p>
    <w:p w:rsidR="00743DA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r w:rsidRPr="00D3689E">
        <w:rPr>
          <w:rFonts w:asciiTheme="minorEastAsia" w:eastAsiaTheme="minorEastAsia" w:hAnsiTheme="minorEastAsia"/>
          <w:color w:val="000000" w:themeColor="text1"/>
          <w:szCs w:val="21"/>
        </w:rPr>
        <w:t>。</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十五</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基金的非交易过户</w:t>
      </w:r>
    </w:p>
    <w:p w:rsidR="0063405D" w:rsidRPr="00D3689E" w:rsidP="0063405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非交易过户是指不采用申购、赎回等基金交易方式，将一定数量的基金份额按照一定规则从某一投资者基金账户转移到另一投资者基金账户的行为。</w:t>
      </w:r>
    </w:p>
    <w:p w:rsidR="0063405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登记机构只受理继承、捐赠、司法强制执行和经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登记机构要求提供的相关资料。对于符合条件的非交易过户申请按《业务规则》的有关规定办理，并按登记机构规定的标准收费。</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十六</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转托管</w:t>
      </w:r>
    </w:p>
    <w:p w:rsidR="00743DA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基金份额持有人可办理已持有基金份额在不同销售机构之间的转托管，基金销售机构可以按照相关规定向基金份额持有人收取转托管费。</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十七</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基金的冻结与解冻</w:t>
      </w:r>
    </w:p>
    <w:p w:rsidR="00743DAD" w:rsidRPr="00D3689E" w:rsidP="00743DAD">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登记机构只受理国家有权机关依法要求的基金份额的冻结与解冻以及登记机构认可的其他情况下的冻结与解冻。基金份额被冻结的，被冻结部分产生的权益一并冻结，被冻结部分份额仍然参与收益分配。</w:t>
      </w:r>
    </w:p>
    <w:p w:rsidR="00743DAD" w:rsidRPr="00D3689E" w:rsidP="00417C26">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十八</w:t>
      </w:r>
      <w:r w:rsidRPr="00D3689E" w:rsidR="006340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定期定额投资计划</w:t>
      </w:r>
    </w:p>
    <w:p w:rsidR="00305EEE" w:rsidRPr="00D3689E" w:rsidP="008A567A">
      <w:pPr>
        <w:spacing w:line="360" w:lineRule="auto"/>
        <w:ind w:firstLine="420" w:firstLineChars="200"/>
        <w:rPr>
          <w:rFonts w:asciiTheme="minorEastAsia" w:eastAsiaTheme="minorEastAsia" w:hAnsiTheme="minorEastAsia"/>
          <w:b/>
          <w:bCs/>
          <w:color w:val="000000" w:themeColor="text1"/>
          <w:sz w:val="28"/>
          <w:szCs w:val="28"/>
        </w:rPr>
      </w:pPr>
      <w:r w:rsidRPr="00D3689E">
        <w:rPr>
          <w:rFonts w:asciiTheme="minorEastAsia" w:eastAsiaTheme="minorEastAsia" w:hAnsiTheme="minorEastAsia" w:hint="eastAsia"/>
          <w:color w:val="000000" w:themeColor="text1"/>
          <w:szCs w:val="21"/>
        </w:rPr>
        <w:t>本基金已于2019年2月19日开始办理</w:t>
      </w:r>
      <w:r w:rsidRPr="00D3689E">
        <w:rPr>
          <w:rStyle w:val="da"/>
          <w:rFonts w:asciiTheme="minorEastAsia" w:eastAsiaTheme="minorEastAsia" w:hAnsiTheme="minorEastAsia" w:hint="eastAsia"/>
          <w:color w:val="000000" w:themeColor="text1"/>
        </w:rPr>
        <w:t>定期定额投资</w:t>
      </w:r>
      <w:r w:rsidRPr="00D3689E">
        <w:rPr>
          <w:rFonts w:asciiTheme="minorEastAsia" w:eastAsiaTheme="minorEastAsia" w:hAnsiTheme="minorEastAsia" w:hint="eastAsia"/>
          <w:color w:val="000000" w:themeColor="text1"/>
          <w:szCs w:val="21"/>
        </w:rPr>
        <w:t>业务，</w:t>
      </w:r>
      <w:r w:rsidRPr="00D3689E">
        <w:rPr>
          <w:rFonts w:asciiTheme="minorEastAsia" w:eastAsiaTheme="minorEastAsia" w:hAnsiTheme="minorEastAsia" w:cs="Arial" w:hint="eastAsia"/>
          <w:color w:val="000000" w:themeColor="text1"/>
          <w:szCs w:val="21"/>
        </w:rPr>
        <w:t>具体实施办法参见相关公告。</w:t>
      </w:r>
      <w:bookmarkStart w:id="291" w:name="_Toc308697516"/>
      <w:bookmarkStart w:id="292" w:name="_Toc309286038"/>
      <w:bookmarkStart w:id="293" w:name="_Toc308697517"/>
      <w:bookmarkStart w:id="294" w:name="_Toc309286039"/>
      <w:bookmarkEnd w:id="291"/>
      <w:bookmarkEnd w:id="292"/>
      <w:bookmarkEnd w:id="293"/>
      <w:bookmarkEnd w:id="294"/>
    </w:p>
    <w:p w:rsidR="00305EEE" w:rsidRPr="00D3689E" w:rsidP="00305EEE">
      <w:pPr>
        <w:spacing w:line="360" w:lineRule="auto"/>
        <w:ind w:firstLine="420"/>
        <w:rPr>
          <w:rFonts w:asciiTheme="minorEastAsia" w:eastAsiaTheme="minorEastAsia" w:hAnsiTheme="minorEastAsia"/>
          <w:b/>
          <w:bCs/>
          <w:color w:val="000000" w:themeColor="text1"/>
          <w:sz w:val="28"/>
          <w:szCs w:val="28"/>
        </w:rPr>
      </w:pPr>
    </w:p>
    <w:p w:rsidR="00BE3714" w:rsidRPr="00D3689E" w:rsidP="00305EEE">
      <w:pPr>
        <w:spacing w:line="360" w:lineRule="auto"/>
        <w:ind w:firstLine="420"/>
        <w:rPr>
          <w:rFonts w:asciiTheme="minorEastAsia" w:eastAsiaTheme="minorEastAsia" w:hAnsiTheme="minorEastAsia" w:cs="宋体"/>
          <w:color w:val="000000" w:themeColor="text1"/>
          <w:kern w:val="0"/>
          <w:szCs w:val="21"/>
        </w:rPr>
      </w:pPr>
    </w:p>
    <w:p w:rsidR="0064594E" w:rsidRPr="00D3689E" w:rsidP="00172767">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295" w:name="_Toc296527004"/>
      <w:bookmarkStart w:id="296" w:name="_Toc91334992"/>
      <w:bookmarkStart w:id="297" w:name="_Toc169103841"/>
      <w:bookmarkEnd w:id="295"/>
      <w:r w:rsidRPr="00D3689E">
        <w:rPr>
          <w:rFonts w:asciiTheme="minorEastAsia" w:eastAsiaTheme="minorEastAsia" w:hAnsiTheme="minorEastAsia" w:hint="eastAsia"/>
          <w:color w:val="000000" w:themeColor="text1"/>
        </w:rPr>
        <w:t>基金的费用与税收</w:t>
      </w:r>
      <w:bookmarkEnd w:id="297"/>
    </w:p>
    <w:p w:rsidR="00B22930" w:rsidRPr="00D3689E" w:rsidP="00B22930">
      <w:pPr>
        <w:spacing w:line="360" w:lineRule="auto"/>
        <w:ind w:firstLine="420" w:firstLineChars="200"/>
        <w:rPr>
          <w:rFonts w:asciiTheme="minorEastAsia" w:eastAsiaTheme="minorEastAsia" w:hAnsiTheme="minorEastAsia"/>
          <w:color w:val="000000" w:themeColor="text1"/>
          <w:szCs w:val="21"/>
        </w:rPr>
      </w:pPr>
      <w:bookmarkStart w:id="298" w:name="_Toc308697531"/>
      <w:bookmarkStart w:id="299" w:name="_Toc309286053"/>
      <w:r w:rsidRPr="00D3689E">
        <w:rPr>
          <w:rFonts w:asciiTheme="minorEastAsia" w:eastAsiaTheme="minorEastAsia" w:hAnsiTheme="minorEastAsia" w:hint="eastAsia"/>
          <w:color w:val="000000" w:themeColor="text1"/>
          <w:szCs w:val="21"/>
        </w:rPr>
        <w:t>一、基金费用的种类</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1、基金管理人的管理费；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2、基金托管人的托管费，含境外托管人的托管费；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3、因基金的证券交易或结算而产生的费用（包括但不限于在境外市场开户、交易、清算、登记等各项费用以及为了加快清算向券商支付的费用）；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4、《基金合同》生效以后的信息披露费用；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5、基金份额持有人大会费用；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6、基金的相关账户的开户及维护费用；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7、为应付赎回和交易清算而进行临时借款所发生的费用（托管行及境外托管行垫付资金所产生的合理费用）；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8、《基金合同》生效以后的会计师费、律师费和税务顾问费；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9、基金的资金汇划费用和外汇兑换交易的相关费用；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10、除去基金管理人和基金托管人因自身原因而导致的更换基金管理人、更换基金托管人及基金资产由原任基金托管人转移至新任基金托管人以及由于境外托管人更换导致基金资产转移所引起的费用；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11、基金依照有关法律法规应当缴纳的、购买或处置证券有关的任何税收、征费、关税、印花税、交易及其他税收及预扣提税（以及与前述各项有关的任何利息、罚金及费用）以及相关手续费、汇款费、基金的税务代理费等；</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12、为了基金利益，除去基金管理人和基金托管人因自身原因而导致的、与基金有关的诉讼、仲裁、追索费用；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13、标的指数许可使用费；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14、按照国家有关法律法规规定可以列入的其他费用。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本基金终止清算时所发生费用，按实际支出额从基金资产总值中扣除。</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二、基金费用计提方法、计提标准和支付方式</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1、基金管理人的管理费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基金管理费（如基金管理人委托境外投资顾问，包括境外投资顾问费）按前一日基金资产净值的</w:t>
      </w:r>
      <w:r w:rsidRPr="00D3689E">
        <w:rPr>
          <w:rFonts w:asciiTheme="minorEastAsia" w:eastAsiaTheme="minorEastAsia" w:hAnsiTheme="minorEastAsia"/>
          <w:color w:val="000000" w:themeColor="text1"/>
          <w:szCs w:val="21"/>
        </w:rPr>
        <w:t>0.6%年费率计提。计算方法如下：</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H＝E×0.6%÷当年天数</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H为每日应计提的基金管理费，货币单位为人民币</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E为调整后的前一日基金资产净值，货币单位为人民币。调整后的前一日基金资产净值＝前一日基金资产净值－前一日本基金持有的目标ETF公允价值，金额为负时以零计。</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基金管理费每日计提，按月支付。经基金管理人和基金托管人核对一致后，由基金管理人出具指令，基金托管人复核后于次月首日起</w:t>
      </w:r>
      <w:r w:rsidRPr="00D3689E">
        <w:rPr>
          <w:rFonts w:asciiTheme="minorEastAsia" w:eastAsiaTheme="minorEastAsia" w:hAnsiTheme="minorEastAsia"/>
          <w:color w:val="000000" w:themeColor="text1"/>
          <w:szCs w:val="21"/>
        </w:rPr>
        <w:t>3个工作日内从基金财产中一次性支付给基金管理人，若遇法定节假日、休息日，支付日期顺延。</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2、基金托管人的基金托管费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基金托管人的基金托管费按基金资产净值的</w:t>
      </w:r>
      <w:r w:rsidRPr="00D3689E">
        <w:rPr>
          <w:rFonts w:asciiTheme="minorEastAsia" w:eastAsiaTheme="minorEastAsia" w:hAnsiTheme="minorEastAsia"/>
          <w:color w:val="000000" w:themeColor="text1"/>
          <w:szCs w:val="21"/>
        </w:rPr>
        <w:t>0.25%年费率计提。境外托管人的托管费从基金托管人的托管费中扣除。</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基金托管费按前一日基金资产净值的</w:t>
      </w:r>
      <w:r w:rsidRPr="00D3689E">
        <w:rPr>
          <w:rFonts w:asciiTheme="minorEastAsia" w:eastAsiaTheme="minorEastAsia" w:hAnsiTheme="minorEastAsia"/>
          <w:color w:val="000000" w:themeColor="text1"/>
          <w:szCs w:val="21"/>
        </w:rPr>
        <w:t>0.25%年费率计提。计算方法如下：</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H=E×0.25%÷当年天数</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H为每日应计提的基金托管费，货币单位为人民币</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E为调整后的前一日基金资产净值，货币单位为人民币。调整后的前一日基金资产净值＝前一日基金资产净值－前一日本基金持有的目标ETF公允价值，金额为负时以零计。</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基金托管费每日计提，按月支付。经基金管理人和基金托管人核对一致后，由基金管理人出具指令，基金托管人复核后于次月首日起</w:t>
      </w:r>
      <w:r w:rsidRPr="00D3689E">
        <w:rPr>
          <w:rFonts w:asciiTheme="minorEastAsia" w:eastAsiaTheme="minorEastAsia" w:hAnsiTheme="minorEastAsia"/>
          <w:color w:val="000000" w:themeColor="text1"/>
          <w:szCs w:val="21"/>
        </w:rPr>
        <w:t>3个工作日内从基金财产中一次性支付给基金托管人，若遇法定节假日、休息日，支付日期顺延。</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3、销售服务费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w:t>
      </w:r>
      <w:r w:rsidRPr="00D3689E">
        <w:rPr>
          <w:rFonts w:asciiTheme="minorEastAsia" w:eastAsiaTheme="minorEastAsia" w:hAnsiTheme="minorEastAsia"/>
          <w:color w:val="000000" w:themeColor="text1"/>
          <w:szCs w:val="21"/>
        </w:rPr>
        <w:t>A类基金份额不收取销售服务费，C类基金份额的销售服务费年费率为0.4%。本基金销售服务费按前一日C类基金份额的基金资产净值的0.4%年费率计提。计算方法如下：</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H＝E×年销售服务费率÷当年天数</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H为C类基金份额每日应计提的基金销售服务费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E为C类基金份额前一日基金资产净值</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基金销售服务费每日计提，按月支付。经基金管理人和基金托管人核对一致后，由基金管理人出具指令，基金托管人复核后于次月首日起</w:t>
      </w:r>
      <w:r w:rsidRPr="00D3689E">
        <w:rPr>
          <w:rFonts w:asciiTheme="minorEastAsia" w:eastAsiaTheme="minorEastAsia" w:hAnsiTheme="minorEastAsia"/>
          <w:color w:val="000000" w:themeColor="text1"/>
          <w:szCs w:val="21"/>
        </w:rPr>
        <w:t>3个工作日内从基金财产中一次性支</w:t>
      </w:r>
      <w:r w:rsidRPr="00D3689E">
        <w:rPr>
          <w:rFonts w:asciiTheme="minorEastAsia" w:eastAsiaTheme="minorEastAsia" w:hAnsiTheme="minorEastAsia" w:hint="eastAsia"/>
          <w:color w:val="000000" w:themeColor="text1"/>
          <w:szCs w:val="21"/>
        </w:rPr>
        <w:t>付。基金管理人根据与销售机构签订的销售协议中约定的付款周期分别划付给销售机构。若遇法定节假日、公休日等，支付日期顺延。费用自动扣划后，管理人应进行核对，如发</w:t>
      </w:r>
      <w:r w:rsidRPr="00D3689E">
        <w:rPr>
          <w:rFonts w:asciiTheme="minorEastAsia" w:eastAsiaTheme="minorEastAsia" w:hAnsiTheme="minorEastAsia" w:hint="eastAsia"/>
          <w:color w:val="000000" w:themeColor="text1"/>
          <w:szCs w:val="21"/>
        </w:rPr>
        <w:t>现数据不符，及时联系托管人协商解决。</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4、基金的指数使用费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本基金作为指数基金，需要根据与标的指数许可方所签订的指数使用许可协议中所规定的指数许可使用费计提方法计提指数使用费。本基金为联接基金，暂不收取指数使用费。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如果指数使用费的计算方法和费率等发生调整，本基金将采用调整后的方法或费率计算指数使用费。基金管理人应及时按照《信息披露管理办法》的规定在指定媒介进行公告。</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5、上述“一、基金费用的种类”中第3至第13项费用由基金管理人和基金托管人根据有关法律法规及相应协议的规定，列入或摊入当期基金费用。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三、不列入基金费用的项目</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1、基金管理人和基金托管人因未履行或未完全履行义务导致的费用支出或基金财产的损失等不列入基金费用。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2、基金管理人和基金托管人处理与基金运作无关的事项发生的费用；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3、《基金合同》生效前的相关费用，包括但不限于验资费、会计师和律师费、信息披露费用等费用；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4、其他根据相关法律法规及中国证监会的有关规定不得列入基金费用的项目。</w:t>
      </w:r>
    </w:p>
    <w:p w:rsidR="00842A99" w:rsidRPr="00D3689E" w:rsidP="00842A9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四、与基金销售有关的费用</w:t>
      </w:r>
    </w:p>
    <w:p w:rsidR="00842A99" w:rsidRPr="00D3689E" w:rsidP="00842A9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1、本基金申购费、赎回费的费率水平、计算公式、收取方式和使用方式请详见本招募说明书“</w:t>
      </w:r>
      <w:r w:rsidRPr="00D3689E" w:rsidR="00AC63AF">
        <w:rPr>
          <w:rFonts w:asciiTheme="minorEastAsia" w:eastAsiaTheme="minorEastAsia" w:hAnsiTheme="minorEastAsia" w:hint="eastAsia"/>
          <w:color w:val="000000" w:themeColor="text1"/>
          <w:szCs w:val="21"/>
        </w:rPr>
        <w:t>第十节</w:t>
      </w:r>
      <w:r w:rsidRPr="00D3689E">
        <w:rPr>
          <w:rFonts w:asciiTheme="minorEastAsia" w:eastAsiaTheme="minorEastAsia" w:hAnsiTheme="minorEastAsia" w:hint="eastAsia"/>
          <w:color w:val="000000" w:themeColor="text1"/>
          <w:szCs w:val="21"/>
        </w:rPr>
        <w:t>基金份额的申购、赎回”中的“</w:t>
      </w:r>
      <w:r w:rsidRPr="00D3689E" w:rsidR="00AC63AF">
        <w:rPr>
          <w:rFonts w:asciiTheme="minorEastAsia" w:eastAsiaTheme="minorEastAsia" w:hAnsiTheme="minorEastAsia" w:hint="eastAsia"/>
          <w:color w:val="000000" w:themeColor="text1"/>
          <w:szCs w:val="21"/>
        </w:rPr>
        <w:t>七、申购与赎回的费率</w:t>
      </w:r>
      <w:r w:rsidRPr="00D3689E">
        <w:rPr>
          <w:rFonts w:asciiTheme="minorEastAsia" w:eastAsiaTheme="minorEastAsia" w:hAnsiTheme="minorEastAsia" w:hint="eastAsia"/>
          <w:color w:val="000000" w:themeColor="text1"/>
          <w:szCs w:val="21"/>
        </w:rPr>
        <w:t>”与“</w:t>
      </w:r>
      <w:r w:rsidRPr="00D3689E" w:rsidR="00AC63AF">
        <w:rPr>
          <w:rFonts w:asciiTheme="minorEastAsia" w:eastAsiaTheme="minorEastAsia" w:hAnsiTheme="minorEastAsia" w:hint="eastAsia"/>
          <w:color w:val="000000" w:themeColor="text1"/>
          <w:szCs w:val="21"/>
        </w:rPr>
        <w:t>八、申购份额与赎回金额的计算</w:t>
      </w:r>
      <w:r w:rsidRPr="00D3689E">
        <w:rPr>
          <w:rFonts w:asciiTheme="minorEastAsia" w:eastAsiaTheme="minorEastAsia" w:hAnsiTheme="minorEastAsia" w:hint="eastAsia"/>
          <w:color w:val="000000" w:themeColor="text1"/>
          <w:szCs w:val="21"/>
        </w:rPr>
        <w:t>”中的相关规定。</w:t>
      </w:r>
    </w:p>
    <w:p w:rsidR="00842A99" w:rsidRPr="00D3689E" w:rsidP="00842A9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2、投资者通过本公司网上交易系统（www.efunds.com.cn）进行申购、赎回和转换的交易费率，请具体参照我公司网站上的相关说明。</w:t>
      </w:r>
    </w:p>
    <w:p w:rsidR="00842A99" w:rsidRPr="00D3689E" w:rsidP="000461DB">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w:t>
      </w:r>
      <w:r w:rsidRPr="00D3689E" w:rsidR="000461DB">
        <w:rPr>
          <w:rFonts w:asciiTheme="minorEastAsia" w:eastAsiaTheme="minorEastAsia" w:hAnsiTheme="minorEastAsia" w:hint="eastAsia"/>
          <w:color w:val="000000" w:themeColor="text1"/>
          <w:szCs w:val="21"/>
        </w:rPr>
        <w:t>基金管理人可以在基金合同规定的范围内调整上述费率，调整后的费率在更新的招募说明书中列示。上述费率如发生变更，基金管理人还应于新的费率实施前依照《信息披露办法》的有关规定在指定媒介上公告。</w:t>
      </w:r>
    </w:p>
    <w:p w:rsidR="00842A99" w:rsidRPr="00D3689E" w:rsidP="00842A9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w:t>
      </w:r>
      <w:r w:rsidRPr="00D3689E" w:rsidR="000461DB">
        <w:rPr>
          <w:rFonts w:asciiTheme="minorEastAsia" w:eastAsiaTheme="minorEastAsia" w:hAnsiTheme="minorEastAsia"/>
          <w:color w:val="000000" w:themeColor="text1"/>
          <w:szCs w:val="21"/>
        </w:rPr>
        <w:t>基金管理人可以在不违背法律法规规定及《基金合同》约定的情形下根据市场情况制定基金促销计划</w:t>
      </w:r>
      <w:r w:rsidRPr="00D3689E" w:rsidR="000461DB">
        <w:rPr>
          <w:rFonts w:asciiTheme="minorEastAsia" w:eastAsiaTheme="minorEastAsia" w:hAnsiTheme="minorEastAsia" w:hint="eastAsia"/>
          <w:color w:val="000000" w:themeColor="text1"/>
          <w:szCs w:val="21"/>
        </w:rPr>
        <w:t>，针对基金投资者定期和不定期地开展基金促销活动。在基金促销活动期间，对存量份额持有人利益无实质性不利影响下，基金管理人可以适当调低基金销售费率，或针对特定渠道、特定投资群体开展有差别的费率优惠活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五、基金税收</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本基金运作过程中涉及的各纳税主体，依照国家或所投资市场所在国家的法律法规的规定履行纳税。</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300" w:name="_Toc308697541"/>
      <w:bookmarkStart w:id="301" w:name="_Toc309286063"/>
      <w:bookmarkStart w:id="302" w:name="_Toc308697542"/>
      <w:bookmarkStart w:id="303" w:name="_Toc309286064"/>
      <w:bookmarkStart w:id="304" w:name="_Toc308697543"/>
      <w:bookmarkStart w:id="305" w:name="_Toc309286065"/>
      <w:bookmarkStart w:id="306" w:name="_Toc306614238"/>
      <w:bookmarkEnd w:id="296"/>
      <w:bookmarkEnd w:id="298"/>
      <w:bookmarkEnd w:id="299"/>
      <w:bookmarkEnd w:id="300"/>
      <w:bookmarkEnd w:id="301"/>
      <w:bookmarkEnd w:id="302"/>
      <w:bookmarkEnd w:id="303"/>
      <w:bookmarkEnd w:id="304"/>
      <w:bookmarkEnd w:id="305"/>
      <w:bookmarkEnd w:id="306"/>
      <w:r w:rsidRPr="00D3689E">
        <w:rPr>
          <w:rFonts w:asciiTheme="minorEastAsia" w:eastAsiaTheme="minorEastAsia" w:hAnsiTheme="minorEastAsia"/>
          <w:b w:val="0"/>
          <w:bCs/>
          <w:color w:val="000000" w:themeColor="text1"/>
        </w:rPr>
        <w:br w:type="page"/>
      </w:r>
      <w:bookmarkStart w:id="307" w:name="_Toc169103842"/>
      <w:r w:rsidRPr="00D3689E">
        <w:rPr>
          <w:rFonts w:asciiTheme="minorEastAsia" w:eastAsiaTheme="minorEastAsia" w:hAnsiTheme="minorEastAsia" w:hint="eastAsia"/>
          <w:color w:val="000000" w:themeColor="text1"/>
        </w:rPr>
        <w:t>基金的财产</w:t>
      </w:r>
      <w:bookmarkEnd w:id="307"/>
    </w:p>
    <w:p w:rsidR="0064594E" w:rsidRPr="00D3689E" w:rsidP="003C77FE">
      <w:pPr>
        <w:spacing w:line="360" w:lineRule="auto"/>
        <w:ind w:firstLine="420"/>
        <w:rPr>
          <w:rFonts w:asciiTheme="minorEastAsia" w:eastAsiaTheme="minorEastAsia" w:hAnsiTheme="minorEastAsia"/>
          <w:color w:val="000000" w:themeColor="text1"/>
          <w:szCs w:val="21"/>
        </w:rPr>
      </w:pPr>
      <w:bookmarkStart w:id="308" w:name="_Toc310512463"/>
      <w:bookmarkStart w:id="309" w:name="_Toc310512627"/>
      <w:bookmarkStart w:id="310" w:name="_Toc310512780"/>
      <w:bookmarkStart w:id="311" w:name="_Toc310512933"/>
      <w:bookmarkStart w:id="312" w:name="_Toc310513073"/>
      <w:bookmarkStart w:id="313" w:name="_Toc310513212"/>
      <w:bookmarkStart w:id="314" w:name="_Toc310513348"/>
      <w:bookmarkStart w:id="315" w:name="_Toc323051024"/>
      <w:bookmarkStart w:id="316" w:name="_Toc310512464"/>
      <w:bookmarkStart w:id="317" w:name="_Toc310512628"/>
      <w:bookmarkStart w:id="318" w:name="_Toc310512781"/>
      <w:bookmarkStart w:id="319" w:name="_Toc310512934"/>
      <w:bookmarkStart w:id="320" w:name="_Toc310513074"/>
      <w:bookmarkStart w:id="321" w:name="_Toc310513213"/>
      <w:bookmarkStart w:id="322" w:name="_Toc310513349"/>
      <w:bookmarkStart w:id="323" w:name="_Toc323051025"/>
      <w:bookmarkStart w:id="324" w:name="_Toc310512465"/>
      <w:bookmarkStart w:id="325" w:name="_Toc310512629"/>
      <w:bookmarkStart w:id="326" w:name="_Toc310512782"/>
      <w:bookmarkStart w:id="327" w:name="_Toc310512935"/>
      <w:bookmarkStart w:id="328" w:name="_Toc310513075"/>
      <w:bookmarkStart w:id="329" w:name="_Toc310513214"/>
      <w:bookmarkStart w:id="330" w:name="_Toc310513350"/>
      <w:bookmarkStart w:id="331" w:name="_Toc323051026"/>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一、基金资产总值</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基金资产总值是指购买的各类证券及票据价值、银行存款本息和基金应收的申购基金款以及其他投资所形成的价值总和。</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二、基金资产净值</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基金资产净值是指基金资产总值减去基金负债后的价值。</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三、基金财产的账户</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托管人根据相关法律法规、规范性文件为本基金开立资金账户、证券账户以及投资所需的其他专用账户。开立的基金专用账户与基金管理人、基金托管人、境外托管人、基金销售机构和基金登记结算机构自有的财产账户以及其他基金财产账户相独立。</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四、基金财产的保管和处分</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本基金财产独立于基金管理人、基金托管人、境外托管人和基金销售机构的财产，并由基金托管人和</w:t>
      </w:r>
      <w:r w:rsidRPr="00D3689E">
        <w:rPr>
          <w:rFonts w:asciiTheme="minorEastAsia" w:eastAsiaTheme="minorEastAsia" w:hAnsiTheme="minorEastAsia"/>
          <w:color w:val="000000" w:themeColor="text1"/>
          <w:kern w:val="0"/>
          <w:szCs w:val="21"/>
        </w:rPr>
        <w:t>/或其委托的境外托管人保管。基金管理人、基金托管人、基金登记结算机构和基金销售机构以其自有的财产承担其自身的法律责任，其债权人不得对本基金财产行使请求冻结、扣押或其他权利。除依法律法规和《基金合同》的规定处分外，基金财产不得被处分。</w:t>
      </w:r>
    </w:p>
    <w:p w:rsidR="00B22930" w:rsidRPr="00D3689E" w:rsidP="00F5008F">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bCs/>
          <w:color w:val="000000" w:themeColor="text1"/>
        </w:rPr>
        <w:br w:type="page"/>
      </w:r>
      <w:bookmarkStart w:id="332" w:name="_Toc169103843"/>
      <w:r w:rsidRPr="00D3689E">
        <w:rPr>
          <w:rFonts w:asciiTheme="minorEastAsia" w:eastAsiaTheme="minorEastAsia" w:hAnsiTheme="minorEastAsia" w:hint="eastAsia"/>
          <w:color w:val="000000" w:themeColor="text1"/>
        </w:rPr>
        <w:t>基金</w:t>
      </w:r>
      <w:r w:rsidRPr="00D3689E" w:rsidR="00F73B8E">
        <w:rPr>
          <w:rFonts w:asciiTheme="minorEastAsia" w:eastAsiaTheme="minorEastAsia" w:hAnsiTheme="minorEastAsia" w:hint="eastAsia"/>
          <w:color w:val="000000" w:themeColor="text1"/>
        </w:rPr>
        <w:t>资产</w:t>
      </w:r>
      <w:r w:rsidRPr="00D3689E" w:rsidR="00265578">
        <w:rPr>
          <w:rFonts w:asciiTheme="minorEastAsia" w:eastAsiaTheme="minorEastAsia" w:hAnsiTheme="minorEastAsia" w:hint="eastAsia"/>
          <w:color w:val="000000" w:themeColor="text1"/>
        </w:rPr>
        <w:t>的</w:t>
      </w:r>
      <w:r w:rsidRPr="00D3689E">
        <w:rPr>
          <w:rFonts w:asciiTheme="minorEastAsia" w:eastAsiaTheme="minorEastAsia" w:hAnsiTheme="minorEastAsia" w:hint="eastAsia"/>
          <w:color w:val="000000" w:themeColor="text1"/>
        </w:rPr>
        <w:t>估值</w:t>
      </w:r>
      <w:bookmarkEnd w:id="332"/>
    </w:p>
    <w:p w:rsidR="00CB32B9" w:rsidRPr="00D3689E" w:rsidP="00417C26">
      <w:pPr>
        <w:spacing w:line="360" w:lineRule="auto"/>
        <w:ind w:firstLine="420" w:firstLineChars="200"/>
        <w:rPr>
          <w:rFonts w:asciiTheme="minorEastAsia" w:eastAsiaTheme="minorEastAsia" w:hAnsiTheme="minorEastAsia"/>
          <w:color w:val="000000" w:themeColor="text1"/>
          <w:szCs w:val="21"/>
        </w:rPr>
      </w:pPr>
      <w:bookmarkStart w:id="333" w:name="_Toc84149655"/>
      <w:bookmarkStart w:id="334" w:name="_Toc66706733"/>
      <w:bookmarkStart w:id="335" w:name="_Toc86584624"/>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一、估值日</w:t>
      </w:r>
    </w:p>
    <w:p w:rsidR="00B22930" w:rsidRPr="00D3689E" w:rsidP="00F0430E">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本基金的估值日为本基金的开放日以及国家法律法规规定需要对外披露基金净值的非开放日。</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二、估值对象</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基金所拥有的目标</w:t>
      </w:r>
      <w:r w:rsidRPr="00D3689E">
        <w:rPr>
          <w:rFonts w:asciiTheme="minorEastAsia" w:eastAsiaTheme="minorEastAsia" w:hAnsiTheme="minorEastAsia"/>
          <w:color w:val="000000" w:themeColor="text1"/>
          <w:kern w:val="0"/>
          <w:szCs w:val="21"/>
        </w:rPr>
        <w:t>ETF基金份额、股票、债券以及银行存款本息、应收款项和其他投资等资产。</w:t>
      </w:r>
    </w:p>
    <w:p w:rsidR="00B22930" w:rsidRPr="00D3689E" w:rsidP="00B22930">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三、估值方法</w:t>
      </w:r>
    </w:p>
    <w:p w:rsidR="00B22930" w:rsidRPr="00D3689E" w:rsidP="00B22930">
      <w:pPr>
        <w:pStyle w:val="CM59"/>
        <w:numPr>
          <w:ilvl w:val="5"/>
          <w:numId w:val="6"/>
        </w:numPr>
        <w:tabs>
          <w:tab w:val="num" w:pos="851"/>
          <w:tab w:val="clear" w:pos="2460"/>
        </w:tabs>
        <w:spacing w:after="0" w:line="360" w:lineRule="auto"/>
        <w:ind w:hanging="2034"/>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目标</w:t>
      </w:r>
      <w:r w:rsidRPr="00D3689E">
        <w:rPr>
          <w:rFonts w:asciiTheme="minorEastAsia" w:eastAsiaTheme="minorEastAsia" w:hAnsiTheme="minorEastAsia"/>
          <w:color w:val="000000" w:themeColor="text1"/>
          <w:sz w:val="21"/>
          <w:szCs w:val="21"/>
        </w:rPr>
        <w:t>ETF估值方法</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对持有的目标</w:t>
      </w:r>
      <w:r w:rsidRPr="00D3689E">
        <w:rPr>
          <w:rFonts w:asciiTheme="minorEastAsia" w:eastAsiaTheme="minorEastAsia" w:hAnsiTheme="minorEastAsia"/>
          <w:color w:val="000000" w:themeColor="text1"/>
          <w:szCs w:val="21"/>
        </w:rPr>
        <w:t>ETF基金，按估值日目标ETF基金的份额净值估值。</w:t>
      </w:r>
    </w:p>
    <w:p w:rsidR="00B22930" w:rsidRPr="00D3689E" w:rsidP="00B22930">
      <w:pPr>
        <w:pStyle w:val="CM59"/>
        <w:numPr>
          <w:ilvl w:val="5"/>
          <w:numId w:val="6"/>
        </w:numPr>
        <w:tabs>
          <w:tab w:val="num" w:pos="851"/>
          <w:tab w:val="clear" w:pos="2460"/>
        </w:tabs>
        <w:spacing w:after="0" w:line="360" w:lineRule="auto"/>
        <w:ind w:hanging="2034"/>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股票估值方法</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1）上市流通的股票按估值日在证券交易所的收盘价估值；估值日无交易的，以最近交易日的收盘价估值。</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2</w:t>
      </w: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处于未上市期间的股票应区分如下情况处理：</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color w:val="000000" w:themeColor="text1"/>
          <w:sz w:val="21"/>
          <w:szCs w:val="21"/>
        </w:rPr>
        <w:t>1）首次发行未上市的股票，采用估值技术确定公允价值，在估值技术难以可靠计量公允价值的情况下，按成本价估值；</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color w:val="000000" w:themeColor="text1"/>
          <w:sz w:val="21"/>
          <w:szCs w:val="21"/>
        </w:rPr>
        <w:t>2）送股、转增股、配股和增发新股，按估值日在证券交易所上市的同一股票的收盘价进行估值；该日无交易的，以最近一日的收盘价估值；</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color w:val="000000" w:themeColor="text1"/>
          <w:sz w:val="21"/>
          <w:szCs w:val="21"/>
        </w:rPr>
        <w:t>3）首次公开发行有明确锁定期的股票，同一股票在交易所上市后，按估值日在证券交易所上市的同一股票的收盘价进行估值。</w:t>
      </w:r>
    </w:p>
    <w:p w:rsidR="00B22930" w:rsidRPr="00D3689E" w:rsidP="00B22930">
      <w:pPr>
        <w:pStyle w:val="CM59"/>
        <w:numPr>
          <w:ilvl w:val="5"/>
          <w:numId w:val="6"/>
        </w:numPr>
        <w:tabs>
          <w:tab w:val="num" w:pos="851"/>
          <w:tab w:val="clear" w:pos="2460"/>
        </w:tabs>
        <w:spacing w:after="0" w:line="360" w:lineRule="auto"/>
        <w:ind w:hanging="2034"/>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基金估值方法</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1）除目标ETF基金外，上市流通的基金按估值日在证券交易所的收盘价估值；估值日</w:t>
      </w:r>
      <w:r w:rsidRPr="00D3689E">
        <w:rPr>
          <w:rFonts w:asciiTheme="minorEastAsia" w:eastAsiaTheme="minorEastAsia" w:hAnsiTheme="minorEastAsia" w:hint="eastAsia"/>
          <w:color w:val="000000" w:themeColor="text1"/>
          <w:sz w:val="21"/>
          <w:szCs w:val="21"/>
        </w:rPr>
        <w:t>无交易的，以最近交易日的收盘价估值；</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2）非上市流通基金以估值截止时点能够取得的最新基金份额净值进行估值。</w:t>
      </w:r>
    </w:p>
    <w:p w:rsidR="00B22930" w:rsidRPr="00D3689E" w:rsidP="00B22930">
      <w:pPr>
        <w:pStyle w:val="CM59"/>
        <w:numPr>
          <w:ilvl w:val="5"/>
          <w:numId w:val="6"/>
        </w:numPr>
        <w:tabs>
          <w:tab w:val="num" w:pos="851"/>
          <w:tab w:val="clear" w:pos="2460"/>
        </w:tabs>
        <w:spacing w:after="0" w:line="360" w:lineRule="auto"/>
        <w:ind w:left="425" w:firstLine="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债券估值方法</w:t>
      </w:r>
    </w:p>
    <w:p w:rsidR="00B22930" w:rsidRPr="00D3689E" w:rsidP="00B22930">
      <w:pPr>
        <w:pStyle w:val="CM59"/>
        <w:spacing w:after="0" w:line="360" w:lineRule="auto"/>
        <w:ind w:firstLine="42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1）对于上市流通的债券，证券交易所市场实行净价交易的债券按估值日在证券交易所的收盘价估值；估值日无交易的，以最近交易日的收盘价估值。证券交易所市场未实行净</w:t>
      </w:r>
      <w:r w:rsidRPr="00D3689E">
        <w:rPr>
          <w:rFonts w:asciiTheme="minorEastAsia" w:eastAsiaTheme="minorEastAsia" w:hAnsiTheme="minorEastAsia"/>
          <w:color w:val="000000" w:themeColor="text1"/>
          <w:sz w:val="21"/>
          <w:szCs w:val="21"/>
        </w:rPr>
        <w:t>价交易的债券按估值日收盘价减去债券收盘价中所含的债券应收利息得到的净价进行估值，估值日没有交易的，按最近交易日债券收盘价减去所含的最近交易日债券应收利息后得到的净价估值。</w:t>
      </w:r>
    </w:p>
    <w:p w:rsidR="00B22930" w:rsidRPr="00D3689E" w:rsidP="00B22930">
      <w:pPr>
        <w:pStyle w:val="Default"/>
        <w:spacing w:line="360" w:lineRule="auto"/>
        <w:ind w:firstLine="420"/>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2）对于非上市债券，参照主要做市商或其他权威价格提供机构的报价进行估值。</w:t>
      </w:r>
    </w:p>
    <w:p w:rsidR="00B22930" w:rsidRPr="00D3689E" w:rsidP="00B22930">
      <w:pPr>
        <w:pStyle w:val="CM59"/>
        <w:numPr>
          <w:ilvl w:val="5"/>
          <w:numId w:val="6"/>
        </w:numPr>
        <w:tabs>
          <w:tab w:val="num" w:pos="851"/>
          <w:tab w:val="clear" w:pos="2460"/>
        </w:tabs>
        <w:spacing w:after="0" w:line="360" w:lineRule="auto"/>
        <w:ind w:left="425" w:firstLine="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衍生品估值方法</w:t>
      </w:r>
    </w:p>
    <w:p w:rsidR="00B22930" w:rsidRPr="00D3689E" w:rsidP="00B22930">
      <w:pPr>
        <w:pStyle w:val="Default"/>
        <w:spacing w:line="360" w:lineRule="auto"/>
        <w:ind w:firstLine="420"/>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1）上市流通衍生品按估值日在证券交易所的收盘价估值；估值日无交易的，以最近交易日的收盘价估值。</w:t>
      </w:r>
    </w:p>
    <w:p w:rsidR="00B22930" w:rsidRPr="00D3689E" w:rsidP="00B22930">
      <w:pPr>
        <w:pStyle w:val="Default"/>
        <w:spacing w:line="360" w:lineRule="auto"/>
        <w:ind w:firstLine="420"/>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w:t>
      </w:r>
      <w:r w:rsidRPr="00D3689E">
        <w:rPr>
          <w:rFonts w:asciiTheme="minorEastAsia" w:eastAsiaTheme="minorEastAsia" w:hAnsiTheme="minorEastAsia"/>
          <w:color w:val="000000" w:themeColor="text1"/>
          <w:sz w:val="21"/>
          <w:szCs w:val="21"/>
        </w:rPr>
        <w:t>2）非上市衍生品采用估值技术确定公允价值，在估值技术难以可靠计量公允价值的情况下，按成本估值。</w:t>
      </w:r>
    </w:p>
    <w:p w:rsidR="00B22930" w:rsidRPr="00D3689E" w:rsidP="00B22930">
      <w:pPr>
        <w:pStyle w:val="CM59"/>
        <w:numPr>
          <w:ilvl w:val="5"/>
          <w:numId w:val="6"/>
        </w:numPr>
        <w:tabs>
          <w:tab w:val="num" w:pos="851"/>
          <w:tab w:val="clear" w:pos="2460"/>
        </w:tabs>
        <w:spacing w:after="0" w:line="360" w:lineRule="auto"/>
        <w:ind w:left="425" w:firstLine="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估值</w:t>
      </w:r>
      <w:r w:rsidRPr="00D3689E">
        <w:rPr>
          <w:rFonts w:asciiTheme="minorEastAsia" w:eastAsiaTheme="minorEastAsia" w:hAnsiTheme="minorEastAsia"/>
          <w:color w:val="000000" w:themeColor="text1"/>
          <w:sz w:val="21"/>
          <w:szCs w:val="21"/>
        </w:rPr>
        <w:t>汇率</w:t>
      </w:r>
    </w:p>
    <w:p w:rsidR="00B22930" w:rsidRPr="00D3689E" w:rsidP="00B22930">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（1）估值计算中涉及主要货币对人民币汇率的，将依据下列信息提供机构所提供的汇率为基准：</w:t>
      </w:r>
      <w:r w:rsidRPr="00D3689E">
        <w:rPr>
          <w:rFonts w:asciiTheme="minorEastAsia" w:eastAsiaTheme="minorEastAsia" w:hAnsiTheme="minorEastAsia" w:hint="eastAsia"/>
          <w:color w:val="000000" w:themeColor="text1"/>
          <w:kern w:val="0"/>
          <w:szCs w:val="21"/>
        </w:rPr>
        <w:t>当日中国人民银行或其授权机构公布的人民币汇率中间价</w:t>
      </w:r>
      <w:r w:rsidRPr="00D3689E">
        <w:rPr>
          <w:rFonts w:asciiTheme="minorEastAsia" w:eastAsiaTheme="minorEastAsia" w:hAnsiTheme="minorEastAsia"/>
          <w:color w:val="000000" w:themeColor="text1"/>
          <w:kern w:val="0"/>
          <w:szCs w:val="21"/>
        </w:rPr>
        <w:t>。</w:t>
      </w:r>
      <w:r w:rsidRPr="00D3689E">
        <w:rPr>
          <w:rFonts w:asciiTheme="minorEastAsia" w:eastAsiaTheme="minorEastAsia" w:hAnsiTheme="minorEastAsia" w:hint="eastAsia"/>
          <w:color w:val="000000" w:themeColor="text1"/>
          <w:kern w:val="0"/>
          <w:szCs w:val="21"/>
        </w:rPr>
        <w:t>主要外汇种类以中国人民银行或其授权机构最新公布为准。</w:t>
      </w:r>
    </w:p>
    <w:p w:rsidR="00B22930" w:rsidRPr="00D3689E" w:rsidP="00B22930">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（2）</w:t>
      </w:r>
      <w:r w:rsidRPr="00D3689E" w:rsidR="00AE1407">
        <w:rPr>
          <w:rFonts w:asciiTheme="minorEastAsia" w:eastAsiaTheme="minorEastAsia" w:hAnsiTheme="minorEastAsia" w:hint="eastAsia"/>
          <w:color w:val="000000" w:themeColor="text1"/>
          <w:szCs w:val="21"/>
        </w:rPr>
        <w:t>其他货币采用美元作为中间货币进行换算，采用彭博伦敦下午四点的汇率套算。基金管理人和托管人经协商可对所采用的汇率来源进行调整。</w:t>
      </w:r>
    </w:p>
    <w:p w:rsidR="00B22930" w:rsidRPr="00D3689E" w:rsidP="00B22930">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color w:val="000000" w:themeColor="text1"/>
          <w:kern w:val="0"/>
          <w:szCs w:val="21"/>
        </w:rPr>
        <w:t>若无法取得上述汇率价格信息时，以</w:t>
      </w:r>
      <w:r w:rsidRPr="00D3689E">
        <w:rPr>
          <w:rFonts w:asciiTheme="minorEastAsia" w:eastAsiaTheme="minorEastAsia" w:hAnsiTheme="minorEastAsia" w:hint="eastAsia"/>
          <w:color w:val="000000" w:themeColor="text1"/>
          <w:kern w:val="0"/>
          <w:szCs w:val="21"/>
        </w:rPr>
        <w:t>基金</w:t>
      </w:r>
      <w:r w:rsidRPr="00D3689E">
        <w:rPr>
          <w:rFonts w:asciiTheme="minorEastAsia" w:eastAsiaTheme="minorEastAsia" w:hAnsiTheme="minorEastAsia"/>
          <w:color w:val="000000" w:themeColor="text1"/>
          <w:kern w:val="0"/>
          <w:szCs w:val="21"/>
        </w:rPr>
        <w:t>托管</w:t>
      </w:r>
      <w:r w:rsidRPr="00D3689E">
        <w:rPr>
          <w:rFonts w:asciiTheme="minorEastAsia" w:eastAsiaTheme="minorEastAsia" w:hAnsiTheme="minorEastAsia" w:hint="eastAsia"/>
          <w:color w:val="000000" w:themeColor="text1"/>
          <w:kern w:val="0"/>
          <w:szCs w:val="21"/>
        </w:rPr>
        <w:t>人</w:t>
      </w:r>
      <w:r w:rsidRPr="00D3689E">
        <w:rPr>
          <w:rFonts w:asciiTheme="minorEastAsia" w:eastAsiaTheme="minorEastAsia" w:hAnsiTheme="minorEastAsia"/>
          <w:color w:val="000000" w:themeColor="text1"/>
          <w:kern w:val="0"/>
          <w:szCs w:val="21"/>
        </w:rPr>
        <w:t>或境外托管人所提供的合理公开外汇市场交易价格为准。</w:t>
      </w:r>
      <w:r w:rsidRPr="00D3689E">
        <w:rPr>
          <w:rFonts w:asciiTheme="minorEastAsia" w:eastAsiaTheme="minorEastAsia" w:hAnsiTheme="minorEastAsia" w:hint="eastAsia"/>
          <w:color w:val="000000" w:themeColor="text1"/>
          <w:szCs w:val="21"/>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B22930" w:rsidRPr="00D3689E" w:rsidP="00B22930">
      <w:pPr>
        <w:pStyle w:val="CM59"/>
        <w:numPr>
          <w:ilvl w:val="5"/>
          <w:numId w:val="6"/>
        </w:numPr>
        <w:tabs>
          <w:tab w:val="num" w:pos="851"/>
          <w:tab w:val="clear" w:pos="2460"/>
        </w:tabs>
        <w:spacing w:after="0" w:line="360" w:lineRule="auto"/>
        <w:ind w:left="425" w:firstLine="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税收</w:t>
      </w:r>
    </w:p>
    <w:p w:rsidR="00B22930" w:rsidRPr="00D3689E" w:rsidP="00B22930">
      <w:pPr>
        <w:spacing w:line="360" w:lineRule="auto"/>
        <w:ind w:firstLine="420" w:firstLineChars="20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kern w:val="0"/>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B22930" w:rsidRPr="00D3689E" w:rsidP="00B22930">
      <w:pPr>
        <w:pStyle w:val="CM59"/>
        <w:numPr>
          <w:ilvl w:val="5"/>
          <w:numId w:val="6"/>
        </w:numPr>
        <w:tabs>
          <w:tab w:val="num" w:pos="851"/>
          <w:tab w:val="clear" w:pos="2460"/>
        </w:tabs>
        <w:spacing w:after="0" w:line="360" w:lineRule="auto"/>
        <w:ind w:left="0" w:firstLine="420" w:firstLineChars="20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在任何情况下，基金管理人如采用上述第</w:t>
      </w:r>
      <w:r w:rsidRPr="00D3689E">
        <w:rPr>
          <w:rFonts w:asciiTheme="minorEastAsia" w:eastAsiaTheme="minorEastAsia" w:hAnsiTheme="minorEastAsia"/>
          <w:color w:val="000000" w:themeColor="text1"/>
          <w:sz w:val="21"/>
          <w:szCs w:val="21"/>
        </w:rPr>
        <w:t>1-7项规定的方法对基金资产进行估值，均应被认为采用了适当的估值方法。</w:t>
      </w:r>
    </w:p>
    <w:p w:rsidR="00B22930" w:rsidRPr="00D3689E" w:rsidP="00B22930">
      <w:pPr>
        <w:pStyle w:val="CM59"/>
        <w:numPr>
          <w:ilvl w:val="5"/>
          <w:numId w:val="6"/>
        </w:numPr>
        <w:tabs>
          <w:tab w:val="num" w:pos="851"/>
          <w:tab w:val="clear" w:pos="2460"/>
        </w:tabs>
        <w:spacing w:after="0" w:line="360" w:lineRule="auto"/>
        <w:ind w:left="0" w:firstLine="420" w:firstLineChars="20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color w:val="000000" w:themeColor="text1"/>
          <w:sz w:val="21"/>
          <w:szCs w:val="21"/>
        </w:rPr>
        <w:t>如有确凿证据表明按上述方法进行估值不能客观反映其公允价值的，基金管理人可根据具体情况与基金托管人商定后，按最能反映公允价值的价格估值。</w:t>
      </w:r>
    </w:p>
    <w:p w:rsidR="00B22930" w:rsidRPr="00D3689E" w:rsidP="00B22930">
      <w:pPr>
        <w:pStyle w:val="CM59"/>
        <w:numPr>
          <w:ilvl w:val="5"/>
          <w:numId w:val="6"/>
        </w:numPr>
        <w:tabs>
          <w:tab w:val="num" w:pos="851"/>
          <w:tab w:val="clear" w:pos="2460"/>
        </w:tabs>
        <w:spacing w:after="0" w:line="360" w:lineRule="auto"/>
        <w:ind w:left="0" w:firstLine="420" w:firstLineChars="200"/>
        <w:jc w:val="both"/>
        <w:rPr>
          <w:rFonts w:asciiTheme="minorEastAsia" w:eastAsiaTheme="minorEastAsia" w:hAnsiTheme="minorEastAsia"/>
          <w:color w:val="000000" w:themeColor="text1"/>
          <w:sz w:val="21"/>
          <w:szCs w:val="21"/>
        </w:rPr>
      </w:pPr>
      <w:r w:rsidRPr="00D3689E">
        <w:rPr>
          <w:rFonts w:asciiTheme="minorEastAsia" w:eastAsiaTheme="minorEastAsia" w:hAnsiTheme="minorEastAsia" w:hint="eastAsia"/>
          <w:color w:val="000000" w:themeColor="text1"/>
          <w:sz w:val="21"/>
          <w:szCs w:val="21"/>
        </w:rPr>
        <w:t>相关法律法规以及监管部门有强制规定的，从其规定。如有新增事项，按国家最新规定估值。</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当本基金发生大额申购或赎回情形时，基金管理人可以对本基金采用摆动定价机制，以确保基金估值的公平性。</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r w:rsidRPr="00D3689E">
        <w:rPr>
          <w:rFonts w:asciiTheme="minorEastAsia" w:eastAsiaTheme="minorEastAsia" w:hAnsiTheme="minorEastAsia" w:hint="eastAsia"/>
          <w:color w:val="000000" w:themeColor="text1"/>
          <w:szCs w:val="21"/>
        </w:rPr>
        <w:t>。</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四、估值程序</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1、本基金分别计算并披露不同币种基金份额对应的基金份额净值。</w:t>
      </w:r>
      <w:r w:rsidRPr="00D3689E" w:rsidR="00E4123F">
        <w:rPr>
          <w:rFonts w:asciiTheme="minorEastAsia" w:eastAsiaTheme="minorEastAsia" w:hAnsiTheme="minorEastAsia" w:hint="eastAsia"/>
          <w:color w:val="000000" w:themeColor="text1"/>
          <w:szCs w:val="21"/>
        </w:rPr>
        <w:t>人民币份额</w:t>
      </w:r>
      <w:r w:rsidRPr="00D3689E">
        <w:rPr>
          <w:rFonts w:asciiTheme="minorEastAsia" w:eastAsiaTheme="minorEastAsia" w:hAnsiTheme="minorEastAsia" w:hint="eastAsia"/>
          <w:color w:val="000000" w:themeColor="text1"/>
          <w:szCs w:val="21"/>
        </w:rPr>
        <w:t>净值和</w:t>
      </w:r>
      <w:r w:rsidRPr="00D3689E" w:rsidR="00E4123F">
        <w:rPr>
          <w:rFonts w:asciiTheme="minorEastAsia" w:eastAsiaTheme="minorEastAsia" w:hAnsiTheme="minorEastAsia" w:hint="eastAsia"/>
          <w:color w:val="000000" w:themeColor="text1"/>
          <w:szCs w:val="21"/>
        </w:rPr>
        <w:t>美元份额</w:t>
      </w:r>
      <w:r w:rsidRPr="00D3689E">
        <w:rPr>
          <w:rFonts w:asciiTheme="minorEastAsia" w:eastAsiaTheme="minorEastAsia" w:hAnsiTheme="minorEastAsia" w:hint="eastAsia"/>
          <w:color w:val="000000" w:themeColor="text1"/>
          <w:szCs w:val="21"/>
        </w:rPr>
        <w:t>净值的计算分别精确到</w:t>
      </w:r>
      <w:r w:rsidRPr="00D3689E">
        <w:rPr>
          <w:rFonts w:asciiTheme="minorEastAsia" w:eastAsiaTheme="minorEastAsia" w:hAnsiTheme="minorEastAsia"/>
          <w:color w:val="000000" w:themeColor="text1"/>
          <w:szCs w:val="21"/>
        </w:rPr>
        <w:t>0.0001元和0.0001美元，小数点后第五位四舍五入。特殊情况下，经与基金托管人协商一致，基金管理人可以调整净值计算及披露的小数点后位数并及时公告。国家另有规定的，从其规定。</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管理人应每个工作日对前一估值日的基金资产进行估值。但基金管理人根据法律法规或本基金合同的规定暂停估值时除外。基金管理人每个工作日对前一估值日的基金资产进行估值后，将基金份额净值结果发送基金托管人，经基金托管人复核无误后，由基金管理人对外公布。</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五、估值错误的处理</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基金管理人和基金托管人将采取必要、适当、合理的措施确保基金资产估值的准确性、及时性。当基金份额净值计算差错达到基金份额净值的</w:t>
      </w:r>
      <w:r w:rsidRPr="00D3689E">
        <w:rPr>
          <w:rFonts w:asciiTheme="minorEastAsia" w:eastAsiaTheme="minorEastAsia" w:hAnsiTheme="minorEastAsia"/>
          <w:color w:val="000000" w:themeColor="text1"/>
          <w:szCs w:val="21"/>
        </w:rPr>
        <w:t>0.5%时，基金管理人应当立即纠正，并采取合理的措施防止损失进一步扩大。当基金份额净值计算差错小于基金份额净值0.5%时，基金管理人与基金托管人应在发现日对账务进行更正调整，不做追溯处理。</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本基金合同的当事人应按照以下约定处理：</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1、估值错误类型</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D3689E">
        <w:rPr>
          <w:rFonts w:asciiTheme="minorEastAsia" w:eastAsiaTheme="minorEastAsia" w:hAnsiTheme="minorEastAsia"/>
          <w:color w:val="000000" w:themeColor="text1"/>
          <w:szCs w:val="21"/>
        </w:rPr>
        <w:t>(“受损方”)的直接损失按下述“估值错误处理原则”给予赔偿，承担赔偿责任。</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2、估值错误处理原则</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2）估值错误的责任方对有关当事人的直接损失负责，不对间接损失负责，并且仅对估值错误的有关直接当事人负责，不对第三方负责。</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4）估值错误调整采用尽量恢复至假设未发生估值错误的正确情形的方式。</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3、估值错误处理程序</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估值错误被发现后，有关的当事人应当及时进行处理，处理的程序如下：</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1）查明估值错误发生的原因，列明所有的当事人，并根据估值错误发生的原因确定估值错误的责任方；</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2）根据估值错误处理原则或当事人协商的方法对因估值错误造成的损失进行评估；</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3）根据估值错误处理原则或当事人协商的方法由估值错误的责任方进行更正和赔偿损失；</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4）根据估值错误处理的方法，需要修改基金登记机构交易数据的，由基金登记机构进行更正，并就估值错误的更正向有关当事人进行确认。</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4、基金份额净值估值错误处理的方法如下：</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1）基金份额净值计算出现错误时，基金管理人应当立即予以纠正，通报基金托管人，并采取合理的措施防止损失进一步扩大。</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2）错误偏差达到基金份额净值的0.25%时，基金管理人应当通报基金托管人；错误</w:t>
      </w:r>
      <w:r w:rsidRPr="00D3689E">
        <w:rPr>
          <w:rFonts w:asciiTheme="minorEastAsia" w:eastAsiaTheme="minorEastAsia" w:hAnsiTheme="minorEastAsia" w:hint="eastAsia"/>
          <w:color w:val="000000" w:themeColor="text1"/>
          <w:szCs w:val="21"/>
        </w:rPr>
        <w:t>偏差达到基金份额净值的</w:t>
      </w:r>
      <w:r w:rsidRPr="00D3689E">
        <w:rPr>
          <w:rFonts w:asciiTheme="minorEastAsia" w:eastAsiaTheme="minorEastAsia" w:hAnsiTheme="minorEastAsia"/>
          <w:color w:val="000000" w:themeColor="text1"/>
          <w:szCs w:val="21"/>
        </w:rPr>
        <w:t>0.5%时，基金管理人应当公告并报中国证监会备案。</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3）前述内容如法律法规或监管机关另有规定的，从其规定处理。</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暂停估值的情形</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1、基金投资所涉及的主要证券交易所、市场或外汇市场遇法定节假日或因其他原因暂停交易时；</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2、因不可抗力致使基金管理人、基金托管人无法准确评估基金资产价值时；</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3、当前一估值日基金资产净值50%以上的资产出现无可参考的活跃市场价格且采用估值技术仍导致公允价值存在重大不确定性时，经与基金托管人协商一致后，可暂停基金估值。</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中国证监会和基金合同认定的其它情形。</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七、基金净值的确认</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用于基金信息披露的基金份额净值由基金管理人负责计算，基金托管人进行复核。基金管理人每个工作日将计算的前一估值日的基金份额净值并发送给基金托管人。基金托管人对净值计算结果复核确认后发送给基金管理人。</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八</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特殊情形的处理</w:t>
      </w:r>
    </w:p>
    <w:p w:rsidR="00B22930" w:rsidRPr="00D3689E" w:rsidP="00B22930">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、基金管理人或基金托管人按估值方法的第</w:t>
      </w:r>
      <w:r w:rsidRPr="00D3689E">
        <w:rPr>
          <w:rFonts w:asciiTheme="minorEastAsia" w:eastAsiaTheme="minorEastAsia" w:hAnsiTheme="minorEastAsia"/>
          <w:color w:val="000000" w:themeColor="text1"/>
          <w:szCs w:val="21"/>
        </w:rPr>
        <w:t>9</w:t>
      </w:r>
      <w:r w:rsidRPr="00D3689E">
        <w:rPr>
          <w:rFonts w:asciiTheme="minorEastAsia" w:eastAsiaTheme="minorEastAsia" w:hAnsiTheme="minorEastAsia" w:hint="eastAsia"/>
          <w:color w:val="000000" w:themeColor="text1"/>
          <w:szCs w:val="21"/>
        </w:rPr>
        <w:t>项进行估值时，所造成的误差不作为基金份额净值错误处理。</w:t>
      </w:r>
    </w:p>
    <w:p w:rsidR="00BE3714" w:rsidRPr="00D3689E" w:rsidP="00BE3714">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B5A8A" w:rsidRPr="00D3689E" w:rsidP="006F3154">
      <w:pPr>
        <w:spacing w:line="360" w:lineRule="auto"/>
        <w:ind w:firstLine="420" w:firstLineChars="200"/>
        <w:rPr>
          <w:rFonts w:asciiTheme="minorEastAsia" w:eastAsiaTheme="minorEastAsia" w:hAnsiTheme="minorEastAsia"/>
          <w:color w:val="000000" w:themeColor="text1"/>
          <w:kern w:val="0"/>
          <w:szCs w:val="21"/>
        </w:rPr>
      </w:pPr>
      <w:bookmarkStart w:id="336" w:name="_Toc308697560"/>
      <w:bookmarkStart w:id="337" w:name="_Toc309286082"/>
      <w:bookmarkStart w:id="338" w:name="_Toc308697561"/>
      <w:bookmarkStart w:id="339" w:name="_Toc309286083"/>
      <w:bookmarkStart w:id="340" w:name="_Toc308697562"/>
      <w:bookmarkStart w:id="341" w:name="_Toc309286084"/>
      <w:bookmarkEnd w:id="336"/>
      <w:bookmarkEnd w:id="337"/>
      <w:bookmarkEnd w:id="338"/>
      <w:bookmarkEnd w:id="339"/>
      <w:bookmarkEnd w:id="340"/>
      <w:bookmarkEnd w:id="341"/>
    </w:p>
    <w:p w:rsidR="00BE3714" w:rsidRPr="00D3689E" w:rsidP="006F3154">
      <w:pPr>
        <w:spacing w:line="360" w:lineRule="auto"/>
        <w:ind w:firstLine="420" w:firstLineChars="200"/>
        <w:rPr>
          <w:rFonts w:asciiTheme="minorEastAsia" w:eastAsiaTheme="minorEastAsia" w:hAnsiTheme="minorEastAsia"/>
          <w:color w:val="000000" w:themeColor="text1"/>
          <w:szCs w:val="21"/>
        </w:rPr>
      </w:pPr>
    </w:p>
    <w:p w:rsidR="0064594E" w:rsidRPr="00D3689E" w:rsidP="002C1A0C">
      <w:pPr>
        <w:pStyle w:val="1"/>
        <w:keepNext w:val="0"/>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342" w:name="_Toc44229106"/>
      <w:bookmarkStart w:id="343" w:name="_Toc44229201"/>
      <w:bookmarkStart w:id="344" w:name="_Toc44229107"/>
      <w:bookmarkStart w:id="345" w:name="_Toc44229202"/>
      <w:bookmarkStart w:id="346" w:name="_Toc44229108"/>
      <w:bookmarkStart w:id="347" w:name="_Toc44229203"/>
      <w:bookmarkStart w:id="348" w:name="_Toc44229109"/>
      <w:bookmarkStart w:id="349" w:name="_Toc44229204"/>
      <w:bookmarkStart w:id="350" w:name="_Toc44229110"/>
      <w:bookmarkStart w:id="351" w:name="_Toc44229205"/>
      <w:bookmarkStart w:id="352" w:name="_Toc44229111"/>
      <w:bookmarkStart w:id="353" w:name="_Toc44229206"/>
      <w:bookmarkStart w:id="354" w:name="_Toc44229112"/>
      <w:bookmarkStart w:id="355" w:name="_Toc44229207"/>
      <w:bookmarkStart w:id="356" w:name="_Toc44229113"/>
      <w:bookmarkStart w:id="357" w:name="_Toc44229208"/>
      <w:bookmarkStart w:id="358" w:name="_Toc185222016"/>
      <w:bookmarkStart w:id="359" w:name="_Toc185222488"/>
      <w:bookmarkStart w:id="360" w:name="_Toc185222591"/>
      <w:bookmarkStart w:id="361" w:name="_Toc185222757"/>
      <w:bookmarkEnd w:id="333"/>
      <w:bookmarkEnd w:id="334"/>
      <w:bookmarkEnd w:id="335"/>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D3689E">
        <w:rPr>
          <w:rFonts w:asciiTheme="minorEastAsia" w:eastAsiaTheme="minorEastAsia" w:hAnsiTheme="minorEastAsia"/>
          <w:b w:val="0"/>
          <w:bCs/>
          <w:color w:val="000000" w:themeColor="text1"/>
        </w:rPr>
        <w:br w:type="page"/>
      </w:r>
      <w:bookmarkStart w:id="362" w:name="_Toc169103844"/>
      <w:r w:rsidRPr="00D3689E">
        <w:rPr>
          <w:rFonts w:asciiTheme="minorEastAsia" w:eastAsiaTheme="minorEastAsia" w:hAnsiTheme="minorEastAsia" w:hint="eastAsia"/>
          <w:color w:val="000000" w:themeColor="text1"/>
        </w:rPr>
        <w:t>基金的收益与分配</w:t>
      </w:r>
      <w:bookmarkEnd w:id="362"/>
    </w:p>
    <w:p w:rsidR="00B22930" w:rsidRPr="00D3689E" w:rsidP="00B22930">
      <w:pPr>
        <w:spacing w:line="360" w:lineRule="auto"/>
        <w:ind w:firstLine="420" w:firstLineChars="200"/>
        <w:rPr>
          <w:rFonts w:asciiTheme="minorEastAsia" w:eastAsiaTheme="minorEastAsia" w:hAnsiTheme="minorEastAsia"/>
          <w:color w:val="000000" w:themeColor="text1"/>
          <w:szCs w:val="21"/>
        </w:rPr>
      </w:pPr>
      <w:bookmarkStart w:id="363" w:name="_Toc84149664"/>
      <w:bookmarkStart w:id="364" w:name="_Toc86584639"/>
      <w:r w:rsidRPr="00D3689E">
        <w:rPr>
          <w:rFonts w:asciiTheme="minorEastAsia" w:eastAsiaTheme="minorEastAsia" w:hAnsiTheme="minorEastAsia" w:hint="eastAsia"/>
          <w:color w:val="000000" w:themeColor="text1"/>
          <w:szCs w:val="21"/>
        </w:rPr>
        <w:t>一、基金利润的构成</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kern w:val="0"/>
          <w:szCs w:val="21"/>
        </w:rPr>
        <w:t>基金利润指</w:t>
      </w:r>
      <w:r w:rsidRPr="00D3689E">
        <w:rPr>
          <w:rFonts w:asciiTheme="minorEastAsia" w:eastAsiaTheme="minorEastAsia" w:hAnsiTheme="minorEastAsia" w:hint="eastAsia"/>
          <w:color w:val="000000" w:themeColor="text1"/>
          <w:szCs w:val="21"/>
        </w:rPr>
        <w:t>基金利息收入、投资收益、公允价值变动收益和其他收入扣除相关费用后的余额，基金已实现收益指基金利润减去公允价值变动收益后的余额。</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二、可供分配利润</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三、收益分配原则</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本基金收益分配应遵循下列原则：</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bCs/>
          <w:color w:val="000000" w:themeColor="text1"/>
          <w:szCs w:val="21"/>
        </w:rPr>
        <w:t>由于本基金</w:t>
      </w:r>
      <w:r w:rsidRPr="00D3689E">
        <w:rPr>
          <w:rFonts w:asciiTheme="minorEastAsia" w:eastAsiaTheme="minorEastAsia" w:hAnsiTheme="minorEastAsia"/>
          <w:bCs/>
          <w:color w:val="000000" w:themeColor="text1"/>
          <w:szCs w:val="21"/>
        </w:rPr>
        <w:t>A</w:t>
      </w:r>
      <w:r w:rsidRPr="00D3689E">
        <w:rPr>
          <w:rFonts w:asciiTheme="minorEastAsia" w:eastAsiaTheme="minorEastAsia" w:hAnsiTheme="minorEastAsia" w:hint="eastAsia"/>
          <w:bCs/>
          <w:color w:val="000000" w:themeColor="text1"/>
          <w:szCs w:val="21"/>
        </w:rPr>
        <w:t>类基金份额不收取销售服务费，而</w:t>
      </w:r>
      <w:r w:rsidRPr="00D3689E">
        <w:rPr>
          <w:rFonts w:asciiTheme="minorEastAsia" w:eastAsiaTheme="minorEastAsia" w:hAnsiTheme="minorEastAsia"/>
          <w:bCs/>
          <w:color w:val="000000" w:themeColor="text1"/>
          <w:szCs w:val="21"/>
        </w:rPr>
        <w:t>C</w:t>
      </w:r>
      <w:r w:rsidRPr="00D3689E">
        <w:rPr>
          <w:rFonts w:asciiTheme="minorEastAsia" w:eastAsiaTheme="minorEastAsia" w:hAnsiTheme="minorEastAsia" w:hint="eastAsia"/>
          <w:bCs/>
          <w:color w:val="000000" w:themeColor="text1"/>
          <w:szCs w:val="21"/>
        </w:rPr>
        <w:t>类基金份额收取销售服务费，各基金份额类别对应的可供分配利润将有所不同。本基金同类别的每份基金份额享有同等分配权</w:t>
      </w:r>
      <w:r w:rsidRPr="00D3689E">
        <w:rPr>
          <w:rFonts w:asciiTheme="minorEastAsia" w:eastAsiaTheme="minorEastAsia" w:hAnsiTheme="minorEastAsia" w:hint="eastAsia"/>
          <w:color w:val="000000" w:themeColor="text1"/>
          <w:szCs w:val="21"/>
        </w:rPr>
        <w:t>；</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收益分配基准日的人民币份额基金份额净值减去每单位基金份额收益分配金额后不能低于人民币份额面值；对于外币份额，由于汇率因素影响，存在收益分配后外币份额基金份额净值低于对应的基金份额面值的可能；</w:t>
      </w:r>
    </w:p>
    <w:p w:rsidR="00B22930" w:rsidRPr="00D3689E" w:rsidP="004D3D8F">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、基金收益分配方式分为现金分红与红利再投资，基金份额持有人可自行选择收益分配方式；基金份额持有人事先未做出选择的，默认的分红方式为现金分红；</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w:t>
      </w:r>
      <w:r w:rsidRPr="00D3689E" w:rsidR="00E4123F">
        <w:rPr>
          <w:rFonts w:asciiTheme="minorEastAsia" w:eastAsiaTheme="minorEastAsia" w:hAnsiTheme="minorEastAsia" w:hint="eastAsia"/>
          <w:color w:val="000000" w:themeColor="text1"/>
          <w:szCs w:val="21"/>
        </w:rPr>
        <w:t>人民币份额</w:t>
      </w:r>
      <w:r w:rsidRPr="00D3689E">
        <w:rPr>
          <w:rFonts w:asciiTheme="minorEastAsia" w:eastAsiaTheme="minorEastAsia" w:hAnsiTheme="minorEastAsia" w:hint="eastAsia"/>
          <w:color w:val="000000" w:themeColor="text1"/>
          <w:szCs w:val="21"/>
        </w:rPr>
        <w:t>的现金分红分配币种为人民币，美元等外币基金份额现金分红币种为其相应币种；不同币种份额红利再投资适用的净值为该币种份额的净值；</w:t>
      </w:r>
      <w:r w:rsidRPr="00D3689E" w:rsidR="00492892">
        <w:rPr>
          <w:rFonts w:asciiTheme="minorEastAsia" w:eastAsiaTheme="minorEastAsia" w:hAnsiTheme="minorEastAsia" w:hint="eastAsia"/>
          <w:color w:val="000000" w:themeColor="text1"/>
          <w:szCs w:val="21"/>
        </w:rPr>
        <w:t>不同类别美元份额的每份额分配金额为对应类别人民币份额的每份额分配数额按照权益登记日前一工作日美元估值汇率折算后的美元金额，计算结果以美元为单位，四舍五入，保留到小数点后四位，由此误差产生的损失由基金财产承担，产生的收益归基金财产所有；</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、法律法规、监管机关或登记结算机构另有规定的，从其规定。</w:t>
      </w:r>
      <w:bookmarkStart w:id="365" w:name="_Hlt80958353"/>
      <w:bookmarkEnd w:id="365"/>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收益分配方案</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基金收益分配方案中应载明基金截至收益分配基准日的可供分配利润、基金收益分配对象、分配时间、分配数额及比例、分配方式等内容。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五、收益分配方案的确定、公告与实施</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本基金收益分配方案由基金管理人拟定，并由基金托管人复核，在</w:t>
      </w:r>
      <w:r w:rsidRPr="00D3689E">
        <w:rPr>
          <w:rFonts w:asciiTheme="minorEastAsia" w:eastAsiaTheme="minorEastAsia" w:hAnsiTheme="minorEastAsia"/>
          <w:color w:val="000000" w:themeColor="text1"/>
          <w:szCs w:val="21"/>
        </w:rPr>
        <w:t>2日内在指定媒介</w:t>
      </w:r>
      <w:r w:rsidRPr="00D3689E">
        <w:rPr>
          <w:rFonts w:asciiTheme="minorEastAsia" w:eastAsiaTheme="minorEastAsia" w:hAnsiTheme="minorEastAsia"/>
          <w:color w:val="000000" w:themeColor="text1"/>
          <w:szCs w:val="21"/>
        </w:rPr>
        <w:t>公告。</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基金红利发放日距离收益分配基准日（即可供分配利润计算截止日）的时间不得超过</w:t>
      </w:r>
      <w:r w:rsidRPr="00D3689E">
        <w:rPr>
          <w:rFonts w:asciiTheme="minorEastAsia" w:eastAsiaTheme="minorEastAsia" w:hAnsiTheme="minorEastAsia"/>
          <w:color w:val="000000" w:themeColor="text1"/>
          <w:szCs w:val="21"/>
        </w:rPr>
        <w:t>15个工作日。</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bookmarkStart w:id="366" w:name="_Toc22006048"/>
      <w:r w:rsidRPr="00D3689E">
        <w:rPr>
          <w:rFonts w:asciiTheme="minorEastAsia" w:eastAsiaTheme="minorEastAsia" w:hAnsiTheme="minorEastAsia" w:hint="eastAsia"/>
          <w:color w:val="000000" w:themeColor="text1"/>
          <w:szCs w:val="21"/>
        </w:rPr>
        <w:t>六、基金收益分配中发生的费用</w:t>
      </w:r>
      <w:bookmarkEnd w:id="366"/>
    </w:p>
    <w:p w:rsidR="000D5124" w:rsidRPr="00D3689E" w:rsidP="00172767">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收益分配时所发生的银行转账或其他手续费用由投资者自行承担。当投资者的某类基金份额现金红利小于一定金额，不足于支付银行转账或其他手续费用时，登记机构可将基金份额持有人的该类现金红利自动转为该类基金份额。红利再投资的计算方法，依照《业务规则》执行。</w:t>
      </w:r>
      <w:bookmarkStart w:id="367" w:name="_Toc278409426"/>
      <w:bookmarkEnd w:id="367"/>
    </w:p>
    <w:bookmarkEnd w:id="363"/>
    <w:bookmarkEnd w:id="364"/>
    <w:p w:rsidR="0064594E" w:rsidRPr="00D3689E" w:rsidP="00172767">
      <w:pPr>
        <w:spacing w:line="360" w:lineRule="auto"/>
        <w:rPr>
          <w:rFonts w:asciiTheme="minorEastAsia" w:eastAsiaTheme="minorEastAsia" w:hAnsiTheme="minorEastAsia"/>
          <w:color w:val="000000" w:themeColor="text1"/>
          <w:szCs w:val="21"/>
        </w:rPr>
      </w:pP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bCs/>
          <w:color w:val="000000" w:themeColor="text1"/>
        </w:rPr>
        <w:br w:type="page"/>
      </w:r>
      <w:bookmarkStart w:id="368" w:name="_Toc169103845"/>
      <w:r w:rsidRPr="00D3689E">
        <w:rPr>
          <w:rFonts w:asciiTheme="minorEastAsia" w:eastAsiaTheme="minorEastAsia" w:hAnsiTheme="minorEastAsia" w:hint="eastAsia"/>
          <w:color w:val="000000" w:themeColor="text1"/>
        </w:rPr>
        <w:t>基金的会计与审计</w:t>
      </w:r>
      <w:bookmarkEnd w:id="368"/>
    </w:p>
    <w:p w:rsidR="00BE3714" w:rsidRPr="00D3689E" w:rsidP="00CF1645">
      <w:pPr>
        <w:spacing w:line="360" w:lineRule="auto"/>
        <w:ind w:firstLine="420"/>
        <w:rPr>
          <w:rFonts w:asciiTheme="minorEastAsia" w:eastAsiaTheme="minorEastAsia" w:hAnsiTheme="minorEastAsia"/>
          <w:color w:val="000000" w:themeColor="text1"/>
          <w:kern w:val="0"/>
          <w:szCs w:val="21"/>
        </w:rPr>
      </w:pP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一、基金会计政策</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1、基金管理人为本基金的基金会计责任方；</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3、基金核算以人民币为记账本位币，以人民币元为记账单位；</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4、会计制度执行国家有关会计制度；</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5、本基金独立建账、独立核算；</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7、基金托管人每月与基金管理人就基金的会计核算、报表编制等进行核对确认。</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二、基金的年度审计</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1、基金管理人聘请与基金管理人、基金托管人相互独立的具有证券</w:t>
      </w:r>
      <w:r w:rsidRPr="00D3689E" w:rsidR="00E75260">
        <w:rPr>
          <w:rFonts w:asciiTheme="minorEastAsia" w:eastAsiaTheme="minorEastAsia" w:hAnsiTheme="minorEastAsia" w:hint="eastAsia"/>
          <w:color w:val="000000" w:themeColor="text1"/>
          <w:szCs w:val="21"/>
        </w:rPr>
        <w:t>、期货相关业务</w:t>
      </w:r>
      <w:r w:rsidRPr="00D3689E">
        <w:rPr>
          <w:rFonts w:asciiTheme="minorEastAsia" w:eastAsiaTheme="minorEastAsia" w:hAnsiTheme="minorEastAsia"/>
          <w:color w:val="000000" w:themeColor="text1"/>
          <w:szCs w:val="21"/>
        </w:rPr>
        <w:t>资格的会计师事务所及其注册会计师对本基金的年度财务报表进行审计。</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2、会计师事务所更换经办注册会计师，应事先征得基金管理人同意。</w:t>
      </w:r>
    </w:p>
    <w:p w:rsidR="00B22930" w:rsidRPr="00D3689E" w:rsidP="00B2293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3、基金管理人认为有充足理由更换会计师事务所，须通报基金托管人。更换会计师事务所需在2日内在指定媒介公告。</w:t>
      </w:r>
    </w:p>
    <w:p w:rsidR="0064594E" w:rsidRPr="00D3689E" w:rsidP="00172767">
      <w:pPr>
        <w:spacing w:line="360" w:lineRule="auto"/>
        <w:rPr>
          <w:rFonts w:asciiTheme="minorEastAsia" w:eastAsiaTheme="minorEastAsia" w:hAnsiTheme="minorEastAsia"/>
          <w:color w:val="000000" w:themeColor="text1"/>
          <w:szCs w:val="21"/>
        </w:rPr>
      </w:pPr>
    </w:p>
    <w:p w:rsidR="0064594E" w:rsidRPr="00D3689E" w:rsidP="00E0103D">
      <w:pPr>
        <w:pStyle w:val="1"/>
        <w:pageBreakBefore w:val="0"/>
        <w:numPr>
          <w:ilvl w:val="0"/>
          <w:numId w:val="4"/>
        </w:numPr>
        <w:spacing w:before="156" w:beforeLines="50" w:after="156" w:afterLines="50"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bCs/>
          <w:color w:val="000000" w:themeColor="text1"/>
          <w:sz w:val="21"/>
          <w:szCs w:val="21"/>
        </w:rPr>
        <w:br w:type="page"/>
      </w:r>
      <w:bookmarkStart w:id="369" w:name="_Toc169103846"/>
      <w:r w:rsidRPr="00D3689E">
        <w:rPr>
          <w:rFonts w:asciiTheme="minorEastAsia" w:eastAsiaTheme="minorEastAsia" w:hAnsiTheme="minorEastAsia" w:hint="eastAsia"/>
          <w:color w:val="000000" w:themeColor="text1"/>
        </w:rPr>
        <w:t>基金的信息披露</w:t>
      </w:r>
      <w:bookmarkEnd w:id="369"/>
    </w:p>
    <w:p w:rsidR="00BE3714" w:rsidRPr="00D3689E" w:rsidP="00847EB9">
      <w:pPr>
        <w:spacing w:line="360" w:lineRule="auto"/>
        <w:ind w:firstLine="420" w:firstLineChars="200"/>
        <w:rPr>
          <w:rFonts w:asciiTheme="minorEastAsia" w:eastAsiaTheme="minorEastAsia" w:hAnsiTheme="minorEastAsia"/>
          <w:bCs/>
          <w:color w:val="000000" w:themeColor="text1"/>
          <w:szCs w:val="21"/>
        </w:rPr>
      </w:pP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一、本基金的信息披露应符合《基金法》、《运作办法》、《信息披露办法》、《基金合同》及其他有关规定。相关法律法规关于信息披露的披露方式、登载媒介、报备方式等规定发生变化时，本基金从其最新规定。</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二、信息披露义务人</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本基金信息披露义务人包括基金管理人、基金托管人、召集基金份额持有人大会的基金份额持有人等法律</w:t>
      </w:r>
      <w:r w:rsidRPr="00D3689E" w:rsidR="00E75260">
        <w:rPr>
          <w:rFonts w:asciiTheme="minorEastAsia" w:eastAsiaTheme="minorEastAsia" w:hAnsiTheme="minorEastAsia" w:hint="eastAsia"/>
          <w:bCs/>
          <w:color w:val="000000" w:themeColor="text1"/>
          <w:szCs w:val="21"/>
        </w:rPr>
        <w:t>、行政</w:t>
      </w:r>
      <w:r w:rsidRPr="00D3689E">
        <w:rPr>
          <w:rFonts w:asciiTheme="minorEastAsia" w:eastAsiaTheme="minorEastAsia" w:hAnsiTheme="minorEastAsia" w:hint="eastAsia"/>
          <w:bCs/>
          <w:color w:val="000000" w:themeColor="text1"/>
          <w:szCs w:val="21"/>
        </w:rPr>
        <w:t>法规和中国证监会规定的自然人、法人和</w:t>
      </w:r>
      <w:r w:rsidRPr="00D3689E" w:rsidR="00E75260">
        <w:rPr>
          <w:rFonts w:asciiTheme="minorEastAsia" w:eastAsiaTheme="minorEastAsia" w:hAnsiTheme="minorEastAsia" w:hint="eastAsia"/>
          <w:bCs/>
          <w:color w:val="000000" w:themeColor="text1"/>
          <w:szCs w:val="21"/>
        </w:rPr>
        <w:t>非法人</w:t>
      </w:r>
      <w:r w:rsidRPr="00D3689E">
        <w:rPr>
          <w:rFonts w:asciiTheme="minorEastAsia" w:eastAsiaTheme="minorEastAsia" w:hAnsiTheme="minorEastAsia" w:hint="eastAsia"/>
          <w:bCs/>
          <w:color w:val="000000" w:themeColor="text1"/>
          <w:szCs w:val="21"/>
        </w:rPr>
        <w:t>组织。</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本基金信息披露义务人</w:t>
      </w:r>
      <w:r w:rsidRPr="00D3689E" w:rsidR="00E75260">
        <w:rPr>
          <w:rFonts w:asciiTheme="minorEastAsia" w:eastAsiaTheme="minorEastAsia" w:hAnsiTheme="minorEastAsia" w:hint="eastAsia"/>
          <w:bCs/>
          <w:color w:val="000000" w:themeColor="text1"/>
          <w:szCs w:val="21"/>
        </w:rPr>
        <w:t>以保护基金份额持有人利益为根本出发点，</w:t>
      </w:r>
      <w:r w:rsidRPr="00D3689E">
        <w:rPr>
          <w:rFonts w:asciiTheme="minorEastAsia" w:eastAsiaTheme="minorEastAsia" w:hAnsiTheme="minorEastAsia" w:hint="eastAsia"/>
          <w:bCs/>
          <w:color w:val="000000" w:themeColor="text1"/>
          <w:szCs w:val="21"/>
        </w:rPr>
        <w:t>按照法律法规和中国证监会的规定披露基金信息，并保证所披露信息的真实性、准确性</w:t>
      </w:r>
      <w:r w:rsidRPr="00D3689E" w:rsidR="00E75260">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hint="eastAsia"/>
          <w:bCs/>
          <w:color w:val="000000" w:themeColor="text1"/>
          <w:szCs w:val="21"/>
        </w:rPr>
        <w:t>完整性</w:t>
      </w:r>
      <w:r w:rsidRPr="00D3689E" w:rsidR="00E75260">
        <w:rPr>
          <w:rFonts w:asciiTheme="minorEastAsia" w:eastAsiaTheme="minorEastAsia" w:hAnsiTheme="minorEastAsia" w:hint="eastAsia"/>
          <w:bCs/>
          <w:color w:val="000000" w:themeColor="text1"/>
          <w:szCs w:val="21"/>
        </w:rPr>
        <w:t>、及时性、简明性和易得性</w:t>
      </w:r>
      <w:r w:rsidRPr="00D3689E">
        <w:rPr>
          <w:rFonts w:asciiTheme="minorEastAsia" w:eastAsiaTheme="minorEastAsia" w:hAnsiTheme="minorEastAsia" w:hint="eastAsia"/>
          <w:bCs/>
          <w:color w:val="000000" w:themeColor="text1"/>
          <w:szCs w:val="21"/>
        </w:rPr>
        <w:t>。</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三、本基金信息披露义务人承诺公开披露的基金信息，不得有下列行为：</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、虚假记载、误导性陈述或者重大遗漏；</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、对证券投资业绩进行预测；</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、违规承诺收益或者承担损失；</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、诋毁其他基金管理人、基金托管人或者基金销售机构；</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、登载任何自然人、法人</w:t>
      </w:r>
      <w:r w:rsidRPr="00D3689E" w:rsidR="00E75260">
        <w:rPr>
          <w:rFonts w:asciiTheme="minorEastAsia" w:eastAsiaTheme="minorEastAsia" w:hAnsiTheme="minorEastAsia" w:hint="eastAsia"/>
          <w:bCs/>
          <w:color w:val="000000" w:themeColor="text1"/>
          <w:szCs w:val="21"/>
        </w:rPr>
        <w:t>和非法人</w:t>
      </w:r>
      <w:r w:rsidRPr="00D3689E">
        <w:rPr>
          <w:rFonts w:asciiTheme="minorEastAsia" w:eastAsiaTheme="minorEastAsia" w:hAnsiTheme="minorEastAsia" w:hint="eastAsia"/>
          <w:bCs/>
          <w:color w:val="000000" w:themeColor="text1"/>
          <w:szCs w:val="21"/>
        </w:rPr>
        <w:t>组织的祝贺性、恭维性或推荐性的文字；</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、中国证监会禁止的其他行为。</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四、本基金公开披露的信息应采用中文文本。如同时采用外文文本的，基金信息披露义务人应保证</w:t>
      </w:r>
      <w:r w:rsidRPr="00D3689E" w:rsidR="00E75260">
        <w:rPr>
          <w:rFonts w:asciiTheme="minorEastAsia" w:eastAsiaTheme="minorEastAsia" w:hAnsiTheme="minorEastAsia" w:hint="eastAsia"/>
          <w:bCs/>
          <w:color w:val="000000" w:themeColor="text1"/>
          <w:szCs w:val="21"/>
        </w:rPr>
        <w:t>不同</w:t>
      </w:r>
      <w:r w:rsidRPr="00D3689E">
        <w:rPr>
          <w:rFonts w:asciiTheme="minorEastAsia" w:eastAsiaTheme="minorEastAsia" w:hAnsiTheme="minorEastAsia" w:hint="eastAsia"/>
          <w:bCs/>
          <w:color w:val="000000" w:themeColor="text1"/>
          <w:szCs w:val="21"/>
        </w:rPr>
        <w:t>文本的内容一致。</w:t>
      </w:r>
      <w:r w:rsidRPr="00D3689E" w:rsidR="00E75260">
        <w:rPr>
          <w:rFonts w:asciiTheme="minorEastAsia" w:eastAsiaTheme="minorEastAsia" w:hAnsiTheme="minorEastAsia" w:hint="eastAsia"/>
          <w:bCs/>
          <w:color w:val="000000" w:themeColor="text1"/>
          <w:szCs w:val="21"/>
        </w:rPr>
        <w:t>不同</w:t>
      </w:r>
      <w:r w:rsidRPr="00D3689E">
        <w:rPr>
          <w:rFonts w:asciiTheme="minorEastAsia" w:eastAsiaTheme="minorEastAsia" w:hAnsiTheme="minorEastAsia" w:hint="eastAsia"/>
          <w:bCs/>
          <w:color w:val="000000" w:themeColor="text1"/>
          <w:szCs w:val="21"/>
        </w:rPr>
        <w:t>文本</w:t>
      </w:r>
      <w:r w:rsidRPr="00D3689E" w:rsidR="00E75260">
        <w:rPr>
          <w:rFonts w:asciiTheme="minorEastAsia" w:eastAsiaTheme="minorEastAsia" w:hAnsiTheme="minorEastAsia" w:hint="eastAsia"/>
          <w:bCs/>
          <w:color w:val="000000" w:themeColor="text1"/>
          <w:szCs w:val="21"/>
        </w:rPr>
        <w:t>之间</w:t>
      </w:r>
      <w:r w:rsidRPr="00D3689E">
        <w:rPr>
          <w:rFonts w:asciiTheme="minorEastAsia" w:eastAsiaTheme="minorEastAsia" w:hAnsiTheme="minorEastAsia" w:hint="eastAsia"/>
          <w:bCs/>
          <w:color w:val="000000" w:themeColor="text1"/>
          <w:szCs w:val="21"/>
        </w:rPr>
        <w:t>发生歧义的，以中文文本为准。</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本基金公开披露的信息采用阿拉伯数字；本基金的</w:t>
      </w:r>
      <w:r w:rsidRPr="00D3689E" w:rsidR="00E4123F">
        <w:rPr>
          <w:rFonts w:asciiTheme="minorEastAsia" w:eastAsiaTheme="minorEastAsia" w:hAnsiTheme="minorEastAsia" w:hint="eastAsia"/>
          <w:bCs/>
          <w:color w:val="000000" w:themeColor="text1"/>
          <w:szCs w:val="21"/>
        </w:rPr>
        <w:t>人民币份额</w:t>
      </w:r>
      <w:r w:rsidRPr="00D3689E">
        <w:rPr>
          <w:rFonts w:asciiTheme="minorEastAsia" w:eastAsiaTheme="minorEastAsia" w:hAnsiTheme="minorEastAsia" w:hint="eastAsia"/>
          <w:bCs/>
          <w:color w:val="000000" w:themeColor="text1"/>
          <w:szCs w:val="21"/>
        </w:rPr>
        <w:t>以人民币计算并披露净值及相关信息；</w:t>
      </w:r>
      <w:r w:rsidRPr="00D3689E" w:rsidR="00E4123F">
        <w:rPr>
          <w:rFonts w:asciiTheme="minorEastAsia" w:eastAsiaTheme="minorEastAsia" w:hAnsiTheme="minorEastAsia" w:hint="eastAsia"/>
          <w:bCs/>
          <w:color w:val="000000" w:themeColor="text1"/>
          <w:szCs w:val="21"/>
        </w:rPr>
        <w:t>美元份额</w:t>
      </w:r>
      <w:r w:rsidRPr="00D3689E">
        <w:rPr>
          <w:rFonts w:asciiTheme="minorEastAsia" w:eastAsiaTheme="minorEastAsia" w:hAnsiTheme="minorEastAsia" w:hint="eastAsia"/>
          <w:bCs/>
          <w:color w:val="000000" w:themeColor="text1"/>
          <w:szCs w:val="21"/>
        </w:rPr>
        <w:t>以美元计算并披露净值及相关信息。除特别说明外，</w:t>
      </w:r>
      <w:r w:rsidRPr="00D3689E" w:rsidR="00E4123F">
        <w:rPr>
          <w:rFonts w:asciiTheme="minorEastAsia" w:eastAsiaTheme="minorEastAsia" w:hAnsiTheme="minorEastAsia" w:hint="eastAsia"/>
          <w:bCs/>
          <w:color w:val="000000" w:themeColor="text1"/>
          <w:szCs w:val="21"/>
        </w:rPr>
        <w:t>人民币份额</w:t>
      </w:r>
      <w:r w:rsidRPr="00D3689E">
        <w:rPr>
          <w:rFonts w:asciiTheme="minorEastAsia" w:eastAsiaTheme="minorEastAsia" w:hAnsiTheme="minorEastAsia" w:hint="eastAsia"/>
          <w:bCs/>
          <w:color w:val="000000" w:themeColor="text1"/>
          <w:szCs w:val="21"/>
        </w:rPr>
        <w:t>的货币单位为人民币元，</w:t>
      </w:r>
      <w:r w:rsidRPr="00D3689E" w:rsidR="00E4123F">
        <w:rPr>
          <w:rFonts w:asciiTheme="minorEastAsia" w:eastAsiaTheme="minorEastAsia" w:hAnsiTheme="minorEastAsia" w:hint="eastAsia"/>
          <w:bCs/>
          <w:color w:val="000000" w:themeColor="text1"/>
          <w:szCs w:val="21"/>
        </w:rPr>
        <w:t>美元份额</w:t>
      </w:r>
      <w:r w:rsidRPr="00D3689E">
        <w:rPr>
          <w:rFonts w:asciiTheme="minorEastAsia" w:eastAsiaTheme="minorEastAsia" w:hAnsiTheme="minorEastAsia" w:hint="eastAsia"/>
          <w:bCs/>
          <w:color w:val="000000" w:themeColor="text1"/>
          <w:szCs w:val="21"/>
        </w:rPr>
        <w:t>的货币单位为美元。</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五、公开披露的基金信息</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公开披露的基金信息包括：</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（一）基金招募说明书、《基金合同》、基金托管协议</w:t>
      </w:r>
      <w:r w:rsidRPr="00D3689E" w:rsidR="00E75260">
        <w:rPr>
          <w:rFonts w:asciiTheme="minorEastAsia" w:eastAsiaTheme="minorEastAsia" w:hAnsiTheme="minorEastAsia" w:hint="eastAsia"/>
          <w:bCs/>
          <w:color w:val="000000" w:themeColor="text1"/>
          <w:szCs w:val="21"/>
        </w:rPr>
        <w:t>、基金产品资料概要</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D3689E" w:rsidR="00E75260">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、基金托管协议是界定基金托管人和基金管理人在基金财产保管及基金运作监督等活动中的权利、义务关系的法律文件。</w:t>
      </w:r>
    </w:p>
    <w:p w:rsidR="00E7526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基金募集申请经中国证监会注册后，基金管理人在基金份额发售的</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日前，将基金招募说明书、《基金合同》摘要登载在指定媒介上；基金管理人、基金托管人应当将《基金合同》、基金托管协议登载在网站上。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（二）基金份额发售公告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基金管理人应当就基金份额发售的具体事宜编制基金份额发售公告，并在披露招募说明书的当日登载于指定媒介上。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（三）《基金合同》生效公告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基金管理人应当在收到中国证监会确认文件的次日在指定媒介上登载《基金合同》生效公告。</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（四）基金净值信息</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《基金合同》生效后,在开始办理基金份额申购或者赎回前，基金管理人应当至少在指定网站披露一次不同币种份额的基金份额净值和基金份额累计净值。</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在开始办理基金份额申购或赎回之后，基金管理人应当在不晚于每个开放日后的第二个工作日，通过指定网站、基金销售机构网站或者营业网点披露开放日的人民币基金份额的基金份额净值和基金份额累计净值，通过基金管理人网站披露开放日的美元基金份额的基金份额净值和基金份额累计净值。</w:t>
      </w:r>
    </w:p>
    <w:p w:rsidR="00672B4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不晚于半年度和年度最后一日后的第二个工作日，在指定网站披露半年度和年度最后一日的人民币基金份额的基金份额净值和基金份额累计净值，将美元基金份额的基金份额净值和基金份额累计净值登载在基金管理人网站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sidR="004D3D8F">
        <w:rPr>
          <w:rFonts w:asciiTheme="minorEastAsia" w:eastAsiaTheme="minorEastAsia" w:hAnsiTheme="minorEastAsia" w:hint="eastAsia"/>
          <w:bCs/>
          <w:color w:val="000000" w:themeColor="text1"/>
          <w:szCs w:val="21"/>
        </w:rPr>
        <w:t>五</w:t>
      </w:r>
      <w:r w:rsidRPr="00D3689E">
        <w:rPr>
          <w:rFonts w:asciiTheme="minorEastAsia" w:eastAsiaTheme="minorEastAsia" w:hAnsiTheme="minorEastAsia" w:hint="eastAsia"/>
          <w:bCs/>
          <w:color w:val="000000" w:themeColor="text1"/>
          <w:szCs w:val="21"/>
        </w:rPr>
        <w:t>）基金份额申购、赎回价格</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基金管理人应当在《基金合同》、招募说明书等信息披露文件上载明基金份额申购、赎回价格的计算方式及有关申购、赎回费率，并保证投资者能够在基金</w:t>
      </w:r>
      <w:r w:rsidRPr="00D3689E" w:rsidR="00E75260">
        <w:rPr>
          <w:rFonts w:asciiTheme="minorEastAsia" w:eastAsiaTheme="minorEastAsia" w:hAnsiTheme="minorEastAsia" w:hint="eastAsia"/>
          <w:bCs/>
          <w:color w:val="000000" w:themeColor="text1"/>
          <w:szCs w:val="21"/>
        </w:rPr>
        <w:t>销售机构网站或营业</w:t>
      </w:r>
      <w:r w:rsidRPr="00D3689E">
        <w:rPr>
          <w:rFonts w:asciiTheme="minorEastAsia" w:eastAsiaTheme="minorEastAsia" w:hAnsiTheme="minorEastAsia" w:hint="eastAsia"/>
          <w:bCs/>
          <w:color w:val="000000" w:themeColor="text1"/>
          <w:szCs w:val="21"/>
        </w:rPr>
        <w:t>网点查阅或者复制前述信息资料。</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sidR="004D3D8F">
        <w:rPr>
          <w:rFonts w:asciiTheme="minorEastAsia" w:eastAsiaTheme="minorEastAsia" w:hAnsiTheme="minorEastAsia" w:hint="eastAsia"/>
          <w:bCs/>
          <w:color w:val="000000" w:themeColor="text1"/>
          <w:szCs w:val="21"/>
        </w:rPr>
        <w:t>六</w:t>
      </w:r>
      <w:r w:rsidRPr="00D3689E">
        <w:rPr>
          <w:rFonts w:asciiTheme="minorEastAsia" w:eastAsiaTheme="minorEastAsia" w:hAnsiTheme="minorEastAsia" w:hint="eastAsia"/>
          <w:bCs/>
          <w:color w:val="000000" w:themeColor="text1"/>
          <w:szCs w:val="21"/>
        </w:rPr>
        <w:t>）基金定期报告，包括基金年度报告、基金</w:t>
      </w:r>
      <w:r w:rsidRPr="00D3689E" w:rsidR="00E75260">
        <w:rPr>
          <w:rFonts w:asciiTheme="minorEastAsia" w:eastAsiaTheme="minorEastAsia" w:hAnsiTheme="minorEastAsia" w:hint="eastAsia"/>
          <w:bCs/>
          <w:color w:val="000000" w:themeColor="text1"/>
          <w:szCs w:val="21"/>
        </w:rPr>
        <w:t>中期</w:t>
      </w:r>
      <w:r w:rsidRPr="00D3689E">
        <w:rPr>
          <w:rFonts w:asciiTheme="minorEastAsia" w:eastAsiaTheme="minorEastAsia" w:hAnsiTheme="minorEastAsia" w:hint="eastAsia"/>
          <w:bCs/>
          <w:color w:val="000000" w:themeColor="text1"/>
          <w:szCs w:val="21"/>
        </w:rPr>
        <w:t>报告和基金季度报告</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基金管理人应当在上半年结束之日起两个月内，编制完成基金中期报告，将中期报告登载在指定网站上，并将中期报告提示性公告登载在指定报刊上。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基金管理人应当在季度结束之日起15个工作日内，编制完成基金季度报告，将季度报告登载在指定网站上，并将季度报告提示性公告登载在指定报刊上。</w:t>
      </w:r>
    </w:p>
    <w:p w:rsidR="00672B4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《基金合同》生效不足</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个月的，基金管理人可以不编制当期季度报告、</w:t>
      </w:r>
      <w:r w:rsidRPr="00D3689E" w:rsidR="00E75260">
        <w:rPr>
          <w:rFonts w:asciiTheme="minorEastAsia" w:eastAsiaTheme="minorEastAsia" w:hAnsiTheme="minorEastAsia" w:hint="eastAsia"/>
          <w:bCs/>
          <w:color w:val="000000" w:themeColor="text1"/>
          <w:szCs w:val="21"/>
        </w:rPr>
        <w:t>中期</w:t>
      </w:r>
      <w:r w:rsidRPr="00D3689E">
        <w:rPr>
          <w:rFonts w:asciiTheme="minorEastAsia" w:eastAsiaTheme="minorEastAsia" w:hAnsiTheme="minorEastAsia" w:hint="eastAsia"/>
          <w:bCs/>
          <w:color w:val="000000" w:themeColor="text1"/>
          <w:szCs w:val="21"/>
        </w:rPr>
        <w:t>报告或者年度报告。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报告期内出现单一投资者持有基金份额比例达到或超过20%的情形，为保障其他投资者的权益，基金管理人应当在季度报告、中期报告、年度报告等定期报告“影响投资者决策的其他重要信息”项下披露该投资者的类别、报告期末持有份额及占比、报告期内持有份额变化情况及产品的特有风险，中国证监会认定的特殊情形除外。</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基金管理人应当在基金年度报告和</w:t>
      </w:r>
      <w:r w:rsidRPr="00D3689E" w:rsidR="00E75260">
        <w:rPr>
          <w:rFonts w:asciiTheme="minorEastAsia" w:eastAsiaTheme="minorEastAsia" w:hAnsiTheme="minorEastAsia" w:hint="eastAsia"/>
          <w:bCs/>
          <w:color w:val="000000" w:themeColor="text1"/>
          <w:szCs w:val="21"/>
        </w:rPr>
        <w:t>中期</w:t>
      </w:r>
      <w:r w:rsidRPr="00D3689E">
        <w:rPr>
          <w:rFonts w:asciiTheme="minorEastAsia" w:eastAsiaTheme="minorEastAsia" w:hAnsiTheme="minorEastAsia" w:hint="eastAsia"/>
          <w:color w:val="000000" w:themeColor="text1"/>
          <w:szCs w:val="21"/>
        </w:rPr>
        <w:t>报告中披露基金组合资产情况及其流动性风险分析等。</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sidR="004D3D8F">
        <w:rPr>
          <w:rFonts w:asciiTheme="minorEastAsia" w:eastAsiaTheme="minorEastAsia" w:hAnsiTheme="minorEastAsia" w:hint="eastAsia"/>
          <w:bCs/>
          <w:color w:val="000000" w:themeColor="text1"/>
          <w:szCs w:val="21"/>
        </w:rPr>
        <w:t>七</w:t>
      </w:r>
      <w:r w:rsidRPr="00D3689E">
        <w:rPr>
          <w:rFonts w:asciiTheme="minorEastAsia" w:eastAsiaTheme="minorEastAsia" w:hAnsiTheme="minorEastAsia" w:hint="eastAsia"/>
          <w:bCs/>
          <w:color w:val="000000" w:themeColor="text1"/>
          <w:szCs w:val="21"/>
        </w:rPr>
        <w:t>）临时报告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本基金发生重大事件，有关信息披露义务人应当在</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日内编制临时报告书，</w:t>
      </w:r>
      <w:r w:rsidRPr="00D3689E" w:rsidR="00E75260">
        <w:rPr>
          <w:rFonts w:asciiTheme="minorEastAsia" w:eastAsiaTheme="minorEastAsia" w:hAnsiTheme="minorEastAsia" w:hint="eastAsia"/>
          <w:bCs/>
          <w:color w:val="000000" w:themeColor="text1"/>
          <w:szCs w:val="21"/>
        </w:rPr>
        <w:t>并登载在</w:t>
      </w:r>
      <w:r w:rsidRPr="00D3689E" w:rsidR="00E75260">
        <w:rPr>
          <w:rFonts w:asciiTheme="minorEastAsia" w:eastAsiaTheme="minorEastAsia" w:hAnsiTheme="minorEastAsia" w:hint="eastAsia"/>
          <w:bCs/>
          <w:color w:val="000000" w:themeColor="text1"/>
          <w:szCs w:val="21"/>
        </w:rPr>
        <w:t>指定报刊和指定网站上</w:t>
      </w:r>
      <w:r w:rsidRPr="00D3689E">
        <w:rPr>
          <w:rFonts w:asciiTheme="minorEastAsia" w:eastAsiaTheme="minorEastAsia" w:hAnsiTheme="minorEastAsia" w:hint="eastAsia"/>
          <w:bCs/>
          <w:color w:val="000000" w:themeColor="text1"/>
          <w:szCs w:val="21"/>
        </w:rPr>
        <w:t>。</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前款所称重大事件，是指可能对基金份额持有人权益或者基金份额的价格产生重大影响的下列事件：</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1、基金份额持有人大会的召开及决定的事项；</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2、基金合同终止、基金清算；</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3、转换基金运作方式、基金合并；</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4、更换基金管理人、基金托管人、基金份额登记机构，基金改聘会计师事务所；</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5、基金管理人委托基金服务机构代为办理基金的份额登记、核算、估值等事项，基金托管人委托基金服务机构代为办理基金的核算、估值、复核等事项；</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6、基金管理人、基金托管人的法定名称、住所发生变更；</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7、基金管理公司变更持有百分之五以上股权的股东、基金管理人的实际控制人变更；</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8、基金募集期延长或提前结束募集；</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9、基金管理人的高级管理人员、基金经理和基金托管人专门基金托管部门负责人发生变动；</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10、基金管理人的董事在最近12个月内变更超过百分之五十，基金管理人、基金托管人专门基金托管部门的主要业务人员在最近12个月内变动超过百分之三十；</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11、涉及基金财产、基金管理业务、基金托管业务的诉讼或仲裁；</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14、基金收益分配事项；</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15、管理费、托管费、销售服务费、申购费、赎回费等费用计提标准、计提方式和费率发生变更；</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16、基金份额净值计价错误达基金份额净值百分之零点五；</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17、本基金开始办理申购、赎回；</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18、本基金暂停接受申购、赎回申请或重新接受申购、赎回申请；</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19、基金变更标的指数；</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20、调整基金份额类别的设置；</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21、基金推出新业务或服务；</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22、目标ETF变更；</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23、基金信息披露义务人认为可能对基金份额持有人权益或者基金份额的价格产生重大影响的其他事项或中国证监会规定的其他事项。</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sidR="004D3D8F">
        <w:rPr>
          <w:rFonts w:asciiTheme="minorEastAsia" w:eastAsiaTheme="minorEastAsia" w:hAnsiTheme="minorEastAsia" w:hint="eastAsia"/>
          <w:bCs/>
          <w:color w:val="000000" w:themeColor="text1"/>
          <w:szCs w:val="21"/>
        </w:rPr>
        <w:t>八</w:t>
      </w:r>
      <w:r w:rsidRPr="00D3689E">
        <w:rPr>
          <w:rFonts w:asciiTheme="minorEastAsia" w:eastAsiaTheme="minorEastAsia" w:hAnsiTheme="minorEastAsia" w:hint="eastAsia"/>
          <w:bCs/>
          <w:color w:val="000000" w:themeColor="text1"/>
          <w:szCs w:val="21"/>
        </w:rPr>
        <w:t>）澄清公告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在基金合同期限内，任何公共</w:t>
      </w:r>
      <w:r w:rsidRPr="00D3689E" w:rsidR="00E75260">
        <w:rPr>
          <w:rFonts w:asciiTheme="minorEastAsia" w:eastAsiaTheme="minorEastAsia" w:hAnsiTheme="minorEastAsia" w:hint="eastAsia"/>
          <w:bCs/>
          <w:color w:val="000000" w:themeColor="text1"/>
          <w:szCs w:val="21"/>
        </w:rPr>
        <w:t>媒体</w:t>
      </w:r>
      <w:r w:rsidRPr="00D3689E">
        <w:rPr>
          <w:rFonts w:asciiTheme="minorEastAsia" w:eastAsiaTheme="minorEastAsia" w:hAnsiTheme="minorEastAsia" w:hint="eastAsia"/>
          <w:bCs/>
          <w:color w:val="000000" w:themeColor="text1"/>
          <w:szCs w:val="21"/>
        </w:rPr>
        <w:t>中出现的或者在市场上流传的消息可能对基金份额价格产生误导性影响或者引起较大波动</w:t>
      </w:r>
      <w:r w:rsidRPr="00D3689E" w:rsidR="00E75260">
        <w:rPr>
          <w:rFonts w:asciiTheme="minorEastAsia" w:eastAsiaTheme="minorEastAsia" w:hAnsiTheme="minorEastAsia" w:hint="eastAsia"/>
          <w:bCs/>
          <w:color w:val="000000" w:themeColor="text1"/>
          <w:szCs w:val="21"/>
        </w:rPr>
        <w:t>，以及可能损害基金份额持有人权益</w:t>
      </w:r>
      <w:r w:rsidRPr="00D3689E">
        <w:rPr>
          <w:rFonts w:asciiTheme="minorEastAsia" w:eastAsiaTheme="minorEastAsia" w:hAnsiTheme="minorEastAsia" w:hint="eastAsia"/>
          <w:bCs/>
          <w:color w:val="000000" w:themeColor="text1"/>
          <w:szCs w:val="21"/>
        </w:rPr>
        <w:t>的，相关信息披露义务人知悉后应当立即对该消息进行公开澄清，并将有关情况立即报告中国证监会。</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（九）清算报告</w:t>
      </w:r>
    </w:p>
    <w:p w:rsidR="00E7526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672B40" w:rsidRPr="00D3689E" w:rsidP="00E7526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sidR="00E75260">
        <w:rPr>
          <w:rFonts w:asciiTheme="minorEastAsia" w:eastAsiaTheme="minorEastAsia" w:hAnsiTheme="minorEastAsia" w:hint="eastAsia"/>
          <w:bCs/>
          <w:color w:val="000000" w:themeColor="text1"/>
          <w:szCs w:val="21"/>
        </w:rPr>
        <w:t>十</w:t>
      </w:r>
      <w:r w:rsidRPr="00D3689E">
        <w:rPr>
          <w:rFonts w:asciiTheme="minorEastAsia" w:eastAsiaTheme="minorEastAsia" w:hAnsiTheme="minorEastAsia" w:hint="eastAsia"/>
          <w:bCs/>
          <w:color w:val="000000" w:themeColor="text1"/>
          <w:szCs w:val="21"/>
        </w:rPr>
        <w:t>）基金份额持有人大会决议</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基金份额持有人大会决定的事项，应当依法报国务院证券监督管理机构备案，并予以公告。</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（十</w:t>
      </w:r>
      <w:r w:rsidRPr="00D3689E" w:rsidR="00E75260">
        <w:rPr>
          <w:rFonts w:asciiTheme="minorEastAsia" w:eastAsiaTheme="minorEastAsia" w:hAnsiTheme="minorEastAsia" w:hint="eastAsia"/>
          <w:bCs/>
          <w:color w:val="000000" w:themeColor="text1"/>
          <w:szCs w:val="21"/>
        </w:rPr>
        <w:t>一</w:t>
      </w:r>
      <w:r w:rsidRPr="00D3689E">
        <w:rPr>
          <w:rFonts w:asciiTheme="minorEastAsia" w:eastAsiaTheme="minorEastAsia" w:hAnsiTheme="minorEastAsia" w:hint="eastAsia"/>
          <w:bCs/>
          <w:color w:val="000000" w:themeColor="text1"/>
          <w:szCs w:val="21"/>
        </w:rPr>
        <w:t>）中国证监会和基金合同规定的其他事项。</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六、信息披露事务管理</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基金管理人、基金托管人应当建立健全信息披露管理制度，指定</w:t>
      </w:r>
      <w:r w:rsidRPr="00D3689E" w:rsidR="00E75260">
        <w:rPr>
          <w:rFonts w:asciiTheme="minorEastAsia" w:eastAsiaTheme="minorEastAsia" w:hAnsiTheme="minorEastAsia" w:hint="eastAsia"/>
          <w:bCs/>
          <w:color w:val="000000" w:themeColor="text1"/>
          <w:szCs w:val="21"/>
        </w:rPr>
        <w:t>专门部门及高级管理人员</w:t>
      </w:r>
      <w:r w:rsidRPr="00D3689E">
        <w:rPr>
          <w:rFonts w:asciiTheme="minorEastAsia" w:eastAsiaTheme="minorEastAsia" w:hAnsiTheme="minorEastAsia" w:hint="eastAsia"/>
          <w:bCs/>
          <w:color w:val="000000" w:themeColor="text1"/>
          <w:szCs w:val="21"/>
        </w:rPr>
        <w:t>负责管理信息披露事务。</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基金信息披露义务人公开披露基金信息，应当符合中国证监会相关基金信息披露内容与格式准则</w:t>
      </w:r>
      <w:r w:rsidRPr="00D3689E" w:rsidR="00E75260">
        <w:rPr>
          <w:rFonts w:asciiTheme="minorEastAsia" w:eastAsiaTheme="minorEastAsia" w:hAnsiTheme="minorEastAsia" w:hint="eastAsia"/>
          <w:bCs/>
          <w:color w:val="000000" w:themeColor="text1"/>
          <w:szCs w:val="21"/>
        </w:rPr>
        <w:t>等法规</w:t>
      </w:r>
      <w:r w:rsidRPr="00D3689E">
        <w:rPr>
          <w:rFonts w:asciiTheme="minorEastAsia" w:eastAsiaTheme="minorEastAsia" w:hAnsiTheme="minorEastAsia" w:hint="eastAsia"/>
          <w:bCs/>
          <w:color w:val="000000" w:themeColor="text1"/>
          <w:szCs w:val="21"/>
        </w:rPr>
        <w:t>的规定。</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基金托管人应当按照相关法律法规、中国证监会的规定和《基金合同》的约定，对基金管理人编制的基金资产净值、基金份额净值、基金份额申购赎回价格、基金定期报告</w:t>
      </w:r>
      <w:r w:rsidRPr="00D3689E" w:rsidR="00E75260">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hint="eastAsia"/>
          <w:bCs/>
          <w:color w:val="000000" w:themeColor="text1"/>
          <w:szCs w:val="21"/>
        </w:rPr>
        <w:t>更新的招募说明书</w:t>
      </w:r>
      <w:r w:rsidRPr="00D3689E" w:rsidR="00E75260">
        <w:rPr>
          <w:rFonts w:asciiTheme="minorEastAsia" w:eastAsiaTheme="minorEastAsia" w:hAnsiTheme="minorEastAsia" w:hint="eastAsia"/>
          <w:bCs/>
          <w:color w:val="000000" w:themeColor="text1"/>
          <w:szCs w:val="21"/>
        </w:rPr>
        <w:t>、基金产品资料概要、基金清算报告</w:t>
      </w:r>
      <w:r w:rsidRPr="00D3689E">
        <w:rPr>
          <w:rFonts w:asciiTheme="minorEastAsia" w:eastAsiaTheme="minorEastAsia" w:hAnsiTheme="minorEastAsia" w:hint="eastAsia"/>
          <w:bCs/>
          <w:color w:val="000000" w:themeColor="text1"/>
          <w:szCs w:val="21"/>
        </w:rPr>
        <w:t>等公开披露的相关基金信息进行复核、审查，并向基金管理人</w:t>
      </w:r>
      <w:r w:rsidRPr="00D3689E" w:rsidR="00E75260">
        <w:rPr>
          <w:rFonts w:asciiTheme="minorEastAsia" w:eastAsiaTheme="minorEastAsia" w:hAnsiTheme="minorEastAsia" w:hint="eastAsia"/>
          <w:bCs/>
          <w:color w:val="000000" w:themeColor="text1"/>
          <w:szCs w:val="21"/>
        </w:rPr>
        <w:t>进行书面或电子</w:t>
      </w:r>
      <w:r w:rsidRPr="00D3689E">
        <w:rPr>
          <w:rFonts w:asciiTheme="minorEastAsia" w:eastAsiaTheme="minorEastAsia" w:hAnsiTheme="minorEastAsia" w:hint="eastAsia"/>
          <w:bCs/>
          <w:color w:val="000000" w:themeColor="text1"/>
          <w:szCs w:val="21"/>
        </w:rPr>
        <w:t>确认。</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基金管理人、基金托管人应当在指定报刊中选择一家报刊披露本基金信息。基金管理人、基金托管人应当向中国证监会基金电子披露网站报送拟披露的基金信息，并保证相关</w:t>
      </w:r>
      <w:r w:rsidRPr="00D3689E">
        <w:rPr>
          <w:rFonts w:asciiTheme="minorEastAsia" w:eastAsiaTheme="minorEastAsia" w:hAnsiTheme="minorEastAsia" w:hint="eastAsia"/>
          <w:bCs/>
          <w:color w:val="000000" w:themeColor="text1"/>
          <w:szCs w:val="21"/>
        </w:rPr>
        <w:t>报送信息的真实、准确、完整、及时。</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E7526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672B40" w:rsidRPr="00D3689E" w:rsidP="00672B40">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七、信息披露文件的存放与查阅</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p>
    <w:p w:rsidR="00BE3714" w:rsidRPr="00D3689E" w:rsidP="00BE3714">
      <w:pPr>
        <w:spacing w:line="360" w:lineRule="auto"/>
        <w:ind w:firstLine="420" w:firstLineChars="200"/>
        <w:rPr>
          <w:rFonts w:asciiTheme="minorEastAsia" w:eastAsiaTheme="minorEastAsia" w:hAnsiTheme="minorEastAsia"/>
          <w:b/>
          <w:bCs/>
          <w:color w:val="000000" w:themeColor="text1"/>
          <w:szCs w:val="21"/>
        </w:rPr>
      </w:pPr>
    </w:p>
    <w:p w:rsidR="00847EB9" w:rsidRPr="00D3689E" w:rsidP="00847EB9">
      <w:pPr>
        <w:spacing w:line="360" w:lineRule="auto"/>
        <w:ind w:firstLine="420" w:firstLineChars="200"/>
        <w:rPr>
          <w:rFonts w:asciiTheme="minorEastAsia" w:eastAsiaTheme="minorEastAsia" w:hAnsiTheme="minorEastAsia"/>
          <w:bCs/>
          <w:color w:val="000000" w:themeColor="text1"/>
          <w:szCs w:val="21"/>
        </w:rPr>
      </w:pPr>
      <w:bookmarkStart w:id="370" w:name="_Toc323051053"/>
      <w:bookmarkStart w:id="371" w:name="_Toc323051054"/>
      <w:bookmarkStart w:id="372" w:name="_Toc323051055"/>
      <w:bookmarkEnd w:id="370"/>
      <w:bookmarkEnd w:id="371"/>
      <w:bookmarkEnd w:id="372"/>
    </w:p>
    <w:p w:rsidR="0064594E" w:rsidRPr="00D3689E" w:rsidP="00172767">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373" w:name="_Toc308697583"/>
      <w:bookmarkStart w:id="374" w:name="_Toc309286105"/>
      <w:bookmarkStart w:id="375" w:name="_Toc308697584"/>
      <w:bookmarkStart w:id="376" w:name="_Toc309286106"/>
      <w:bookmarkStart w:id="377" w:name="_Toc308697585"/>
      <w:bookmarkStart w:id="378" w:name="_Toc309286107"/>
      <w:bookmarkStart w:id="379" w:name="_Toc308697586"/>
      <w:bookmarkStart w:id="380" w:name="_Toc309286108"/>
      <w:bookmarkStart w:id="381" w:name="_Toc308697587"/>
      <w:bookmarkStart w:id="382" w:name="_Toc309286109"/>
      <w:bookmarkStart w:id="383" w:name="_Toc308697588"/>
      <w:bookmarkStart w:id="384" w:name="_Toc309286110"/>
      <w:bookmarkStart w:id="385" w:name="_Toc308697589"/>
      <w:bookmarkStart w:id="386" w:name="_Toc309286111"/>
      <w:bookmarkStart w:id="387" w:name="_Toc308697590"/>
      <w:bookmarkStart w:id="388" w:name="_Toc309286112"/>
      <w:bookmarkStart w:id="389" w:name="_Toc308697591"/>
      <w:bookmarkStart w:id="390" w:name="_Toc309286113"/>
      <w:bookmarkStart w:id="391" w:name="_Toc308697592"/>
      <w:bookmarkStart w:id="392" w:name="_Toc309286114"/>
      <w:bookmarkStart w:id="393" w:name="_Toc308697593"/>
      <w:bookmarkStart w:id="394" w:name="_Toc309286115"/>
      <w:bookmarkStart w:id="395" w:name="_Toc308697594"/>
      <w:bookmarkStart w:id="396" w:name="_Toc309286116"/>
      <w:bookmarkStart w:id="397" w:name="_Toc308697595"/>
      <w:bookmarkStart w:id="398" w:name="_Toc309286117"/>
      <w:bookmarkStart w:id="399" w:name="_Toc308697596"/>
      <w:bookmarkStart w:id="400" w:name="_Toc309286118"/>
      <w:bookmarkStart w:id="401" w:name="_Toc308697597"/>
      <w:bookmarkStart w:id="402" w:name="_Toc309286119"/>
      <w:bookmarkStart w:id="403" w:name="_Toc308697598"/>
      <w:bookmarkStart w:id="404" w:name="_Toc309286120"/>
      <w:bookmarkStart w:id="405" w:name="_Toc308697599"/>
      <w:bookmarkStart w:id="406" w:name="_Toc309286121"/>
      <w:bookmarkStart w:id="407" w:name="_Toc308697600"/>
      <w:bookmarkStart w:id="408" w:name="_Toc309286122"/>
      <w:bookmarkStart w:id="409" w:name="_Toc308697601"/>
      <w:bookmarkStart w:id="410" w:name="_Toc309286123"/>
      <w:bookmarkStart w:id="411" w:name="_Toc308697602"/>
      <w:bookmarkStart w:id="412" w:name="_Toc309286124"/>
      <w:bookmarkStart w:id="413" w:name="_Toc308697603"/>
      <w:bookmarkStart w:id="414" w:name="_Toc309286125"/>
      <w:bookmarkStart w:id="415" w:name="_Toc308697604"/>
      <w:bookmarkStart w:id="416" w:name="_Toc309286126"/>
      <w:bookmarkStart w:id="417" w:name="_Toc308697605"/>
      <w:bookmarkStart w:id="418" w:name="_Toc309286127"/>
      <w:bookmarkStart w:id="419" w:name="_Toc308697606"/>
      <w:bookmarkStart w:id="420" w:name="_Toc309286128"/>
      <w:bookmarkStart w:id="421" w:name="_Toc308697607"/>
      <w:bookmarkStart w:id="422" w:name="_Toc309286129"/>
      <w:bookmarkStart w:id="423" w:name="_Toc308697608"/>
      <w:bookmarkStart w:id="424" w:name="_Toc309286130"/>
      <w:bookmarkStart w:id="425" w:name="_Toc308697609"/>
      <w:bookmarkStart w:id="426" w:name="_Toc309286131"/>
      <w:bookmarkStart w:id="427" w:name="_Toc308697610"/>
      <w:bookmarkStart w:id="428" w:name="_Toc309286132"/>
      <w:bookmarkStart w:id="429" w:name="_Toc308697611"/>
      <w:bookmarkStart w:id="430" w:name="_Toc309286133"/>
      <w:bookmarkStart w:id="431" w:name="_Toc308697612"/>
      <w:bookmarkStart w:id="432" w:name="_Toc309286134"/>
      <w:bookmarkStart w:id="433" w:name="_Toc308697613"/>
      <w:bookmarkStart w:id="434" w:name="_Toc309286135"/>
      <w:bookmarkStart w:id="435" w:name="_Toc308697614"/>
      <w:bookmarkStart w:id="436" w:name="_Toc309286136"/>
      <w:bookmarkStart w:id="437" w:name="_Toc308697615"/>
      <w:bookmarkStart w:id="438" w:name="_Toc309286137"/>
      <w:bookmarkStart w:id="439" w:name="_Toc308697616"/>
      <w:bookmarkStart w:id="440" w:name="_Toc309286138"/>
      <w:bookmarkStart w:id="441" w:name="_Toc308697617"/>
      <w:bookmarkStart w:id="442" w:name="_Toc309286139"/>
      <w:bookmarkStart w:id="443" w:name="_Toc308697618"/>
      <w:bookmarkStart w:id="444" w:name="_Toc309286140"/>
      <w:bookmarkStart w:id="445" w:name="_Toc308697619"/>
      <w:bookmarkStart w:id="446" w:name="_Toc309286141"/>
      <w:bookmarkStart w:id="447" w:name="_Toc308697620"/>
      <w:bookmarkStart w:id="448" w:name="_Toc309286142"/>
      <w:bookmarkStart w:id="449" w:name="_Toc308697621"/>
      <w:bookmarkStart w:id="450" w:name="_Toc309286143"/>
      <w:bookmarkStart w:id="451" w:name="_Toc308697622"/>
      <w:bookmarkStart w:id="452" w:name="_Toc309286144"/>
      <w:bookmarkStart w:id="453" w:name="_Toc308697623"/>
      <w:bookmarkStart w:id="454" w:name="_Toc309286145"/>
      <w:bookmarkStart w:id="455" w:name="_Toc308697624"/>
      <w:bookmarkStart w:id="456" w:name="_Toc309286146"/>
      <w:bookmarkStart w:id="457" w:name="_Toc308697625"/>
      <w:bookmarkStart w:id="458" w:name="_Toc309286147"/>
      <w:bookmarkStart w:id="459" w:name="_Toc308697626"/>
      <w:bookmarkStart w:id="460" w:name="_Toc309286148"/>
      <w:bookmarkStart w:id="461" w:name="_Toc308697627"/>
      <w:bookmarkStart w:id="462" w:name="_Toc309286149"/>
      <w:bookmarkStart w:id="463" w:name="_Toc308697628"/>
      <w:bookmarkStart w:id="464" w:name="_Toc309286150"/>
      <w:bookmarkStart w:id="465" w:name="_Toc308697629"/>
      <w:bookmarkStart w:id="466" w:name="_Toc309286151"/>
      <w:bookmarkStart w:id="467" w:name="_Toc308697630"/>
      <w:bookmarkStart w:id="468" w:name="_Toc309286152"/>
      <w:bookmarkStart w:id="469" w:name="_Toc308697631"/>
      <w:bookmarkStart w:id="470" w:name="_Toc309286153"/>
      <w:bookmarkStart w:id="471" w:name="_Toc308697632"/>
      <w:bookmarkStart w:id="472" w:name="_Toc309286154"/>
      <w:bookmarkStart w:id="473" w:name="_Toc308697633"/>
      <w:bookmarkStart w:id="474" w:name="_Toc309286155"/>
      <w:bookmarkStart w:id="475" w:name="_Toc308697634"/>
      <w:bookmarkStart w:id="476" w:name="_Toc309286156"/>
      <w:bookmarkStart w:id="477" w:name="_Toc308697635"/>
      <w:bookmarkStart w:id="478" w:name="_Toc309286157"/>
      <w:bookmarkStart w:id="479" w:name="_Toc308697636"/>
      <w:bookmarkStart w:id="480" w:name="_Toc309286158"/>
      <w:bookmarkStart w:id="481" w:name="_Toc308697637"/>
      <w:bookmarkStart w:id="482" w:name="_Toc309286159"/>
      <w:bookmarkStart w:id="483" w:name="_Toc308697638"/>
      <w:bookmarkStart w:id="484" w:name="_Toc309286160"/>
      <w:bookmarkStart w:id="485" w:name="_Toc308697639"/>
      <w:bookmarkStart w:id="486" w:name="_Toc309286161"/>
      <w:bookmarkStart w:id="487" w:name="_Toc308697640"/>
      <w:bookmarkStart w:id="488" w:name="_Toc309286162"/>
      <w:bookmarkStart w:id="489" w:name="_Toc308697641"/>
      <w:bookmarkStart w:id="490" w:name="_Toc309286163"/>
      <w:bookmarkStart w:id="491" w:name="_Toc308697642"/>
      <w:bookmarkStart w:id="492" w:name="_Toc309286164"/>
      <w:bookmarkStart w:id="493" w:name="_Toc308697643"/>
      <w:bookmarkStart w:id="494" w:name="_Toc309286165"/>
      <w:bookmarkStart w:id="495" w:name="_Toc308697644"/>
      <w:bookmarkStart w:id="496" w:name="_Toc309286166"/>
      <w:bookmarkStart w:id="497" w:name="_Toc308697645"/>
      <w:bookmarkStart w:id="498" w:name="_Toc309286167"/>
      <w:bookmarkStart w:id="499" w:name="_Toc308697646"/>
      <w:bookmarkStart w:id="500" w:name="_Toc309286168"/>
      <w:bookmarkStart w:id="501" w:name="_Toc308697647"/>
      <w:bookmarkStart w:id="502" w:name="_Toc309286169"/>
      <w:bookmarkStart w:id="503" w:name="_Toc308697648"/>
      <w:bookmarkStart w:id="504" w:name="_Toc309286170"/>
      <w:bookmarkStart w:id="505" w:name="_Toc308697649"/>
      <w:bookmarkStart w:id="506" w:name="_Toc309286171"/>
      <w:bookmarkStart w:id="507" w:name="_Toc308697650"/>
      <w:bookmarkStart w:id="508" w:name="_Toc309286172"/>
      <w:bookmarkStart w:id="509" w:name="_Toc308697651"/>
      <w:bookmarkStart w:id="510" w:name="_Toc309286173"/>
      <w:bookmarkStart w:id="511" w:name="_Toc308697652"/>
      <w:bookmarkStart w:id="512" w:name="_Toc309286174"/>
      <w:bookmarkStart w:id="513" w:name="_Toc308697653"/>
      <w:bookmarkStart w:id="514" w:name="_Toc309286175"/>
      <w:bookmarkStart w:id="515" w:name="_Toc308697654"/>
      <w:bookmarkStart w:id="516" w:name="_Toc309286176"/>
      <w:bookmarkStart w:id="517" w:name="_Toc308697655"/>
      <w:bookmarkStart w:id="518" w:name="_Toc309286177"/>
      <w:bookmarkStart w:id="519" w:name="_Toc308697656"/>
      <w:bookmarkStart w:id="520" w:name="_Toc309286178"/>
      <w:bookmarkStart w:id="521" w:name="_Toc308697657"/>
      <w:bookmarkStart w:id="522" w:name="_Toc309286179"/>
      <w:bookmarkStart w:id="523" w:name="_Toc308697658"/>
      <w:bookmarkStart w:id="524" w:name="_Toc309286180"/>
      <w:bookmarkStart w:id="525" w:name="_Toc308697659"/>
      <w:bookmarkStart w:id="526" w:name="_Toc309286181"/>
      <w:bookmarkStart w:id="527" w:name="_Toc308697660"/>
      <w:bookmarkStart w:id="528" w:name="_Toc309286182"/>
      <w:bookmarkStart w:id="529" w:name="_Toc308697661"/>
      <w:bookmarkStart w:id="530" w:name="_Toc309286183"/>
      <w:bookmarkStart w:id="531" w:name="_Toc308697662"/>
      <w:bookmarkStart w:id="532" w:name="_Toc309286184"/>
      <w:bookmarkStart w:id="533" w:name="_Toc308697663"/>
      <w:bookmarkStart w:id="534" w:name="_Toc309286185"/>
      <w:bookmarkStart w:id="535" w:name="_Toc308697664"/>
      <w:bookmarkStart w:id="536" w:name="_Toc309286186"/>
      <w:bookmarkStart w:id="537" w:name="_Toc308697665"/>
      <w:bookmarkStart w:id="538" w:name="_Toc309286187"/>
      <w:bookmarkStart w:id="539" w:name="_Toc308697666"/>
      <w:bookmarkStart w:id="540" w:name="_Toc309286188"/>
      <w:bookmarkStart w:id="541" w:name="_Toc308697667"/>
      <w:bookmarkStart w:id="542" w:name="_Toc309286189"/>
      <w:bookmarkStart w:id="543" w:name="_Toc308697668"/>
      <w:bookmarkStart w:id="544" w:name="_Toc309286190"/>
      <w:bookmarkStart w:id="545" w:name="_Toc308697669"/>
      <w:bookmarkStart w:id="546" w:name="_Toc309286191"/>
      <w:bookmarkStart w:id="547" w:name="_Toc308697670"/>
      <w:bookmarkStart w:id="548" w:name="_Toc309286192"/>
      <w:bookmarkStart w:id="549" w:name="_Toc308697671"/>
      <w:bookmarkStart w:id="550" w:name="_Toc309286193"/>
      <w:bookmarkStart w:id="551" w:name="_Toc308697672"/>
      <w:bookmarkStart w:id="552" w:name="_Toc309286194"/>
      <w:bookmarkStart w:id="553" w:name="_Toc308697673"/>
      <w:bookmarkStart w:id="554" w:name="_Toc309286195"/>
      <w:bookmarkStart w:id="555" w:name="_Toc308697674"/>
      <w:bookmarkStart w:id="556" w:name="_Toc309286196"/>
      <w:bookmarkStart w:id="557" w:name="_Toc308697675"/>
      <w:bookmarkStart w:id="558" w:name="_Toc309286197"/>
      <w:bookmarkStart w:id="559" w:name="_Toc308697676"/>
      <w:bookmarkStart w:id="560" w:name="_Toc309286198"/>
      <w:bookmarkStart w:id="561" w:name="_Toc308697677"/>
      <w:bookmarkStart w:id="562" w:name="_Toc309286199"/>
      <w:bookmarkStart w:id="563" w:name="_Toc308697678"/>
      <w:bookmarkStart w:id="564" w:name="_Toc309286200"/>
      <w:bookmarkStart w:id="565" w:name="_Toc308697679"/>
      <w:bookmarkStart w:id="566" w:name="_Toc309286201"/>
      <w:bookmarkStart w:id="567" w:name="_Toc308697680"/>
      <w:bookmarkStart w:id="568" w:name="_Toc309286202"/>
      <w:bookmarkStart w:id="569" w:name="_Toc308697681"/>
      <w:bookmarkStart w:id="570" w:name="_Toc309286203"/>
      <w:bookmarkStart w:id="571" w:name="_Toc308697682"/>
      <w:bookmarkStart w:id="572" w:name="_Toc309286204"/>
      <w:bookmarkStart w:id="573" w:name="_Toc308697683"/>
      <w:bookmarkStart w:id="574" w:name="_Toc309286205"/>
      <w:bookmarkStart w:id="575" w:name="_Toc308697684"/>
      <w:bookmarkStart w:id="576" w:name="_Toc309286206"/>
      <w:bookmarkStart w:id="577" w:name="_Toc308697685"/>
      <w:bookmarkStart w:id="578" w:name="_Toc309286207"/>
      <w:bookmarkStart w:id="579" w:name="_Toc16910384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D3689E">
        <w:rPr>
          <w:rFonts w:asciiTheme="minorEastAsia" w:eastAsiaTheme="minorEastAsia" w:hAnsiTheme="minorEastAsia" w:hint="eastAsia"/>
          <w:color w:val="000000" w:themeColor="text1"/>
        </w:rPr>
        <w:t>基金合同的</w:t>
      </w:r>
      <w:r w:rsidRPr="00D3689E" w:rsidR="007104B8">
        <w:rPr>
          <w:rFonts w:asciiTheme="minorEastAsia" w:eastAsiaTheme="minorEastAsia" w:hAnsiTheme="minorEastAsia" w:hint="eastAsia"/>
          <w:color w:val="000000" w:themeColor="text1"/>
        </w:rPr>
        <w:t>变更、</w:t>
      </w:r>
      <w:r w:rsidRPr="00D3689E">
        <w:rPr>
          <w:rFonts w:asciiTheme="minorEastAsia" w:eastAsiaTheme="minorEastAsia" w:hAnsiTheme="minorEastAsia" w:hint="eastAsia"/>
          <w:color w:val="000000" w:themeColor="text1"/>
        </w:rPr>
        <w:t>终止与基金财产的清算</w:t>
      </w:r>
      <w:bookmarkEnd w:id="579"/>
    </w:p>
    <w:p w:rsidR="00BE3714" w:rsidRPr="00D3689E" w:rsidP="00344443">
      <w:pPr>
        <w:spacing w:line="360" w:lineRule="auto"/>
        <w:ind w:firstLine="420" w:firstLineChars="200"/>
        <w:rPr>
          <w:rFonts w:asciiTheme="minorEastAsia" w:eastAsiaTheme="minorEastAsia" w:hAnsiTheme="minorEastAsia"/>
          <w:color w:val="000000" w:themeColor="text1"/>
          <w:kern w:val="0"/>
          <w:szCs w:val="21"/>
        </w:rPr>
      </w:pPr>
      <w:bookmarkStart w:id="580" w:name="_Toc97031319"/>
      <w:bookmarkStart w:id="581" w:name="_Toc97107279"/>
      <w:bookmarkEnd w:id="580"/>
      <w:bookmarkEnd w:id="581"/>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一、《基金合同》的变更</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2、关于《基金合同》变更的基金份额持有人大会决议自表决通过之日起生效，自决议生效后两日内在指定媒介公告。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二、《基金合同》的终止事由</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有下列情形之一的，《基金合同》应当终止：</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1、基金份额持有人大会决定终止的；</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2、基金管理人、基金托管人职责终止，在6个月内没有新基金管理人、新基金托管人承接的；</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3、《基金合同》约定的其他情形；</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4、相关法律法规和中国证监会规定的其他情况。</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三、基金财产的清算</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1、基金财产清算小组：自出现《基金合同》终止事由之日起30个工作日内成立清算小组，基金管理人组织基金财产清算小组并在中国证监会的监督下进行基金清算。</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3、基金财产清算小组职责：基金财产清算小组负责基金财产的保管、清理、估价、变现和分配。基金财产清算小组可以依法进行必要的民事活动。</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4、基金财产清算程序：</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1）《基金合同》终止情形出现时，由基金财产清算小组统一接管基金；</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2）对基金财产和债权债务进行清理和确认；</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3）对基金财产进行估值和变现；</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4）制作清算报告；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5）聘请会计师事务所对清算报告进行外部审计，聘请律师事务所对清算报告出具法律意见书；</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6）将清算报告报中国证监会备案并公告；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7）对基金财产进行分配。</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5、基金财产清算的期限为6个月，但因本基金所持证券的流动性受到限制而不能及时变现的，清算期限相应顺延。</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四、清算费用</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五、基金财产清算剩余资产的分配</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六、基金财产清算的公告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D3689E">
        <w:rPr>
          <w:rFonts w:asciiTheme="minorEastAsia" w:eastAsiaTheme="minorEastAsia" w:hAnsiTheme="minorEastAsia"/>
          <w:color w:val="000000" w:themeColor="text1"/>
          <w:szCs w:val="21"/>
        </w:rPr>
        <w:t>5个工作日内由基金财产清算小组进行公告。</w:t>
      </w:r>
    </w:p>
    <w:p w:rsidR="00672B40" w:rsidRPr="00D3689E" w:rsidP="00672B40">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七、基金财产清算账册及文件的保存</w:t>
      </w:r>
    </w:p>
    <w:p w:rsidR="00372351" w:rsidRPr="00D3689E" w:rsidP="00372351">
      <w:pPr>
        <w:spacing w:line="360" w:lineRule="auto"/>
        <w:ind w:firstLine="420"/>
        <w:rPr>
          <w:rFonts w:asciiTheme="minorEastAsia" w:eastAsiaTheme="minorEastAsia" w:hAnsiTheme="minorEastAsia"/>
          <w:color w:val="000000" w:themeColor="text1"/>
          <w:kern w:val="0"/>
          <w:szCs w:val="21"/>
        </w:rPr>
      </w:pPr>
      <w:r w:rsidRPr="00D3689E">
        <w:rPr>
          <w:rFonts w:asciiTheme="minorEastAsia" w:eastAsiaTheme="minorEastAsia" w:hAnsiTheme="minorEastAsia" w:hint="eastAsia"/>
          <w:color w:val="000000" w:themeColor="text1"/>
          <w:szCs w:val="21"/>
        </w:rPr>
        <w:t>基金财产清算账册及有关文件由基金托管人保存</w:t>
      </w:r>
      <w:r w:rsidRPr="00D3689E">
        <w:rPr>
          <w:rFonts w:asciiTheme="minorEastAsia" w:eastAsiaTheme="minorEastAsia" w:hAnsiTheme="minorEastAsia"/>
          <w:color w:val="000000" w:themeColor="text1"/>
          <w:szCs w:val="21"/>
        </w:rPr>
        <w:t>15年以上。</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bCs/>
          <w:color w:val="000000" w:themeColor="text1"/>
        </w:rPr>
        <w:br w:type="page"/>
      </w:r>
      <w:bookmarkStart w:id="582" w:name="_Toc169103848"/>
      <w:r w:rsidRPr="00D3689E">
        <w:rPr>
          <w:rFonts w:asciiTheme="minorEastAsia" w:eastAsiaTheme="minorEastAsia" w:hAnsiTheme="minorEastAsia" w:hint="eastAsia"/>
          <w:color w:val="000000" w:themeColor="text1"/>
        </w:rPr>
        <w:t>基金托管人</w:t>
      </w:r>
      <w:bookmarkEnd w:id="582"/>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（一）基金托管人概况</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1、基本情况</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名称：招商银行股份有限公司（以下简称“招商银行”）</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设立日期：1987年4月8日</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注册地址：深圳市深南大道7088号招商银行大厦</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办公地址：深圳市深南大道7088号招商银行大厦</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注册资本：252.20亿元</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法定代表人：缪建民</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行长：王良</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资产托管业务批准文号：证监基金字[2002]83号</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电话：0755-83077987</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传真：0755-83195201</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资产托管部信息披露负责人：张姗</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 xml:space="preserve"> 2、发展概况   </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2023年3月31日，本集团总资产105,087.52亿元人民币，高级法下资本充足率17.39%，权重法下资本充足率14.41%。</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2002年8月，招商银行成立基金托管部；2005年8月，经报中国证监会同意，更名为资产托管部，现下设基金券商团队、银保信托团队、养老金团队、业务管理团队、产品研发团队、风险管理团队、系统与数据团队、项目支持团队、运营管理团队、基金外包业务团队10个职能团队，现有员工192人。2002年11月，经中国人民银行和中国证监会批准获得证券投资基金托管业务资格，成为国内第一家获得该项业务资格上市银行；2003年4月，正式办理基金托管业务。招商银行作为托管业务资质最全的商业银行，拥有证券投资</w:t>
      </w:r>
      <w:r w:rsidRPr="00D3689E">
        <w:rPr>
          <w:rFonts w:asciiTheme="minorEastAsia" w:eastAsiaTheme="minorEastAsia" w:hAnsiTheme="minorEastAsia" w:hint="eastAsia"/>
          <w:color w:val="000000" w:themeColor="text1"/>
          <w:szCs w:val="21"/>
        </w:rPr>
        <w:t>基金托管、受托投资管理托管、合格境外机构投资者托管（QFII）、合格境内机构投资者托管（QDII）、全国社会保障基金托管、保险资金托管、企业年金基金托管、存托凭证试点存托人等业务资格。</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w:t>
      </w:r>
      <w:r w:rsidRPr="00D3689E">
        <w:rPr>
          <w:rFonts w:asciiTheme="minorEastAsia" w:eastAsiaTheme="minorEastAsia" w:hAnsiTheme="minorEastAsia" w:hint="eastAsia"/>
          <w:color w:val="000000" w:themeColor="text1"/>
          <w:szCs w:val="21"/>
        </w:rPr>
        <w:t>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（二）主要人员情况</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王良先生，本行执行董事、党委书记、行长。中国人民大学硕士研究生学历，高级经济师。1995年6月加入本行北京分行，自2001年10月起历任本行北京分行行长助理、副行长、行长，2012年6月任本行行长助理兼任北京分行行长，2013年11月不再兼任本行北京分行行长，2015年1月任本行副行长，2016年11月至2019年4月兼任本行董事会秘书，2019年4月至2023年2月兼任本行财务负责人，2021年8月任本行常务副行长，2021年8月-2023年4月兼任本行董事会秘书、公司秘书及香港上市相关事宜之授权代表，2022年4月18日起全面主持本行工作，2022年5月19日起任本行党委书记，2022年6月15日起任本行行长。兼任中国支付清算协会副会长、中国银行业协会中间业务专业委员会第四届主任、中国金融会计学会第六届常务理事。</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彭家文先生，本行行长助理兼财务负责人。中南财经大学国民经济计划专业本科学历，高级经济师。2001年9月加入本行，历任总行计划财务部总经理助理、副总经理，总行零售综合管理部副总经理、总经理，总行零售金融总部副总经理、副总裁、副总裁兼总行零售信贷部总经理，郑州分行行长，总行资产负债管理部总经理，2023年2月起任本行行长</w:t>
      </w:r>
      <w:r w:rsidRPr="00D3689E">
        <w:rPr>
          <w:rFonts w:asciiTheme="minorEastAsia" w:eastAsiaTheme="minorEastAsia" w:hAnsiTheme="minorEastAsia" w:hint="eastAsia"/>
          <w:color w:val="000000" w:themeColor="text1"/>
          <w:szCs w:val="21"/>
        </w:rPr>
        <w:t>助理、财务负责人，兼任本行总行资产负债管理部总经理。</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（三）基金托管业务经营情况</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截至2023年3月31日，招商银行股份有限公司累计托管1223只证券投资基金。</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 xml:space="preserve">  </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（四）托管人的内部控制制度</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w:t>
      </w:r>
      <w:r w:rsidRPr="00D3689E" w:rsidR="00FE7815">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内部控制目标</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2.内部控制组织结构</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招商银行资产托管业务建立三级内部控制及风险防范体系：</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一级内部控制及风险防范是在招商银行总行风险管控层面对风险进行预防和控制；总行风险管理部、法律合规部、审计部独立对资产托管业务进行评估监督，并提出内控提升管理建议。</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二级内部控制及风险防范是招商银行资产托管部设立风险合规管理相关团队，负责部门内部风险预防和控制，及时发现内部控制缺陷，提出整改方案，跟踪整改情况，并直接向部门总经理室报告。</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三级内部控制及风险防范是招商银行资产托管部在设置专业岗位时，遵循内控制衡原则，视业务的风险程度制定相应监督制衡机制。</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3.内部控制原则</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（1）全面性原则。内部控制覆盖各项业务过程和操作环节、覆盖所有团队和岗位，并由全部人员参与。</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（2）审慎性原则。托管组织体系的构成、内部管理制度的建立均以防范风险、审慎经营为出发点，体现“内控优先”的要求。</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（3）独立性原则。招商银行资产托管部各团队、各岗位职责保持相对独立，不同托管资产之间、托管资产和自有资产之间相互分离。内部控制的检查、评价部门独立于内部控制的建立和执行部门。</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 xml:space="preserve">（6）防火墙原则。招商银行资产托管部办公场地与我行其他业务场地隔离，办公网和业务网物理分离，部门业务网和全行业务网防火墙策略分离，以达到风险防范的目的。 </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（7）重要性原则。内部控制在实现全面控制的基础上，关注重要托管业务重要事项和高风险环节。</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（8）制衡性原则。内部控制能够实现在托管组织体系、机构设置、权责分配及业务流程等方面相互制约、相互监督，同时兼顾运营效率。</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4.内部控制措施</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（2）业务信息风险控制。招商银行资产托管部在数据传输和保存方面有严格的加密和备份措施，采用加密、直连方式传输数据，数据执行异地实时备份，所有的业务信息须经过严格的授权方能进行访问。</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（3）客户资料风险控制。招商银行资产托管部对业务办理过程中获取的客户资料严格保密，除法律法规和其他有关规定、监管机构及审计要求外，不向任何机构、部门或个人泄露。</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（4）信息技术系统风险控制。招商银行对信息技术系统机房、权限管理实行双人双岗</w:t>
      </w:r>
      <w:r w:rsidRPr="00D3689E">
        <w:rPr>
          <w:rFonts w:asciiTheme="minorEastAsia" w:eastAsiaTheme="minorEastAsia" w:hAnsiTheme="minorEastAsia" w:hint="eastAsia"/>
          <w:color w:val="000000" w:themeColor="text1"/>
          <w:szCs w:val="21"/>
        </w:rPr>
        <w:t>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（5）人力资源控制。招商银行资产托管部通过建立良好的企业文化和员工培训、激励机制、加强人力资源管理及建立人才梯级队伍及人才储备机制，有效地进行人力资源管理。</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（五）基金托管人对基金管理人运作基金进行监督的方法和程序</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2E1963" w:rsidRPr="00D3689E" w:rsidP="002E1963">
      <w:pPr>
        <w:spacing w:line="360" w:lineRule="auto"/>
        <w:ind w:firstLine="420" w:firstLineChars="200"/>
        <w:rPr>
          <w:rFonts w:asciiTheme="minorEastAsia" w:eastAsiaTheme="minorEastAsia" w:hAnsiTheme="minorEastAsia"/>
          <w:color w:val="000000" w:themeColor="text1"/>
          <w:szCs w:val="21"/>
        </w:rPr>
      </w:pPr>
    </w:p>
    <w:p w:rsidR="00E4194A" w:rsidRPr="00D3689E" w:rsidP="002E1963">
      <w:pPr>
        <w:spacing w:line="360" w:lineRule="auto"/>
        <w:ind w:firstLine="420" w:firstLineChars="200"/>
        <w:rPr>
          <w:rFonts w:asciiTheme="minorEastAsia" w:eastAsiaTheme="minorEastAsia" w:hAnsiTheme="minorEastAsia"/>
          <w:color w:val="000000" w:themeColor="text1"/>
          <w:szCs w:val="21"/>
        </w:rPr>
      </w:pPr>
    </w:p>
    <w:p w:rsidR="00B73111" w:rsidRPr="00D3689E">
      <w:pP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 xml:space="preserve"> </w:t>
      </w:r>
      <w:r w:rsidRPr="00D3689E">
        <w:rPr>
          <w:rFonts w:asciiTheme="minorEastAsia" w:eastAsiaTheme="minorEastAsia" w:hAnsiTheme="minorEastAsia"/>
          <w:color w:val="000000" w:themeColor="text1"/>
        </w:rPr>
        <w:br w:type="page"/>
      </w:r>
    </w:p>
    <w:p w:rsidR="0064594E" w:rsidRPr="00D3689E" w:rsidP="00172767">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583" w:name="_Toc13852011"/>
      <w:bookmarkStart w:id="584" w:name="_Toc13852012"/>
      <w:bookmarkStart w:id="585" w:name="_Toc13852013"/>
      <w:bookmarkStart w:id="586" w:name="_Toc13852014"/>
      <w:bookmarkStart w:id="587" w:name="_Toc13852015"/>
      <w:bookmarkStart w:id="588" w:name="_Toc13852016"/>
      <w:bookmarkStart w:id="589" w:name="_Toc13852017"/>
      <w:bookmarkStart w:id="590" w:name="_Toc13852018"/>
      <w:bookmarkStart w:id="591" w:name="_Toc13852019"/>
      <w:bookmarkStart w:id="592" w:name="_Toc13852020"/>
      <w:bookmarkStart w:id="593" w:name="_Toc13852021"/>
      <w:bookmarkStart w:id="594" w:name="_Toc13852022"/>
      <w:bookmarkStart w:id="595" w:name="_Toc13852023"/>
      <w:bookmarkStart w:id="596" w:name="_Toc13852024"/>
      <w:bookmarkStart w:id="597" w:name="_Toc13852025"/>
      <w:bookmarkStart w:id="598" w:name="_Toc13852026"/>
      <w:bookmarkStart w:id="599" w:name="_Toc13852027"/>
      <w:bookmarkStart w:id="600" w:name="_Toc13852028"/>
      <w:bookmarkStart w:id="601" w:name="_Toc13852029"/>
      <w:bookmarkStart w:id="602" w:name="_Toc13852030"/>
      <w:bookmarkStart w:id="603" w:name="_Toc13852031"/>
      <w:bookmarkStart w:id="604" w:name="_Toc13852032"/>
      <w:bookmarkStart w:id="605" w:name="_Toc13852033"/>
      <w:bookmarkStart w:id="606" w:name="_Toc13852034"/>
      <w:bookmarkStart w:id="607" w:name="_Toc13852035"/>
      <w:bookmarkStart w:id="608" w:name="_Toc13852036"/>
      <w:bookmarkStart w:id="609" w:name="_Toc13852037"/>
      <w:bookmarkStart w:id="610" w:name="_Toc13852038"/>
      <w:bookmarkStart w:id="611" w:name="_Toc13852039"/>
      <w:bookmarkStart w:id="612" w:name="_Toc13852040"/>
      <w:bookmarkStart w:id="613" w:name="_Toc13852041"/>
      <w:bookmarkStart w:id="614" w:name="_Toc13852042"/>
      <w:bookmarkStart w:id="615" w:name="_Toc13852043"/>
      <w:bookmarkStart w:id="616" w:name="_Toc13852044"/>
      <w:bookmarkStart w:id="617" w:name="_Toc13852045"/>
      <w:bookmarkStart w:id="618" w:name="_Toc13852046"/>
      <w:bookmarkStart w:id="619" w:name="_Toc13852047"/>
      <w:bookmarkStart w:id="620" w:name="_Toc13852048"/>
      <w:bookmarkStart w:id="621" w:name="_Toc13852049"/>
      <w:bookmarkStart w:id="622" w:name="_Toc13852050"/>
      <w:bookmarkStart w:id="623" w:name="_Toc13852051"/>
      <w:bookmarkStart w:id="624" w:name="_Toc13852052"/>
      <w:bookmarkStart w:id="625" w:name="_Toc13852053"/>
      <w:bookmarkStart w:id="626" w:name="_Toc13852054"/>
      <w:bookmarkStart w:id="627" w:name="_Toc13852055"/>
      <w:bookmarkStart w:id="628" w:name="_Toc13852056"/>
      <w:bookmarkStart w:id="629" w:name="_Toc13852057"/>
      <w:bookmarkStart w:id="630" w:name="_Toc13852058"/>
      <w:bookmarkStart w:id="631" w:name="_Toc13852059"/>
      <w:bookmarkStart w:id="632" w:name="_Toc13852060"/>
      <w:bookmarkStart w:id="633" w:name="_Toc13852061"/>
      <w:bookmarkStart w:id="634" w:name="_Toc13852062"/>
      <w:bookmarkStart w:id="635" w:name="_Toc13852063"/>
      <w:bookmarkStart w:id="636" w:name="_Toc272569090"/>
      <w:bookmarkStart w:id="637" w:name="_Toc272569242"/>
      <w:bookmarkStart w:id="638" w:name="_Toc272569426"/>
      <w:bookmarkStart w:id="639" w:name="_Toc272569563"/>
      <w:bookmarkStart w:id="640" w:name="_Toc272569699"/>
      <w:bookmarkStart w:id="641" w:name="_Toc272569850"/>
      <w:bookmarkStart w:id="642" w:name="_Toc272570173"/>
      <w:bookmarkStart w:id="643" w:name="_Toc272570307"/>
      <w:bookmarkStart w:id="644" w:name="_Toc272570440"/>
      <w:bookmarkStart w:id="645" w:name="_Toc272570574"/>
      <w:bookmarkStart w:id="646" w:name="_Toc272570707"/>
      <w:bookmarkStart w:id="647" w:name="_Toc272570840"/>
      <w:bookmarkStart w:id="648" w:name="_Toc272569091"/>
      <w:bookmarkStart w:id="649" w:name="_Toc272569243"/>
      <w:bookmarkStart w:id="650" w:name="_Toc272569427"/>
      <w:bookmarkStart w:id="651" w:name="_Toc272569564"/>
      <w:bookmarkStart w:id="652" w:name="_Toc272569700"/>
      <w:bookmarkStart w:id="653" w:name="_Toc272569851"/>
      <w:bookmarkStart w:id="654" w:name="_Toc272570174"/>
      <w:bookmarkStart w:id="655" w:name="_Toc272570308"/>
      <w:bookmarkStart w:id="656" w:name="_Toc272570441"/>
      <w:bookmarkStart w:id="657" w:name="_Toc272570575"/>
      <w:bookmarkStart w:id="658" w:name="_Toc272570708"/>
      <w:bookmarkStart w:id="659" w:name="_Toc272570841"/>
      <w:bookmarkStart w:id="660" w:name="_Toc272569093"/>
      <w:bookmarkStart w:id="661" w:name="_Toc272569245"/>
      <w:bookmarkStart w:id="662" w:name="_Toc272569429"/>
      <w:bookmarkStart w:id="663" w:name="_Toc272569566"/>
      <w:bookmarkStart w:id="664" w:name="_Toc272569702"/>
      <w:bookmarkStart w:id="665" w:name="_Toc272569853"/>
      <w:bookmarkStart w:id="666" w:name="_Toc272570176"/>
      <w:bookmarkStart w:id="667" w:name="_Toc272570310"/>
      <w:bookmarkStart w:id="668" w:name="_Toc272570443"/>
      <w:bookmarkStart w:id="669" w:name="_Toc272570577"/>
      <w:bookmarkStart w:id="670" w:name="_Toc272570710"/>
      <w:bookmarkStart w:id="671" w:name="_Toc272570843"/>
      <w:bookmarkStart w:id="672" w:name="_Toc272569094"/>
      <w:bookmarkStart w:id="673" w:name="_Toc272569246"/>
      <w:bookmarkStart w:id="674" w:name="_Toc272569430"/>
      <w:bookmarkStart w:id="675" w:name="_Toc272569567"/>
      <w:bookmarkStart w:id="676" w:name="_Toc272569703"/>
      <w:bookmarkStart w:id="677" w:name="_Toc272569854"/>
      <w:bookmarkStart w:id="678" w:name="_Toc272570177"/>
      <w:bookmarkStart w:id="679" w:name="_Toc272570311"/>
      <w:bookmarkStart w:id="680" w:name="_Toc272570444"/>
      <w:bookmarkStart w:id="681" w:name="_Toc272570578"/>
      <w:bookmarkStart w:id="682" w:name="_Toc272570711"/>
      <w:bookmarkStart w:id="683" w:name="_Toc272570844"/>
      <w:bookmarkStart w:id="684" w:name="_Toc272569095"/>
      <w:bookmarkStart w:id="685" w:name="_Toc272569247"/>
      <w:bookmarkStart w:id="686" w:name="_Toc272569431"/>
      <w:bookmarkStart w:id="687" w:name="_Toc272569568"/>
      <w:bookmarkStart w:id="688" w:name="_Toc272569704"/>
      <w:bookmarkStart w:id="689" w:name="_Toc272569855"/>
      <w:bookmarkStart w:id="690" w:name="_Toc272570178"/>
      <w:bookmarkStart w:id="691" w:name="_Toc272570312"/>
      <w:bookmarkStart w:id="692" w:name="_Toc272570445"/>
      <w:bookmarkStart w:id="693" w:name="_Toc272570579"/>
      <w:bookmarkStart w:id="694" w:name="_Toc272570712"/>
      <w:bookmarkStart w:id="695" w:name="_Toc272570845"/>
      <w:bookmarkStart w:id="696" w:name="_Toc272569096"/>
      <w:bookmarkStart w:id="697" w:name="_Toc272569248"/>
      <w:bookmarkStart w:id="698" w:name="_Toc272569432"/>
      <w:bookmarkStart w:id="699" w:name="_Toc272569569"/>
      <w:bookmarkStart w:id="700" w:name="_Toc272569705"/>
      <w:bookmarkStart w:id="701" w:name="_Toc272569856"/>
      <w:bookmarkStart w:id="702" w:name="_Toc272570179"/>
      <w:bookmarkStart w:id="703" w:name="_Toc272570313"/>
      <w:bookmarkStart w:id="704" w:name="_Toc272570446"/>
      <w:bookmarkStart w:id="705" w:name="_Toc272570580"/>
      <w:bookmarkStart w:id="706" w:name="_Toc272570713"/>
      <w:bookmarkStart w:id="707" w:name="_Toc272570846"/>
      <w:bookmarkStart w:id="708" w:name="_Toc272569097"/>
      <w:bookmarkStart w:id="709" w:name="_Toc272569249"/>
      <w:bookmarkStart w:id="710" w:name="_Toc272569433"/>
      <w:bookmarkStart w:id="711" w:name="_Toc272569570"/>
      <w:bookmarkStart w:id="712" w:name="_Toc272569706"/>
      <w:bookmarkStart w:id="713" w:name="_Toc272569857"/>
      <w:bookmarkStart w:id="714" w:name="_Toc272570180"/>
      <w:bookmarkStart w:id="715" w:name="_Toc272570314"/>
      <w:bookmarkStart w:id="716" w:name="_Toc272570447"/>
      <w:bookmarkStart w:id="717" w:name="_Toc272570581"/>
      <w:bookmarkStart w:id="718" w:name="_Toc272570714"/>
      <w:bookmarkStart w:id="719" w:name="_Toc272570847"/>
      <w:bookmarkStart w:id="720" w:name="_Toc272569098"/>
      <w:bookmarkStart w:id="721" w:name="_Toc272569250"/>
      <w:bookmarkStart w:id="722" w:name="_Toc272569434"/>
      <w:bookmarkStart w:id="723" w:name="_Toc272569571"/>
      <w:bookmarkStart w:id="724" w:name="_Toc272569707"/>
      <w:bookmarkStart w:id="725" w:name="_Toc272569858"/>
      <w:bookmarkStart w:id="726" w:name="_Toc272570181"/>
      <w:bookmarkStart w:id="727" w:name="_Toc272570315"/>
      <w:bookmarkStart w:id="728" w:name="_Toc272570448"/>
      <w:bookmarkStart w:id="729" w:name="_Toc272570582"/>
      <w:bookmarkStart w:id="730" w:name="_Toc272570715"/>
      <w:bookmarkStart w:id="731" w:name="_Toc272570848"/>
      <w:bookmarkStart w:id="732" w:name="_Toc272569099"/>
      <w:bookmarkStart w:id="733" w:name="_Toc272569251"/>
      <w:bookmarkStart w:id="734" w:name="_Toc272569435"/>
      <w:bookmarkStart w:id="735" w:name="_Toc272569572"/>
      <w:bookmarkStart w:id="736" w:name="_Toc272569708"/>
      <w:bookmarkStart w:id="737" w:name="_Toc272569859"/>
      <w:bookmarkStart w:id="738" w:name="_Toc272570182"/>
      <w:bookmarkStart w:id="739" w:name="_Toc272570316"/>
      <w:bookmarkStart w:id="740" w:name="_Toc272570449"/>
      <w:bookmarkStart w:id="741" w:name="_Toc272570583"/>
      <w:bookmarkStart w:id="742" w:name="_Toc272570716"/>
      <w:bookmarkStart w:id="743" w:name="_Toc272570849"/>
      <w:bookmarkStart w:id="744" w:name="_Toc272569100"/>
      <w:bookmarkStart w:id="745" w:name="_Toc272569252"/>
      <w:bookmarkStart w:id="746" w:name="_Toc272569436"/>
      <w:bookmarkStart w:id="747" w:name="_Toc272569573"/>
      <w:bookmarkStart w:id="748" w:name="_Toc272569709"/>
      <w:bookmarkStart w:id="749" w:name="_Toc272569860"/>
      <w:bookmarkStart w:id="750" w:name="_Toc272570183"/>
      <w:bookmarkStart w:id="751" w:name="_Toc272570317"/>
      <w:bookmarkStart w:id="752" w:name="_Toc272570450"/>
      <w:bookmarkStart w:id="753" w:name="_Toc272570584"/>
      <w:bookmarkStart w:id="754" w:name="_Toc272570717"/>
      <w:bookmarkStart w:id="755" w:name="_Toc272570850"/>
      <w:bookmarkStart w:id="756" w:name="_Toc272569102"/>
      <w:bookmarkStart w:id="757" w:name="_Toc272569254"/>
      <w:bookmarkStart w:id="758" w:name="_Toc272569438"/>
      <w:bookmarkStart w:id="759" w:name="_Toc272569575"/>
      <w:bookmarkStart w:id="760" w:name="_Toc272569711"/>
      <w:bookmarkStart w:id="761" w:name="_Toc272569862"/>
      <w:bookmarkStart w:id="762" w:name="_Toc272570185"/>
      <w:bookmarkStart w:id="763" w:name="_Toc272570319"/>
      <w:bookmarkStart w:id="764" w:name="_Toc272570452"/>
      <w:bookmarkStart w:id="765" w:name="_Toc272570586"/>
      <w:bookmarkStart w:id="766" w:name="_Toc272570719"/>
      <w:bookmarkStart w:id="767" w:name="_Toc272570852"/>
      <w:bookmarkStart w:id="768" w:name="_Toc272569103"/>
      <w:bookmarkStart w:id="769" w:name="_Toc272569255"/>
      <w:bookmarkStart w:id="770" w:name="_Toc272569439"/>
      <w:bookmarkStart w:id="771" w:name="_Toc272569576"/>
      <w:bookmarkStart w:id="772" w:name="_Toc272569712"/>
      <w:bookmarkStart w:id="773" w:name="_Toc272569863"/>
      <w:bookmarkStart w:id="774" w:name="_Toc272570186"/>
      <w:bookmarkStart w:id="775" w:name="_Toc272570320"/>
      <w:bookmarkStart w:id="776" w:name="_Toc272570453"/>
      <w:bookmarkStart w:id="777" w:name="_Toc272570587"/>
      <w:bookmarkStart w:id="778" w:name="_Toc272570720"/>
      <w:bookmarkStart w:id="779" w:name="_Toc272570853"/>
      <w:bookmarkStart w:id="780" w:name="_Toc272569104"/>
      <w:bookmarkStart w:id="781" w:name="_Toc272569256"/>
      <w:bookmarkStart w:id="782" w:name="_Toc272569440"/>
      <w:bookmarkStart w:id="783" w:name="_Toc272569577"/>
      <w:bookmarkStart w:id="784" w:name="_Toc272569713"/>
      <w:bookmarkStart w:id="785" w:name="_Toc272569864"/>
      <w:bookmarkStart w:id="786" w:name="_Toc272570187"/>
      <w:bookmarkStart w:id="787" w:name="_Toc272570321"/>
      <w:bookmarkStart w:id="788" w:name="_Toc272570454"/>
      <w:bookmarkStart w:id="789" w:name="_Toc272570588"/>
      <w:bookmarkStart w:id="790" w:name="_Toc272570721"/>
      <w:bookmarkStart w:id="791" w:name="_Toc272570854"/>
      <w:bookmarkStart w:id="792" w:name="_Toc272569105"/>
      <w:bookmarkStart w:id="793" w:name="_Toc272569257"/>
      <w:bookmarkStart w:id="794" w:name="_Toc272569441"/>
      <w:bookmarkStart w:id="795" w:name="_Toc272569578"/>
      <w:bookmarkStart w:id="796" w:name="_Toc272569714"/>
      <w:bookmarkStart w:id="797" w:name="_Toc272569865"/>
      <w:bookmarkStart w:id="798" w:name="_Toc272570188"/>
      <w:bookmarkStart w:id="799" w:name="_Toc272570322"/>
      <w:bookmarkStart w:id="800" w:name="_Toc272570455"/>
      <w:bookmarkStart w:id="801" w:name="_Toc272570589"/>
      <w:bookmarkStart w:id="802" w:name="_Toc272570722"/>
      <w:bookmarkStart w:id="803" w:name="_Toc272570855"/>
      <w:bookmarkStart w:id="804" w:name="_Toc272569106"/>
      <w:bookmarkStart w:id="805" w:name="_Toc272569258"/>
      <w:bookmarkStart w:id="806" w:name="_Toc272569442"/>
      <w:bookmarkStart w:id="807" w:name="_Toc272569579"/>
      <w:bookmarkStart w:id="808" w:name="_Toc272569715"/>
      <w:bookmarkStart w:id="809" w:name="_Toc272569866"/>
      <w:bookmarkStart w:id="810" w:name="_Toc272570189"/>
      <w:bookmarkStart w:id="811" w:name="_Toc272570323"/>
      <w:bookmarkStart w:id="812" w:name="_Toc272570456"/>
      <w:bookmarkStart w:id="813" w:name="_Toc272570590"/>
      <w:bookmarkStart w:id="814" w:name="_Toc272570723"/>
      <w:bookmarkStart w:id="815" w:name="_Toc272570856"/>
      <w:bookmarkStart w:id="816" w:name="_Toc272569107"/>
      <w:bookmarkStart w:id="817" w:name="_Toc272569259"/>
      <w:bookmarkStart w:id="818" w:name="_Toc272569443"/>
      <w:bookmarkStart w:id="819" w:name="_Toc272569580"/>
      <w:bookmarkStart w:id="820" w:name="_Toc272569716"/>
      <w:bookmarkStart w:id="821" w:name="_Toc272569867"/>
      <w:bookmarkStart w:id="822" w:name="_Toc272570190"/>
      <w:bookmarkStart w:id="823" w:name="_Toc272570324"/>
      <w:bookmarkStart w:id="824" w:name="_Toc272570457"/>
      <w:bookmarkStart w:id="825" w:name="_Toc272570591"/>
      <w:bookmarkStart w:id="826" w:name="_Toc272570724"/>
      <w:bookmarkStart w:id="827" w:name="_Toc272570857"/>
      <w:bookmarkStart w:id="828" w:name="_Toc272569108"/>
      <w:bookmarkStart w:id="829" w:name="_Toc272569260"/>
      <w:bookmarkStart w:id="830" w:name="_Toc272569444"/>
      <w:bookmarkStart w:id="831" w:name="_Toc272569581"/>
      <w:bookmarkStart w:id="832" w:name="_Toc272569717"/>
      <w:bookmarkStart w:id="833" w:name="_Toc272569868"/>
      <w:bookmarkStart w:id="834" w:name="_Toc272570191"/>
      <w:bookmarkStart w:id="835" w:name="_Toc272570325"/>
      <w:bookmarkStart w:id="836" w:name="_Toc272570458"/>
      <w:bookmarkStart w:id="837" w:name="_Toc272570592"/>
      <w:bookmarkStart w:id="838" w:name="_Toc272570725"/>
      <w:bookmarkStart w:id="839" w:name="_Toc272570858"/>
      <w:bookmarkStart w:id="840" w:name="_Toc272569109"/>
      <w:bookmarkStart w:id="841" w:name="_Toc272569261"/>
      <w:bookmarkStart w:id="842" w:name="_Toc272569445"/>
      <w:bookmarkStart w:id="843" w:name="_Toc272569582"/>
      <w:bookmarkStart w:id="844" w:name="_Toc272569718"/>
      <w:bookmarkStart w:id="845" w:name="_Toc272569869"/>
      <w:bookmarkStart w:id="846" w:name="_Toc272570192"/>
      <w:bookmarkStart w:id="847" w:name="_Toc272570326"/>
      <w:bookmarkStart w:id="848" w:name="_Toc272570459"/>
      <w:bookmarkStart w:id="849" w:name="_Toc272570593"/>
      <w:bookmarkStart w:id="850" w:name="_Toc272570726"/>
      <w:bookmarkStart w:id="851" w:name="_Toc272570859"/>
      <w:bookmarkStart w:id="852" w:name="_Toc169103849"/>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sidRPr="00D3689E">
        <w:rPr>
          <w:rFonts w:asciiTheme="minorEastAsia" w:eastAsiaTheme="minorEastAsia" w:hAnsiTheme="minorEastAsia" w:hint="eastAsia"/>
          <w:color w:val="000000" w:themeColor="text1"/>
        </w:rPr>
        <w:t>境外托管人</w:t>
      </w:r>
      <w:bookmarkEnd w:id="852"/>
    </w:p>
    <w:p w:rsidR="00C3183C" w:rsidRPr="00D3689E" w:rsidP="00C3183C">
      <w:pPr>
        <w:pStyle w:val="Default"/>
        <w:spacing w:line="360" w:lineRule="auto"/>
        <w:ind w:firstLine="420"/>
        <w:jc w:val="both"/>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（一）基本情况</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 xml:space="preserve">名称: 香港上海汇丰银行有限公司 </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 xml:space="preserve">注册地址: 香港中环皇后大道中一号汇丰总行大厦 </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 xml:space="preserve">办公地址: 香港九龙深旺道一号, 汇丰中心一座六楼 </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成立日期：1865年</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管理层：</w:t>
      </w:r>
    </w:p>
    <w:p w:rsidR="0032292C" w:rsidRPr="00D3689E" w:rsidP="0032292C">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联席行政总裁: 廖宜建，罗铭哲</w:t>
      </w:r>
    </w:p>
    <w:p w:rsidR="0032292C" w:rsidRPr="00D3689E" w:rsidP="0032292C">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联系人：钟咏苓</w:t>
      </w:r>
    </w:p>
    <w:p w:rsidR="0032292C" w:rsidRPr="00D3689E" w:rsidP="0032292C">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电话</w:t>
      </w:r>
      <w:r w:rsidRPr="00D3689E">
        <w:rPr>
          <w:rFonts w:asciiTheme="minorEastAsia" w:eastAsiaTheme="minorEastAsia" w:hAnsiTheme="minorEastAsia"/>
          <w:color w:val="000000" w:themeColor="text1"/>
          <w:sz w:val="21"/>
          <w:szCs w:val="21"/>
          <w:lang w:val="en"/>
        </w:rPr>
        <w:t>: +86 21 3888</w:t>
      </w:r>
      <w:r w:rsidRPr="00D3689E">
        <w:rPr>
          <w:rFonts w:asciiTheme="minorEastAsia" w:eastAsiaTheme="minorEastAsia" w:hAnsiTheme="minorEastAsia" w:hint="eastAsia"/>
          <w:color w:val="000000" w:themeColor="text1"/>
          <w:sz w:val="21"/>
          <w:szCs w:val="21"/>
          <w:lang w:val="en"/>
        </w:rPr>
        <w:t xml:space="preserve"> </w:t>
      </w:r>
      <w:r w:rsidRPr="00D3689E">
        <w:rPr>
          <w:rFonts w:asciiTheme="minorEastAsia" w:eastAsiaTheme="minorEastAsia" w:hAnsiTheme="minorEastAsia"/>
          <w:color w:val="000000" w:themeColor="text1"/>
          <w:sz w:val="21"/>
          <w:szCs w:val="21"/>
          <w:lang w:val="en"/>
        </w:rPr>
        <w:t>2381</w:t>
      </w:r>
    </w:p>
    <w:p w:rsidR="0032292C" w:rsidRPr="00D3689E" w:rsidP="0032292C">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Email</w:t>
      </w:r>
      <w:r w:rsidRPr="00D3689E">
        <w:rPr>
          <w:rFonts w:asciiTheme="minorEastAsia" w:eastAsiaTheme="minorEastAsia" w:hAnsiTheme="minorEastAsia"/>
          <w:color w:val="000000" w:themeColor="text1"/>
          <w:sz w:val="21"/>
          <w:szCs w:val="21"/>
          <w:lang w:val="en"/>
        </w:rPr>
        <w:t>: sophiachung@hsbc.com.cn</w:t>
      </w:r>
    </w:p>
    <w:p w:rsidR="0032292C" w:rsidRPr="00D3689E" w:rsidP="0032292C">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公司网址</w:t>
      </w:r>
      <w:r w:rsidRPr="00D3689E">
        <w:rPr>
          <w:rFonts w:asciiTheme="minorEastAsia" w:eastAsiaTheme="minorEastAsia" w:hAnsiTheme="minorEastAsia"/>
          <w:color w:val="000000" w:themeColor="text1"/>
          <w:sz w:val="21"/>
          <w:szCs w:val="21"/>
          <w:lang w:val="en"/>
        </w:rPr>
        <w:t xml:space="preserve">: </w:t>
      </w:r>
      <w:hyperlink r:id="rId17" w:history="1">
        <w:r w:rsidRPr="00D3689E">
          <w:rPr>
            <w:rFonts w:asciiTheme="minorEastAsia" w:eastAsiaTheme="minorEastAsia" w:hAnsiTheme="minorEastAsia"/>
            <w:color w:val="000000" w:themeColor="text1"/>
            <w:sz w:val="21"/>
            <w:szCs w:val="21"/>
            <w:lang w:val="en"/>
          </w:rPr>
          <w:t>www.hsbc.com</w:t>
        </w:r>
      </w:hyperlink>
    </w:p>
    <w:p w:rsidR="0005638A" w:rsidRPr="00D3689E" w:rsidP="0005638A">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2022年12月31日公司股本：1,801.81亿港元</w:t>
      </w:r>
    </w:p>
    <w:p w:rsidR="0005638A" w:rsidRPr="00D3689E" w:rsidP="0005638A">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2022年12月31日托管资产规模：9.1万亿美元</w:t>
      </w:r>
    </w:p>
    <w:p w:rsidR="00186A92" w:rsidRPr="00D3689E" w:rsidP="0005638A">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信用等级：标准普尔AA-</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汇丰是全球最大的银行及金融服务机构之一。我们通过三大环球业务：财富管理及个人银行、工商金融、环球银行及资本市场，为超过4,000万名客户提供服务。我们的业务网络遍及欧洲、亚洲、中东及非洲、北美和拉美，覆盖全球64个国家和地区。</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汇丰旨在把握市场增长机会，致力建立联系以协助客户开拓商机，推动企业茁壮成长及各地经济繁荣发展，而最终目标是让客户实现理想。</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汇丰控股有限公司在伦敦、香港、纽约、巴黎和百慕大证券交易所上市，股东约194,000名，遍布全球130个国家和地区。</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 xml:space="preserve">（二）境外托管人的职责 </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对基金的境外财产，基金托管人可以授权境外资产托管人代为履行其对基金的受托人职责，包括但不限于：</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 xml:space="preserve">1、仅在依基金托管人指示之情形下，依规定之形式及方式转移、交换或交付其于境外资产托管协议下为基金托管之QDII客持有之投资； </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2、按照相关合同的约定,计算境外受托资产的资产净值，提供与受托资产业务活动有关</w:t>
      </w:r>
      <w:r w:rsidRPr="00D3689E">
        <w:rPr>
          <w:rFonts w:asciiTheme="minorEastAsia" w:eastAsiaTheme="minorEastAsia" w:hAnsiTheme="minorEastAsia" w:hint="eastAsia"/>
          <w:color w:val="000000" w:themeColor="text1"/>
          <w:sz w:val="21"/>
          <w:szCs w:val="21"/>
          <w:lang w:val="en"/>
        </w:rPr>
        <w:t>的会计、交易记录、并保存受托资产托管业务活动的记录、账册以及其他相关资料。</w:t>
      </w:r>
    </w:p>
    <w:p w:rsidR="00186A92" w:rsidRPr="00D3689E" w:rsidP="00186A92">
      <w:pPr>
        <w:pStyle w:val="Default"/>
        <w:spacing w:line="360" w:lineRule="auto"/>
        <w:ind w:firstLine="420"/>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境外托管人须及促使其次托管人或代表人尽其合理努力及判断力履行有关协议所规定之责任与义务，但境外托管人或其代表人或次托管人并无欺诈、疏忽、故意失责之情况下，境外托管代理人或其代表人或次托管人及其董事、人员及其代理人就其等因善意及恰当地履行境外资产托管协议，或依照基金托管人 (或其获授权人)之指示或所为之行为而导致托管资产遭受之任何损失、费用或任何后果均不用负上法律责任。</w:t>
      </w:r>
    </w:p>
    <w:p w:rsidR="00C3183C" w:rsidRPr="00D3689E" w:rsidP="00C3183C">
      <w:pPr>
        <w:pStyle w:val="Default"/>
        <w:spacing w:line="360" w:lineRule="auto"/>
        <w:ind w:firstLine="420"/>
        <w:jc w:val="both"/>
        <w:rPr>
          <w:rFonts w:asciiTheme="minorEastAsia" w:eastAsiaTheme="minorEastAsia" w:hAnsiTheme="minorEastAsia"/>
          <w:color w:val="000000" w:themeColor="text1"/>
          <w:sz w:val="21"/>
          <w:szCs w:val="21"/>
          <w:lang w:val="en"/>
        </w:rPr>
      </w:pPr>
      <w:r w:rsidRPr="00D3689E">
        <w:rPr>
          <w:rFonts w:asciiTheme="minorEastAsia" w:eastAsiaTheme="minorEastAsia" w:hAnsiTheme="minorEastAsia" w:hint="eastAsia"/>
          <w:color w:val="000000" w:themeColor="text1"/>
          <w:sz w:val="21"/>
          <w:szCs w:val="21"/>
          <w:lang w:val="en"/>
        </w:rPr>
        <w:t>境外托管人在履行职责过程中，因本身欺诈、疏忽、故意失责而导致托管资产遭受之损失(但任何附带、间接、特别、从属损害或惩戒性损害赔偿除外)的，基金托管人应当承担相应责任。在决定境外托管人是否有过错、疏忽等不当行为，应根据基金托管人与境外托管人之间的协议的适用法律及当地的证券市场惯例决定。</w:t>
      </w:r>
    </w:p>
    <w:p w:rsidR="00C3183C" w:rsidRPr="00D3689E" w:rsidP="00C3183C">
      <w:pPr>
        <w:pStyle w:val="Default"/>
        <w:spacing w:line="360" w:lineRule="auto"/>
        <w:ind w:firstLine="420"/>
        <w:jc w:val="both"/>
        <w:rPr>
          <w:rFonts w:asciiTheme="minorEastAsia" w:eastAsiaTheme="minorEastAsia" w:hAnsiTheme="minorEastAsia"/>
          <w:color w:val="000000" w:themeColor="text1"/>
          <w:sz w:val="21"/>
          <w:szCs w:val="21"/>
          <w:lang w:val="en"/>
        </w:rPr>
      </w:pPr>
    </w:p>
    <w:p w:rsidR="00917883" w:rsidRPr="00D3689E" w:rsidP="00917883">
      <w:pPr>
        <w:spacing w:line="360" w:lineRule="auto"/>
        <w:ind w:firstLine="482"/>
        <w:rPr>
          <w:rFonts w:asciiTheme="minorEastAsia" w:eastAsiaTheme="minorEastAsia" w:hAnsiTheme="minorEastAsia"/>
          <w:color w:val="000000" w:themeColor="text1"/>
        </w:rPr>
      </w:pPr>
    </w:p>
    <w:p w:rsidR="0064594E" w:rsidRPr="00D3689E" w:rsidP="00172767">
      <w:pPr>
        <w:pStyle w:val="1"/>
        <w:numPr>
          <w:ilvl w:val="0"/>
          <w:numId w:val="4"/>
        </w:numPr>
        <w:spacing w:before="312" w:after="312" w:line="360" w:lineRule="auto"/>
        <w:ind w:firstLineChars="0"/>
        <w:rPr>
          <w:rFonts w:asciiTheme="minorEastAsia" w:eastAsiaTheme="minorEastAsia" w:hAnsiTheme="minorEastAsia"/>
          <w:color w:val="000000" w:themeColor="text1"/>
        </w:rPr>
      </w:pPr>
      <w:bookmarkStart w:id="853" w:name="_Toc308697698"/>
      <w:bookmarkStart w:id="854" w:name="_Toc309286220"/>
      <w:bookmarkStart w:id="855" w:name="_Toc308697699"/>
      <w:bookmarkStart w:id="856" w:name="_Toc309286221"/>
      <w:bookmarkStart w:id="857" w:name="_Toc308697700"/>
      <w:bookmarkStart w:id="858" w:name="_Toc309286222"/>
      <w:bookmarkStart w:id="859" w:name="_Toc308697701"/>
      <w:bookmarkStart w:id="860" w:name="_Toc309286223"/>
      <w:bookmarkStart w:id="861" w:name="_Toc308697702"/>
      <w:bookmarkStart w:id="862" w:name="_Toc309286224"/>
      <w:bookmarkStart w:id="863" w:name="_Toc308697703"/>
      <w:bookmarkStart w:id="864" w:name="_Toc309286225"/>
      <w:bookmarkStart w:id="865" w:name="_Toc308697704"/>
      <w:bookmarkStart w:id="866" w:name="_Toc309286226"/>
      <w:bookmarkStart w:id="867" w:name="_Toc308697705"/>
      <w:bookmarkStart w:id="868" w:name="_Toc309286227"/>
      <w:bookmarkStart w:id="869" w:name="_Toc308697706"/>
      <w:bookmarkStart w:id="870" w:name="_Toc309286228"/>
      <w:bookmarkStart w:id="871" w:name="_Toc296440221"/>
      <w:bookmarkStart w:id="872" w:name="_Toc272569113"/>
      <w:bookmarkStart w:id="873" w:name="_Toc272569265"/>
      <w:bookmarkStart w:id="874" w:name="_Toc272569449"/>
      <w:bookmarkStart w:id="875" w:name="_Toc272569586"/>
      <w:bookmarkStart w:id="876" w:name="_Toc272569722"/>
      <w:bookmarkStart w:id="877" w:name="_Toc272569873"/>
      <w:bookmarkStart w:id="878" w:name="_Toc272569114"/>
      <w:bookmarkStart w:id="879" w:name="_Toc272569266"/>
      <w:bookmarkStart w:id="880" w:name="_Toc272569450"/>
      <w:bookmarkStart w:id="881" w:name="_Toc272569587"/>
      <w:bookmarkStart w:id="882" w:name="_Toc272569723"/>
      <w:bookmarkStart w:id="883" w:name="_Toc272569874"/>
      <w:bookmarkStart w:id="884" w:name="_Toc272569115"/>
      <w:bookmarkStart w:id="885" w:name="_Toc272569267"/>
      <w:bookmarkStart w:id="886" w:name="_Toc272569451"/>
      <w:bookmarkStart w:id="887" w:name="_Toc272569588"/>
      <w:bookmarkStart w:id="888" w:name="_Toc272569724"/>
      <w:bookmarkStart w:id="889" w:name="_Toc272569875"/>
      <w:bookmarkStart w:id="890" w:name="_Toc272569116"/>
      <w:bookmarkStart w:id="891" w:name="_Toc272569268"/>
      <w:bookmarkStart w:id="892" w:name="_Toc272569452"/>
      <w:bookmarkStart w:id="893" w:name="_Toc272569589"/>
      <w:bookmarkStart w:id="894" w:name="_Toc272569725"/>
      <w:bookmarkStart w:id="895" w:name="_Toc272569876"/>
      <w:bookmarkStart w:id="896" w:name="_Toc272569117"/>
      <w:bookmarkStart w:id="897" w:name="_Toc272569269"/>
      <w:bookmarkStart w:id="898" w:name="_Toc272569453"/>
      <w:bookmarkStart w:id="899" w:name="_Toc272569590"/>
      <w:bookmarkStart w:id="900" w:name="_Toc272569726"/>
      <w:bookmarkStart w:id="901" w:name="_Toc272569877"/>
      <w:bookmarkStart w:id="902" w:name="_Toc272569118"/>
      <w:bookmarkStart w:id="903" w:name="_Toc272569270"/>
      <w:bookmarkStart w:id="904" w:name="_Toc272569454"/>
      <w:bookmarkStart w:id="905" w:name="_Toc272569591"/>
      <w:bookmarkStart w:id="906" w:name="_Toc272569727"/>
      <w:bookmarkStart w:id="907" w:name="_Toc272569878"/>
      <w:bookmarkStart w:id="908" w:name="_Toc169103850"/>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D3689E">
        <w:rPr>
          <w:rFonts w:asciiTheme="minorEastAsia" w:eastAsiaTheme="minorEastAsia" w:hAnsiTheme="minorEastAsia" w:hint="eastAsia"/>
          <w:color w:val="000000" w:themeColor="text1"/>
        </w:rPr>
        <w:t>相关服务机构</w:t>
      </w:r>
      <w:bookmarkEnd w:id="908"/>
    </w:p>
    <w:p w:rsidR="0064594E" w:rsidRPr="00D3689E" w:rsidP="001029A2">
      <w:pPr>
        <w:spacing w:line="360" w:lineRule="auto"/>
        <w:ind w:firstLine="482"/>
        <w:rPr>
          <w:rFonts w:asciiTheme="minorEastAsia" w:eastAsiaTheme="minorEastAsia" w:hAnsiTheme="minorEastAsia"/>
          <w:color w:val="000000" w:themeColor="text1"/>
          <w:szCs w:val="21"/>
        </w:rPr>
      </w:pPr>
      <w:bookmarkStart w:id="909" w:name="_Toc296527057"/>
      <w:bookmarkStart w:id="910" w:name="_Toc306614287"/>
      <w:r w:rsidRPr="00D3689E">
        <w:rPr>
          <w:rFonts w:asciiTheme="minorEastAsia" w:eastAsiaTheme="minorEastAsia" w:hAnsiTheme="minorEastAsia" w:hint="eastAsia"/>
          <w:color w:val="000000" w:themeColor="text1"/>
          <w:szCs w:val="21"/>
        </w:rPr>
        <w:t>一、基金份额</w:t>
      </w:r>
      <w:r w:rsidRPr="00D3689E" w:rsidR="00844029">
        <w:rPr>
          <w:rFonts w:asciiTheme="minorEastAsia" w:eastAsiaTheme="minorEastAsia" w:hAnsiTheme="minorEastAsia" w:hint="eastAsia"/>
          <w:color w:val="000000" w:themeColor="text1"/>
          <w:szCs w:val="21"/>
        </w:rPr>
        <w:t>销</w:t>
      </w:r>
      <w:r w:rsidRPr="00D3689E">
        <w:rPr>
          <w:rFonts w:asciiTheme="minorEastAsia" w:eastAsiaTheme="minorEastAsia" w:hAnsiTheme="minorEastAsia" w:hint="eastAsia"/>
          <w:color w:val="000000" w:themeColor="text1"/>
          <w:szCs w:val="21"/>
        </w:rPr>
        <w:t>售机构</w:t>
      </w:r>
      <w:bookmarkEnd w:id="909"/>
      <w:bookmarkEnd w:id="910"/>
    </w:p>
    <w:p w:rsidR="00C11EBF"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、直销机构：易方达基金管理有限公司</w:t>
      </w:r>
    </w:p>
    <w:p w:rsidR="006A4F60" w:rsidRPr="00D3689E" w:rsidP="006A4F60">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注册地址：</w:t>
      </w:r>
      <w:r w:rsidRPr="00D3689E" w:rsidR="00624F94">
        <w:rPr>
          <w:rFonts w:asciiTheme="minorEastAsia" w:eastAsiaTheme="minorEastAsia" w:hAnsiTheme="minorEastAsia" w:hint="eastAsia"/>
          <w:color w:val="000000" w:themeColor="text1"/>
        </w:rPr>
        <w:t>广东省珠海市横琴新区荣粤道188号6层</w:t>
      </w:r>
    </w:p>
    <w:p w:rsidR="006A4F60" w:rsidRPr="00D3689E" w:rsidP="006A4F60">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办公地址：广州市天河区珠江新城珠江东路</w:t>
      </w:r>
      <w:r w:rsidRPr="00D3689E">
        <w:rPr>
          <w:rFonts w:asciiTheme="minorEastAsia" w:eastAsiaTheme="minorEastAsia" w:hAnsiTheme="minorEastAsia"/>
          <w:color w:val="000000" w:themeColor="text1"/>
        </w:rPr>
        <w:t>30</w:t>
      </w:r>
      <w:r w:rsidRPr="00D3689E">
        <w:rPr>
          <w:rFonts w:asciiTheme="minorEastAsia" w:eastAsiaTheme="minorEastAsia" w:hAnsiTheme="minorEastAsia" w:hint="eastAsia"/>
          <w:color w:val="000000" w:themeColor="text1"/>
        </w:rPr>
        <w:t>号广州银行大厦</w:t>
      </w:r>
      <w:r w:rsidRPr="00D3689E">
        <w:rPr>
          <w:rFonts w:asciiTheme="minorEastAsia" w:eastAsiaTheme="minorEastAsia" w:hAnsiTheme="minorEastAsia"/>
          <w:color w:val="000000" w:themeColor="text1"/>
        </w:rPr>
        <w:t>40-43</w:t>
      </w:r>
      <w:r w:rsidRPr="00D3689E">
        <w:rPr>
          <w:rFonts w:asciiTheme="minorEastAsia" w:eastAsiaTheme="minorEastAsia" w:hAnsiTheme="minorEastAsia" w:hint="eastAsia"/>
          <w:color w:val="000000" w:themeColor="text1"/>
        </w:rPr>
        <w:t>楼</w:t>
      </w:r>
    </w:p>
    <w:p w:rsidR="00C11EBF"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法定代表人：</w:t>
      </w:r>
      <w:r w:rsidRPr="00D3689E" w:rsidR="00DB0235">
        <w:rPr>
          <w:rFonts w:asciiTheme="minorEastAsia" w:eastAsiaTheme="minorEastAsia" w:hAnsiTheme="minorEastAsia" w:hint="eastAsia"/>
          <w:color w:val="000000" w:themeColor="text1"/>
          <w:szCs w:val="21"/>
        </w:rPr>
        <w:t>刘晓艳</w:t>
      </w:r>
    </w:p>
    <w:p w:rsidR="00C11EBF"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电话：</w:t>
      </w:r>
      <w:r w:rsidRPr="00D3689E">
        <w:rPr>
          <w:rFonts w:asciiTheme="minorEastAsia" w:eastAsiaTheme="minorEastAsia" w:hAnsiTheme="minorEastAsia"/>
          <w:color w:val="000000" w:themeColor="text1"/>
          <w:szCs w:val="21"/>
        </w:rPr>
        <w:t>020-85102506</w:t>
      </w:r>
    </w:p>
    <w:p w:rsidR="00C11EBF"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传真：</w:t>
      </w:r>
      <w:r w:rsidRPr="00D3689E">
        <w:rPr>
          <w:rFonts w:asciiTheme="minorEastAsia" w:eastAsiaTheme="minorEastAsia" w:hAnsiTheme="minorEastAsia"/>
          <w:color w:val="000000" w:themeColor="text1"/>
          <w:szCs w:val="21"/>
        </w:rPr>
        <w:t>4008818099</w:t>
      </w:r>
    </w:p>
    <w:p w:rsidR="003237C5" w:rsidRPr="00D3689E" w:rsidP="003237C5">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rPr>
        <w:t>联系人：梁美</w:t>
      </w:r>
    </w:p>
    <w:p w:rsidR="00C11EBF"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网址：</w:t>
      </w:r>
      <w:hyperlink r:id="rId18" w:history="1">
        <w:r w:rsidRPr="00D3689E">
          <w:rPr>
            <w:rFonts w:asciiTheme="minorEastAsia" w:eastAsiaTheme="minorEastAsia" w:hAnsiTheme="minorEastAsia"/>
            <w:color w:val="000000" w:themeColor="text1"/>
            <w:szCs w:val="21"/>
          </w:rPr>
          <w:t>www.efunds.com.cn</w:t>
        </w:r>
      </w:hyperlink>
    </w:p>
    <w:p w:rsidR="00844029" w:rsidRPr="00D3689E" w:rsidP="002E76BD">
      <w:pPr>
        <w:spacing w:line="360" w:lineRule="auto"/>
        <w:ind w:firstLine="420" w:firstLineChars="20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直销机构的网点信息：</w:t>
      </w:r>
    </w:p>
    <w:p w:rsidR="005C5BD0" w:rsidRPr="00D3689E" w:rsidP="00C11EBF">
      <w:pPr>
        <w:spacing w:line="360" w:lineRule="auto"/>
        <w:ind w:firstLine="482"/>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本公司直销中心和网上直销系统销售本基金，网点具体信息详见本公司网站。</w:t>
      </w:r>
    </w:p>
    <w:p w:rsidR="0064594E" w:rsidRPr="00D3689E" w:rsidP="00C11EB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w:t>
      </w:r>
      <w:r w:rsidRPr="00D3689E" w:rsidR="00E24E30">
        <w:rPr>
          <w:rFonts w:asciiTheme="minorEastAsia" w:eastAsiaTheme="minorEastAsia" w:hAnsiTheme="minorEastAsia" w:hint="eastAsia"/>
          <w:color w:val="000000" w:themeColor="text1"/>
          <w:szCs w:val="21"/>
        </w:rPr>
        <w:t>非直销销售</w:t>
      </w:r>
      <w:r w:rsidRPr="00D3689E">
        <w:rPr>
          <w:rFonts w:asciiTheme="minorEastAsia" w:eastAsiaTheme="minorEastAsia" w:hAnsiTheme="minorEastAsia" w:hint="eastAsia"/>
          <w:color w:val="000000" w:themeColor="text1"/>
          <w:szCs w:val="21"/>
        </w:rPr>
        <w:t>机构</w:t>
      </w:r>
    </w:p>
    <w:p w:rsidR="00007E6D" w:rsidRPr="00D3689E">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本基金非直销销售机构信息详见基金管理人网站公示。</w:t>
      </w:r>
    </w:p>
    <w:p w:rsidR="0064594E" w:rsidRPr="00D3689E" w:rsidP="001029A2">
      <w:pPr>
        <w:spacing w:line="360" w:lineRule="auto"/>
        <w:ind w:firstLine="482"/>
        <w:rPr>
          <w:rFonts w:asciiTheme="minorEastAsia" w:eastAsiaTheme="minorEastAsia" w:hAnsiTheme="minorEastAsia"/>
          <w:color w:val="000000" w:themeColor="text1"/>
          <w:szCs w:val="21"/>
        </w:rPr>
      </w:pPr>
      <w:bookmarkStart w:id="911" w:name="_Toc296527058"/>
      <w:bookmarkStart w:id="912" w:name="_Toc38432429"/>
      <w:bookmarkStart w:id="913" w:name="_Toc296527059"/>
      <w:bookmarkStart w:id="914" w:name="_Toc306614288"/>
      <w:bookmarkEnd w:id="911"/>
      <w:r w:rsidRPr="00D3689E">
        <w:rPr>
          <w:rFonts w:asciiTheme="minorEastAsia" w:eastAsiaTheme="minorEastAsia" w:hAnsiTheme="minorEastAsia" w:hint="eastAsia"/>
          <w:color w:val="000000" w:themeColor="text1"/>
          <w:szCs w:val="21"/>
        </w:rPr>
        <w:t>二、基金</w:t>
      </w:r>
      <w:r w:rsidRPr="00D3689E" w:rsidR="00275A9F">
        <w:rPr>
          <w:rFonts w:asciiTheme="minorEastAsia" w:eastAsiaTheme="minorEastAsia" w:hAnsiTheme="minorEastAsia" w:hint="eastAsia"/>
          <w:color w:val="000000" w:themeColor="text1"/>
          <w:szCs w:val="21"/>
        </w:rPr>
        <w:t>注册</w:t>
      </w:r>
      <w:r w:rsidRPr="00D3689E">
        <w:rPr>
          <w:rFonts w:asciiTheme="minorEastAsia" w:eastAsiaTheme="minorEastAsia" w:hAnsiTheme="minorEastAsia" w:hint="eastAsia"/>
          <w:color w:val="000000" w:themeColor="text1"/>
          <w:szCs w:val="21"/>
        </w:rPr>
        <w:t>登记机构</w:t>
      </w:r>
      <w:bookmarkEnd w:id="912"/>
      <w:bookmarkEnd w:id="913"/>
      <w:bookmarkEnd w:id="914"/>
    </w:p>
    <w:p w:rsidR="00301103" w:rsidRPr="00D3689E" w:rsidP="00301103">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名称：易方达基金管理有限公司</w:t>
      </w:r>
    </w:p>
    <w:p w:rsidR="001029A2" w:rsidRPr="00D3689E" w:rsidP="001029A2">
      <w:pPr>
        <w:spacing w:line="360" w:lineRule="auto"/>
        <w:ind w:firstLine="482"/>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注册地址：</w:t>
      </w:r>
      <w:r w:rsidRPr="00D3689E" w:rsidR="006B4494">
        <w:rPr>
          <w:rFonts w:asciiTheme="minorEastAsia" w:eastAsiaTheme="minorEastAsia" w:hAnsiTheme="minorEastAsia" w:hint="eastAsia"/>
          <w:color w:val="000000" w:themeColor="text1"/>
          <w:kern w:val="0"/>
        </w:rPr>
        <w:t>广东省珠海市横琴新区荣粤道188号6层</w:t>
      </w:r>
    </w:p>
    <w:p w:rsidR="001029A2" w:rsidRPr="00D3689E" w:rsidP="001029A2">
      <w:pPr>
        <w:spacing w:line="360" w:lineRule="auto"/>
        <w:ind w:firstLine="482"/>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办公地址：广州市天河区珠江新城珠江东路</w:t>
      </w:r>
      <w:r w:rsidRPr="00D3689E">
        <w:rPr>
          <w:rFonts w:asciiTheme="minorEastAsia" w:eastAsiaTheme="minorEastAsia" w:hAnsiTheme="minorEastAsia"/>
          <w:color w:val="000000" w:themeColor="text1"/>
        </w:rPr>
        <w:t>30</w:t>
      </w:r>
      <w:r w:rsidRPr="00D3689E">
        <w:rPr>
          <w:rFonts w:asciiTheme="minorEastAsia" w:eastAsiaTheme="minorEastAsia" w:hAnsiTheme="minorEastAsia" w:hint="eastAsia"/>
          <w:color w:val="000000" w:themeColor="text1"/>
        </w:rPr>
        <w:t>号广州银行大厦</w:t>
      </w:r>
      <w:r w:rsidRPr="00D3689E">
        <w:rPr>
          <w:rFonts w:asciiTheme="minorEastAsia" w:eastAsiaTheme="minorEastAsia" w:hAnsiTheme="minorEastAsia"/>
          <w:color w:val="000000" w:themeColor="text1"/>
        </w:rPr>
        <w:t>40-43</w:t>
      </w:r>
      <w:r w:rsidRPr="00D3689E">
        <w:rPr>
          <w:rFonts w:asciiTheme="minorEastAsia" w:eastAsiaTheme="minorEastAsia" w:hAnsiTheme="minorEastAsia" w:hint="eastAsia"/>
          <w:color w:val="000000" w:themeColor="text1"/>
        </w:rPr>
        <w:t>楼</w:t>
      </w:r>
    </w:p>
    <w:p w:rsidR="00301103" w:rsidRPr="00D3689E" w:rsidP="00301103">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法定代表人：</w:t>
      </w:r>
      <w:r w:rsidRPr="00D3689E" w:rsidR="00DB0235">
        <w:rPr>
          <w:rFonts w:asciiTheme="minorEastAsia" w:eastAsiaTheme="minorEastAsia" w:hAnsiTheme="minorEastAsia" w:hint="eastAsia"/>
          <w:color w:val="000000" w:themeColor="text1"/>
          <w:szCs w:val="21"/>
        </w:rPr>
        <w:t>刘晓艳</w:t>
      </w:r>
    </w:p>
    <w:p w:rsidR="00301103" w:rsidRPr="00D3689E" w:rsidP="00301103">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电话：</w:t>
      </w:r>
      <w:r w:rsidRPr="00D3689E">
        <w:rPr>
          <w:rFonts w:asciiTheme="minorEastAsia" w:eastAsiaTheme="minorEastAsia" w:hAnsiTheme="minorEastAsia"/>
          <w:color w:val="000000" w:themeColor="text1"/>
          <w:szCs w:val="21"/>
        </w:rPr>
        <w:t>4008818088</w:t>
      </w:r>
    </w:p>
    <w:p w:rsidR="00301103" w:rsidRPr="00D3689E" w:rsidP="00301103">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传真：</w:t>
      </w:r>
      <w:r w:rsidRPr="00D3689E">
        <w:rPr>
          <w:rFonts w:asciiTheme="minorEastAsia" w:eastAsiaTheme="minorEastAsia" w:hAnsiTheme="minorEastAsia"/>
          <w:color w:val="000000" w:themeColor="text1"/>
          <w:szCs w:val="21"/>
        </w:rPr>
        <w:t>020-38799249</w:t>
      </w:r>
    </w:p>
    <w:p w:rsidR="00301103" w:rsidRPr="00D3689E" w:rsidP="00301103">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联系人：余贤高</w:t>
      </w:r>
    </w:p>
    <w:p w:rsidR="0064594E" w:rsidRPr="00D3689E" w:rsidP="001029A2">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三、律师事务所和经办律师</w:t>
      </w:r>
    </w:p>
    <w:p w:rsidR="00165211" w:rsidRPr="00D3689E" w:rsidP="00165211">
      <w:pPr>
        <w:spacing w:line="360" w:lineRule="auto"/>
        <w:ind w:firstLine="420"/>
        <w:rPr>
          <w:rStyle w:val="da"/>
          <w:rFonts w:asciiTheme="minorEastAsia" w:eastAsiaTheme="minorEastAsia" w:hAnsiTheme="minorEastAsia"/>
          <w:color w:val="000000" w:themeColor="text1"/>
          <w:szCs w:val="21"/>
        </w:rPr>
      </w:pPr>
      <w:r w:rsidRPr="00D3689E">
        <w:rPr>
          <w:rStyle w:val="da"/>
          <w:rFonts w:asciiTheme="minorEastAsia" w:eastAsiaTheme="minorEastAsia" w:hAnsiTheme="minorEastAsia" w:hint="eastAsia"/>
          <w:color w:val="000000" w:themeColor="text1"/>
        </w:rPr>
        <w:t>律师事务所：北京德恒律师事务所</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地址：北京市西城区金融大街</w:t>
      </w:r>
      <w:r w:rsidRPr="00D3689E">
        <w:rPr>
          <w:rStyle w:val="da"/>
          <w:rFonts w:asciiTheme="minorEastAsia" w:eastAsiaTheme="minorEastAsia" w:hAnsiTheme="minorEastAsia"/>
          <w:color w:val="000000" w:themeColor="text1"/>
        </w:rPr>
        <w:t>19号富凯大厦B座12层</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负责人：</w:t>
      </w:r>
      <w:r w:rsidRPr="00D3689E">
        <w:rPr>
          <w:rStyle w:val="da"/>
          <w:rFonts w:asciiTheme="minorEastAsia" w:eastAsiaTheme="minorEastAsia" w:hAnsiTheme="minorEastAsia"/>
          <w:color w:val="000000" w:themeColor="text1"/>
        </w:rPr>
        <w:t>王丽</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电话：</w:t>
      </w:r>
      <w:r w:rsidRPr="00D3689E">
        <w:rPr>
          <w:rStyle w:val="da"/>
          <w:rFonts w:asciiTheme="minorEastAsia" w:eastAsiaTheme="minorEastAsia" w:hAnsiTheme="minorEastAsia"/>
          <w:color w:val="000000" w:themeColor="text1"/>
        </w:rPr>
        <w:t>010-52682888</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传真：</w:t>
      </w:r>
      <w:r w:rsidRPr="00D3689E">
        <w:rPr>
          <w:rStyle w:val="da"/>
          <w:rFonts w:asciiTheme="minorEastAsia" w:eastAsiaTheme="minorEastAsia" w:hAnsiTheme="minorEastAsia"/>
          <w:color w:val="000000" w:themeColor="text1"/>
        </w:rPr>
        <w:t>010-52682999</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经办律师：刘焕志、孙艳利</w:t>
      </w:r>
    </w:p>
    <w:p w:rsidR="00165211" w:rsidRPr="00D3689E" w:rsidP="00165211">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联系人：刘焕志</w:t>
      </w:r>
    </w:p>
    <w:p w:rsidR="00812FD8" w:rsidRPr="00D3689E" w:rsidP="00652778">
      <w:pPr>
        <w:spacing w:line="360" w:lineRule="auto"/>
        <w:ind w:firstLine="482"/>
        <w:rPr>
          <w:rFonts w:asciiTheme="minorEastAsia" w:eastAsiaTheme="minorEastAsia" w:hAnsiTheme="minorEastAsia"/>
          <w:color w:val="000000" w:themeColor="text1"/>
          <w:szCs w:val="21"/>
        </w:rPr>
      </w:pPr>
      <w:bookmarkStart w:id="915" w:name="_Toc38432431"/>
      <w:bookmarkStart w:id="916" w:name="_Toc296527061"/>
      <w:bookmarkStart w:id="917" w:name="_Toc306614290"/>
      <w:r w:rsidRPr="00D3689E">
        <w:rPr>
          <w:rFonts w:asciiTheme="minorEastAsia" w:eastAsiaTheme="minorEastAsia" w:hAnsiTheme="minorEastAsia" w:hint="eastAsia"/>
          <w:color w:val="000000" w:themeColor="text1"/>
          <w:szCs w:val="21"/>
        </w:rPr>
        <w:t>四、会计师事务所和经办注册会计师</w:t>
      </w:r>
    </w:p>
    <w:p w:rsidR="00652778" w:rsidRPr="00D3689E" w:rsidP="00652778">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本基金的法定验资机构为安永华明会计师事务所（特殊普通合伙）。</w:t>
      </w:r>
    </w:p>
    <w:p w:rsidR="00652778" w:rsidRPr="00D3689E" w:rsidP="00652778">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会计师事务所：安永华明会计师事务所（特殊普通合伙）</w:t>
      </w:r>
    </w:p>
    <w:p w:rsidR="00652778" w:rsidRPr="00D3689E" w:rsidP="00652778">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主要经营场所：北京市东城区东长安街</w:t>
      </w: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号东方广场安永大楼</w:t>
      </w:r>
      <w:r w:rsidRPr="00D3689E">
        <w:rPr>
          <w:rFonts w:asciiTheme="minorEastAsia" w:eastAsiaTheme="minorEastAsia" w:hAnsiTheme="minorEastAsia"/>
          <w:color w:val="000000" w:themeColor="text1"/>
          <w:szCs w:val="21"/>
        </w:rPr>
        <w:t>17</w:t>
      </w:r>
      <w:r w:rsidRPr="00D3689E">
        <w:rPr>
          <w:rFonts w:asciiTheme="minorEastAsia" w:eastAsiaTheme="minorEastAsia" w:hAnsiTheme="minorEastAsia" w:hint="eastAsia"/>
          <w:color w:val="000000" w:themeColor="text1"/>
          <w:szCs w:val="21"/>
        </w:rPr>
        <w:t>层</w:t>
      </w:r>
      <w:r w:rsidRPr="00D3689E">
        <w:rPr>
          <w:rFonts w:asciiTheme="minorEastAsia" w:eastAsiaTheme="minorEastAsia" w:hAnsiTheme="minorEastAsia"/>
          <w:color w:val="000000" w:themeColor="text1"/>
          <w:szCs w:val="21"/>
        </w:rPr>
        <w:t>01-12</w:t>
      </w:r>
      <w:r w:rsidRPr="00D3689E">
        <w:rPr>
          <w:rFonts w:asciiTheme="minorEastAsia" w:eastAsiaTheme="minorEastAsia" w:hAnsiTheme="minorEastAsia" w:hint="eastAsia"/>
          <w:color w:val="000000" w:themeColor="text1"/>
          <w:szCs w:val="21"/>
        </w:rPr>
        <w:t>室</w:t>
      </w:r>
    </w:p>
    <w:p w:rsidR="00DF176F" w:rsidRPr="00D3689E" w:rsidP="00DF176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rPr>
        <w:t>执行事务合伙人：毛鞍宁</w:t>
      </w:r>
    </w:p>
    <w:p w:rsidR="00DF176F" w:rsidRPr="00D3689E" w:rsidP="00DF176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电话：</w:t>
      </w:r>
      <w:r w:rsidRPr="00D3689E">
        <w:rPr>
          <w:rFonts w:asciiTheme="minorEastAsia" w:eastAsiaTheme="minorEastAsia" w:hAnsiTheme="minorEastAsia"/>
          <w:color w:val="000000" w:themeColor="text1"/>
          <w:szCs w:val="21"/>
        </w:rPr>
        <w:t>010-58153000</w:t>
      </w:r>
    </w:p>
    <w:p w:rsidR="00DF176F" w:rsidRPr="00D3689E" w:rsidP="00DF176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传真：</w:t>
      </w:r>
      <w:r w:rsidRPr="00D3689E">
        <w:rPr>
          <w:rFonts w:asciiTheme="minorEastAsia" w:eastAsiaTheme="minorEastAsia" w:hAnsiTheme="minorEastAsia"/>
          <w:color w:val="000000" w:themeColor="text1"/>
          <w:szCs w:val="21"/>
        </w:rPr>
        <w:t>010-85188298</w:t>
      </w:r>
    </w:p>
    <w:p w:rsidR="00DF176F" w:rsidRPr="00D3689E" w:rsidP="00DF176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经办注册会计师：赵雅、李明明</w:t>
      </w:r>
    </w:p>
    <w:p w:rsidR="00DF176F" w:rsidRPr="00D3689E" w:rsidP="00DF176F">
      <w:pPr>
        <w:spacing w:line="360" w:lineRule="auto"/>
        <w:ind w:firstLine="482"/>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联系人：赵雅</w:t>
      </w:r>
    </w:p>
    <w:p w:rsidR="00E57D64" w:rsidRPr="00D3689E" w:rsidP="00E57D64">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本基金的年度财务报表及其他规定事项的审计机构为普华永道中天会计师事务所（特殊普通合伙）。</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会计师事务所：普华永道中天会计师事务所</w:t>
      </w:r>
      <w:r w:rsidRPr="00D3689E">
        <w:rPr>
          <w:rStyle w:val="da"/>
          <w:rFonts w:asciiTheme="minorEastAsia" w:eastAsiaTheme="minorEastAsia" w:hAnsiTheme="minorEastAsia"/>
          <w:color w:val="000000" w:themeColor="text1"/>
        </w:rPr>
        <w:t>(</w:t>
      </w:r>
      <w:r w:rsidRPr="00D3689E">
        <w:rPr>
          <w:rStyle w:val="da"/>
          <w:rFonts w:asciiTheme="minorEastAsia" w:eastAsiaTheme="minorEastAsia" w:hAnsiTheme="minorEastAsia" w:hint="eastAsia"/>
          <w:color w:val="000000" w:themeColor="text1"/>
        </w:rPr>
        <w:t>特殊普通合伙</w:t>
      </w:r>
      <w:r w:rsidRPr="00D3689E">
        <w:rPr>
          <w:rStyle w:val="da"/>
          <w:rFonts w:asciiTheme="minorEastAsia" w:eastAsiaTheme="minorEastAsia" w:hAnsiTheme="minorEastAsia"/>
          <w:color w:val="000000" w:themeColor="text1"/>
        </w:rPr>
        <w:t>)</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住所：上海市湖滨路</w:t>
      </w:r>
      <w:r w:rsidRPr="00D3689E">
        <w:rPr>
          <w:rStyle w:val="da"/>
          <w:rFonts w:asciiTheme="minorEastAsia" w:eastAsiaTheme="minorEastAsia" w:hAnsiTheme="minorEastAsia"/>
          <w:color w:val="000000" w:themeColor="text1"/>
        </w:rPr>
        <w:t>202</w:t>
      </w:r>
      <w:r w:rsidRPr="00D3689E">
        <w:rPr>
          <w:rStyle w:val="da"/>
          <w:rFonts w:asciiTheme="minorEastAsia" w:eastAsiaTheme="minorEastAsia" w:hAnsiTheme="minorEastAsia" w:hint="eastAsia"/>
          <w:color w:val="000000" w:themeColor="text1"/>
        </w:rPr>
        <w:t>号普华永道中心</w:t>
      </w:r>
      <w:r w:rsidRPr="00D3689E">
        <w:rPr>
          <w:rStyle w:val="da"/>
          <w:rFonts w:asciiTheme="minorEastAsia" w:eastAsiaTheme="minorEastAsia" w:hAnsiTheme="minorEastAsia"/>
          <w:color w:val="000000" w:themeColor="text1"/>
        </w:rPr>
        <w:t>11</w:t>
      </w:r>
      <w:r w:rsidRPr="00D3689E">
        <w:rPr>
          <w:rStyle w:val="da"/>
          <w:rFonts w:asciiTheme="minorEastAsia" w:eastAsiaTheme="minorEastAsia" w:hAnsiTheme="minorEastAsia" w:hint="eastAsia"/>
          <w:color w:val="000000" w:themeColor="text1"/>
        </w:rPr>
        <w:t>楼</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办公地址：上海市湖滨路</w:t>
      </w:r>
      <w:r w:rsidRPr="00D3689E">
        <w:rPr>
          <w:rStyle w:val="da"/>
          <w:rFonts w:asciiTheme="minorEastAsia" w:eastAsiaTheme="minorEastAsia" w:hAnsiTheme="minorEastAsia"/>
          <w:color w:val="000000" w:themeColor="text1"/>
        </w:rPr>
        <w:t>202</w:t>
      </w:r>
      <w:r w:rsidRPr="00D3689E">
        <w:rPr>
          <w:rStyle w:val="da"/>
          <w:rFonts w:asciiTheme="minorEastAsia" w:eastAsiaTheme="minorEastAsia" w:hAnsiTheme="minorEastAsia" w:hint="eastAsia"/>
          <w:color w:val="000000" w:themeColor="text1"/>
        </w:rPr>
        <w:t>号普华永道中心</w:t>
      </w:r>
      <w:r w:rsidRPr="00D3689E">
        <w:rPr>
          <w:rStyle w:val="da"/>
          <w:rFonts w:asciiTheme="minorEastAsia" w:eastAsiaTheme="minorEastAsia" w:hAnsiTheme="minorEastAsia"/>
          <w:color w:val="000000" w:themeColor="text1"/>
        </w:rPr>
        <w:t>11</w:t>
      </w:r>
      <w:r w:rsidRPr="00D3689E">
        <w:rPr>
          <w:rStyle w:val="da"/>
          <w:rFonts w:asciiTheme="minorEastAsia" w:eastAsiaTheme="minorEastAsia" w:hAnsiTheme="minorEastAsia" w:hint="eastAsia"/>
          <w:color w:val="000000" w:themeColor="text1"/>
        </w:rPr>
        <w:t>楼</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首席合伙人：李丹</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电话：（</w:t>
      </w:r>
      <w:r w:rsidRPr="00D3689E">
        <w:rPr>
          <w:rStyle w:val="da"/>
          <w:rFonts w:asciiTheme="minorEastAsia" w:eastAsiaTheme="minorEastAsia" w:hAnsiTheme="minorEastAsia"/>
          <w:color w:val="000000" w:themeColor="text1"/>
        </w:rPr>
        <w:t>021</w:t>
      </w:r>
      <w:r w:rsidRPr="00D3689E">
        <w:rPr>
          <w:rStyle w:val="da"/>
          <w:rFonts w:asciiTheme="minorEastAsia" w:eastAsiaTheme="minorEastAsia" w:hAnsiTheme="minorEastAsia" w:hint="eastAsia"/>
          <w:color w:val="000000" w:themeColor="text1"/>
        </w:rPr>
        <w:t>）</w:t>
      </w:r>
      <w:r w:rsidRPr="00D3689E">
        <w:rPr>
          <w:rStyle w:val="da"/>
          <w:rFonts w:asciiTheme="minorEastAsia" w:eastAsiaTheme="minorEastAsia" w:hAnsiTheme="minorEastAsia"/>
          <w:color w:val="000000" w:themeColor="text1"/>
        </w:rPr>
        <w:t>23238888</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传真：（</w:t>
      </w:r>
      <w:r w:rsidRPr="00D3689E">
        <w:rPr>
          <w:rStyle w:val="da"/>
          <w:rFonts w:asciiTheme="minorEastAsia" w:eastAsiaTheme="minorEastAsia" w:hAnsiTheme="minorEastAsia"/>
          <w:color w:val="000000" w:themeColor="text1"/>
        </w:rPr>
        <w:t>021</w:t>
      </w:r>
      <w:r w:rsidRPr="00D3689E">
        <w:rPr>
          <w:rStyle w:val="da"/>
          <w:rFonts w:asciiTheme="minorEastAsia" w:eastAsiaTheme="minorEastAsia" w:hAnsiTheme="minorEastAsia" w:hint="eastAsia"/>
          <w:color w:val="000000" w:themeColor="text1"/>
        </w:rPr>
        <w:t>）</w:t>
      </w:r>
      <w:r w:rsidRPr="00D3689E">
        <w:rPr>
          <w:rStyle w:val="da"/>
          <w:rFonts w:asciiTheme="minorEastAsia" w:eastAsiaTheme="minorEastAsia" w:hAnsiTheme="minorEastAsia"/>
          <w:color w:val="000000" w:themeColor="text1"/>
        </w:rPr>
        <w:t>23238800</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经办注册会计师：陈熹、陈轶杰</w:t>
      </w:r>
    </w:p>
    <w:p w:rsidR="00AE1407" w:rsidRPr="00D3689E" w:rsidP="00AE1407">
      <w:pPr>
        <w:spacing w:line="360" w:lineRule="auto"/>
        <w:ind w:firstLine="420"/>
        <w:rPr>
          <w:rStyle w:val="da"/>
          <w:rFonts w:asciiTheme="minorEastAsia" w:eastAsiaTheme="minorEastAsia" w:hAnsiTheme="minorEastAsia"/>
          <w:color w:val="000000" w:themeColor="text1"/>
        </w:rPr>
      </w:pPr>
      <w:r w:rsidRPr="00D3689E">
        <w:rPr>
          <w:rStyle w:val="da"/>
          <w:rFonts w:asciiTheme="minorEastAsia" w:eastAsiaTheme="minorEastAsia" w:hAnsiTheme="minorEastAsia" w:hint="eastAsia"/>
          <w:color w:val="000000" w:themeColor="text1"/>
        </w:rPr>
        <w:t>联系人：周祎</w:t>
      </w:r>
    </w:p>
    <w:bookmarkEnd w:id="915"/>
    <w:bookmarkEnd w:id="916"/>
    <w:bookmarkEnd w:id="917"/>
    <w:p w:rsidR="0064594E" w:rsidRPr="00D3689E" w:rsidP="008A2A5B">
      <w:pPr>
        <w:spacing w:line="360" w:lineRule="auto"/>
        <w:ind w:firstLine="482"/>
        <w:rPr>
          <w:rFonts w:asciiTheme="minorEastAsia" w:eastAsiaTheme="minorEastAsia" w:hAnsiTheme="minorEastAsia" w:cs="Calibri"/>
          <w:color w:val="000000" w:themeColor="text1"/>
        </w:rPr>
      </w:pPr>
    </w:p>
    <w:p w:rsidR="001029A2" w:rsidRPr="00D3689E" w:rsidP="00172767">
      <w:pPr>
        <w:spacing w:line="360" w:lineRule="auto"/>
        <w:ind w:firstLine="420"/>
        <w:rPr>
          <w:rFonts w:asciiTheme="minorEastAsia" w:eastAsiaTheme="minorEastAsia" w:hAnsiTheme="minorEastAsia" w:cs="Calibri"/>
          <w:color w:val="000000" w:themeColor="text1"/>
        </w:rPr>
      </w:pPr>
    </w:p>
    <w:p w:rsidR="001029A2" w:rsidRPr="00D3689E" w:rsidP="00172767">
      <w:pPr>
        <w:spacing w:line="360" w:lineRule="auto"/>
        <w:ind w:firstLine="420"/>
        <w:rPr>
          <w:rFonts w:asciiTheme="minorEastAsia" w:eastAsiaTheme="minorEastAsia" w:hAnsiTheme="minorEastAsia" w:cs="Calibri"/>
          <w:color w:val="000000" w:themeColor="text1"/>
        </w:rPr>
      </w:pPr>
    </w:p>
    <w:p w:rsidR="001029A2" w:rsidRPr="00D3689E" w:rsidP="00172767">
      <w:pPr>
        <w:spacing w:line="360" w:lineRule="auto"/>
        <w:ind w:firstLine="420"/>
        <w:rPr>
          <w:rFonts w:asciiTheme="minorEastAsia" w:eastAsiaTheme="minorEastAsia" w:hAnsiTheme="minorEastAsia" w:cs="Calibri"/>
          <w:color w:val="000000" w:themeColor="text1"/>
        </w:rPr>
      </w:pPr>
    </w:p>
    <w:p w:rsidR="001029A2" w:rsidRPr="00D3689E" w:rsidP="00172767">
      <w:pPr>
        <w:spacing w:line="360" w:lineRule="auto"/>
        <w:ind w:firstLine="420"/>
        <w:rPr>
          <w:rFonts w:asciiTheme="minorEastAsia" w:eastAsiaTheme="minorEastAsia" w:hAnsiTheme="minorEastAsia" w:cs="Calibri"/>
          <w:color w:val="000000" w:themeColor="text1"/>
        </w:rPr>
      </w:pPr>
    </w:p>
    <w:p w:rsidR="001029A2" w:rsidRPr="00D3689E" w:rsidP="00172767">
      <w:pPr>
        <w:spacing w:line="360" w:lineRule="auto"/>
        <w:ind w:firstLine="420"/>
        <w:rPr>
          <w:rFonts w:asciiTheme="minorEastAsia" w:eastAsiaTheme="minorEastAsia" w:hAnsiTheme="minorEastAsia"/>
          <w:color w:val="000000" w:themeColor="text1"/>
          <w:szCs w:val="21"/>
        </w:rPr>
      </w:pP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bCs/>
          <w:color w:val="000000" w:themeColor="text1"/>
        </w:rPr>
        <w:br w:type="page"/>
      </w:r>
      <w:bookmarkStart w:id="918" w:name="_Toc169103851"/>
      <w:r w:rsidRPr="00D3689E">
        <w:rPr>
          <w:rFonts w:asciiTheme="minorEastAsia" w:eastAsiaTheme="minorEastAsia" w:hAnsiTheme="minorEastAsia" w:hint="eastAsia"/>
          <w:color w:val="000000" w:themeColor="text1"/>
        </w:rPr>
        <w:t>基金合同</w:t>
      </w:r>
      <w:r w:rsidRPr="00D3689E" w:rsidR="000775FD">
        <w:rPr>
          <w:rFonts w:asciiTheme="minorEastAsia" w:eastAsiaTheme="minorEastAsia" w:hAnsiTheme="minorEastAsia" w:hint="eastAsia"/>
          <w:color w:val="000000" w:themeColor="text1"/>
        </w:rPr>
        <w:t>的</w:t>
      </w:r>
      <w:r w:rsidRPr="00D3689E">
        <w:rPr>
          <w:rFonts w:asciiTheme="minorEastAsia" w:eastAsiaTheme="minorEastAsia" w:hAnsiTheme="minorEastAsia" w:hint="eastAsia"/>
          <w:color w:val="000000" w:themeColor="text1"/>
        </w:rPr>
        <w:t>内容摘要</w:t>
      </w:r>
      <w:bookmarkEnd w:id="918"/>
    </w:p>
    <w:p w:rsidR="004210A3" w:rsidRPr="00D3689E" w:rsidP="009E5C8E">
      <w:pPr>
        <w:spacing w:line="360" w:lineRule="auto"/>
        <w:ind w:firstLine="420"/>
        <w:rPr>
          <w:rFonts w:asciiTheme="minorEastAsia" w:eastAsiaTheme="minorEastAsia" w:hAnsiTheme="minorEastAsia" w:cs="Calibri"/>
          <w:color w:val="000000" w:themeColor="text1"/>
          <w:szCs w:val="21"/>
        </w:rPr>
      </w:pP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一、基金份额持有人、基金管理人和基金托管人的权利、义务</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（一）基金份额持有人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同一类别每份基金份额具有同等的合法权益。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、根据《基金法》、《运作办法》及其他有关规定，基金份额持有人的权利包括但不限于：</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）分享基金财产收益；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）参与分配清算后的剩余基金财产；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）依法申请赎回或转让其持有的基金份额；</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）按照规定要求召开基金份额持有人大会或者召集基金份额持有人大会；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）出席或者委派代表出席基金份额持有人大会，对基金份额持有人大会审议事项行使表决权；</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）出席或者委派代表出席目标ETF份额持有人大会，对目标ETF份额持有人大会审议事项行使表决权。本基金参会份额和票数按权益登记日本基金所持有的目标ETF份额占本基金资产的比例折算；</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（7）查阅或者复制公开披露的基金信息资料；</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）监督基金管理人的投资运作；</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）对基金管理人、基金托管人、基金服务机构损害其合法权益的行为依法提起诉讼或仲裁；</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）法律法规及中国证监会规定的和《基金合同》约定的其他权利。</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、根据《基金法》、《运作办法》及其他有关规定，基金份额持有人的义务包括但不限于：</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）认真阅读并遵守《基金合同》、招募说明书等信息披露文件；</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）了解所投资基金产品，了解自身风险承受能力，自主判断基金的投资价值，自主做出投资决策，自行承担投资风险；</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）关注基金信息披露，及时行使权利和履行义务；</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）缴纳基金认购、申购款项及法律法规和《基金合同》所规定的费用；</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）在其持有的基金份额范围内，承担基金亏损或者《基金合同》终止的有限责任；</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）不从事任何有损基金及其他《基金合同》当事人合法权益的活动；</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）执行生效的基金份额持有人大会的决议；</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）返还在基金交易过程中因任何原因获得的不当得利；</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）法律法规及中国证监会规定的和《基金合同》约定的其他义务。</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（二）基金管理人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、根据《基金法》、《运作办法》及其他有关规定，基金管理人的权利包括但不限于：</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）依法募集资金；</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）自《基金合同》生效之日起，根据法律法规和《基金合同》独立运用并管理基金财产；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）依照《基金合同》收取基金管理费以及法律法规规定或中国证监会批准的其他费用；</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）销售基金份额；</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）召集基金份额持有人大会；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）依据《基金合同》及有关法律规定监督基金托管人，如认为基金托管人违反了《基金合同》及国家有关法律规定，应呈报中国证监会和其他监管部门，并采取必要措施保护基金投资者的利益；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）在基金托管人更换时，提名新的基金托管人；</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）选择、更换基金销售机构，对基金销售机构的相关行为进行监督和处理；</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）担任或委托其他符合条件的机构担任基金登记结算机构办理基金登记业务并获得《基金合同》规定的费用；</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）依据《基金合同》及有关法律规定决定基金收益的分配方案；</w:t>
      </w:r>
      <w:r w:rsidRPr="00D3689E">
        <w:rPr>
          <w:rFonts w:asciiTheme="minorEastAsia" w:eastAsiaTheme="minorEastAsia" w:hAnsiTheme="minorEastAsia"/>
          <w:bCs/>
          <w:color w:val="000000" w:themeColor="text1"/>
          <w:szCs w:val="21"/>
        </w:rPr>
        <w:tab/>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11</w:t>
      </w:r>
      <w:r w:rsidRPr="00D3689E">
        <w:rPr>
          <w:rFonts w:asciiTheme="minorEastAsia" w:eastAsiaTheme="minorEastAsia" w:hAnsiTheme="minorEastAsia" w:hint="eastAsia"/>
          <w:bCs/>
          <w:color w:val="000000" w:themeColor="text1"/>
          <w:szCs w:val="21"/>
        </w:rPr>
        <w:t>）在《基金合同》约定的范围内，拒绝或暂停受理申购、赎回和转换申请；</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12</w:t>
      </w:r>
      <w:r w:rsidRPr="00D3689E">
        <w:rPr>
          <w:rFonts w:asciiTheme="minorEastAsia" w:eastAsiaTheme="minorEastAsia" w:hAnsiTheme="minorEastAsia" w:hint="eastAsia"/>
          <w:bCs/>
          <w:color w:val="000000" w:themeColor="text1"/>
          <w:szCs w:val="21"/>
        </w:rPr>
        <w:t>）在不违反法律法规和监管规定且对基金份额持有人利益无实质不利影响的前提下，为支付本基金应付的赎回、交易清算等款项，基金管理人有权代表基金份额持有人以基金资产作为抵押进行融资；</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13</w:t>
      </w:r>
      <w:r w:rsidRPr="00D3689E">
        <w:rPr>
          <w:rFonts w:asciiTheme="minorEastAsia" w:eastAsiaTheme="minorEastAsia" w:hAnsiTheme="minorEastAsia" w:hint="eastAsia"/>
          <w:bCs/>
          <w:color w:val="000000" w:themeColor="text1"/>
          <w:szCs w:val="21"/>
        </w:rPr>
        <w:t>）依照法律法规为基金的利益行使因基金财产投资于证券所产生的权利；</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14</w:t>
      </w:r>
      <w:r w:rsidRPr="00D3689E">
        <w:rPr>
          <w:rFonts w:asciiTheme="minorEastAsia" w:eastAsiaTheme="minorEastAsia" w:hAnsiTheme="minorEastAsia" w:hint="eastAsia"/>
          <w:bCs/>
          <w:color w:val="000000" w:themeColor="text1"/>
          <w:szCs w:val="21"/>
        </w:rPr>
        <w:t>）在法律法规允许的前提下，为基金的利益依法进行融资融券，转融通；</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15</w:t>
      </w:r>
      <w:r w:rsidRPr="00D3689E">
        <w:rPr>
          <w:rFonts w:asciiTheme="minorEastAsia" w:eastAsiaTheme="minorEastAsia" w:hAnsiTheme="minorEastAsia" w:hint="eastAsia"/>
          <w:bCs/>
          <w:color w:val="000000" w:themeColor="text1"/>
          <w:szCs w:val="21"/>
        </w:rPr>
        <w:t>）以基金管理人的名义，代表基金份额持有人的利益行使诉讼权利或者实施其他法律行为；</w:t>
      </w:r>
      <w:r w:rsidRPr="00D3689E">
        <w:rPr>
          <w:rFonts w:asciiTheme="minorEastAsia" w:eastAsiaTheme="minorEastAsia" w:hAnsiTheme="minorEastAsia"/>
          <w:bCs/>
          <w:color w:val="000000" w:themeColor="text1"/>
          <w:szCs w:val="21"/>
        </w:rPr>
        <w:tab/>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16</w:t>
      </w:r>
      <w:r w:rsidRPr="00D3689E">
        <w:rPr>
          <w:rFonts w:asciiTheme="minorEastAsia" w:eastAsiaTheme="minorEastAsia" w:hAnsiTheme="minorEastAsia" w:hint="eastAsia"/>
          <w:bCs/>
          <w:color w:val="000000" w:themeColor="text1"/>
          <w:szCs w:val="21"/>
        </w:rPr>
        <w:t>）选择、更换律师事务所、会计师事务所、证券经纪商或其他为基金提供服务的外部机构；</w:t>
      </w:r>
      <w:r w:rsidRPr="00D3689E">
        <w:rPr>
          <w:rFonts w:asciiTheme="minorEastAsia" w:eastAsiaTheme="minorEastAsia" w:hAnsiTheme="minorEastAsia"/>
          <w:bCs/>
          <w:color w:val="000000" w:themeColor="text1"/>
          <w:szCs w:val="21"/>
        </w:rPr>
        <w:tab/>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17</w:t>
      </w:r>
      <w:r w:rsidRPr="00D3689E">
        <w:rPr>
          <w:rFonts w:asciiTheme="minorEastAsia" w:eastAsiaTheme="minorEastAsia" w:hAnsiTheme="minorEastAsia" w:hint="eastAsia"/>
          <w:bCs/>
          <w:color w:val="000000" w:themeColor="text1"/>
          <w:szCs w:val="21"/>
        </w:rPr>
        <w:t>）选择、更换或撤销基金境外投资顾问；</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18</w:t>
      </w:r>
      <w:r w:rsidRPr="00D3689E">
        <w:rPr>
          <w:rFonts w:asciiTheme="minorEastAsia" w:eastAsiaTheme="minorEastAsia" w:hAnsiTheme="minorEastAsia" w:hint="eastAsia"/>
          <w:bCs/>
          <w:color w:val="000000" w:themeColor="text1"/>
          <w:szCs w:val="21"/>
        </w:rPr>
        <w:t>）委托第三方机构办理本基金的交易、清算、估值、结算等业务；</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19</w:t>
      </w:r>
      <w:r w:rsidRPr="00D3689E">
        <w:rPr>
          <w:rFonts w:asciiTheme="minorEastAsia" w:eastAsiaTheme="minorEastAsia" w:hAnsiTheme="minorEastAsia" w:hint="eastAsia"/>
          <w:bCs/>
          <w:color w:val="000000" w:themeColor="text1"/>
          <w:szCs w:val="21"/>
        </w:rPr>
        <w:t>）在符合有关法律、法规的前提下，制订和调整有关基金认购、申购、赎回、转换、非交易过户、转托管和收益分配等业务规则；</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20</w:t>
      </w:r>
      <w:r w:rsidRPr="00D3689E">
        <w:rPr>
          <w:rFonts w:asciiTheme="minorEastAsia" w:eastAsiaTheme="minorEastAsia" w:hAnsiTheme="minorEastAsia" w:hint="eastAsia"/>
          <w:bCs/>
          <w:color w:val="000000" w:themeColor="text1"/>
          <w:szCs w:val="21"/>
        </w:rPr>
        <w:t>）经与基金托管人协商一致，代表基金份额持有人的利益行使因基金财产投资于目标ETF所产生的权利；</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（21）</w:t>
      </w:r>
      <w:r w:rsidRPr="00D3689E">
        <w:rPr>
          <w:rFonts w:asciiTheme="minorEastAsia" w:eastAsiaTheme="minorEastAsia" w:hAnsiTheme="minorEastAsia" w:hint="eastAsia"/>
          <w:bCs/>
          <w:color w:val="000000" w:themeColor="text1"/>
          <w:szCs w:val="21"/>
        </w:rPr>
        <w:t>法律法规及中国证监会规定的和《基金合同》约定的其他权利。</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、根据《基金法》、《运作办法》及其他有关规定，基金管理人的义务包括但不限于：</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）依法募集资金，办理或者委托经中国证监会认定的其他机构办理基金份额的发售、申购、赎回和登记事宜；</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）办理基金备案手续；</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）自《基金合同》生效之日起</w:t>
      </w:r>
      <w:r w:rsidRPr="00D3689E">
        <w:rPr>
          <w:rFonts w:asciiTheme="minorEastAsia" w:eastAsiaTheme="minorEastAsia" w:hAnsiTheme="minorEastAsia"/>
          <w:bCs/>
          <w:color w:val="000000" w:themeColor="text1"/>
          <w:szCs w:val="21"/>
        </w:rPr>
        <w:t>,</w:t>
      </w:r>
      <w:r w:rsidRPr="00D3689E">
        <w:rPr>
          <w:rFonts w:asciiTheme="minorEastAsia" w:eastAsiaTheme="minorEastAsia" w:hAnsiTheme="minorEastAsia" w:hint="eastAsia"/>
          <w:bCs/>
          <w:color w:val="000000" w:themeColor="text1"/>
          <w:szCs w:val="21"/>
        </w:rPr>
        <w:t>以诚实信用、谨慎勤勉的原则管理和运用基金财产；</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）配备足够的具有专业资格的人员进行基金投资分析、决策，以专业化的经营方式管理和运作基金财产；</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）建立健全内部风险控制、监察与稽核、财务管理及人事管理等制度，保证所管理的基金财产和基金管理人的财产相互独立</w:t>
      </w:r>
      <w:r w:rsidRPr="00D3689E">
        <w:rPr>
          <w:rFonts w:asciiTheme="minorEastAsia" w:eastAsiaTheme="minorEastAsia" w:hAnsiTheme="minorEastAsia"/>
          <w:bCs/>
          <w:color w:val="000000" w:themeColor="text1"/>
          <w:szCs w:val="21"/>
        </w:rPr>
        <w:t>,</w:t>
      </w:r>
      <w:r w:rsidRPr="00D3689E">
        <w:rPr>
          <w:rFonts w:asciiTheme="minorEastAsia" w:eastAsiaTheme="minorEastAsia" w:hAnsiTheme="minorEastAsia" w:hint="eastAsia"/>
          <w:bCs/>
          <w:color w:val="000000" w:themeColor="text1"/>
          <w:szCs w:val="21"/>
        </w:rPr>
        <w:t>对所管理的不同基金分别管理，分别记账，进行证券投资；</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）除依据《基金法》、《基金合同》及其他有关规定外</w:t>
      </w:r>
      <w:r w:rsidRPr="00D3689E">
        <w:rPr>
          <w:rFonts w:asciiTheme="minorEastAsia" w:eastAsiaTheme="minorEastAsia" w:hAnsiTheme="minorEastAsia"/>
          <w:bCs/>
          <w:color w:val="000000" w:themeColor="text1"/>
          <w:szCs w:val="21"/>
        </w:rPr>
        <w:t>,</w:t>
      </w:r>
      <w:r w:rsidRPr="00D3689E">
        <w:rPr>
          <w:rFonts w:asciiTheme="minorEastAsia" w:eastAsiaTheme="minorEastAsia" w:hAnsiTheme="minorEastAsia" w:hint="eastAsia"/>
          <w:bCs/>
          <w:color w:val="000000" w:themeColor="text1"/>
          <w:szCs w:val="21"/>
        </w:rPr>
        <w:t>不得利用基金财产为自己及任何第三人谋取利益，不得委托第三人运作基金财产；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）依法接受基金托管人的监督；</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）采取适当合理的措施使计算基金份额认购、申购、赎回和注销价格的方法符合《基金合同》等法律文件的规定，按有关规定计算并公告</w:t>
      </w:r>
      <w:r w:rsidRPr="00D3689E" w:rsidR="00355822">
        <w:rPr>
          <w:rFonts w:asciiTheme="minorEastAsia" w:eastAsiaTheme="minorEastAsia" w:hAnsiTheme="minorEastAsia" w:hint="eastAsia"/>
          <w:bCs/>
          <w:color w:val="000000" w:themeColor="text1"/>
          <w:szCs w:val="21"/>
        </w:rPr>
        <w:t>基金净值信息</w:t>
      </w:r>
      <w:r w:rsidRPr="00D3689E">
        <w:rPr>
          <w:rFonts w:asciiTheme="minorEastAsia" w:eastAsiaTheme="minorEastAsia" w:hAnsiTheme="minorEastAsia" w:hint="eastAsia"/>
          <w:bCs/>
          <w:color w:val="000000" w:themeColor="text1"/>
          <w:szCs w:val="21"/>
        </w:rPr>
        <w:t>，确定基金份额申购、赎回的价格；</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）进行基金会计核算并编制基金财务会计报告；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w:t>
      </w:r>
      <w:r w:rsidRPr="00D3689E" w:rsidR="00355822">
        <w:rPr>
          <w:rFonts w:asciiTheme="minorEastAsia" w:eastAsiaTheme="minorEastAsia" w:hAnsiTheme="minorEastAsia" w:hint="eastAsia"/>
          <w:bCs/>
          <w:color w:val="000000" w:themeColor="text1"/>
          <w:szCs w:val="21"/>
        </w:rPr>
        <w:t>编制季度报告、中期报告和年度报告</w:t>
      </w:r>
      <w:r w:rsidRPr="00D3689E">
        <w:rPr>
          <w:rFonts w:asciiTheme="minorEastAsia" w:eastAsiaTheme="minorEastAsia" w:hAnsiTheme="minorEastAsia" w:hint="eastAsia"/>
          <w:bCs/>
          <w:color w:val="000000" w:themeColor="text1"/>
          <w:szCs w:val="21"/>
        </w:rPr>
        <w:t>；</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11</w:t>
      </w: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ab/>
      </w:r>
      <w:r w:rsidRPr="00D3689E">
        <w:rPr>
          <w:rFonts w:asciiTheme="minorEastAsia" w:eastAsiaTheme="minorEastAsia" w:hAnsiTheme="minorEastAsia" w:hint="eastAsia"/>
          <w:bCs/>
          <w:color w:val="000000" w:themeColor="text1"/>
          <w:szCs w:val="21"/>
        </w:rPr>
        <w:t>严格按照《基金法》、《基金合同》及其他有关规定，履行信息披露及报告义务；</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12</w:t>
      </w:r>
      <w:r w:rsidRPr="00D3689E">
        <w:rPr>
          <w:rFonts w:asciiTheme="minorEastAsia" w:eastAsiaTheme="minorEastAsia" w:hAnsiTheme="minorEastAsia" w:hint="eastAsia"/>
          <w:bCs/>
          <w:color w:val="000000" w:themeColor="text1"/>
          <w:szCs w:val="21"/>
        </w:rPr>
        <w:t>）保守基金商业秘密，不泄露基金投资计划、投资意向等。除《基金法》、《基金合同》及其他有关规定另有规定外，在基金信息公开披露前应予保密，不向他人泄露；</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13</w:t>
      </w:r>
      <w:r w:rsidRPr="00D3689E">
        <w:rPr>
          <w:rFonts w:asciiTheme="minorEastAsia" w:eastAsiaTheme="minorEastAsia" w:hAnsiTheme="minorEastAsia" w:hint="eastAsia"/>
          <w:bCs/>
          <w:color w:val="000000" w:themeColor="text1"/>
          <w:szCs w:val="21"/>
        </w:rPr>
        <w:t>）按《基金合同》的约定确定基金收益分配方案，及时向基金份额持有人分配基金收益；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14</w:t>
      </w:r>
      <w:r w:rsidRPr="00D3689E">
        <w:rPr>
          <w:rFonts w:asciiTheme="minorEastAsia" w:eastAsiaTheme="minorEastAsia" w:hAnsiTheme="minorEastAsia" w:hint="eastAsia"/>
          <w:bCs/>
          <w:color w:val="000000" w:themeColor="text1"/>
          <w:szCs w:val="21"/>
        </w:rPr>
        <w:t>）按规定受理申购与赎回申请，及时、足额支付赎回款项；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15</w:t>
      </w:r>
      <w:r w:rsidRPr="00D3689E">
        <w:rPr>
          <w:rFonts w:asciiTheme="minorEastAsia" w:eastAsiaTheme="minorEastAsia" w:hAnsiTheme="minorEastAsia" w:hint="eastAsia"/>
          <w:bCs/>
          <w:color w:val="000000" w:themeColor="text1"/>
          <w:szCs w:val="21"/>
        </w:rPr>
        <w:t>）依据《基金法》、《基金合同》及其他有关规定召集基金份额持有人大会或配合基金托管人、基金份额持有人依法召集基金份额持有人大会；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16</w:t>
      </w:r>
      <w:r w:rsidRPr="00D3689E">
        <w:rPr>
          <w:rFonts w:asciiTheme="minorEastAsia" w:eastAsiaTheme="minorEastAsia" w:hAnsiTheme="minorEastAsia" w:hint="eastAsia"/>
          <w:bCs/>
          <w:color w:val="000000" w:themeColor="text1"/>
          <w:szCs w:val="21"/>
        </w:rPr>
        <w:t>）按规定保存基金财产管理业务活动的会计账册、报表、记录和其他相关资料</w:t>
      </w:r>
      <w:r w:rsidRPr="00D3689E">
        <w:rPr>
          <w:rFonts w:asciiTheme="minorEastAsia" w:eastAsiaTheme="minorEastAsia" w:hAnsiTheme="minorEastAsia"/>
          <w:bCs/>
          <w:color w:val="000000" w:themeColor="text1"/>
          <w:szCs w:val="21"/>
        </w:rPr>
        <w:t>15</w:t>
      </w:r>
      <w:r w:rsidRPr="00D3689E">
        <w:rPr>
          <w:rFonts w:asciiTheme="minorEastAsia" w:eastAsiaTheme="minorEastAsia" w:hAnsiTheme="minorEastAsia" w:hint="eastAsia"/>
          <w:bCs/>
          <w:color w:val="000000" w:themeColor="text1"/>
          <w:szCs w:val="21"/>
        </w:rPr>
        <w:t>年以上；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17</w:t>
      </w:r>
      <w:r w:rsidRPr="00D3689E">
        <w:rPr>
          <w:rFonts w:asciiTheme="minorEastAsia" w:eastAsiaTheme="minorEastAsia" w:hAnsiTheme="minorEastAsia" w:hint="eastAsia"/>
          <w:bCs/>
          <w:color w:val="000000" w:themeColor="text1"/>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18</w:t>
      </w:r>
      <w:r w:rsidRPr="00D3689E">
        <w:rPr>
          <w:rFonts w:asciiTheme="minorEastAsia" w:eastAsiaTheme="minorEastAsia" w:hAnsiTheme="minorEastAsia" w:hint="eastAsia"/>
          <w:bCs/>
          <w:color w:val="000000" w:themeColor="text1"/>
          <w:szCs w:val="21"/>
        </w:rPr>
        <w:t>）组织并参加基金财产清算小组</w:t>
      </w:r>
      <w:r w:rsidRPr="00D3689E">
        <w:rPr>
          <w:rFonts w:asciiTheme="minorEastAsia" w:eastAsiaTheme="minorEastAsia" w:hAnsiTheme="minorEastAsia"/>
          <w:bCs/>
          <w:color w:val="000000" w:themeColor="text1"/>
          <w:szCs w:val="21"/>
        </w:rPr>
        <w:t>,</w:t>
      </w:r>
      <w:r w:rsidRPr="00D3689E">
        <w:rPr>
          <w:rFonts w:asciiTheme="minorEastAsia" w:eastAsiaTheme="minorEastAsia" w:hAnsiTheme="minorEastAsia" w:hint="eastAsia"/>
          <w:bCs/>
          <w:color w:val="000000" w:themeColor="text1"/>
          <w:szCs w:val="21"/>
        </w:rPr>
        <w:t>参与基金财产的保管、清理、估价、变现和分配；</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19</w:t>
      </w:r>
      <w:r w:rsidRPr="00D3689E">
        <w:rPr>
          <w:rFonts w:asciiTheme="minorEastAsia" w:eastAsiaTheme="minorEastAsia" w:hAnsiTheme="minorEastAsia" w:hint="eastAsia"/>
          <w:bCs/>
          <w:color w:val="000000" w:themeColor="text1"/>
          <w:szCs w:val="21"/>
        </w:rPr>
        <w:t>）面临解散、依法被撤销或者被依法宣告破产时，及时报告中国证监会并通知基金托管人；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20</w:t>
      </w:r>
      <w:r w:rsidRPr="00D3689E">
        <w:rPr>
          <w:rFonts w:asciiTheme="minorEastAsia" w:eastAsiaTheme="minorEastAsia" w:hAnsiTheme="minorEastAsia" w:hint="eastAsia"/>
          <w:bCs/>
          <w:color w:val="000000" w:themeColor="text1"/>
          <w:szCs w:val="21"/>
        </w:rPr>
        <w:t>）因违反《基金合同》导致基金财产的损失或损害基金份额持有人合法权益时，应当承担赔偿责任，其赔偿责任不因其退任而免除；</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21</w:t>
      </w:r>
      <w:r w:rsidRPr="00D3689E">
        <w:rPr>
          <w:rFonts w:asciiTheme="minorEastAsia" w:eastAsiaTheme="minorEastAsia" w:hAnsiTheme="minorEastAsia" w:hint="eastAsia"/>
          <w:bCs/>
          <w:color w:val="000000" w:themeColor="text1"/>
          <w:szCs w:val="21"/>
        </w:rPr>
        <w:t>）监督基金托管人按法律法规和《基金合同》规定履行自己的义务，基金托管人违反《基金合同》造成基金财产损失时，基金管理人应为基金份额持有人利益向基金托管人追偿；</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22</w:t>
      </w:r>
      <w:r w:rsidRPr="00D3689E">
        <w:rPr>
          <w:rFonts w:asciiTheme="minorEastAsia" w:eastAsiaTheme="minorEastAsia" w:hAnsiTheme="minorEastAsia" w:hint="eastAsia"/>
          <w:bCs/>
          <w:color w:val="000000" w:themeColor="text1"/>
          <w:szCs w:val="21"/>
        </w:rPr>
        <w:t>）当基金管理人将其义务委托第三方处理时，应当对第三方处理有关基金事务的行为承担责任；</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23</w:t>
      </w:r>
      <w:r w:rsidRPr="00D3689E">
        <w:rPr>
          <w:rFonts w:asciiTheme="minorEastAsia" w:eastAsiaTheme="minorEastAsia" w:hAnsiTheme="minorEastAsia" w:hint="eastAsia"/>
          <w:bCs/>
          <w:color w:val="000000" w:themeColor="text1"/>
          <w:szCs w:val="21"/>
        </w:rPr>
        <w:t>）以基金管理人名义，代表基金份额持有人利益行使诉讼权利或实施其他法律行为；</w:t>
      </w:r>
      <w:r w:rsidRPr="00D3689E">
        <w:rPr>
          <w:rFonts w:asciiTheme="minorEastAsia" w:eastAsiaTheme="minorEastAsia" w:hAnsiTheme="minorEastAsia"/>
          <w:bCs/>
          <w:color w:val="000000" w:themeColor="text1"/>
          <w:szCs w:val="21"/>
        </w:rPr>
        <w:tab/>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24</w:t>
      </w:r>
      <w:r w:rsidRPr="00D3689E">
        <w:rPr>
          <w:rFonts w:asciiTheme="minorEastAsia" w:eastAsiaTheme="minorEastAsia" w:hAnsiTheme="minorEastAsia" w:hint="eastAsia"/>
          <w:bCs/>
          <w:color w:val="000000" w:themeColor="text1"/>
          <w:szCs w:val="21"/>
        </w:rPr>
        <w:t>）基金管理人在募集期间未能达到基金的备案条件，《基金合同》不能生效，基金管理人承担全部募集费用，将已募集资金并加计银行同期活期存款利息在基金募集期结束后</w:t>
      </w:r>
      <w:r w:rsidRPr="00D3689E">
        <w:rPr>
          <w:rFonts w:asciiTheme="minorEastAsia" w:eastAsiaTheme="minorEastAsia" w:hAnsiTheme="minorEastAsia"/>
          <w:bCs/>
          <w:color w:val="000000" w:themeColor="text1"/>
          <w:szCs w:val="21"/>
        </w:rPr>
        <w:t>30</w:t>
      </w:r>
      <w:r w:rsidRPr="00D3689E">
        <w:rPr>
          <w:rFonts w:asciiTheme="minorEastAsia" w:eastAsiaTheme="minorEastAsia" w:hAnsiTheme="minorEastAsia" w:hint="eastAsia"/>
          <w:bCs/>
          <w:color w:val="000000" w:themeColor="text1"/>
          <w:szCs w:val="21"/>
        </w:rPr>
        <w:t>日内退还基金认购人；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25</w:t>
      </w:r>
      <w:r w:rsidRPr="00D3689E">
        <w:rPr>
          <w:rFonts w:asciiTheme="minorEastAsia" w:eastAsiaTheme="minorEastAsia" w:hAnsiTheme="minorEastAsia" w:hint="eastAsia"/>
          <w:bCs/>
          <w:color w:val="000000" w:themeColor="text1"/>
          <w:szCs w:val="21"/>
        </w:rPr>
        <w:t>）执行生效的基金份额持有人大会的决议；</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26</w:t>
      </w:r>
      <w:r w:rsidRPr="00D3689E">
        <w:rPr>
          <w:rFonts w:asciiTheme="minorEastAsia" w:eastAsiaTheme="minorEastAsia" w:hAnsiTheme="minorEastAsia" w:hint="eastAsia"/>
          <w:bCs/>
          <w:color w:val="000000" w:themeColor="text1"/>
          <w:szCs w:val="21"/>
        </w:rPr>
        <w:t>）建立并保存基金份额持有人名册；</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27</w:t>
      </w:r>
      <w:r w:rsidRPr="00D3689E">
        <w:rPr>
          <w:rFonts w:asciiTheme="minorEastAsia" w:eastAsiaTheme="minorEastAsia" w:hAnsiTheme="minorEastAsia" w:hint="eastAsia"/>
          <w:bCs/>
          <w:color w:val="000000" w:themeColor="text1"/>
          <w:szCs w:val="21"/>
        </w:rPr>
        <w:t>）进行境外证券投资，应当遵守当地监管机构、交易所的有关法律法规规定。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28</w:t>
      </w:r>
      <w:r w:rsidRPr="00D3689E">
        <w:rPr>
          <w:rFonts w:asciiTheme="minorEastAsia" w:eastAsiaTheme="minorEastAsia" w:hAnsiTheme="minorEastAsia" w:hint="eastAsia"/>
          <w:bCs/>
          <w:color w:val="000000" w:themeColor="text1"/>
          <w:szCs w:val="21"/>
        </w:rPr>
        <w:t>）法律法规及中国证监会规定的和《基金合同》约定的其他义务。</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（三）基金托管人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、根据《基金法》、《运作办法》及其他有关规定，基金托管人的权利包括但不限于：</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）自《基金合同》生效之日起，依法律法规和《基金合同》的规定安全保管基金财产；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）依《基金合同》约定获得基金托管费以及法律法规规定或监管部门批准的其他费用；</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）根据相关市场规则，为基金开设证券账户等投资所需账户、为基金办理证券交易资金清算。</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）提议召开或召集基金份额持有人大会；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）在基金管理人更换时，提名新的基金管理人；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）选择、更换境外托管人，可授权境外托管人代为履行其承担的受托人职责；</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）法律法规及中国证监会规定的和《基金合同》约定的其他权利。</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、根据《基金法》、《运作办法》及其他有关规定，基金托管人的义务包括但不限于：</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）以诚实信用、勤勉尽责的原则持有并安全保管基金财产；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）设立专门的基金托管部门，具有符合要求的营业场所，配备足够的、合格的熟悉基金托管业务的专职人员，负责基金财产托管事宜；</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）除依据《基金法》、《基金合同》及其他有关规定外，不得利用基金财产为自己及任何第三人谋取利益，不得委托第三人托管基金财产；</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）保管由基金管理人代表基金签订的与基金有关的重大合同及有关凭证；</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）按规定开设基金财产的资金账户和证券账户等投资所需账户</w:t>
      </w:r>
      <w:r w:rsidRPr="00D3689E">
        <w:rPr>
          <w:rFonts w:asciiTheme="minorEastAsia" w:eastAsiaTheme="minorEastAsia" w:hAnsiTheme="minorEastAsia"/>
          <w:bCs/>
          <w:color w:val="000000" w:themeColor="text1"/>
          <w:szCs w:val="21"/>
        </w:rPr>
        <w:t>,</w:t>
      </w:r>
      <w:r w:rsidRPr="00D3689E">
        <w:rPr>
          <w:rFonts w:asciiTheme="minorEastAsia" w:eastAsiaTheme="minorEastAsia" w:hAnsiTheme="minorEastAsia" w:hint="eastAsia"/>
          <w:bCs/>
          <w:color w:val="000000" w:themeColor="text1"/>
          <w:szCs w:val="21"/>
        </w:rPr>
        <w:t>按照《基金合同》的约定，根据基金管理人的投资指令，及时办理清算、交割事宜；</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）保守基金商业秘密，除《基金法》、《基金合同》及其他有关规定另有规定外，在基金信息公开披露前予以保密，不得向他人泄露；</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）复核、审查基金管理人计算的基金资产净值、</w:t>
      </w:r>
      <w:r w:rsidRPr="00D3689E" w:rsidR="00355822">
        <w:rPr>
          <w:rFonts w:asciiTheme="minorEastAsia" w:eastAsiaTheme="minorEastAsia" w:hAnsiTheme="minorEastAsia" w:hint="eastAsia"/>
          <w:bCs/>
          <w:color w:val="000000" w:themeColor="text1"/>
          <w:szCs w:val="21"/>
        </w:rPr>
        <w:t>基金份额净值、</w:t>
      </w:r>
      <w:r w:rsidRPr="00D3689E">
        <w:rPr>
          <w:rFonts w:asciiTheme="minorEastAsia" w:eastAsiaTheme="minorEastAsia" w:hAnsiTheme="minorEastAsia" w:hint="eastAsia"/>
          <w:bCs/>
          <w:color w:val="000000" w:themeColor="text1"/>
          <w:szCs w:val="21"/>
        </w:rPr>
        <w:t>基金份额申购、赎回价格；</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）办理与基金托管业务活动有关的信息披露事项；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）对基金财务会计报告、</w:t>
      </w:r>
      <w:r w:rsidRPr="00D3689E" w:rsidR="00355822">
        <w:rPr>
          <w:rFonts w:asciiTheme="minorEastAsia" w:eastAsiaTheme="minorEastAsia" w:hAnsiTheme="minorEastAsia" w:hint="eastAsia"/>
          <w:bCs/>
          <w:color w:val="000000" w:themeColor="text1"/>
          <w:szCs w:val="21"/>
        </w:rPr>
        <w:t>季度报告、中期报告和年度报告</w:t>
      </w:r>
      <w:r w:rsidRPr="00D3689E">
        <w:rPr>
          <w:rFonts w:asciiTheme="minorEastAsia" w:eastAsiaTheme="minorEastAsia" w:hAnsiTheme="minorEastAsia" w:hint="eastAsia"/>
          <w:bCs/>
          <w:color w:val="000000" w:themeColor="text1"/>
          <w:szCs w:val="21"/>
        </w:rPr>
        <w:t>出具意见，说明基金管理人在各重要方面的运作是否严格按照《基金合同》的规定进行；如果基金管理人有未执行《基金合同》规定的行为，还应当说明基金托管人是否采取了适当的措施；</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11</w:t>
      </w:r>
      <w:r w:rsidRPr="00D3689E">
        <w:rPr>
          <w:rFonts w:asciiTheme="minorEastAsia" w:eastAsiaTheme="minorEastAsia" w:hAnsiTheme="minorEastAsia" w:hint="eastAsia"/>
          <w:bCs/>
          <w:color w:val="000000" w:themeColor="text1"/>
          <w:szCs w:val="21"/>
        </w:rPr>
        <w:t>）保存基金托管业务活动的记录、账册、报表和其他相关资料</w:t>
      </w:r>
      <w:r w:rsidRPr="00D3689E">
        <w:rPr>
          <w:rFonts w:asciiTheme="minorEastAsia" w:eastAsiaTheme="minorEastAsia" w:hAnsiTheme="minorEastAsia"/>
          <w:color w:val="000000" w:themeColor="text1"/>
          <w:szCs w:val="21"/>
        </w:rPr>
        <w:t>15</w:t>
      </w:r>
      <w:r w:rsidRPr="00D3689E">
        <w:rPr>
          <w:rFonts w:asciiTheme="minorEastAsia" w:eastAsiaTheme="minorEastAsia" w:hAnsiTheme="minorEastAsia" w:hint="eastAsia"/>
          <w:bCs/>
          <w:color w:val="000000" w:themeColor="text1"/>
          <w:szCs w:val="21"/>
        </w:rPr>
        <w:t>年以上；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12</w:t>
      </w:r>
      <w:r w:rsidRPr="00D3689E">
        <w:rPr>
          <w:rFonts w:asciiTheme="minorEastAsia" w:eastAsiaTheme="minorEastAsia" w:hAnsiTheme="minorEastAsia" w:hint="eastAsia"/>
          <w:bCs/>
          <w:color w:val="000000" w:themeColor="text1"/>
          <w:szCs w:val="21"/>
        </w:rPr>
        <w:t>）保存基金份额持有人名册；</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13</w:t>
      </w:r>
      <w:r w:rsidRPr="00D3689E">
        <w:rPr>
          <w:rFonts w:asciiTheme="minorEastAsia" w:eastAsiaTheme="minorEastAsia" w:hAnsiTheme="minorEastAsia" w:hint="eastAsia"/>
          <w:bCs/>
          <w:color w:val="000000" w:themeColor="text1"/>
          <w:szCs w:val="21"/>
        </w:rPr>
        <w:t>）按规定制作相关账册并与基金管理人核对；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14</w:t>
      </w:r>
      <w:r w:rsidRPr="00D3689E">
        <w:rPr>
          <w:rFonts w:asciiTheme="minorEastAsia" w:eastAsiaTheme="minorEastAsia" w:hAnsiTheme="minorEastAsia" w:hint="eastAsia"/>
          <w:bCs/>
          <w:color w:val="000000" w:themeColor="text1"/>
          <w:szCs w:val="21"/>
        </w:rPr>
        <w:t>）依据基金管理人的指令或有关规定向基金份额持有人支付基金收益和赎回款项；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15</w:t>
      </w:r>
      <w:r w:rsidRPr="00D3689E">
        <w:rPr>
          <w:rFonts w:asciiTheme="minorEastAsia" w:eastAsiaTheme="minorEastAsia" w:hAnsiTheme="minorEastAsia" w:hint="eastAsia"/>
          <w:bCs/>
          <w:color w:val="000000" w:themeColor="text1"/>
          <w:szCs w:val="21"/>
        </w:rPr>
        <w:t>）依据《基金法》、《基金合同》及其他有关规定，召集基金份额持有人大会或配合基金份额持有人依法召集基金份额持有人大会；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16</w:t>
      </w:r>
      <w:r w:rsidRPr="00D3689E">
        <w:rPr>
          <w:rFonts w:asciiTheme="minorEastAsia" w:eastAsiaTheme="minorEastAsia" w:hAnsiTheme="minorEastAsia" w:hint="eastAsia"/>
          <w:bCs/>
          <w:color w:val="000000" w:themeColor="text1"/>
          <w:szCs w:val="21"/>
        </w:rPr>
        <w:t>）按照法律法规和《基金合同》的规定监督基金管理人的投资运作；</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17</w:t>
      </w:r>
      <w:r w:rsidRPr="00D3689E">
        <w:rPr>
          <w:rFonts w:asciiTheme="minorEastAsia" w:eastAsiaTheme="minorEastAsia" w:hAnsiTheme="minorEastAsia" w:hint="eastAsia"/>
          <w:bCs/>
          <w:color w:val="000000" w:themeColor="text1"/>
          <w:szCs w:val="21"/>
        </w:rPr>
        <w:t>）参加基金财产清算小组，参与基金财产的保管、清理、估价、变现和分配；</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18</w:t>
      </w:r>
      <w:r w:rsidRPr="00D3689E">
        <w:rPr>
          <w:rFonts w:asciiTheme="minorEastAsia" w:eastAsiaTheme="minorEastAsia" w:hAnsiTheme="minorEastAsia" w:hint="eastAsia"/>
          <w:bCs/>
          <w:color w:val="000000" w:themeColor="text1"/>
          <w:szCs w:val="21"/>
        </w:rPr>
        <w:t>）面临解散、依法被撤销或者被依法宣告破产时，及时报告中国证监会和银行监管机构，并通知基金管理人；</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19</w:t>
      </w:r>
      <w:r w:rsidRPr="00D3689E">
        <w:rPr>
          <w:rFonts w:asciiTheme="minorEastAsia" w:eastAsiaTheme="minorEastAsia" w:hAnsiTheme="minorEastAsia" w:hint="eastAsia"/>
          <w:bCs/>
          <w:color w:val="000000" w:themeColor="text1"/>
          <w:szCs w:val="21"/>
        </w:rPr>
        <w:t>）因违反《基金合同》导致基金财产损失时，应承担赔偿责任，其赔偿责任不因其退任而免除；</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20</w:t>
      </w:r>
      <w:r w:rsidRPr="00D3689E">
        <w:rPr>
          <w:rFonts w:asciiTheme="minorEastAsia" w:eastAsiaTheme="minorEastAsia" w:hAnsiTheme="minorEastAsia" w:hint="eastAsia"/>
          <w:bCs/>
          <w:color w:val="000000" w:themeColor="text1"/>
          <w:szCs w:val="21"/>
        </w:rPr>
        <w:t>）按规定监督基金管理人按法律法规和《基金合同》规定履行自己的义务，基金管理人因违反《基金合同》造成基金财产损失时，应为基金份额持有人利益向基金管理人追偿；</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21</w:t>
      </w:r>
      <w:r w:rsidRPr="00D3689E">
        <w:rPr>
          <w:rFonts w:asciiTheme="minorEastAsia" w:eastAsiaTheme="minorEastAsia" w:hAnsiTheme="minorEastAsia" w:hint="eastAsia"/>
          <w:bCs/>
          <w:color w:val="000000" w:themeColor="text1"/>
          <w:szCs w:val="21"/>
        </w:rPr>
        <w:t>）执行生效的基金份额持有人大会的决议；</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（22）选择符合《试行办法》第十九条规定的境外托管人。对基金的境外财产，基金托管人可授权境外托管人代为履行其承担的职责；境外托管人在履行职责过程中，因本身</w:t>
      </w:r>
      <w:r w:rsidRPr="00D3689E">
        <w:rPr>
          <w:rFonts w:asciiTheme="minorEastAsia" w:eastAsiaTheme="minorEastAsia" w:hAnsiTheme="minorEastAsia" w:hint="eastAsia"/>
          <w:bCs/>
          <w:color w:val="000000" w:themeColor="text1"/>
          <w:szCs w:val="21"/>
        </w:rPr>
        <w:t>过错、疏忽原因而导致的基金财产受损的，基金托管人承担相应责任；在决定境外托管人是否存在过错、疏忽等不当行为时，应根据基金托管人与境外托管人之间的协议适用法律及当地的法律法规、证券市场惯例决定；但基金托管人已按照谨慎、尽职的原则选择、委任和监督境外托管人，且境外托管人已按照当地法律法规的要求托管资产的前提下，对境外托管人的破产而产生的损失，托管人不承担责任；</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23</w:t>
      </w:r>
      <w:r w:rsidRPr="00D3689E">
        <w:rPr>
          <w:rFonts w:asciiTheme="minorEastAsia" w:eastAsiaTheme="minorEastAsia" w:hAnsiTheme="minorEastAsia" w:hint="eastAsia"/>
          <w:bCs/>
          <w:color w:val="000000" w:themeColor="text1"/>
          <w:szCs w:val="21"/>
        </w:rPr>
        <w:t>）保护基金份额持有人利益，按照规定对基金日常投资行为和资金汇出入情况实施监督，如发现投资指令或资金汇出入违法、违规，应当及时向中国证监会、外管局报告；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24</w:t>
      </w:r>
      <w:r w:rsidRPr="00D3689E">
        <w:rPr>
          <w:rFonts w:asciiTheme="minorEastAsia" w:eastAsiaTheme="minorEastAsia" w:hAnsiTheme="minorEastAsia" w:hint="eastAsia"/>
          <w:bCs/>
          <w:color w:val="000000" w:themeColor="text1"/>
          <w:szCs w:val="21"/>
        </w:rPr>
        <w:t>）每月结束后</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个工作日内，向中国证监会和外管局报告基金管理人境外投资情况，并按相关规定进行国际收支申报；</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25</w:t>
      </w:r>
      <w:r w:rsidRPr="00D3689E">
        <w:rPr>
          <w:rFonts w:asciiTheme="minorEastAsia" w:eastAsiaTheme="minorEastAsia" w:hAnsiTheme="minorEastAsia" w:hint="eastAsia"/>
          <w:bCs/>
          <w:color w:val="000000" w:themeColor="text1"/>
          <w:szCs w:val="21"/>
        </w:rPr>
        <w:t>）基金托管人应办理基金管理人就管理本基金的有关结汇、售汇、收汇、付汇和人民币资金结算业务。</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26</w:t>
      </w:r>
      <w:r w:rsidRPr="00D3689E">
        <w:rPr>
          <w:rFonts w:asciiTheme="minorEastAsia" w:eastAsiaTheme="minorEastAsia" w:hAnsiTheme="minorEastAsia" w:hint="eastAsia"/>
          <w:bCs/>
          <w:color w:val="000000" w:themeColor="text1"/>
          <w:szCs w:val="21"/>
        </w:rPr>
        <w:t>）基金托管人应保存基金管理人就管理本基金的资金汇出、汇入、兑换、收汇、付汇、资金往来、委托及成交记录等相关资料，其保存的时间应当不少于</w:t>
      </w:r>
      <w:r w:rsidRPr="00D3689E">
        <w:rPr>
          <w:rFonts w:asciiTheme="minorEastAsia" w:eastAsiaTheme="minorEastAsia" w:hAnsiTheme="minorEastAsia"/>
          <w:bCs/>
          <w:color w:val="000000" w:themeColor="text1"/>
          <w:szCs w:val="21"/>
        </w:rPr>
        <w:t>20</w:t>
      </w:r>
      <w:r w:rsidRPr="00D3689E">
        <w:rPr>
          <w:rFonts w:asciiTheme="minorEastAsia" w:eastAsiaTheme="minorEastAsia" w:hAnsiTheme="minorEastAsia" w:hint="eastAsia"/>
          <w:bCs/>
          <w:color w:val="000000" w:themeColor="text1"/>
          <w:szCs w:val="21"/>
        </w:rPr>
        <w:t>年；</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27</w:t>
      </w:r>
      <w:r w:rsidRPr="00D3689E">
        <w:rPr>
          <w:rFonts w:asciiTheme="minorEastAsia" w:eastAsiaTheme="minorEastAsia" w:hAnsiTheme="minorEastAsia" w:hint="eastAsia"/>
          <w:bCs/>
          <w:color w:val="000000" w:themeColor="text1"/>
          <w:szCs w:val="21"/>
        </w:rPr>
        <w:t>）法律法规及中国证监会规定的和《基金合同》约定的其他义务。</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二、基金份额持有人大会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五入的方法，保留到整数位。本基金份额折算为目标ETF后的每一参会份额和目标ETF的每一参会份额拥有平等的投票权。</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本基金的基金管理人代表本基金的基金份额持有人提议召开或召集目标ETF基金份额</w:t>
      </w:r>
      <w:r w:rsidRPr="00D3689E">
        <w:rPr>
          <w:rFonts w:asciiTheme="minorEastAsia" w:eastAsiaTheme="minorEastAsia" w:hAnsiTheme="minorEastAsia" w:hint="eastAsia"/>
          <w:color w:val="000000" w:themeColor="text1"/>
          <w:szCs w:val="21"/>
        </w:rPr>
        <w:t>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本基金份额持有人大会不设日常机构。若将来法律法规对基金份额持有人大会另有规定的，以届时有效的法律法规为准。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（一）召开事由</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、当出现或需要决定下列事由之一的，应当召开基金份额持有人大会，但法律法规、中国证监会和基金合同另有规定的除外：</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）终止《基金合同》；</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）更换基金管理人；</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）更换基金托管人；</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）转换基金运作方式；</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）调整基金管理人、基金托管人的报酬标准；</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）变更基金类别；</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）本基金与其他基金的合并；</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8</w:t>
      </w: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hint="eastAsia"/>
          <w:color w:val="000000" w:themeColor="text1"/>
          <w:szCs w:val="21"/>
        </w:rPr>
        <w:t>变更基金投资目标、范围或策略（法律法规和中国证监会另有规定的除外），但由于目标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基金交易方式变更、终止上市或基金合同终止而变更基金投资目标、范围或策略的情况除外</w:t>
      </w:r>
      <w:r w:rsidRPr="00D3689E">
        <w:rPr>
          <w:rFonts w:asciiTheme="minorEastAsia" w:eastAsiaTheme="minorEastAsia" w:hAnsiTheme="minorEastAsia" w:hint="eastAsia"/>
          <w:bCs/>
          <w:color w:val="000000" w:themeColor="text1"/>
          <w:szCs w:val="21"/>
        </w:rPr>
        <w:t>；</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9</w:t>
      </w:r>
      <w:r w:rsidRPr="00D3689E">
        <w:rPr>
          <w:rFonts w:asciiTheme="minorEastAsia" w:eastAsiaTheme="minorEastAsia" w:hAnsiTheme="minorEastAsia" w:hint="eastAsia"/>
          <w:bCs/>
          <w:color w:val="000000" w:themeColor="text1"/>
          <w:szCs w:val="21"/>
        </w:rPr>
        <w:t>）基金管理人代表本基金的基金份额持有人提议召开或召集目标ETF基金份额持有人大会；</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）变更基金份额持有人大会程序；</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11</w:t>
      </w:r>
      <w:r w:rsidRPr="00D3689E">
        <w:rPr>
          <w:rFonts w:asciiTheme="minorEastAsia" w:eastAsiaTheme="minorEastAsia" w:hAnsiTheme="minorEastAsia" w:hint="eastAsia"/>
          <w:bCs/>
          <w:color w:val="000000" w:themeColor="text1"/>
          <w:szCs w:val="21"/>
        </w:rPr>
        <w:t>）基金管理人或基金托管人要求召开基金份额持有人大会；</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12</w:t>
      </w:r>
      <w:r w:rsidRPr="00D3689E">
        <w:rPr>
          <w:rFonts w:asciiTheme="minorEastAsia" w:eastAsiaTheme="minorEastAsia" w:hAnsiTheme="minorEastAsia" w:hint="eastAsia"/>
          <w:bCs/>
          <w:color w:val="000000" w:themeColor="text1"/>
          <w:szCs w:val="21"/>
        </w:rPr>
        <w:t>）单独或合计持有本基金总份额</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）基金份额的基金份额持有人（以基金管理人收到提议当日的基金份额计算，下同）就同一事项书面要求召开基金份额持有人大会；</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13</w:t>
      </w:r>
      <w:r w:rsidRPr="00D3689E">
        <w:rPr>
          <w:rFonts w:asciiTheme="minorEastAsia" w:eastAsiaTheme="minorEastAsia" w:hAnsiTheme="minorEastAsia" w:hint="eastAsia"/>
          <w:bCs/>
          <w:color w:val="000000" w:themeColor="text1"/>
          <w:szCs w:val="21"/>
        </w:rPr>
        <w:t>）对基金当事人权利和义务产生重大影响的其他事项；</w:t>
      </w:r>
    </w:p>
    <w:p w:rsidR="00713568" w:rsidRPr="00D3689E" w:rsidP="00713568">
      <w:pPr>
        <w:spacing w:line="440" w:lineRule="atLeast"/>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14</w:t>
      </w:r>
      <w:r w:rsidRPr="00D3689E">
        <w:rPr>
          <w:rFonts w:asciiTheme="minorEastAsia" w:eastAsiaTheme="minorEastAsia" w:hAnsiTheme="minorEastAsia" w:hint="eastAsia"/>
          <w:bCs/>
          <w:color w:val="000000" w:themeColor="text1"/>
          <w:szCs w:val="21"/>
        </w:rPr>
        <w:t>）法律法规、《基金合同》或中国证监会规定的其他应当召开基金份额持有人大会的事项。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、在符合法律法规或中国证监会许可的范围内，且对基金份额持有人利益无实质性不利影响的前提下，以下情况可由基金管理人和基金托管人协商后修改，不需召开基金份额</w:t>
      </w:r>
      <w:r w:rsidRPr="00D3689E">
        <w:rPr>
          <w:rFonts w:asciiTheme="minorEastAsia" w:eastAsiaTheme="minorEastAsia" w:hAnsiTheme="minorEastAsia" w:hint="eastAsia"/>
          <w:bCs/>
          <w:color w:val="000000" w:themeColor="text1"/>
          <w:szCs w:val="21"/>
        </w:rPr>
        <w:t>持有人大会：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）法律法规要求增加的基金费用的收取；</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）在法律法规和《基金合同》规定的范围内调整本基金的申购费率、调低赎回费率</w:t>
      </w:r>
      <w:r w:rsidRPr="00D3689E">
        <w:rPr>
          <w:rFonts w:asciiTheme="minorEastAsia" w:eastAsiaTheme="minorEastAsia" w:hAnsiTheme="minorEastAsia" w:hint="eastAsia"/>
          <w:color w:val="000000" w:themeColor="text1"/>
          <w:szCs w:val="21"/>
        </w:rPr>
        <w:t>或变更收费方式</w:t>
      </w:r>
      <w:r w:rsidRPr="00D3689E">
        <w:rPr>
          <w:rFonts w:asciiTheme="minorEastAsia" w:eastAsiaTheme="minorEastAsia" w:hAnsiTheme="minorEastAsia" w:hint="eastAsia"/>
          <w:bCs/>
          <w:color w:val="000000" w:themeColor="text1"/>
          <w:szCs w:val="21"/>
        </w:rPr>
        <w:t>；</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）因相应的法律法规发生变动而应当对《基金合同》进行修改；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）对《基金合同》的修改对基金份额持有人利益无实质性不利影响或修改不涉及《基金合同》当事人权利义务关系发生重大变化；</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）在法律法规规定或中国证监会许可的范围内，且对基金份额持有人利益无实质性不利影响的前提下，基金推出新业务或服务；</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基金管理人、基金登记结算机构、基金代销机构在法律法规规定的范围内调整有关基金申购、赎回、转换、非交易过户、转托管等业务规则；开通人民币、美元之外的其他币种的申购、赎回，或终止人民币之外的其他币种的申购、赎回；</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）按照法律法规和《基金合同》规定不需召开基金份额持有人大会的其他情形。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（二）会议召集人及召集方式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、除法律法规规定或《基金合同》另有约定外，基金份额持有人大会由基金管理人召集；</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、基金管理人未按规定召集或不能召集时，由基金托管人召集；</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、基金托管人认为有必要召开基金份额持有人大会的，应当向基金管理人提出书面提议。基金管理人应当自收到书面提议之日起</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日内决定是否召集，并书面告知基金托管人。基金管理人决定召集的，应当自出具书面决定之日起</w:t>
      </w:r>
    </w:p>
    <w:p w:rsidR="00713568" w:rsidRPr="00D3689E" w:rsidP="00713568">
      <w:pPr>
        <w:spacing w:line="360" w:lineRule="auto"/>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60</w:t>
      </w:r>
      <w:r w:rsidRPr="00D3689E">
        <w:rPr>
          <w:rFonts w:asciiTheme="minorEastAsia" w:eastAsiaTheme="minorEastAsia" w:hAnsiTheme="minorEastAsia" w:hint="eastAsia"/>
          <w:bCs/>
          <w:color w:val="000000" w:themeColor="text1"/>
          <w:szCs w:val="21"/>
        </w:rPr>
        <w:t>日内召开；基金管理人决定不召集，基金托管人仍认为有必要召开的，应当由基金托管人自行召集并自出具书面决定之日起六十日内召开并告知基金管理人，基金管理人应当配合。</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、代表基金份额</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）的基金份额持有人就同一事项书面要求召开基金份额持有人大会，应当向基金管理人提出书面提议。基金管理人应当自收到书面提议之日起</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日内决定是否召集，并书面告知提出提议的基金份额持有人代表和基金托管人。基金管理人决定召集的，应当自出具书面决定之日起</w:t>
      </w:r>
      <w:r w:rsidRPr="00D3689E">
        <w:rPr>
          <w:rFonts w:asciiTheme="minorEastAsia" w:eastAsiaTheme="minorEastAsia" w:hAnsiTheme="minorEastAsia"/>
          <w:bCs/>
          <w:color w:val="000000" w:themeColor="text1"/>
          <w:szCs w:val="21"/>
        </w:rPr>
        <w:t>60</w:t>
      </w:r>
      <w:r w:rsidRPr="00D3689E">
        <w:rPr>
          <w:rFonts w:asciiTheme="minorEastAsia" w:eastAsiaTheme="minorEastAsia" w:hAnsiTheme="minorEastAsia" w:hint="eastAsia"/>
          <w:bCs/>
          <w:color w:val="000000" w:themeColor="text1"/>
          <w:szCs w:val="21"/>
        </w:rPr>
        <w:t>日内召开；基金管理人决定不召集，代表基金份额</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）的基金份额持有人仍认为有必要召开的，应当向基金托管人提出书面提议。基金托管人应当自收到书面提议之日起</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日内决定是否召集，并书面告知</w:t>
      </w:r>
      <w:r w:rsidRPr="00D3689E">
        <w:rPr>
          <w:rFonts w:asciiTheme="minorEastAsia" w:eastAsiaTheme="minorEastAsia" w:hAnsiTheme="minorEastAsia" w:hint="eastAsia"/>
          <w:bCs/>
          <w:color w:val="000000" w:themeColor="text1"/>
          <w:szCs w:val="21"/>
        </w:rPr>
        <w:t>提出提议的基金份额持有人代表和基金管理人；基金托管人决定召集的，应当自出具书面决定之日起</w:t>
      </w:r>
      <w:r w:rsidRPr="00D3689E">
        <w:rPr>
          <w:rFonts w:asciiTheme="minorEastAsia" w:eastAsiaTheme="minorEastAsia" w:hAnsiTheme="minorEastAsia"/>
          <w:bCs/>
          <w:color w:val="000000" w:themeColor="text1"/>
          <w:szCs w:val="21"/>
        </w:rPr>
        <w:t>60</w:t>
      </w:r>
      <w:r w:rsidRPr="00D3689E">
        <w:rPr>
          <w:rFonts w:asciiTheme="minorEastAsia" w:eastAsiaTheme="minorEastAsia" w:hAnsiTheme="minorEastAsia" w:hint="eastAsia"/>
          <w:bCs/>
          <w:color w:val="000000" w:themeColor="text1"/>
          <w:szCs w:val="21"/>
        </w:rPr>
        <w:t>日内召开。</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、代表基金份额</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）的基金份额持有人就同一事项要求召开基金份额持有人大会，而基金管理人、基金托管人都不召集的，单独或合计代表基金份额</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10%</w:t>
      </w:r>
      <w:r w:rsidRPr="00D3689E">
        <w:rPr>
          <w:rFonts w:asciiTheme="minorEastAsia" w:eastAsiaTheme="minorEastAsia" w:hAnsiTheme="minorEastAsia" w:hint="eastAsia"/>
          <w:bCs/>
          <w:color w:val="000000" w:themeColor="text1"/>
          <w:szCs w:val="21"/>
        </w:rPr>
        <w:t>）的基金份额持有人有权自行召集，并至少提前</w:t>
      </w:r>
      <w:r w:rsidRPr="00D3689E">
        <w:rPr>
          <w:rFonts w:asciiTheme="minorEastAsia" w:eastAsiaTheme="minorEastAsia" w:hAnsiTheme="minorEastAsia"/>
          <w:bCs/>
          <w:color w:val="000000" w:themeColor="text1"/>
          <w:szCs w:val="21"/>
        </w:rPr>
        <w:t>30</w:t>
      </w:r>
      <w:r w:rsidRPr="00D3689E">
        <w:rPr>
          <w:rFonts w:asciiTheme="minorEastAsia" w:eastAsiaTheme="minorEastAsia" w:hAnsiTheme="minorEastAsia" w:hint="eastAsia"/>
          <w:bCs/>
          <w:color w:val="000000" w:themeColor="text1"/>
          <w:szCs w:val="21"/>
        </w:rPr>
        <w:t>日报中国证监会备案。基金份额持有人依法自行召集基金份额持有人大会的，基金管理人、基金托管人应当配合，不得阻碍、干扰。</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、基金份额持有人会议的召集人负责选择确定开会时间、地点、方式和权益登记日。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（三）召开基金份额持有人大会的通知时间、通知内容、通知方式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、召开基金份额持有人大会，召集人应于会议召开前</w:t>
      </w:r>
      <w:r w:rsidRPr="00D3689E">
        <w:rPr>
          <w:rFonts w:asciiTheme="minorEastAsia" w:eastAsiaTheme="minorEastAsia" w:hAnsiTheme="minorEastAsia"/>
          <w:bCs/>
          <w:color w:val="000000" w:themeColor="text1"/>
          <w:szCs w:val="21"/>
        </w:rPr>
        <w:t>30</w:t>
      </w:r>
      <w:r w:rsidRPr="00D3689E">
        <w:rPr>
          <w:rFonts w:asciiTheme="minorEastAsia" w:eastAsiaTheme="minorEastAsia" w:hAnsiTheme="minorEastAsia" w:hint="eastAsia"/>
          <w:bCs/>
          <w:color w:val="000000" w:themeColor="text1"/>
          <w:szCs w:val="21"/>
        </w:rPr>
        <w:t>日，在指定媒介公告。基金份额持有人大会通知应至少载明以下内容：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）会议召开的时间、地点和会议形式；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）会议拟审议的事项、议事程序和表决方式；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）有权出席基金份额持有人大会的基金份额持有人的权益登记日；</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）授权委托证明的内容要求（包括但不限于代理人身份，代理权限和代理有效期限等）、送达时间和地点；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）会务常设联系人姓名及联系电话；</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）出席会议者必须准备的文件和必须履行的手续；</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7</w:t>
      </w:r>
      <w:r w:rsidRPr="00D3689E">
        <w:rPr>
          <w:rFonts w:asciiTheme="minorEastAsia" w:eastAsiaTheme="minorEastAsia" w:hAnsiTheme="minorEastAsia" w:hint="eastAsia"/>
          <w:bCs/>
          <w:color w:val="000000" w:themeColor="text1"/>
          <w:szCs w:val="21"/>
        </w:rPr>
        <w:t>）召集人需要通知的其他事项。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（四）基金份额持有人出席会议的方式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基金份额持有人大会可通过现场开会方式、通讯开会及法律法规、中国证监会允许的</w:t>
      </w:r>
      <w:r w:rsidRPr="00D3689E">
        <w:rPr>
          <w:rFonts w:asciiTheme="minorEastAsia" w:eastAsiaTheme="minorEastAsia" w:hAnsiTheme="minorEastAsia" w:hint="eastAsia"/>
          <w:bCs/>
          <w:color w:val="000000" w:themeColor="text1"/>
          <w:szCs w:val="21"/>
        </w:rPr>
        <w:t>其他方式召开，会议的召开方式由会议召集人确定。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亲自出席会议者持有的有关证明文件、受托出席会议者出示的委托人的代理投票授权委托证明及有关证明文件符合法律法规、《基金合同》和会议通知的规定，并且持有基金份额的凭证与基金管理人持有的登记资料相符；</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）经核对，到会者在权益登记日代表的有效的基金份额不少于本基金在权益登记日基金总份额的</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（含</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、通讯开会。通讯开会系指基金份额持有人将其对表决事项的投票以书面形式在表决截至日以前送达至召集人指定的地址。通讯开会应以书面方式进行表决。</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在同时符合以下条件时，通讯开会的方式视为有效：</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）会议召集人按《基金合同》约定公布会议通知后，在</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个工作日内连续公布相关提示性公告；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13568" w:rsidRPr="00D3689E" w:rsidP="00713568">
      <w:pPr>
        <w:spacing w:line="360" w:lineRule="auto"/>
        <w:ind w:firstLine="472" w:firstLineChars="225"/>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）本人直接出具书面意见或授权他人代表出具书面意见的，基金份额持有人所持有的基金份额不小于在权益登记日基金总份额的</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（含</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）上述第（</w:t>
      </w: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3</w:t>
      </w:r>
      <w:r w:rsidRPr="00D3689E">
        <w:rPr>
          <w:rFonts w:asciiTheme="minorEastAsia" w:eastAsiaTheme="minorEastAsia" w:hAnsiTheme="minorEastAsia" w:hint="eastAsia"/>
          <w:bCs/>
          <w:color w:val="000000" w:themeColor="text1"/>
          <w:szCs w:val="21"/>
        </w:rPr>
        <w:t>、重新召集基金份额持有人大会的条件</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参加基金份额持有人大会的持有人的基金份额低于上述规定比例的，召集人可以在原</w:t>
      </w:r>
      <w:r w:rsidRPr="00D3689E">
        <w:rPr>
          <w:rFonts w:asciiTheme="minorEastAsia" w:eastAsiaTheme="minorEastAsia" w:hAnsiTheme="minorEastAsia" w:hint="eastAsia"/>
          <w:bCs/>
          <w:color w:val="000000" w:themeColor="text1"/>
          <w:szCs w:val="21"/>
        </w:rPr>
        <w:t>公告的基金份额持有人大会召开时间的三个月以后、六个月以内，就原定审议事项重新召集基金份额持有人大会。重新召集的基金份额持有人大会应当有代表三分之一以上基金份额的持有人参加，方可召开。</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4</w:t>
      </w:r>
      <w:r w:rsidRPr="00D3689E">
        <w:rPr>
          <w:rFonts w:asciiTheme="minorEastAsia" w:eastAsiaTheme="minorEastAsia" w:hAnsiTheme="minorEastAsia" w:hint="eastAsia"/>
          <w:bCs/>
          <w:color w:val="000000" w:themeColor="text1"/>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、基金份额持有人授权他人代为出席会议并表决的，授权方式可以采用书面、网络、电话、短信或其他方式，具体方式由会议召集人确定并在会议通知中列明。</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（五）议事内容与程序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、议事内容及提案权</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基金份额持有人大会的召集人发出召集会议的通知后，对原有提案的修改应当在基金份额持有人大会召开前及时公告。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基金份额持有人大会不得对未事先公告的议事内容进行表决。</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、议事程序</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1</w:t>
      </w:r>
      <w:r w:rsidRPr="00D3689E">
        <w:rPr>
          <w:rFonts w:asciiTheme="minorEastAsia" w:eastAsiaTheme="minorEastAsia" w:hAnsiTheme="minorEastAsia" w:hint="eastAsia"/>
          <w:bCs/>
          <w:color w:val="000000" w:themeColor="text1"/>
          <w:szCs w:val="21"/>
        </w:rPr>
        <w:t>）现场开会</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以上（含</w:t>
      </w:r>
      <w:r w:rsidRPr="00D3689E">
        <w:rPr>
          <w:rFonts w:asciiTheme="minorEastAsia" w:eastAsiaTheme="minorEastAsia" w:hAnsiTheme="minorEastAsia"/>
          <w:bCs/>
          <w:color w:val="000000" w:themeColor="text1"/>
          <w:szCs w:val="21"/>
        </w:rPr>
        <w:t>50%</w:t>
      </w:r>
      <w:r w:rsidRPr="00D3689E">
        <w:rPr>
          <w:rFonts w:asciiTheme="minorEastAsia" w:eastAsiaTheme="minorEastAsia" w:hAnsiTheme="minorEastAsia" w:hint="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）通讯开会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bCs/>
          <w:color w:val="000000" w:themeColor="text1"/>
          <w:szCs w:val="21"/>
        </w:rPr>
        <w:t>在通讯开会的情况下，首先由召集人提前</w:t>
      </w:r>
      <w:r w:rsidRPr="00D3689E">
        <w:rPr>
          <w:rFonts w:asciiTheme="minorEastAsia" w:eastAsiaTheme="minorEastAsia" w:hAnsiTheme="minorEastAsia"/>
          <w:bCs/>
          <w:color w:val="000000" w:themeColor="text1"/>
          <w:szCs w:val="21"/>
        </w:rPr>
        <w:t>30</w:t>
      </w:r>
      <w:r w:rsidRPr="00D3689E">
        <w:rPr>
          <w:rFonts w:asciiTheme="minorEastAsia" w:eastAsiaTheme="minorEastAsia" w:hAnsiTheme="minorEastAsia" w:hint="eastAsia"/>
          <w:bCs/>
          <w:color w:val="000000" w:themeColor="text1"/>
          <w:szCs w:val="21"/>
        </w:rPr>
        <w:t>日公布提案，在所通知的表决截止日期后</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个工作日内在公证机关监督下由召集人统计全部有效表决，在公证机关监督下形成决议。</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（六）表决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基金份额持有人所持每份基金份额有一票表决权。</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基金份额持有人大会决议分为一般决议和特别决议：</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1、一般决议，一般决议须经参加大会的基金份额持有人或其代理人所持表决权的50%以上（含50%）通过方为有效；除下列第2项所规定的须以特别决议通过事项以外的其他事项均以一般决议的方式通过。</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基金份额持有人大会采取记名方式进行投票表决。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基金份额持有人大会的各项提案或同一项提案内并列的各项议题应当分开审议、逐项表决。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（七）计票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1、现场开会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（2）监票人应当在基金份额持有人表决后立即进行清点并由大会主持人当场公布计票结果。</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（4）计票过程应由公证机关予以公证,基金管理人或基金托管人拒不出席大会的，不影响计票的效力。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2、通讯开会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（八）生效与公告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基金份额持有人大会的决议，自表决通过之日起生效。</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基金份额持有人大会的决议，召集人应当自通过之日起</w:t>
      </w:r>
      <w:r w:rsidRPr="00D3689E">
        <w:rPr>
          <w:rFonts w:asciiTheme="minorEastAsia" w:eastAsiaTheme="minorEastAsia" w:hAnsiTheme="minorEastAsia"/>
          <w:bCs/>
          <w:color w:val="000000" w:themeColor="text1"/>
          <w:szCs w:val="21"/>
        </w:rPr>
        <w:t>5</w:t>
      </w:r>
      <w:r w:rsidRPr="00D3689E">
        <w:rPr>
          <w:rFonts w:asciiTheme="minorEastAsia" w:eastAsiaTheme="minorEastAsia" w:hAnsiTheme="minorEastAsia" w:hint="eastAsia"/>
          <w:bCs/>
          <w:color w:val="000000" w:themeColor="text1"/>
          <w:szCs w:val="21"/>
        </w:rPr>
        <w:t>日内报中国证监会备案。</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基金份额持有人大会决议自生效之日起</w:t>
      </w:r>
      <w:r w:rsidRPr="00D3689E">
        <w:rPr>
          <w:rFonts w:asciiTheme="minorEastAsia" w:eastAsiaTheme="minorEastAsia" w:hAnsiTheme="minorEastAsia"/>
          <w:bCs/>
          <w:color w:val="000000" w:themeColor="text1"/>
          <w:szCs w:val="21"/>
        </w:rPr>
        <w:t>2</w:t>
      </w:r>
      <w:r w:rsidRPr="00D3689E">
        <w:rPr>
          <w:rFonts w:asciiTheme="minorEastAsia" w:eastAsiaTheme="minorEastAsia" w:hAnsiTheme="minorEastAsia" w:hint="eastAsia"/>
          <w:bCs/>
          <w:color w:val="000000" w:themeColor="text1"/>
          <w:szCs w:val="21"/>
        </w:rPr>
        <w:t>日内在指定媒介上公告。</w:t>
      </w:r>
    </w:p>
    <w:p w:rsidR="00713568" w:rsidRPr="00D3689E" w:rsidP="00713568">
      <w:pPr>
        <w:spacing w:line="360" w:lineRule="auto"/>
        <w:ind w:firstLine="420" w:firstLineChars="200"/>
        <w:rPr>
          <w:rFonts w:asciiTheme="minorEastAsia" w:eastAsiaTheme="minorEastAsia" w:hAnsiTheme="minorEastAsia"/>
          <w:bCs/>
          <w:color w:val="000000" w:themeColor="text1"/>
          <w:szCs w:val="21"/>
        </w:rPr>
      </w:pPr>
      <w:r w:rsidRPr="00D3689E">
        <w:rPr>
          <w:rFonts w:asciiTheme="minorEastAsia" w:eastAsiaTheme="minorEastAsia" w:hAnsiTheme="minorEastAsia" w:hint="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三、基金收益与分配</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（一）基金利润的构成</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（二）可供分配利润</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（三）收益分配原则</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本基金收益分配应遵循下列原则：</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bCs/>
          <w:color w:val="000000" w:themeColor="text1"/>
          <w:szCs w:val="21"/>
        </w:rPr>
        <w:t>由于本基金A类基金份额不收取销售服务费，而C类基金份额收取销售服务费，各基金份额类别对应的可供分配利润将有所不同。</w:t>
      </w:r>
      <w:r w:rsidRPr="00D3689E">
        <w:rPr>
          <w:rFonts w:asciiTheme="minorEastAsia" w:eastAsiaTheme="minorEastAsia" w:hAnsiTheme="minorEastAsia"/>
          <w:bCs/>
          <w:color w:val="000000" w:themeColor="text1"/>
          <w:szCs w:val="21"/>
        </w:rPr>
        <w:t>本</w:t>
      </w:r>
      <w:r w:rsidRPr="00D3689E">
        <w:rPr>
          <w:rFonts w:asciiTheme="minorEastAsia" w:eastAsiaTheme="minorEastAsia" w:hAnsiTheme="minorEastAsia" w:hint="eastAsia"/>
          <w:bCs/>
          <w:color w:val="000000" w:themeColor="text1"/>
          <w:szCs w:val="21"/>
        </w:rPr>
        <w:t>基金</w:t>
      </w:r>
      <w:r w:rsidRPr="00D3689E">
        <w:rPr>
          <w:rFonts w:asciiTheme="minorEastAsia" w:eastAsiaTheme="minorEastAsia" w:hAnsiTheme="minorEastAsia"/>
          <w:bCs/>
          <w:color w:val="000000" w:themeColor="text1"/>
          <w:szCs w:val="21"/>
        </w:rPr>
        <w:t>同类别的每份基金份额享有同等分配权</w:t>
      </w:r>
      <w:r w:rsidRPr="00D3689E">
        <w:rPr>
          <w:rFonts w:asciiTheme="minorEastAsia" w:eastAsiaTheme="minorEastAsia" w:hAnsiTheme="minorEastAsia" w:hint="eastAsia"/>
          <w:color w:val="000000" w:themeColor="text1"/>
          <w:szCs w:val="21"/>
        </w:rPr>
        <w:t>；</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基金收益分配基准日的人民币份额基金份额净值减去每单位基金份额收益分配金额后不能低于人民币份额面值；对于外币份额，由于汇率因素影响，存在收益分配后外币份额基金份额净值低于对应的基金份额面值的可能；</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、基金收益分配方式分为现金分红与红利再投资，基金份额持有人可自行选择收益分配方式；基金份额持有人事先未做出选择的，默认的分红方式为现金分红；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、人民币基金份额的现金分红分配币种为人民币，美元等外币基金份额现金分红币种为其相应币种；不同币种份额红利再投资适用的净值为该币种份额的净值；</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、法律法规、监管机关或登记结算机构另有规定的，从其规定。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（四）收益分配方案</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基金收益分配方案中应载明基金截至收益分配基准日的可供分配利润、基金收益分配对象、分配时间、分配数额及比例、分配方式等内容。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（五）收益分配方案的确定、公告与实施</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本基金收益分配方案由基金管理人拟定，并由基金托管人复核，在2日内在指定媒介公告。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（六）基金收益分配中发生的费用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收益分配时所发生的银行转账或其他手续费用由投资者自行承担。当投资者的某类基金份额现金红利小于一定金额，不足于支付银行转账或其他手续费用时，登记机构可将基金份额持有人的该类现金红利自动转为该类基金份额。红利再投资的计算方法，依照《业务规则》执行。</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四、基金的费用与税收</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（一）基金费用的种类</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、基金管理人的管理费；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、基金托管人的托管费，含境外托管人的托管费；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、因基金的证券交易或结算而产生的费用（包括但不限于在境外市场开户、交易、清算、登记等各项费用以及为了加快清算向券商支付的费用）；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、《基金合同》生效以后的信息披露费用；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、基金份额持有人大会费用；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bCs/>
          <w:color w:val="000000" w:themeColor="text1"/>
          <w:szCs w:val="21"/>
        </w:rPr>
        <w:t>6</w:t>
      </w:r>
      <w:r w:rsidRPr="00D3689E">
        <w:rPr>
          <w:rFonts w:asciiTheme="minorEastAsia" w:eastAsiaTheme="minorEastAsia" w:hAnsiTheme="minorEastAsia" w:hint="eastAsia"/>
          <w:bCs/>
          <w:color w:val="000000" w:themeColor="text1"/>
          <w:szCs w:val="21"/>
        </w:rPr>
        <w:t>、基金的相关账户的开户及维护费用；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7</w:t>
      </w:r>
      <w:r w:rsidRPr="00D3689E">
        <w:rPr>
          <w:rFonts w:asciiTheme="minorEastAsia" w:eastAsiaTheme="minorEastAsia" w:hAnsiTheme="minorEastAsia" w:hint="eastAsia"/>
          <w:color w:val="000000" w:themeColor="text1"/>
          <w:szCs w:val="21"/>
        </w:rPr>
        <w:t>、为应付赎回和交易清算而进行临时借款所发生的费用（托管行及境外托管行垫付资金所产生的合理费用）；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、《基金合同》生效以后的会计师费、律师费和税务顾问费；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9</w:t>
      </w:r>
      <w:r w:rsidRPr="00D3689E">
        <w:rPr>
          <w:rFonts w:asciiTheme="minorEastAsia" w:eastAsiaTheme="minorEastAsia" w:hAnsiTheme="minorEastAsia" w:hint="eastAsia"/>
          <w:color w:val="000000" w:themeColor="text1"/>
          <w:szCs w:val="21"/>
        </w:rPr>
        <w:t>、基金的资金汇划费用和外汇兑换交易的相关费用；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、除去基金管理人和基金托管人因自身原因而导致的更换基金管理人、更换基金托管人及基金资产由原任基金托管人转移至新任基金托管人以及由于境外托管人更换导致基金资产转移所引起的费用；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11</w:t>
      </w:r>
      <w:r w:rsidRPr="00D3689E">
        <w:rPr>
          <w:rFonts w:asciiTheme="minorEastAsia" w:eastAsiaTheme="minorEastAsia" w:hAnsiTheme="minorEastAsia" w:hint="eastAsia"/>
          <w:color w:val="000000" w:themeColor="text1"/>
          <w:szCs w:val="21"/>
        </w:rPr>
        <w:t>、基金依照有关法律法规应当缴纳的、购买或处置证券有关的任何税收、征费、关税、印花税、交易及其他税收及预扣提税（以及与前述各项有关的任何利息、罚金及费用）以及相关手续费、汇款费、基金的税务代理费等；</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12</w:t>
      </w:r>
      <w:r w:rsidRPr="00D3689E">
        <w:rPr>
          <w:rFonts w:asciiTheme="minorEastAsia" w:eastAsiaTheme="minorEastAsia" w:hAnsiTheme="minorEastAsia" w:hint="eastAsia"/>
          <w:color w:val="000000" w:themeColor="text1"/>
          <w:szCs w:val="21"/>
        </w:rPr>
        <w:t>、为了基金利益，除去基金管理人和基金托管人因自身原因而导致的、与基金有关的诉讼、仲裁、追索费用；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13</w:t>
      </w:r>
      <w:r w:rsidRPr="00D3689E">
        <w:rPr>
          <w:rFonts w:asciiTheme="minorEastAsia" w:eastAsiaTheme="minorEastAsia" w:hAnsiTheme="minorEastAsia" w:hint="eastAsia"/>
          <w:color w:val="000000" w:themeColor="text1"/>
          <w:szCs w:val="21"/>
        </w:rPr>
        <w:t>、标的指数许可使用费；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14</w:t>
      </w:r>
      <w:r w:rsidRPr="00D3689E">
        <w:rPr>
          <w:rFonts w:asciiTheme="minorEastAsia" w:eastAsiaTheme="minorEastAsia" w:hAnsiTheme="minorEastAsia" w:hint="eastAsia"/>
          <w:color w:val="000000" w:themeColor="text1"/>
          <w:szCs w:val="21"/>
        </w:rPr>
        <w:t>、按照国家有关法律法规规定可以列入的其他费用。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本基金终止清算时所发生费用，按实际支出额从基金资产总值中扣除。</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（二）基金费用计提方法、计提标准和支付方式</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、基金管理人的管理费</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基金管理费（如基金管理人委托境外投资顾问，包括境外投资顾问费）按前一日基金资产净值的</w:t>
      </w:r>
      <w:r w:rsidRPr="00D3689E">
        <w:rPr>
          <w:rFonts w:asciiTheme="minorEastAsia" w:eastAsiaTheme="minorEastAsia" w:hAnsiTheme="minorEastAsia"/>
          <w:color w:val="000000" w:themeColor="text1"/>
          <w:szCs w:val="21"/>
        </w:rPr>
        <w:t>0.6%</w:t>
      </w:r>
      <w:r w:rsidRPr="00D3689E">
        <w:rPr>
          <w:rFonts w:asciiTheme="minorEastAsia" w:eastAsiaTheme="minorEastAsia" w:hAnsiTheme="minorEastAsia" w:hint="eastAsia"/>
          <w:color w:val="000000" w:themeColor="text1"/>
          <w:szCs w:val="21"/>
        </w:rPr>
        <w:t>年费率计提。计算方法如下：</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E</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0.6%</w:t>
      </w:r>
      <w:r w:rsidRPr="00D3689E">
        <w:rPr>
          <w:rFonts w:asciiTheme="minorEastAsia" w:eastAsiaTheme="minorEastAsia" w:hAnsiTheme="minorEastAsia" w:hint="eastAsia"/>
          <w:color w:val="000000" w:themeColor="text1"/>
          <w:szCs w:val="21"/>
        </w:rPr>
        <w:t>÷当年天数</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w:t>
      </w:r>
      <w:r w:rsidRPr="00D3689E">
        <w:rPr>
          <w:rFonts w:asciiTheme="minorEastAsia" w:eastAsiaTheme="minorEastAsia" w:hAnsiTheme="minorEastAsia" w:hint="eastAsia"/>
          <w:color w:val="000000" w:themeColor="text1"/>
          <w:szCs w:val="21"/>
        </w:rPr>
        <w:t>为每日应计提的基金管理费，货币单位为人民币</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E</w:t>
      </w:r>
      <w:r w:rsidRPr="00D3689E">
        <w:rPr>
          <w:rFonts w:asciiTheme="minorEastAsia" w:eastAsiaTheme="minorEastAsia" w:hAnsiTheme="minorEastAsia" w:hint="eastAsia"/>
          <w:color w:val="000000" w:themeColor="text1"/>
          <w:szCs w:val="21"/>
        </w:rPr>
        <w:t>为调整后的前一日基金资产净值，货币单位为人民币。调整后的前一日基金资产净值＝前一日基金资产净值－前一日本基金持有的目标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公允价值，金额为负时以零计。</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基金管理费每日计提，按月支付。经基金管理人和基金托管人核对一致后，由基金管</w:t>
      </w:r>
      <w:r w:rsidRPr="00D3689E">
        <w:rPr>
          <w:rFonts w:asciiTheme="minorEastAsia" w:eastAsiaTheme="minorEastAsia" w:hAnsiTheme="minorEastAsia" w:hint="eastAsia"/>
          <w:color w:val="000000" w:themeColor="text1"/>
          <w:szCs w:val="21"/>
        </w:rPr>
        <w:t>理人出具指令，基金托管人复核后于次月首日起</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个工作日内从基金财产中一次性支付给基金管理人，若遇法定节假日、休息日，支付日期顺延。</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、基金托管人的基金托管费</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基金托管人的基金托管费按基金资产净值的</w:t>
      </w:r>
      <w:r w:rsidRPr="00D3689E">
        <w:rPr>
          <w:rFonts w:asciiTheme="minorEastAsia" w:eastAsiaTheme="minorEastAsia" w:hAnsiTheme="minorEastAsia"/>
          <w:color w:val="000000" w:themeColor="text1"/>
          <w:szCs w:val="21"/>
        </w:rPr>
        <w:t>0.25%</w:t>
      </w:r>
      <w:r w:rsidRPr="00D3689E">
        <w:rPr>
          <w:rFonts w:asciiTheme="minorEastAsia" w:eastAsiaTheme="minorEastAsia" w:hAnsiTheme="minorEastAsia" w:hint="eastAsia"/>
          <w:color w:val="000000" w:themeColor="text1"/>
          <w:szCs w:val="21"/>
        </w:rPr>
        <w:t>年费率计提。境外托管人的托管费从基金托管人的托管费中扣除。</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基金托管费按前一日基金资产净值的</w:t>
      </w:r>
      <w:r w:rsidRPr="00D3689E">
        <w:rPr>
          <w:rFonts w:asciiTheme="minorEastAsia" w:eastAsiaTheme="minorEastAsia" w:hAnsiTheme="minorEastAsia"/>
          <w:color w:val="000000" w:themeColor="text1"/>
          <w:szCs w:val="21"/>
        </w:rPr>
        <w:t>0.25%</w:t>
      </w:r>
      <w:r w:rsidRPr="00D3689E">
        <w:rPr>
          <w:rFonts w:asciiTheme="minorEastAsia" w:eastAsiaTheme="minorEastAsia" w:hAnsiTheme="minorEastAsia" w:hint="eastAsia"/>
          <w:color w:val="000000" w:themeColor="text1"/>
          <w:szCs w:val="21"/>
        </w:rPr>
        <w:t>年费率计提。计算方法如下：</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H=E</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0.25%</w:t>
      </w:r>
      <w:r w:rsidRPr="00D3689E">
        <w:rPr>
          <w:rFonts w:asciiTheme="minorEastAsia" w:eastAsiaTheme="minorEastAsia" w:hAnsiTheme="minorEastAsia" w:hint="eastAsia"/>
          <w:color w:val="000000" w:themeColor="text1"/>
          <w:szCs w:val="21"/>
        </w:rPr>
        <w:t>÷当年天数</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H</w:t>
      </w:r>
      <w:r w:rsidRPr="00D3689E">
        <w:rPr>
          <w:rFonts w:asciiTheme="minorEastAsia" w:eastAsiaTheme="minorEastAsia" w:hAnsiTheme="minorEastAsia" w:hint="eastAsia"/>
          <w:color w:val="000000" w:themeColor="text1"/>
          <w:szCs w:val="21"/>
        </w:rPr>
        <w:t>为每日应计提的基金托管费，货币单位为人民币</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E</w:t>
      </w:r>
      <w:r w:rsidRPr="00D3689E">
        <w:rPr>
          <w:rFonts w:asciiTheme="minorEastAsia" w:eastAsiaTheme="minorEastAsia" w:hAnsiTheme="minorEastAsia" w:hint="eastAsia"/>
          <w:color w:val="000000" w:themeColor="text1"/>
          <w:szCs w:val="21"/>
        </w:rPr>
        <w:t>为调整后的前一日基金资产净值，货币单位为人民币。调整后的前一日基金资产净值＝前一日基金资产净值－前一日本基金持有的目标</w:t>
      </w:r>
      <w:r w:rsidRPr="00D3689E">
        <w:rPr>
          <w:rFonts w:asciiTheme="minorEastAsia" w:eastAsiaTheme="minorEastAsia" w:hAnsiTheme="minorEastAsia"/>
          <w:color w:val="000000" w:themeColor="text1"/>
          <w:szCs w:val="21"/>
        </w:rPr>
        <w:t>ETF</w:t>
      </w:r>
      <w:r w:rsidRPr="00D3689E">
        <w:rPr>
          <w:rFonts w:asciiTheme="minorEastAsia" w:eastAsiaTheme="minorEastAsia" w:hAnsiTheme="minorEastAsia" w:hint="eastAsia"/>
          <w:color w:val="000000" w:themeColor="text1"/>
          <w:szCs w:val="21"/>
        </w:rPr>
        <w:t>公允价值，金额为负时以零计。</w:t>
      </w:r>
    </w:p>
    <w:p w:rsidR="00713568" w:rsidRPr="00D3689E" w:rsidP="00713568">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基金托管费每日计提，按月支付。经基金管理人和基金托管人核对一致后，由基金管理人出具指令，基金托管人复核后于次月首日起</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个工作日内从基金财产中一次性支付给基金托管人，若遇法定节假日、休息日，支付日期顺延。</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3、销售服务费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本基金A类基金份额不收取销售服务费，C类基金份额的销售服务费年费率为0.4%。本基金销售服务费按前一日C类基金份额的基金资产净值的0.4%年费率计提。计算方法如下：</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H＝E×年销售服务费率÷当年天数</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H为C类基金份额每日应计提的基金销售服务费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E为C类基金份额前一日基金资产净值</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基金销售服务费每日计提，按月支付。经基金管理人和基金托管人核对一致后，由基金管理人出具指令，基金托管人复核后于次月首日起</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个工作日内从基金财产中一次性支付。基金管理人根据与销售机构签订的销售协议中约定的付款周期分别划付给销售机构。若遇法定节假日、公休日等，支付日期顺延。费用自动扣划后，管理人应进行核对，如发现数据不符，及时联系托管人协商解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基金的指数使用费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本基金作为指数基金，需要根据与标的指数许可方所签订的指数使用许可协议中所规定的指数许可使用费计提方法计提指数使用费。本基金为联接基金，暂不收取指数使用费。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如果指数使用费的计算方法和费率等发生调整，本基金将采用调整后的方法或费率计</w:t>
      </w:r>
      <w:r w:rsidRPr="00D3689E">
        <w:rPr>
          <w:rFonts w:asciiTheme="minorEastAsia" w:eastAsiaTheme="minorEastAsia" w:hAnsiTheme="minorEastAsia" w:hint="eastAsia"/>
          <w:color w:val="000000" w:themeColor="text1"/>
          <w:szCs w:val="21"/>
        </w:rPr>
        <w:t>算指数使用费。基金管理人应及时按照《信息披露管理办法》的规定在指定媒介进行公告。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color w:val="000000" w:themeColor="text1"/>
          <w:szCs w:val="21"/>
        </w:rPr>
        <w:t>上述“（一）基金费用的种类”中</w:t>
      </w:r>
      <w:r w:rsidRPr="00D3689E">
        <w:rPr>
          <w:rFonts w:asciiTheme="minorEastAsia" w:eastAsiaTheme="minorEastAsia" w:hAnsiTheme="minorEastAsia" w:hint="eastAsia"/>
          <w:color w:val="000000" w:themeColor="text1"/>
          <w:szCs w:val="21"/>
        </w:rPr>
        <w:t>第</w:t>
      </w: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至第</w:t>
      </w:r>
      <w:r w:rsidRPr="00D3689E">
        <w:rPr>
          <w:rFonts w:asciiTheme="minorEastAsia" w:eastAsiaTheme="minorEastAsia" w:hAnsiTheme="minorEastAsia"/>
          <w:color w:val="000000" w:themeColor="text1"/>
          <w:szCs w:val="21"/>
        </w:rPr>
        <w:t>13</w:t>
      </w:r>
      <w:r w:rsidRPr="00D3689E">
        <w:rPr>
          <w:rFonts w:asciiTheme="minorEastAsia" w:eastAsiaTheme="minorEastAsia" w:hAnsiTheme="minorEastAsia" w:hint="eastAsia"/>
          <w:color w:val="000000" w:themeColor="text1"/>
          <w:szCs w:val="21"/>
        </w:rPr>
        <w:t>项费用由基金管理人和基金托管人根据有关法律法规及相应协议的规定，列入或摊入当期基金费用。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（三）不列入基金费用的项目</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1、基金管理人和基金托管人因未履行或未完全履行义务导致的费用支出或基金财产的损失等不列入基金费用。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2、基金管理人和基金托管人处理与基金运作无关的事项发生的费用；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3、《基金合同》生效前的相关费用，包括但不限于验资费、会计师和律师费、信息披露费用等费用；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4、其他根据相关法律法规及中国证监会的有关规定不得列入基金费用的项目。</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（四）基金税收</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本基金运作过程中涉及的各纳税主体，依照国家或所投资市场所在国家的法律法规的规定履行纳税。</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五、基金资产净值的计算方法和公告方式</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（一）基金资产总值</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本基金的基金资产总值指基金拥有的各类有价证券、银行存款本息、基金应收申购款及其他资产的价值总和。</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（二）基金资产净值</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本基金资产净值是指基金资产总值减去基金负债后的价值。</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（三）公告方式</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本基金分别计算并披露不同币种基金份额对应的基金份额净值。人民币基金份额净值和美元基金份额净值的计算分别精确到</w:t>
      </w:r>
      <w:r w:rsidRPr="00D3689E">
        <w:rPr>
          <w:rFonts w:asciiTheme="minorEastAsia" w:eastAsiaTheme="minorEastAsia" w:hAnsiTheme="minorEastAsia"/>
          <w:color w:val="000000" w:themeColor="text1"/>
          <w:szCs w:val="21"/>
        </w:rPr>
        <w:t>0.0001元和0.0001美元，小数点后第五位四舍五入。特殊情况下，经与基金托管人协商一致，基金管理人可以调整净值计算及披露的小数点后位数并及时公告。国家另有规定的，从其规定</w:t>
      </w:r>
      <w:r w:rsidRPr="00D3689E">
        <w:rPr>
          <w:rFonts w:asciiTheme="minorEastAsia" w:eastAsiaTheme="minorEastAsia" w:hAnsiTheme="minorEastAsia" w:hint="eastAsia"/>
          <w:color w:val="000000" w:themeColor="text1"/>
          <w:szCs w:val="21"/>
        </w:rPr>
        <w:t>。</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应每个工作日对前一估值日的基金资产进行估值。但基金管理人根据法律法规或本基金合同的规定暂停估值时除外。基金管理人每个工作日对前一估值日的基金资产进行估值后，将基金份额净值结果发送基金托管人，经基金托管人复核无误后，由基金管理人对外公布。</w:t>
      </w:r>
    </w:p>
    <w:p w:rsidR="00355822" w:rsidRPr="00D3689E" w:rsidP="00355822">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《基金合同》生效后,在开始办理基金份额申购或者赎回前，基金管理人应当至少在指</w:t>
      </w:r>
      <w:r w:rsidRPr="00D3689E">
        <w:rPr>
          <w:rFonts w:asciiTheme="minorEastAsia" w:eastAsiaTheme="minorEastAsia" w:hAnsiTheme="minorEastAsia" w:hint="eastAsia"/>
          <w:color w:val="000000" w:themeColor="text1"/>
          <w:szCs w:val="21"/>
        </w:rPr>
        <w:t>定网站披露一次不同币种份额的基金份额净值和基金份额累计净值。</w:t>
      </w:r>
    </w:p>
    <w:p w:rsidR="00355822" w:rsidRPr="00D3689E" w:rsidP="00355822">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在开始办理基金份额申购或赎回之后，基金管理人应当在不晚于每个开放日后的第二个工作日，通过指定网站、基金销售机构网站或者营业网点披露开放日的人民币基金份额的基金份额净值和基金份额累计净值，通过基金管理人网站披露开放日的美元基金份额的基金份额净值和基金份额累计净值。</w:t>
      </w:r>
    </w:p>
    <w:p w:rsidR="00897976" w:rsidRPr="00D3689E" w:rsidP="00E870B4">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应当在不晚于半年度和年度最后一日后的第二个工作日，在指定网站披露半年度和年度最后一日的人民币基金份额的基金份额净值和基金份额累计净值，将美元基金份额的基金份额净值和基金份额累计净值登载在基金管理人网站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六、基金合同的变更、终止与基金财产的清算</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（一）《基金合同》的变更</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2、关于《基金合同》变更的基金份额持有人大会决议自表决通过之日起生效，自决议生效后两日内在指定媒介公告。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（二）《基金合同》的终止事由</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有下列情形之一的，《基金合同》应当终止：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1、基金份额持有人大会决定终止的；</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2、基金管理人、基金托管人职责终止，在6个月内没有新基金管理人、新基金托管人承接的；</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3、《基金合同》约定的其他情形；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4、相关法律法规和中国证监会规定的其他情况。</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（三）基金财产的清算</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1、基金财产清算小组：自出现《基金合同》终止事由之日起30个工作日内成立清算小组，基金管理人组织基金财产清算小组并在中国证监会的监督下进行基金清算。</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3、基金财产清算小组职责：基金财产清算小组负责基金财产的保管、清理、估价、变</w:t>
      </w:r>
      <w:r w:rsidRPr="00D3689E">
        <w:rPr>
          <w:rFonts w:asciiTheme="minorEastAsia" w:eastAsiaTheme="minorEastAsia" w:hAnsiTheme="minorEastAsia" w:hint="eastAsia"/>
          <w:color w:val="000000" w:themeColor="text1"/>
          <w:szCs w:val="21"/>
        </w:rPr>
        <w:t>现和分配。基金财产清算小组可以依法进行必要的民事活动。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4、基金财产清算程序：</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（1）《基金合同》终止情形出现时，由基金财产清算小组统一接管基金；</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（2）对基金财产和债权债务进行清理和确认；</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（3）对基金财产进行估值和变现；</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（4）制作清算报告；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（5）聘请会计师事务所对清算报告进行外部审计，聘请律师事务所对清算报告出具法律意见书；</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（6）将清算报告报中国证监会备案并公告；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（7）对基金财产进行分配。</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5、基金财产清算的期限为6个月，但因本基金所持证券的流动性受到限制而不能及时变现的，清算期限相应顺延。</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（四）清算费用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清算费用是指基金财产清算小组在进行基金清算过程中发生的所有合理费用，清算费用由基金财产清算小组优先从基金财产中支付。</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（五）基金财产清算剩余资产的分配</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（六）基金财产清算的公告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（七）基金财产清算账册及文件的保存</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基金财产清算账册及有关文件由基金托管人保存15年以上。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七、争议的处理</w:t>
      </w:r>
    </w:p>
    <w:p w:rsidR="00713568" w:rsidRPr="00D3689E" w:rsidP="00713568">
      <w:pPr>
        <w:spacing w:line="360" w:lineRule="auto"/>
        <w:ind w:firstLine="420" w:firstLineChars="200"/>
        <w:rPr>
          <w:rFonts w:asciiTheme="minorEastAsia" w:eastAsiaTheme="minorEastAsia" w:hAnsiTheme="minorEastAsia"/>
          <w:b/>
          <w:color w:val="000000" w:themeColor="text1"/>
          <w:szCs w:val="21"/>
        </w:rPr>
      </w:pPr>
      <w:r w:rsidRPr="00D3689E">
        <w:rPr>
          <w:rFonts w:asciiTheme="minorEastAsia" w:eastAsiaTheme="minorEastAsia" w:hAnsiTheme="minorEastAsia" w:hint="eastAsia"/>
          <w:b/>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华南国际经济贸易仲裁委员会，按照华南国际经济贸易仲裁委员会届时有效的仲裁规则进行仲裁。仲裁地点为深圳市。仲裁裁决是终局的，对各方当事人均有约束力，</w:t>
      </w:r>
      <w:r w:rsidRPr="00D3689E">
        <w:rPr>
          <w:rFonts w:asciiTheme="minorEastAsia" w:eastAsiaTheme="minorEastAsia" w:hAnsiTheme="minorEastAsia" w:hint="eastAsia"/>
          <w:b/>
          <w:color w:val="000000" w:themeColor="text1"/>
          <w:szCs w:val="21"/>
        </w:rPr>
        <w:t>仲裁费用由败诉方承担，除非仲裁裁决另有决定。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争议处理期间，基金合同当事人应恪守各自的职责，继续忠实、勤勉、尽责地履行基金合同规定的义务，维护基金份额持有人的合法权益。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《基金合同》受中国法律管辖。</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八、基金合同的效力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《基金合同》是约定基金当事人之间、基金与基金当事人之间权利义务关系的法律文件。</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2、《基金合同》的有效期自其生效之日起至基金财产清算结果报中国证监会备案并公告之日止。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3、《基金合同》自生效之日起对包括基金管理人、基金托管人和基金份额持有人在内的《基金合同》各方当事人具有同等的法律约束力。</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4、《基金合同》正本一式三份，除上报有关监管机构外，基金管理人、基金托管人各持有一份，每份具有同等的法律效力。</w:t>
      </w:r>
    </w:p>
    <w:p w:rsidR="00FF76B9" w:rsidRPr="00D3689E" w:rsidP="00713568">
      <w:pPr>
        <w:spacing w:line="360" w:lineRule="auto"/>
        <w:ind w:firstLine="420"/>
        <w:rPr>
          <w:rFonts w:asciiTheme="minorEastAsia" w:eastAsiaTheme="minorEastAsia" w:hAnsiTheme="minorEastAsia" w:cs="Calibri"/>
          <w:color w:val="000000" w:themeColor="text1"/>
          <w:szCs w:val="21"/>
        </w:rPr>
      </w:pPr>
      <w:r w:rsidRPr="00D3689E">
        <w:rPr>
          <w:rFonts w:asciiTheme="minorEastAsia" w:eastAsiaTheme="minorEastAsia" w:hAnsiTheme="minorEastAsia" w:hint="eastAsia"/>
          <w:color w:val="000000" w:themeColor="text1"/>
          <w:szCs w:val="21"/>
        </w:rPr>
        <w:t>5、《基金合同》可印制成册，供投资者在基金管理人、基金托管人、销售机构的办公场所和营业场所查阅。</w:t>
      </w:r>
    </w:p>
    <w:p w:rsidR="00CD7E71" w:rsidRPr="00D3689E" w:rsidP="009E5C8E">
      <w:pPr>
        <w:spacing w:line="360" w:lineRule="auto"/>
        <w:ind w:firstLine="420"/>
        <w:rPr>
          <w:rFonts w:asciiTheme="minorEastAsia" w:eastAsiaTheme="minorEastAsia" w:hAnsiTheme="minorEastAsia" w:cs="Calibri"/>
          <w:color w:val="000000" w:themeColor="text1"/>
        </w:rPr>
      </w:pP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919" w:name="_Toc308697714"/>
      <w:bookmarkStart w:id="920" w:name="_Toc309286236"/>
      <w:bookmarkEnd w:id="919"/>
      <w:bookmarkEnd w:id="920"/>
      <w:r w:rsidRPr="00D3689E">
        <w:rPr>
          <w:rFonts w:asciiTheme="minorEastAsia" w:eastAsiaTheme="minorEastAsia" w:hAnsiTheme="minorEastAsia"/>
          <w:b w:val="0"/>
          <w:bCs/>
          <w:color w:val="000000" w:themeColor="text1"/>
        </w:rPr>
        <w:br w:type="page"/>
      </w:r>
      <w:bookmarkStart w:id="921" w:name="_Toc169103852"/>
      <w:r w:rsidRPr="00D3689E">
        <w:rPr>
          <w:rFonts w:asciiTheme="minorEastAsia" w:eastAsiaTheme="minorEastAsia" w:hAnsiTheme="minorEastAsia" w:hint="eastAsia"/>
          <w:color w:val="000000" w:themeColor="text1"/>
        </w:rPr>
        <w:t>基金托管协议的内容摘要</w:t>
      </w:r>
      <w:bookmarkEnd w:id="921"/>
    </w:p>
    <w:p w:rsidR="00CD14E2" w:rsidRPr="00D3689E" w:rsidP="00F0430E">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一、托管协议当事人</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color w:val="000000" w:themeColor="text1"/>
          <w:szCs w:val="21"/>
        </w:rPr>
        <w:t>（一）基</w:t>
      </w:r>
      <w:r w:rsidRPr="00D3689E">
        <w:rPr>
          <w:rFonts w:asciiTheme="minorEastAsia" w:eastAsiaTheme="minorEastAsia" w:hAnsiTheme="minorEastAsia" w:hint="eastAsia"/>
          <w:color w:val="000000" w:themeColor="text1"/>
          <w:szCs w:val="21"/>
        </w:rPr>
        <w:t>金管理人</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名称：易方达基金管理有限公司</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住所：</w:t>
      </w:r>
      <w:r w:rsidRPr="00D3689E" w:rsidR="00624F94">
        <w:rPr>
          <w:rFonts w:asciiTheme="minorEastAsia" w:eastAsiaTheme="minorEastAsia" w:hAnsiTheme="minorEastAsia" w:hint="eastAsia"/>
          <w:color w:val="000000" w:themeColor="text1"/>
          <w:szCs w:val="21"/>
        </w:rPr>
        <w:t>广东省珠海市横琴新区荣粤道188号6层</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法定代表人：刘晓艳</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设立日期：2001年4月17日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批准设立机关及批准设立文号：中国证券监督管理委员会，证监基金字[2001]4号</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组织形式：有限责任公司</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注册资本：13,244.2万元人民币</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存续期限：持续经营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联系电话：4008818088</w:t>
      </w:r>
    </w:p>
    <w:p w:rsidR="00713568"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经营范围：</w:t>
      </w:r>
      <w:r w:rsidRPr="00D3689E" w:rsidR="00E34502">
        <w:rPr>
          <w:rStyle w:val="da"/>
          <w:rFonts w:asciiTheme="minorEastAsia" w:eastAsiaTheme="minorEastAsia" w:hAnsiTheme="minorEastAsia" w:hint="eastAsia"/>
          <w:color w:val="000000" w:themeColor="text1"/>
        </w:rPr>
        <w:t>公开募集证券投资基金管理、基金销售、特定客户资产管理</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（二）基金托管人</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名称：招商银行股份有限公司</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住所：深圳市深南大道</w:t>
      </w:r>
      <w:r w:rsidRPr="00D3689E">
        <w:rPr>
          <w:rFonts w:asciiTheme="minorEastAsia" w:eastAsiaTheme="minorEastAsia" w:hAnsiTheme="minorEastAsia"/>
          <w:color w:val="000000" w:themeColor="text1"/>
          <w:szCs w:val="21"/>
        </w:rPr>
        <w:t>7088</w:t>
      </w:r>
      <w:r w:rsidRPr="00D3689E">
        <w:rPr>
          <w:rFonts w:asciiTheme="minorEastAsia" w:eastAsiaTheme="minorEastAsia" w:hAnsiTheme="minorEastAsia" w:hint="eastAsia"/>
          <w:color w:val="000000" w:themeColor="text1"/>
          <w:szCs w:val="21"/>
        </w:rPr>
        <w:t>号招商银行大厦</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办公地址：深圳市深南大道</w:t>
      </w:r>
      <w:r w:rsidRPr="00D3689E">
        <w:rPr>
          <w:rFonts w:asciiTheme="minorEastAsia" w:eastAsiaTheme="minorEastAsia" w:hAnsiTheme="minorEastAsia"/>
          <w:color w:val="000000" w:themeColor="text1"/>
          <w:szCs w:val="21"/>
        </w:rPr>
        <w:t>7088</w:t>
      </w:r>
      <w:r w:rsidRPr="00D3689E">
        <w:rPr>
          <w:rFonts w:asciiTheme="minorEastAsia" w:eastAsiaTheme="minorEastAsia" w:hAnsiTheme="minorEastAsia" w:hint="eastAsia"/>
          <w:color w:val="000000" w:themeColor="text1"/>
          <w:szCs w:val="21"/>
        </w:rPr>
        <w:t>号招商银行大厦</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邮政编码：</w:t>
      </w:r>
      <w:r w:rsidRPr="00D3689E">
        <w:rPr>
          <w:rFonts w:asciiTheme="minorEastAsia" w:eastAsiaTheme="minorEastAsia" w:hAnsiTheme="minorEastAsia"/>
          <w:color w:val="000000" w:themeColor="text1"/>
          <w:szCs w:val="21"/>
        </w:rPr>
        <w:t>518040</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法定代表人：</w:t>
      </w:r>
      <w:r w:rsidRPr="00D3689E" w:rsidR="00D95573">
        <w:rPr>
          <w:rFonts w:asciiTheme="minorEastAsia" w:eastAsiaTheme="minorEastAsia" w:hAnsiTheme="minorEastAsia" w:hint="eastAsia"/>
          <w:color w:val="000000" w:themeColor="text1"/>
          <w:szCs w:val="21"/>
        </w:rPr>
        <w:t>缪建民</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成立时间：</w:t>
      </w:r>
      <w:r w:rsidRPr="00D3689E">
        <w:rPr>
          <w:rFonts w:asciiTheme="minorEastAsia" w:eastAsiaTheme="minorEastAsia" w:hAnsiTheme="minorEastAsia"/>
          <w:color w:val="000000" w:themeColor="text1"/>
          <w:szCs w:val="21"/>
        </w:rPr>
        <w:t>1987</w:t>
      </w:r>
      <w:r w:rsidRPr="00D3689E">
        <w:rPr>
          <w:rFonts w:asciiTheme="minorEastAsia" w:eastAsiaTheme="minorEastAsia" w:hAnsiTheme="minorEastAsia" w:hint="eastAsia"/>
          <w:color w:val="000000" w:themeColor="text1"/>
          <w:szCs w:val="21"/>
        </w:rPr>
        <w:t>年</w:t>
      </w: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月</w:t>
      </w:r>
      <w:r w:rsidRPr="00D3689E">
        <w:rPr>
          <w:rFonts w:asciiTheme="minorEastAsia" w:eastAsiaTheme="minorEastAsia" w:hAnsiTheme="minorEastAsia"/>
          <w:color w:val="000000" w:themeColor="text1"/>
          <w:szCs w:val="21"/>
        </w:rPr>
        <w:t>8</w:t>
      </w:r>
      <w:r w:rsidRPr="00D3689E">
        <w:rPr>
          <w:rFonts w:asciiTheme="minorEastAsia" w:eastAsiaTheme="minorEastAsia" w:hAnsiTheme="minorEastAsia" w:hint="eastAsia"/>
          <w:color w:val="000000" w:themeColor="text1"/>
          <w:szCs w:val="21"/>
        </w:rPr>
        <w:t>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基金托管业务批准文号：中国证监会证监基字</w:t>
      </w:r>
      <w:r w:rsidRPr="00D3689E">
        <w:rPr>
          <w:rFonts w:asciiTheme="minorEastAsia" w:eastAsiaTheme="minorEastAsia" w:hAnsiTheme="minorEastAsia"/>
          <w:color w:val="000000" w:themeColor="text1"/>
          <w:szCs w:val="21"/>
        </w:rPr>
        <w:t>[2002]83</w:t>
      </w:r>
      <w:r w:rsidRPr="00D3689E">
        <w:rPr>
          <w:rFonts w:asciiTheme="minorEastAsia" w:eastAsiaTheme="minorEastAsia" w:hAnsiTheme="minorEastAsia" w:hint="eastAsia"/>
          <w:color w:val="000000" w:themeColor="text1"/>
          <w:szCs w:val="21"/>
        </w:rPr>
        <w:t>号</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组织形式：股份有限公司</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注册资本：</w:t>
      </w:r>
      <w:r w:rsidRPr="00D3689E" w:rsidR="00E34502">
        <w:rPr>
          <w:rFonts w:asciiTheme="minorEastAsia" w:eastAsiaTheme="minorEastAsia" w:hAnsiTheme="minorEastAsia" w:hint="eastAsia"/>
          <w:bCs/>
          <w:color w:val="000000" w:themeColor="text1"/>
          <w:szCs w:val="21"/>
        </w:rPr>
        <w:t>252.20亿元</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存续期间：持续经营</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二、基金托管人对基金管理人的业务监督和核查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（一）基金托管人根据有关法律法规的规定及《基金合同》中实际可以监控事项的约定，建立相关的技术系统，对基金管理人的投资运作进行监督。主要包括以下方面：</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对基金的投资范围、投资对象进行监督。基金管理人应将拟投资的股票库等各投资品种的具体范围提供给基金托管人。基金管理人可以根据实际情况的变化，根据《基金合同》的约定对各投资品种的具体范围予以更新和调整，并通知基金托管人。基金托管人根据上述投资范围对基金的投资进行监督；</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资产主要投资于具有良好流动性的金融工具，包括目标ETF，已与中国证监会签署双边监管合作谅解备忘录的国家或地区证券监管机构登记注册的跟踪同一标的指数的公募基金，已与中国证监会签署双边监管合作谅解备忘录的国家或地区证券市场挂牌交易的标的指数成份股及备选成份股，经中国证监会认可的境外交易所上市交易的跟踪标的指数的股指期货等金融衍生品。此外，为更好地实现投资目标，本基金可少量投资于已与中国证监会签署双边监管合作谅解备忘录的国家或地区证券市场挂牌交易的非成份股，境内市场的固定收益类证券、银行存款、货币市场工具以及法律法规或中国证监会允许基金投资的其他金融工具。</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如果法律法规或监管机构以后允许基金投资其他品种，本基金可以将其纳入投资范围，其投资原则及投资比例按法律法规或监管机构的相关规定执行。</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本基金资产中投资于目标ETF的比例不低于基金资产净值的90%，现金或者到期日在一年以内的政府债券不低于基金资产净值的5%，现金不包括结算备付金、存出保证金、应收申购款等。</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对基金投融资比例进行监督。基金托管人应自《基金合同》生效起对基金的投资和融资比例是否符合基金合同的规定进行监督。基金托管人应根据《基金合同》的约定监督基金合同约定的基金投资资产配置比例（自基金合同生效之日起满</w:t>
      </w: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个月后开始）、单一投资类别比例限制、融资限制、股票申购限制、基金投资比例是否符合法规及《基金合同》规定，不符合规定的，基金托管人应书面通知基金管理人及时进行整改，整改的时限应符合法规及基金合同允许的投资比例调整期限。</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对基金投资禁止行为进行监督。为对基金从事的关联交易进行监督，基金管理人和基金托管人应相互提供与本机构有控股关系的股东或与本机构有其他重大利害关系的公司名单，基金托管人和基金管理人均有责任保证该名单的真实、准确和完整性，并及时将更新后的名单发送给对方；</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运用基金财产买卖基金管理人、基金托管人及其控股股东、实际控制人或者与其有其他重大利害关系的公司发行的证券或承销期内承销的证券，或者从事其他重大关联交易的，基金管理人应当遵循基金份额持有人利益优先的原则，防范利益冲突，符合中国证监会的规定，并履行信息披露义务。</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管理人向基金托管人提供其回购交易及监督所需的其他投资品种的交易对手库，交易对手库由信用等级符合《通知》及《基金合同》要求的交易对手组成。基金管理人可以根据实际情况的变化，及时对交易对手库予以更新和调整，并通知基金托管人。基金管理人进行金融衍生品、证券借贷、回购交易时，交易对手应符合交易对手库的范围。基金托管人对交易对手是否符合交易对手库进行监督；</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1、本基金投资银行存款应符合如下规定：</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有关法律法规或监管部门制定或修改新的定期存款投资政策，基金管理人履行适当程序后，可相应调整投资组合限制的规定。</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w:t>
      </w:r>
      <w:r w:rsidRPr="00D3689E">
        <w:rPr>
          <w:rFonts w:asciiTheme="minorEastAsia" w:eastAsiaTheme="minorEastAsia" w:hAnsiTheme="minorEastAsia" w:cs="Arial" w:hint="eastAsia"/>
          <w:color w:val="000000" w:themeColor="text1"/>
          <w:szCs w:val="21"/>
        </w:rPr>
        <w:t>书等有关文件，切实履行托管职责。</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负责控制信用风险。信用风险主要包括存款银行的信用等级、存款银行的支付能力等涉及到存款银行选择方面的风险。因选择存款银行不当造成基金财产损失的，由基金管理人承担责任，托管人不承担任何责任。</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基金管理人须加强内部风险控制制度的建设。如因基金管理人员工职务行为导致基金财产受到损失的，需由基金管理人承担由此造成的损失。</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基金管理人与基金托管人在开展基金存款业务时，应严格遵守《基金法》、《运作办法》等有关法律法规，以及国家有关账户管理、利率管理、支付结算等的各项规定。</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（三）基金投资银行存款协议的签订、账户开设与管理、投资指令与资金划付、账目核对、到期兑付、提前支取</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1.基金投资银行存款协议的签订</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（2）基金托管人依据相关法规和本协议对《总体合作协议》和《存款协议书》的内容进行复核，审查存款银行资格等。</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（5）基金管理人应在《存款协议书》中规定，基金存放到期或提前兑付的资金应全部划转到指定的基金托管账户，并在《存款协议书》写明账户名称和账号，未划入指定账户的，由存款银行承担一切责任。</w:t>
      </w:r>
    </w:p>
    <w:p w:rsidR="00713568" w:rsidRPr="00D3689E" w:rsidP="00713568">
      <w:pPr>
        <w:spacing w:line="480" w:lineRule="exact"/>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（7）基金管理人应在《存款协议书》中规定，因定期存款产生的存单不得被质押或以任何方式被抵押，不得用于转让和背书。</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2.基金投资银行存款时的账户开设与管理</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（1）基金投资于银行存款时，基金管理人应当依据基金管理人与存款银行签订的《总体合作协议》、《存款协议书》等，以基金的名义在存款银行总行或授权分行指定的分支机构开立银行账户。</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（2）基金投资于银行存款时的预留印鉴由基金托管人保管和使用。</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3.存款凭证传递、账目核对及到期兑付</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（1）存款证实书等存款凭证传递</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（2）存款凭证的遗失补办</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存款凭证在邮寄过程中遗失的，由基金管理人向存款银行提出补办申请，基金管理人应督促存款银行尽快补办存款凭证，并按以上（1）的方式快递或上门交付至托管人，原存款凭证自动作废。</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（3）账目核对</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每个工作日，基金管理人应与基金托管人核对各项银行存款投资余额及应计利息。</w:t>
      </w:r>
    </w:p>
    <w:p w:rsidR="00713568" w:rsidRPr="00D3689E" w:rsidP="00713568">
      <w:pPr>
        <w:spacing w:line="480" w:lineRule="exact"/>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基金管理人应在《存款协议书》中规定，对于存期超过3个月的定期存款，存款银行应于每季末后5个工作日内向基金托管人指定人员寄送对账单。因存款银行未寄送对账单</w:t>
      </w:r>
      <w:r w:rsidRPr="00D3689E">
        <w:rPr>
          <w:rFonts w:asciiTheme="minorEastAsia" w:eastAsiaTheme="minorEastAsia" w:hAnsiTheme="minorEastAsia" w:cs="Arial" w:hint="eastAsia"/>
          <w:color w:val="000000" w:themeColor="text1"/>
          <w:szCs w:val="21"/>
        </w:rPr>
        <w:t>造成的资金被挪用、盗取的责任由存款银行承担。</w:t>
      </w:r>
    </w:p>
    <w:p w:rsidR="00713568" w:rsidRPr="00D3689E" w:rsidP="00713568">
      <w:pPr>
        <w:spacing w:line="480" w:lineRule="exact"/>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存款银行应配合基金托管人对存款凭证的询证，并在询证函上加盖存款银行公章寄送至基金托管人指定联系人。</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（4）到期兑付</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4.提前支取</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如果在存款期限内，由于基金规模发生缩减的原因或者出于流动性管理的需要等原因，基金管理人可以提前支取全部或部分资金。</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提前支取的具体事项按照基金管理人与存款银行签订的《存款协议书》执行。</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5.基金投资银行存款的监督</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w:t>
      </w:r>
      <w:r w:rsidRPr="00D3689E">
        <w:rPr>
          <w:rFonts w:asciiTheme="minorEastAsia" w:eastAsiaTheme="minorEastAsia" w:hAnsiTheme="minorEastAsia" w:cs="Arial" w:hint="eastAsia"/>
          <w:color w:val="000000" w:themeColor="text1"/>
          <w:szCs w:val="21"/>
        </w:rPr>
        <w:t>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713568" w:rsidRPr="00D3689E" w:rsidP="00713568">
      <w:pPr>
        <w:spacing w:line="360" w:lineRule="auto"/>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6</w:t>
      </w:r>
      <w:r w:rsidRPr="00D3689E">
        <w:rPr>
          <w:rFonts w:asciiTheme="minorEastAsia" w:eastAsiaTheme="minorEastAsia" w:hAnsiTheme="minorEastAsia" w:hint="eastAsia"/>
          <w:color w:val="000000" w:themeColor="text1"/>
          <w:szCs w:val="21"/>
        </w:rPr>
        <w:t>、对</w:t>
      </w:r>
      <w:r w:rsidRPr="00D3689E">
        <w:rPr>
          <w:rFonts w:asciiTheme="minorEastAsia" w:eastAsiaTheme="minorEastAsia" w:hAnsiTheme="minorEastAsia" w:hint="eastAsia"/>
          <w:color w:val="000000" w:themeColor="text1"/>
        </w:rPr>
        <w:t>法律法规规定及《基金合同》</w:t>
      </w:r>
      <w:r w:rsidRPr="00D3689E">
        <w:rPr>
          <w:rFonts w:asciiTheme="minorEastAsia" w:eastAsiaTheme="minorEastAsia" w:hAnsiTheme="minorEastAsia" w:hint="eastAsia"/>
          <w:color w:val="000000" w:themeColor="text1"/>
          <w:szCs w:val="21"/>
        </w:rPr>
        <w:t>中实际可以监控事项约定的基金投资的其他方面进行监督</w:t>
      </w:r>
      <w:r w:rsidRPr="00D3689E">
        <w:rPr>
          <w:rFonts w:asciiTheme="minorEastAsia" w:eastAsiaTheme="minorEastAsia" w:hAnsiTheme="minorEastAsia" w:hint="eastAsia"/>
          <w:color w:val="000000" w:themeColor="text1"/>
        </w:rPr>
        <w:t>。</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托管人应根据有关法律法规的规定及《基金合同》的约定，对基金资产净值计算、基金份额净值计算、应收资金到账、基金费用开支及收入确定、基金收益分配、相关信息披露、基金宣传推介材料中登载基金业绩表现数据等，进行业务监督、核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（六）基金托管人发现基金管理人的违规行为，应及时通知基金管理人，由基金管理人</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个交易日内纠正，投资组合比例的调整时间为</w:t>
      </w:r>
      <w:r w:rsidRPr="00D3689E">
        <w:rPr>
          <w:rFonts w:asciiTheme="minorEastAsia" w:eastAsiaTheme="minorEastAsia" w:hAnsiTheme="minorEastAsia"/>
          <w:color w:val="000000" w:themeColor="text1"/>
          <w:szCs w:val="21"/>
        </w:rPr>
        <w:t>30</w:t>
      </w:r>
      <w:r w:rsidRPr="00D3689E">
        <w:rPr>
          <w:rFonts w:asciiTheme="minorEastAsia" w:eastAsiaTheme="minorEastAsia" w:hAnsiTheme="minorEastAsia" w:hint="eastAsia"/>
          <w:color w:val="000000" w:themeColor="text1"/>
          <w:szCs w:val="21"/>
        </w:rPr>
        <w:t>个工作日，基金合同另有约定的除外；基金管理人收到通知后应及时进行核对确认并回函；在限期内，基金托管人有权对通知事项进行复查，如基金管理人未予纠正的，基金托管人应报告中国证监会。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七）基金管理人应积极配合和协助基金托管人的监督和核查。基金管理人收到通知后应及时核对并回复基金托管人，对于收到的书面通知，基金管理人应以书面形式给基金托管人发出回函，包括但不限于：在规定时间内答复基金托管人并改正，就基金托管人的疑义进行解释或举证，说明违规原因及纠正期限；对基金托管人按照法规要求需向中国证监会报送基金监督报告的，基金管理人应积极配合提供相关数据资料和制度等。在上述规</w:t>
      </w:r>
      <w:r w:rsidRPr="00D3689E">
        <w:rPr>
          <w:rFonts w:asciiTheme="minorEastAsia" w:eastAsiaTheme="minorEastAsia" w:hAnsiTheme="minorEastAsia" w:hint="eastAsia"/>
          <w:color w:val="000000" w:themeColor="text1"/>
          <w:szCs w:val="21"/>
        </w:rPr>
        <w:t>定期限内，基金托管人有权随时对通知事项进行复查，督促基金管理人改正。基金管理人对基金托管人通知的违规事项未能在限期内纠正的，基金托管人应报告中国证监会。</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（八）基金托管人发现基金管理人的投资指令违反法律、行政法规和其他有关规定，或者违反基金合同约定的，立即通知基金管理人，并及时向中国证监会报告。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发现基金管理人依据交易程序已经生效的投资指令违反法律、行政法规和其他有关规定，或者违反基金合同约定的，由基金托管人于估值日结束且相关数据齐备后，通知基金管理人，并及时向中国证监会报告。</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九）基金托管人的投资监督报告的准确性和完整性受限于基金管理人及其他中介机构提供的数据和信息，基金托管人在履行法律法规、基金合同及本协议约定的监督等职责的前提下，对这些机构的信息的准确性和完整性不作任何担保、暗示或表示，并对这些机构的信息的准确性和完整性所引起的损失不负任何责任。</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（十）基金托管人在履行法律法规、基金合同及本协议约定的监督等职责的前提下，对基金管理人的投资行为</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包括但不限于其投资策略及决定</w:t>
      </w:r>
      <w:r w:rsidRPr="00D3689E">
        <w:rPr>
          <w:rFonts w:asciiTheme="minorEastAsia" w:eastAsiaTheme="minorEastAsia" w:hAnsiTheme="minorEastAsia"/>
          <w:color w:val="000000" w:themeColor="text1"/>
          <w:szCs w:val="21"/>
        </w:rPr>
        <w:t>)</w:t>
      </w:r>
      <w:r w:rsidRPr="00D3689E">
        <w:rPr>
          <w:rFonts w:asciiTheme="minorEastAsia" w:eastAsiaTheme="minorEastAsia" w:hAnsiTheme="minorEastAsia" w:hint="eastAsia"/>
          <w:color w:val="000000" w:themeColor="text1"/>
          <w:szCs w:val="21"/>
        </w:rPr>
        <w:t>及其投资回报不承担任何责任。</w:t>
      </w:r>
      <w:bookmarkStart w:id="922" w:name="_Hlt73429199"/>
      <w:bookmarkEnd w:id="922"/>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三、基金管理人对基金托管人的业务核查</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管理人发现基金托管人擅自挪用基金财产、未对基金财产实行分账管理、无正当理由未执行或延迟执行基金管理人资金划拨指令、泄露基金投资信息等违反法律法规、《基金合同》及本托管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、基金托管人应积极配合基金管理人的核查行为，包括但不限于：提交相关资料以供基金管理人核查托管财产的完整性和真实性，在规定时间内答复基金管理人并改正，就基金管理人的疑义进行解释或举证。</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四、基金财产的保管</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（一）基金财产保管的原则</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、基金财产应独立于基金管理人、基金托管人、境外托管人的固有财产。</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、基金托管人应安全保管基金财产，未经基金管理人的合法合规指令或法律法规、《基金合同》及本协议另有规定，不得自行运用、处分、分配基金的任何财产</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、基金托管人按照规定开设基金财产的所有资金账户和证券账户。</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、基金托管人对所托管的不同基金财产分别设置账户，确保基金财产的完整与独立。未经基金管理人的</w:t>
      </w:r>
      <w:r w:rsidRPr="00D3689E">
        <w:rPr>
          <w:rFonts w:asciiTheme="minorEastAsia" w:eastAsiaTheme="minorEastAsia" w:hAnsiTheme="minorEastAsia" w:cs="Arial" w:hint="eastAsia"/>
          <w:color w:val="000000" w:themeColor="text1"/>
          <w:szCs w:val="21"/>
        </w:rPr>
        <w:t>正当</w:t>
      </w:r>
      <w:r w:rsidRPr="00D3689E">
        <w:rPr>
          <w:rFonts w:asciiTheme="minorEastAsia" w:eastAsiaTheme="minorEastAsia" w:hAnsiTheme="minorEastAsia" w:hint="eastAsia"/>
          <w:color w:val="000000" w:themeColor="text1"/>
          <w:szCs w:val="21"/>
        </w:rPr>
        <w:t>指令，不得自行运用、处分、分配基金的任何财产。</w:t>
      </w:r>
      <w:r w:rsidRPr="00D3689E">
        <w:rPr>
          <w:rFonts w:asciiTheme="minorEastAsia" w:eastAsiaTheme="minorEastAsia" w:hAnsiTheme="minorEastAsia" w:cs="Arial" w:hint="eastAsia"/>
          <w:color w:val="000000" w:themeColor="text1"/>
          <w:szCs w:val="21"/>
        </w:rPr>
        <w:t>不属于基金托管人实际有效控制下的资产及实物证券等在基金托管人保管期间的损坏、灭失，基金托管人不承担由此产生的责任。</w:t>
      </w:r>
    </w:p>
    <w:p w:rsidR="00713568" w:rsidRPr="00D3689E" w:rsidP="00713568">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5、对于因为基金投资产生的应收资产，应由基金管理人负责与有关当事人确定到账日期并通知基金托管人，到账日基金财产没有到达基金资金账户的，基金托管人应及时通知基金管理人，基金管理人应自行负责向有关当事人追偿基金财产的损失。</w:t>
      </w:r>
    </w:p>
    <w:p w:rsidR="00713568" w:rsidRPr="00D3689E" w:rsidP="00713568">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6、基金</w:t>
      </w:r>
      <w:r w:rsidRPr="00D3689E">
        <w:rPr>
          <w:rFonts w:asciiTheme="minorEastAsia" w:eastAsiaTheme="minorEastAsia" w:hAnsiTheme="minorEastAsia" w:hint="eastAsia"/>
          <w:color w:val="000000" w:themeColor="text1"/>
          <w:szCs w:val="21"/>
        </w:rPr>
        <w:t>托管人对因为</w:t>
      </w:r>
      <w:r w:rsidRPr="00D3689E">
        <w:rPr>
          <w:rFonts w:asciiTheme="minorEastAsia" w:eastAsiaTheme="minorEastAsia" w:hAnsiTheme="minorEastAsia" w:cs="Arial" w:hint="eastAsia"/>
          <w:color w:val="000000" w:themeColor="text1"/>
          <w:szCs w:val="21"/>
        </w:rPr>
        <w:t>基金</w:t>
      </w:r>
      <w:r w:rsidRPr="00D3689E">
        <w:rPr>
          <w:rFonts w:asciiTheme="minorEastAsia" w:eastAsiaTheme="minorEastAsia" w:hAnsiTheme="minorEastAsia" w:hint="eastAsia"/>
          <w:color w:val="000000" w:themeColor="text1"/>
          <w:szCs w:val="21"/>
        </w:rPr>
        <w:t>管理人投资产生的存放或存管在</w:t>
      </w:r>
      <w:r w:rsidRPr="00D3689E">
        <w:rPr>
          <w:rFonts w:asciiTheme="minorEastAsia" w:eastAsiaTheme="minorEastAsia" w:hAnsiTheme="minorEastAsia" w:cs="Arial" w:hint="eastAsia"/>
          <w:color w:val="000000" w:themeColor="text1"/>
          <w:szCs w:val="21"/>
        </w:rPr>
        <w:t>基金</w:t>
      </w:r>
      <w:r w:rsidRPr="00D3689E">
        <w:rPr>
          <w:rFonts w:asciiTheme="minorEastAsia" w:eastAsiaTheme="minorEastAsia" w:hAnsiTheme="minorEastAsia" w:hint="eastAsia"/>
          <w:color w:val="000000" w:themeColor="text1"/>
          <w:szCs w:val="21"/>
        </w:rPr>
        <w:t>托管人以外机构的基金资产，或交由商业银行、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713568" w:rsidRPr="00D3689E" w:rsidP="00713568">
      <w:pPr>
        <w:spacing w:line="360" w:lineRule="auto"/>
        <w:ind w:firstLine="420" w:firstLineChars="200"/>
        <w:rPr>
          <w:rFonts w:asciiTheme="minorEastAsia" w:eastAsiaTheme="minorEastAsia" w:hAnsiTheme="minorEastAsia" w:cs="Arial"/>
          <w:color w:val="000000" w:themeColor="text1"/>
        </w:rPr>
      </w:pPr>
      <w:r w:rsidRPr="00D3689E">
        <w:rPr>
          <w:rFonts w:asciiTheme="minorEastAsia" w:eastAsiaTheme="minorEastAsia" w:hAnsiTheme="minorEastAsia" w:cs="Arial"/>
          <w:color w:val="000000" w:themeColor="text1"/>
        </w:rPr>
        <w:t>7</w:t>
      </w:r>
      <w:r w:rsidRPr="00D3689E">
        <w:rPr>
          <w:rFonts w:asciiTheme="minorEastAsia" w:eastAsiaTheme="minorEastAsia" w:hAnsiTheme="minorEastAsia" w:cs="Arial" w:hint="eastAsia"/>
          <w:color w:val="000000" w:themeColor="text1"/>
        </w:rPr>
        <w:t>、基金托管人自身，并尽商业上的合理努力确保境外托管人不得自行运用、处分、分配托管证券；</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s="Arial"/>
          <w:color w:val="000000" w:themeColor="text1"/>
        </w:rPr>
        <w:t>8</w:t>
      </w:r>
      <w:r w:rsidRPr="00D3689E">
        <w:rPr>
          <w:rFonts w:asciiTheme="minorEastAsia" w:eastAsiaTheme="minorEastAsia" w:hAnsiTheme="minorEastAsia" w:cs="Arial" w:hint="eastAsia"/>
          <w:color w:val="000000" w:themeColor="text1"/>
        </w:rPr>
        <w:t>、除非根据基金管理人书面同意，基金托管人不得在任何托管资产上设立任何担保权利，包括但不限于抵押、质押、留置等，基金托管人将尽商业上的合理努力确保境外托管人不得在任何托管资产上设立任何担保权利，包括但不限于抵押、质押、留置等，但根据有关适用法律的规定而产生的担保权利除外；</w:t>
      </w:r>
    </w:p>
    <w:p w:rsidR="00713568" w:rsidRPr="00D3689E" w:rsidP="00713568">
      <w:pPr>
        <w:tabs>
          <w:tab w:val="num" w:pos="0"/>
        </w:tabs>
        <w:snapToGrid w:val="0"/>
        <w:spacing w:line="360" w:lineRule="auto"/>
        <w:ind w:firstLine="420" w:firstLineChars="200"/>
        <w:rPr>
          <w:rFonts w:asciiTheme="minorEastAsia" w:eastAsiaTheme="minorEastAsia" w:hAnsiTheme="minorEastAsia" w:cs="Arial"/>
          <w:color w:val="000000" w:themeColor="text1"/>
        </w:rPr>
      </w:pPr>
      <w:r w:rsidRPr="00D3689E">
        <w:rPr>
          <w:rFonts w:asciiTheme="minorEastAsia" w:eastAsiaTheme="minorEastAsia" w:hAnsiTheme="minorEastAsia" w:cs="Arial" w:hint="eastAsia"/>
          <w:color w:val="000000" w:themeColor="text1"/>
        </w:rPr>
        <w:t>10、基金托管人自身，并尽商业上的合理努力确保境外托管人不得自行运用、处分、分配托管证券；</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color w:val="000000" w:themeColor="text1"/>
          <w:szCs w:val="21"/>
        </w:rPr>
        <w:t>11、除依据法律法规和基金合同的规定外，基金托管人不得委托第三人托管基金财产。</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（二）基金募集期间及募集资金的验资</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rPr>
        <w:t>、基金募集期间募集的资金应当存入“基金募集专户”；该账户由登记机构管理。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募集期满或基金停止募集时，募集的基金份额总额、基金募集金额、基金份额持有人人数符合基金合同及其他有关规定后，基金管理人应在规定时间内，聘请具有从事证券相关业务资格的会计师事务所进行验资，出具验资报告。出具的验资报告由参加验资的</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名或</w:t>
      </w: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名以上中国注册会计师签字方为有效。验资完成后，基金管理人应将属于基金</w:t>
      </w:r>
      <w:r w:rsidRPr="00D3689E">
        <w:rPr>
          <w:rFonts w:asciiTheme="minorEastAsia" w:eastAsiaTheme="minorEastAsia" w:hAnsiTheme="minorEastAsia" w:hint="eastAsia"/>
          <w:color w:val="000000" w:themeColor="text1"/>
          <w:szCs w:val="21"/>
        </w:rPr>
        <w:t>财产的全部资金划入基金托管账户中，并确保划入的资金与验资确认金额相一致。</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、若基金募集期限届满，未能达到基金备案的条件，由基金管理人按规定办理退款等事宜。</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（三）基金银行账户的开立和管理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、基金托管人应负责本基金的银行账户的开设和管理，基金管理人应提供必要的协助。</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托管人以本基金的名义开设本基金的托管账户。本基金的银行预留印鉴由基金托管人刻制、保管和使用。本基金的一切货币收支活动，包括但不限于投资、支付赎回金额、支付基金收益，均需通过本基金的托管账户进行。</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、本基金托管账户的开立和使用，限于满足开展本基金业务的需要。基金托管人、基金管理人不得假借本基金的名义开立其他任何银行账户；亦不得使用本基金的银行账户进行本基金业务以外的活动。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、基金银行账户的开立和管理应符合账户所在国或地区监管机构的有关规定。</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（四）基金证券账户的开立和管理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、基金托管人或境外托管人在基金所投资市场的交易所或登记机构处按照该交易所或登记机构的业务规则开立证券账户，基金管理人应提供必要的协助。</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证券账户的开立和使用，仅限于满足开展本基金业务的需要。基金托管人和基金管理人以及各自委托代理人均不得擅自出借转让基金的任何证券账户，亦不得使用基金的任何账户进行本基金业务以外的活动。</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、基金证券账户的开立和证</w:t>
      </w:r>
      <w:r w:rsidRPr="00D3689E">
        <w:rPr>
          <w:rFonts w:asciiTheme="minorEastAsia" w:eastAsiaTheme="minorEastAsia" w:hAnsiTheme="minorEastAsia" w:hint="eastAsia"/>
          <w:color w:val="000000" w:themeColor="text1"/>
        </w:rPr>
        <w:t>券账户相关证明文件</w:t>
      </w:r>
      <w:r w:rsidRPr="00D3689E">
        <w:rPr>
          <w:rFonts w:asciiTheme="minorEastAsia" w:eastAsiaTheme="minorEastAsia" w:hAnsiTheme="minorEastAsia" w:hint="eastAsia"/>
          <w:color w:val="000000" w:themeColor="text1"/>
          <w:szCs w:val="21"/>
        </w:rPr>
        <w:t>的保管由基金托管人负责，账户资产的管理和运用由基金管理人负责。</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4</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rPr>
        <w:t>基金</w:t>
      </w:r>
      <w:r w:rsidRPr="00D3689E">
        <w:rPr>
          <w:rFonts w:asciiTheme="minorEastAsia" w:eastAsiaTheme="minorEastAsia" w:hAnsiTheme="minorEastAsia" w:cs="Arial" w:hint="eastAsia"/>
          <w:color w:val="000000" w:themeColor="text1"/>
          <w:szCs w:val="21"/>
        </w:rPr>
        <w:t>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r w:rsidRPr="00D3689E">
        <w:rPr>
          <w:rFonts w:asciiTheme="minorEastAsia" w:eastAsiaTheme="minorEastAsia" w:hAnsiTheme="minorEastAsia" w:hint="eastAsia"/>
          <w:color w:val="000000" w:themeColor="text1"/>
          <w:szCs w:val="21"/>
        </w:rPr>
        <w:t>基金证券账户的开立和管理应符合账户所在国或地区有关法律的规定。</w:t>
      </w:r>
    </w:p>
    <w:p w:rsidR="00713568" w:rsidRPr="00D3689E" w:rsidP="00713568">
      <w:pPr>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（五）其他账户的开立和管理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、因业务发展需要而开立的其他账户，可以根据投资市场所在国家或地区法律法规和基金合同的规定，由基金托管人或境外托管人负责开立，基金管理人应提供必要的协助。新账户按有关规则使用并管理。</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、投资市场所在国家或地区法律法规等有关规定对相关账户的开立和管理另有规定的，从其规定办理。</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（六）基金财产投资的有关有价凭证等的保管</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基金财产投资的有关实物证券由基金托管人存放于基金托管人及其境外托管人的保管库。实物证券</w:t>
      </w:r>
      <w:r w:rsidRPr="00D3689E">
        <w:rPr>
          <w:rFonts w:asciiTheme="minorEastAsia" w:eastAsiaTheme="minorEastAsia" w:hAnsiTheme="minorEastAsia" w:cs="Arial" w:hint="eastAsia"/>
          <w:color w:val="000000" w:themeColor="text1"/>
          <w:szCs w:val="21"/>
        </w:rPr>
        <w:t>等有价凭证</w:t>
      </w:r>
      <w:r w:rsidRPr="00D3689E">
        <w:rPr>
          <w:rFonts w:asciiTheme="minorEastAsia" w:eastAsiaTheme="minorEastAsia" w:hAnsiTheme="minorEastAsia" w:hint="eastAsia"/>
          <w:color w:val="000000" w:themeColor="text1"/>
        </w:rPr>
        <w:t>的购买和转让，由基金托管人及其境外托管人根据基金管理人的指令办理。基金托管人对基金托管人及其境外托管人以外机构实际有效控制的实物证券不承担保管责任，如该等实物证券发生毁损、灭失等任何损失的，托管人不承担责任。</w:t>
      </w:r>
    </w:p>
    <w:p w:rsidR="00713568" w:rsidRPr="00D3689E" w:rsidP="00713568">
      <w:pPr>
        <w:adjustRightInd w:val="0"/>
        <w:snapToGrid w:val="0"/>
        <w:spacing w:line="360" w:lineRule="auto"/>
        <w:ind w:firstLine="422"/>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（七）证券登记</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、境外证券的注册登记方式应符合投资当地市场的有关法律、法规和市场惯例。</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、基金托管人应确保基金管理人所管理的基金或基金份额持有人始终是所有证券的实益所有人</w:t>
      </w:r>
      <w:r w:rsidRPr="00D3689E">
        <w:rPr>
          <w:rFonts w:asciiTheme="minorEastAsia" w:eastAsiaTheme="minorEastAsia" w:hAnsiTheme="minorEastAsia"/>
          <w:color w:val="000000" w:themeColor="text1"/>
          <w:szCs w:val="21"/>
        </w:rPr>
        <w:t>(beneficialowner)</w:t>
      </w:r>
      <w:r w:rsidRPr="00D3689E">
        <w:rPr>
          <w:rFonts w:asciiTheme="minorEastAsia" w:eastAsiaTheme="minorEastAsia" w:hAnsiTheme="minorEastAsia" w:hint="eastAsia"/>
          <w:color w:val="000000" w:themeColor="text1"/>
          <w:szCs w:val="21"/>
        </w:rPr>
        <w:t>的方式持有基金财产中的所有证券。</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、基金托管人应该：</w:t>
      </w:r>
      <w:r w:rsidRPr="00D3689E">
        <w:rPr>
          <w:rFonts w:asciiTheme="minorEastAsia" w:eastAsiaTheme="minorEastAsia" w:hAnsiTheme="minorEastAsia"/>
          <w:color w:val="000000" w:themeColor="text1"/>
          <w:szCs w:val="21"/>
        </w:rPr>
        <w:t>(a)</w:t>
      </w:r>
      <w:r w:rsidRPr="00D3689E">
        <w:rPr>
          <w:rFonts w:asciiTheme="minorEastAsia" w:eastAsiaTheme="minorEastAsia" w:hAnsiTheme="minorEastAsia" w:hint="eastAsia"/>
          <w:color w:val="000000" w:themeColor="text1"/>
          <w:szCs w:val="21"/>
        </w:rPr>
        <w:t>在其账目和记录中单独列记属于本基金的证券，并且</w:t>
      </w:r>
      <w:r w:rsidRPr="00D3689E">
        <w:rPr>
          <w:rFonts w:asciiTheme="minorEastAsia" w:eastAsiaTheme="minorEastAsia" w:hAnsiTheme="minorEastAsia"/>
          <w:color w:val="000000" w:themeColor="text1"/>
          <w:szCs w:val="21"/>
        </w:rPr>
        <w:t>(b)</w:t>
      </w:r>
      <w:r w:rsidRPr="00D3689E">
        <w:rPr>
          <w:rFonts w:asciiTheme="minorEastAsia" w:eastAsiaTheme="minorEastAsia" w:hAnsiTheme="minorEastAsia" w:hint="eastAsia"/>
          <w:color w:val="000000" w:themeColor="text1"/>
          <w:szCs w:val="21"/>
        </w:rPr>
        <w:t>要求和尽商业上的合理努力确保其境外托管人在其账目和记录中单独清楚列记证券不属于境外托管人，不论证券以何人的名义登记。而且，若证券由基金托管人、境外托管人以无记名方式实际持有，要求和确保其境外托管人将这些证券和基金托管人、其境外托管人自有的资产、任何其他人的资产分别独立存放。</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w:t>
      </w:r>
      <w:r w:rsidRPr="00D3689E">
        <w:rPr>
          <w:rFonts w:asciiTheme="minorEastAsia" w:eastAsiaTheme="minorEastAsia" w:hAnsiTheme="minorEastAsia" w:hint="eastAsia"/>
          <w:color w:val="000000" w:themeColor="text1"/>
        </w:rPr>
        <w:t>、除非基金托管人及其境外托管人存在过失、疏忽、欺诈或故意不当行为，基金托管人将不保证其或其境外托管人所接收基金财产中的证券的所有权、合法性或真实性（包括是否以良好形式转让）及其他效力瑕疵。基金管理人、基金托管人不对境外托管人依据当地法律法规、证券、期货交易所规则、市场惯例的作为或不作为承担责任。</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w:t>
      </w:r>
      <w:r w:rsidRPr="00D3689E">
        <w:rPr>
          <w:rFonts w:asciiTheme="minorEastAsia" w:eastAsiaTheme="minorEastAsia" w:hAnsiTheme="minorEastAsia" w:hint="eastAsia"/>
          <w:color w:val="000000" w:themeColor="text1"/>
        </w:rPr>
        <w:t>、存放在证券系统的证券应按照基金托管人及其境外托管人的指示为基金的实益所有人持有，但须遵守管辖该系统运营的规则、条例和条件。</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w:t>
      </w:r>
      <w:r w:rsidRPr="00D3689E">
        <w:rPr>
          <w:rFonts w:asciiTheme="minorEastAsia" w:eastAsiaTheme="minorEastAsia" w:hAnsiTheme="minorEastAsia" w:hint="eastAsia"/>
          <w:color w:val="000000" w:themeColor="text1"/>
        </w:rPr>
        <w:t>、由基金托管人及其境外托管人为基金的利益而持有的证券</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无记名证券和在证券系统持有的证券除外</w:t>
      </w:r>
      <w:r w:rsidRPr="00D3689E">
        <w:rPr>
          <w:rFonts w:asciiTheme="minorEastAsia" w:eastAsiaTheme="minorEastAsia" w:hAnsiTheme="minorEastAsia"/>
          <w:color w:val="000000" w:themeColor="text1"/>
        </w:rPr>
        <w:t>)</w:t>
      </w:r>
      <w:r w:rsidRPr="00D3689E">
        <w:rPr>
          <w:rFonts w:asciiTheme="minorEastAsia" w:eastAsiaTheme="minorEastAsia" w:hAnsiTheme="minorEastAsia" w:hint="eastAsia"/>
          <w:color w:val="000000" w:themeColor="text1"/>
        </w:rPr>
        <w:t>应按本协议约定登记。</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w:t>
      </w:r>
      <w:r w:rsidRPr="00D3689E">
        <w:rPr>
          <w:rFonts w:asciiTheme="minorEastAsia" w:eastAsiaTheme="minorEastAsia" w:hAnsiTheme="minorEastAsia" w:hint="eastAsia"/>
          <w:color w:val="000000" w:themeColor="text1"/>
        </w:rPr>
        <w:t>、基金托管人及其境外托管人应就其为基金利益而持有证券的市场有关证券登记方式的重大改变通知基金管理人，并应基金管理人要求将这些市场发生的事件或惯例变化通知基金管理人。若基金管理人要求改变本协议约定的证券登记方式，基金托管人及其境外托</w:t>
      </w:r>
      <w:r w:rsidRPr="00D3689E">
        <w:rPr>
          <w:rFonts w:asciiTheme="minorEastAsia" w:eastAsiaTheme="minorEastAsia" w:hAnsiTheme="minorEastAsia" w:hint="eastAsia"/>
          <w:color w:val="000000" w:themeColor="text1"/>
        </w:rPr>
        <w:t>管人应就此予以充分配合。</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（八）与基金财产有关的重大合同的保管</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按照法律法规保管由基金管理人代表基金签署的与基金有关的重大合同及有关凭证。基金管理人代表基金签署有关重大合同后应及时将一份正本的原件或加盖公司印章的复印件提交给基金托管人。除另有规定外，基金管理人或其委托的第三方机构在代表基金签署与基金财产有关的重大合同时一般应保证有两份以上的正本，以便基金管理人和基金托管人至少各持有一份正本原件。基金管理人应在重大合同签署后及时以将重大合同传真给基金托管人，并在三十个工作日内将正本送达基金托管人处，因基金管理人发送的合同传真件与事后送达的合同原件不一致所造成的后果，由基金管理人负责。重大合同由基金管理人与基金托管人按规定各自保管至少</w:t>
      </w:r>
      <w:r w:rsidRPr="00D3689E">
        <w:rPr>
          <w:rFonts w:asciiTheme="minorEastAsia" w:eastAsiaTheme="minorEastAsia" w:hAnsiTheme="minorEastAsia"/>
          <w:color w:val="000000" w:themeColor="text1"/>
          <w:szCs w:val="21"/>
        </w:rPr>
        <w:t>20</w:t>
      </w:r>
      <w:r w:rsidRPr="00D3689E">
        <w:rPr>
          <w:rFonts w:asciiTheme="minorEastAsia" w:eastAsiaTheme="minorEastAsia" w:hAnsiTheme="minorEastAsia" w:hint="eastAsia"/>
          <w:color w:val="000000" w:themeColor="text1"/>
          <w:szCs w:val="21"/>
        </w:rPr>
        <w:t>年。</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五、基金资产净值计算和会计核算</w:t>
      </w:r>
    </w:p>
    <w:p w:rsidR="00F40A39" w:rsidRPr="00D3689E" w:rsidP="00F40A39">
      <w:pPr>
        <w:pStyle w:val="NormalIndent"/>
        <w:spacing w:line="360" w:lineRule="auto"/>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基金资产的净值计算和会计核算按照相关的法律法规进行，基金管理人可以委托第三方机构完成。基金托管人可委托境外托管人完成。</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（一）基金资产净值的计算和复核</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、基金资产净值</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资产净值是指基金资产总值减去负债后的净资产值。基金份额净值是指基金资产净值除以基金份额总数后的价值。人民币基金份额净值和美元基金份额净值的计算分别精确到0.0001元和0.0001美元，小数点后第五位四舍五入，国家另有规定的从其规定。</w:t>
      </w:r>
      <w:r w:rsidRPr="00D3689E">
        <w:rPr>
          <w:rFonts w:asciiTheme="minorEastAsia" w:eastAsiaTheme="minorEastAsia" w:hAnsiTheme="minorEastAsia" w:cs="Arial" w:hint="eastAsia"/>
          <w:color w:val="000000" w:themeColor="text1"/>
          <w:szCs w:val="21"/>
        </w:rPr>
        <w:t>基金管理人每个工作日计算基金资产净值、基金份额净值、基金份额参考净值（如有），经基金托管人复核，按规定公告。</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rPr>
        <w:t>复核程序</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rPr>
        <w:t>基金管理人或其委托的第三方机构每个估值日对基金进行估值，估值原则应符合《基金合同》、《企业会计准则》及其他法律法规的规定。每个工作日，基金管理人将前一估值日的基金估值结果发送给基金托管人。基金托管人应在收到后对净值计算结果进行复核，并在当日将复核结果发送给基金管理人，由基金管理人对外公布。基金月末、季末、年中和年末估值复核与基金会计账目的核对同时进行。</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w:t>
      </w:r>
      <w:r w:rsidRPr="00D3689E">
        <w:rPr>
          <w:rFonts w:asciiTheme="minorEastAsia" w:eastAsiaTheme="minorEastAsia" w:hAnsiTheme="minorEastAsia" w:hint="eastAsia"/>
          <w:color w:val="000000" w:themeColor="text1"/>
          <w:szCs w:val="21"/>
        </w:rPr>
        <w:t>计算结果对外予以公布。</w:t>
      </w:r>
    </w:p>
    <w:p w:rsidR="00713568" w:rsidRPr="00D3689E" w:rsidP="00713568">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hint="eastAsia"/>
          <w:color w:val="000000" w:themeColor="text1"/>
        </w:rPr>
        <w:t>（二）</w:t>
      </w:r>
      <w:r w:rsidRPr="00D3689E">
        <w:rPr>
          <w:rFonts w:asciiTheme="minorEastAsia" w:eastAsiaTheme="minorEastAsia" w:hAnsiTheme="minorEastAsia" w:cs="Arial" w:hint="eastAsia"/>
          <w:color w:val="000000" w:themeColor="text1"/>
          <w:szCs w:val="21"/>
        </w:rPr>
        <w:t>基金资产的</w:t>
      </w:r>
      <w:r w:rsidRPr="00D3689E">
        <w:rPr>
          <w:rFonts w:asciiTheme="minorEastAsia" w:eastAsiaTheme="minorEastAsia" w:hAnsiTheme="minorEastAsia" w:hint="eastAsia"/>
          <w:color w:val="000000" w:themeColor="text1"/>
        </w:rPr>
        <w:t>估值</w:t>
      </w:r>
    </w:p>
    <w:p w:rsidR="00713568" w:rsidRPr="00D3689E" w:rsidP="00713568">
      <w:pPr>
        <w:adjustRightInd w:val="0"/>
        <w:snapToGrid w:val="0"/>
        <w:spacing w:line="360" w:lineRule="auto"/>
        <w:ind w:firstLine="420" w:firstLineChars="200"/>
        <w:rPr>
          <w:rStyle w:val="read"/>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基金管理人及基金托管人应当按照《基金合同》的约定进行估值。</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（三）基金份额净值错误的处理方式</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rPr>
        <w:t>基金管理人及基金托管人</w:t>
      </w:r>
      <w:r w:rsidRPr="00D3689E">
        <w:rPr>
          <w:rFonts w:asciiTheme="minorEastAsia" w:eastAsiaTheme="minorEastAsia" w:hAnsiTheme="minorEastAsia" w:hint="eastAsia"/>
          <w:color w:val="000000" w:themeColor="text1"/>
          <w:szCs w:val="21"/>
        </w:rPr>
        <w:t>应当按照《基金合同》的约定处理</w:t>
      </w:r>
      <w:r w:rsidRPr="00D3689E">
        <w:rPr>
          <w:rFonts w:asciiTheme="minorEastAsia" w:eastAsiaTheme="minorEastAsia" w:hAnsiTheme="minorEastAsia" w:hint="eastAsia"/>
          <w:color w:val="000000" w:themeColor="text1"/>
        </w:rPr>
        <w:t>份额净值错误。</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（四）基金会计核算</w:t>
      </w:r>
    </w:p>
    <w:p w:rsidR="00713568" w:rsidRPr="00D3689E" w:rsidP="00713568">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cs="Arial" w:hint="eastAsia"/>
          <w:color w:val="000000" w:themeColor="text1"/>
          <w:szCs w:val="21"/>
        </w:rPr>
        <w:t>按国家有关部门规定的会计制度执行。</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、基金账册的建立</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基金管理人或其委托的第三方机构和基金托管人或其委托的境外托管人在《基金合同》生效后，应按照双方约定的同一记账方法和会计处理原则，分别独立地设置、登记和保管基金的账册，对双方各自的账册定期进行核对，互相监督，以保证基金财产的安全。若双方对会计处理方法存在分歧，应以基金管理人的处理方法为准。由此产生的后果基金托管人予以免责。若当日核对不符，暂时无法查找到错账的原因而影响到基金资产净值的计算和公告的，以基金管理人的账册为准。</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、会计数据和财务指标的核对</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基金管理人或其委托的第三方机构和基金托管人或其委托的境外托管人应定期就会计数据和财务指标进行核对。如发现存在不符，双方应及时查明原因并纠正。</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3</w:t>
      </w:r>
      <w:r w:rsidRPr="00D3689E">
        <w:rPr>
          <w:rFonts w:asciiTheme="minorEastAsia" w:eastAsiaTheme="minorEastAsia" w:hAnsiTheme="minorEastAsia" w:hint="eastAsia"/>
          <w:color w:val="000000" w:themeColor="text1"/>
          <w:szCs w:val="21"/>
        </w:rPr>
        <w:t>、基金财务报表和定期报告的编制和复核</w:t>
      </w:r>
    </w:p>
    <w:p w:rsidR="00355822" w:rsidRPr="00D3689E" w:rsidP="00355822">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基金财务报表由基金管理人和基金托管人每月分别独立编制。月度报表的编制，应于每月终了后</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在每个季度结束之日起</w:t>
      </w:r>
      <w:r w:rsidRPr="00D3689E">
        <w:rPr>
          <w:rFonts w:asciiTheme="minorEastAsia" w:eastAsiaTheme="minorEastAsia" w:hAnsiTheme="minorEastAsia"/>
          <w:color w:val="000000" w:themeColor="text1"/>
          <w:szCs w:val="21"/>
        </w:rPr>
        <w:t>15个工作日内完成基金季度报告的编制；在上半年结束之日起</w:t>
      </w:r>
      <w:r w:rsidRPr="00D3689E">
        <w:rPr>
          <w:rFonts w:asciiTheme="minorEastAsia" w:eastAsiaTheme="minorEastAsia" w:hAnsiTheme="minorEastAsia" w:hint="eastAsia"/>
          <w:color w:val="000000" w:themeColor="text1"/>
          <w:szCs w:val="21"/>
        </w:rPr>
        <w:t>两个月</w:t>
      </w:r>
      <w:r w:rsidRPr="00D3689E">
        <w:rPr>
          <w:rFonts w:asciiTheme="minorEastAsia" w:eastAsiaTheme="minorEastAsia" w:hAnsiTheme="minorEastAsia"/>
          <w:color w:val="000000" w:themeColor="text1"/>
          <w:szCs w:val="21"/>
        </w:rPr>
        <w:t>内完成基金</w:t>
      </w:r>
      <w:r w:rsidRPr="00D3689E">
        <w:rPr>
          <w:rFonts w:asciiTheme="minorEastAsia" w:eastAsiaTheme="minorEastAsia" w:hAnsiTheme="minorEastAsia" w:hint="eastAsia"/>
          <w:color w:val="000000" w:themeColor="text1"/>
          <w:szCs w:val="21"/>
        </w:rPr>
        <w:t>中期</w:t>
      </w:r>
      <w:r w:rsidRPr="00D3689E">
        <w:rPr>
          <w:rFonts w:asciiTheme="minorEastAsia" w:eastAsiaTheme="minorEastAsia" w:hAnsiTheme="minorEastAsia"/>
          <w:color w:val="000000" w:themeColor="text1"/>
          <w:szCs w:val="21"/>
        </w:rPr>
        <w:t>报告的编制及复核；在每年结束之日起</w:t>
      </w:r>
      <w:r w:rsidRPr="00D3689E">
        <w:rPr>
          <w:rFonts w:asciiTheme="minorEastAsia" w:eastAsiaTheme="minorEastAsia" w:hAnsiTheme="minorEastAsia" w:hint="eastAsia"/>
          <w:color w:val="000000" w:themeColor="text1"/>
          <w:szCs w:val="21"/>
        </w:rPr>
        <w:t>三个月</w:t>
      </w:r>
      <w:r w:rsidRPr="00D3689E">
        <w:rPr>
          <w:rFonts w:asciiTheme="minorEastAsia" w:eastAsiaTheme="minorEastAsia" w:hAnsiTheme="minorEastAsia"/>
          <w:color w:val="000000" w:themeColor="text1"/>
          <w:szCs w:val="21"/>
        </w:rPr>
        <w:t>内完成基金年度报告的编制及复核。基金年度报告的财务会计报告应当经过</w:t>
      </w:r>
      <w:r w:rsidRPr="00D3689E">
        <w:rPr>
          <w:rFonts w:asciiTheme="minorEastAsia" w:eastAsiaTheme="minorEastAsia" w:hAnsiTheme="minorEastAsia" w:hint="eastAsia"/>
          <w:color w:val="000000" w:themeColor="text1"/>
          <w:szCs w:val="21"/>
        </w:rPr>
        <w:t>具有证券、期货相关业务资格的会计师事务所</w:t>
      </w:r>
      <w:r w:rsidRPr="00D3689E">
        <w:rPr>
          <w:rFonts w:asciiTheme="minorEastAsia" w:eastAsiaTheme="minorEastAsia" w:hAnsiTheme="minorEastAsia"/>
          <w:color w:val="000000" w:themeColor="text1"/>
          <w:szCs w:val="21"/>
        </w:rPr>
        <w:t>审计</w:t>
      </w:r>
      <w:r w:rsidRPr="00D3689E">
        <w:rPr>
          <w:rFonts w:asciiTheme="minorEastAsia" w:eastAsiaTheme="minorEastAsia" w:hAnsiTheme="minorEastAsia" w:hint="eastAsia"/>
          <w:color w:val="000000" w:themeColor="text1"/>
          <w:szCs w:val="21"/>
        </w:rPr>
        <w:t>。基金合同生效不足两个月的，基金管理人可以不编制当期季度报告，中期报告或者年度报告。</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基金管理人或其委托的第三方机构在月度报表完成当日，将报表盖章后提供给基金托管人复核；基金托管人在收到后应立即进行复核，并将复核结果书面通知基金管理人。基金管理人或其委托的第三方机构在季度报告完成当日，将有关报告提供给基金托管人复核，</w:t>
      </w:r>
      <w:r w:rsidRPr="00D3689E">
        <w:rPr>
          <w:rFonts w:asciiTheme="minorEastAsia" w:eastAsiaTheme="minorEastAsia" w:hAnsiTheme="minorEastAsia" w:hint="eastAsia"/>
          <w:color w:val="000000" w:themeColor="text1"/>
          <w:szCs w:val="21"/>
        </w:rPr>
        <w:t>基金托管人应在收到后</w:t>
      </w:r>
      <w:r w:rsidRPr="00D3689E">
        <w:rPr>
          <w:rFonts w:asciiTheme="minorEastAsia" w:eastAsiaTheme="minorEastAsia" w:hAnsiTheme="minorEastAsia"/>
          <w:color w:val="000000" w:themeColor="text1"/>
          <w:szCs w:val="21"/>
        </w:rPr>
        <w:t>5</w:t>
      </w:r>
      <w:r w:rsidRPr="00D3689E">
        <w:rPr>
          <w:rFonts w:asciiTheme="minorEastAsia" w:eastAsiaTheme="minorEastAsia" w:hAnsiTheme="minorEastAsia" w:hint="eastAsia"/>
          <w:color w:val="000000" w:themeColor="text1"/>
          <w:szCs w:val="21"/>
        </w:rPr>
        <w:t>个工作日内完成复核，并将复核结果书面通知基金管理人。基金管理人或其委托的第三方机构在</w:t>
      </w:r>
      <w:r w:rsidRPr="00D3689E" w:rsidR="00355822">
        <w:rPr>
          <w:rFonts w:asciiTheme="minorEastAsia" w:eastAsiaTheme="minorEastAsia" w:hAnsiTheme="minorEastAsia" w:hint="eastAsia"/>
          <w:color w:val="000000" w:themeColor="text1"/>
          <w:szCs w:val="21"/>
        </w:rPr>
        <w:t>中期</w:t>
      </w:r>
      <w:r w:rsidRPr="00D3689E">
        <w:rPr>
          <w:rFonts w:asciiTheme="minorEastAsia" w:eastAsiaTheme="minorEastAsia" w:hAnsiTheme="minorEastAsia" w:hint="eastAsia"/>
          <w:color w:val="000000" w:themeColor="text1"/>
          <w:szCs w:val="21"/>
        </w:rPr>
        <w:t>报告完成当日，将有关报告提供给基金托管人复核，基金托管人应在收到后</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个工作日内完成复核，并将复核结果书面通知基金管理人。基金管理人或其委托的第三方机构在年度报告完成当日，将有关报告提供基金托管人复核，基金托管人应在收到后</w:t>
      </w:r>
      <w:r w:rsidRPr="00D3689E">
        <w:rPr>
          <w:rFonts w:asciiTheme="minorEastAsia" w:eastAsiaTheme="minorEastAsia" w:hAnsiTheme="minorEastAsia"/>
          <w:color w:val="000000" w:themeColor="text1"/>
          <w:szCs w:val="21"/>
        </w:rPr>
        <w:t>10</w:t>
      </w:r>
      <w:r w:rsidRPr="00D3689E">
        <w:rPr>
          <w:rFonts w:asciiTheme="minorEastAsia" w:eastAsiaTheme="minorEastAsia" w:hAnsiTheme="minorEastAsia" w:hint="eastAsia"/>
          <w:color w:val="000000" w:themeColor="text1"/>
          <w:szCs w:val="21"/>
        </w:rPr>
        <w:t>个工作日内完成复核，并将复核结果书面通知基金管理人。基金管理人和基金托管人之间的上述文件往来均以传真的方式或双方商定的其他方式进行。</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托管人在复核过程中，发现双方的报表存在不符时，基金管理人或其委托的第三方机构和基金托管人应共同查明原因，进行调整，调整以双方认可的账务处理方式为准；若双方无法达成一致以基金管理人或其委托的第三方机构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由此产生的后果基金托管人予以免责。基金托管人有权就相关情况报证监会备案。</w:t>
      </w:r>
    </w:p>
    <w:p w:rsidR="00F40A39" w:rsidRPr="00D3689E" w:rsidP="00F40A39">
      <w:pPr>
        <w:spacing w:line="360" w:lineRule="auto"/>
        <w:ind w:firstLine="420" w:firstLineChars="20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六</w:t>
      </w:r>
      <w:r w:rsidRPr="00D3689E">
        <w:rPr>
          <w:rFonts w:asciiTheme="minorEastAsia" w:eastAsiaTheme="minorEastAsia" w:hAnsiTheme="minorEastAsia"/>
          <w:color w:val="000000" w:themeColor="text1"/>
          <w:szCs w:val="21"/>
        </w:rPr>
        <w:t>、基金份额持有人名册的登记与保管</w:t>
      </w:r>
    </w:p>
    <w:p w:rsidR="00713568" w:rsidRPr="00D3689E" w:rsidP="00713568">
      <w:pPr>
        <w:adjustRightInd w:val="0"/>
        <w:snapToGrid w:val="0"/>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s="Arial" w:hint="eastAsia"/>
          <w:color w:val="000000" w:themeColor="text1"/>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48218F" w:rsidRPr="00D3689E" w:rsidP="00F40A39">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在基金托管人要求或编制</w:t>
      </w:r>
      <w:r w:rsidRPr="00D3689E" w:rsidR="004D1E64">
        <w:rPr>
          <w:rFonts w:asciiTheme="minorEastAsia" w:eastAsiaTheme="minorEastAsia" w:hAnsiTheme="minorEastAsia" w:cs="Arial" w:hint="eastAsia"/>
          <w:color w:val="000000" w:themeColor="text1"/>
          <w:szCs w:val="21"/>
        </w:rPr>
        <w:t>中期报告</w:t>
      </w:r>
      <w:r w:rsidRPr="00D3689E">
        <w:rPr>
          <w:rFonts w:asciiTheme="minorEastAsia" w:eastAsiaTheme="minorEastAsia" w:hAnsiTheme="minorEastAsia" w:cs="Arial" w:hint="eastAsia"/>
          <w:color w:val="000000" w:themeColor="text1"/>
          <w:szCs w:val="21"/>
        </w:rPr>
        <w:t>和</w:t>
      </w:r>
      <w:r w:rsidRPr="00D3689E" w:rsidR="004D1E64">
        <w:rPr>
          <w:rFonts w:asciiTheme="minorEastAsia" w:eastAsiaTheme="minorEastAsia" w:hAnsiTheme="minorEastAsia" w:cs="Arial" w:hint="eastAsia"/>
          <w:color w:val="000000" w:themeColor="text1"/>
          <w:szCs w:val="21"/>
        </w:rPr>
        <w:t>年度报告</w:t>
      </w:r>
      <w:r w:rsidRPr="00D3689E">
        <w:rPr>
          <w:rFonts w:asciiTheme="minorEastAsia" w:eastAsiaTheme="minorEastAsia" w:hAnsiTheme="minorEastAsia" w:cs="Arial" w:hint="eastAsia"/>
          <w:color w:val="000000" w:themeColor="text1"/>
          <w:szCs w:val="21"/>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F40A39" w:rsidRPr="00D3689E" w:rsidP="00F40A39">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七</w:t>
      </w:r>
      <w:r w:rsidRPr="00D3689E">
        <w:rPr>
          <w:rFonts w:asciiTheme="minorEastAsia" w:eastAsiaTheme="minorEastAsia" w:hAnsiTheme="minorEastAsia" w:cs="Arial"/>
          <w:color w:val="000000" w:themeColor="text1"/>
          <w:szCs w:val="21"/>
        </w:rPr>
        <w:t>、争议解决方式</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因本协议产生或与之相关的争议，双方当事人应通过协商解决，但若自一方书面提出协商解决争议之日起</w:t>
      </w:r>
      <w:r w:rsidRPr="00D3689E">
        <w:rPr>
          <w:rFonts w:asciiTheme="minorEastAsia" w:eastAsiaTheme="minorEastAsia" w:hAnsiTheme="minorEastAsia"/>
          <w:color w:val="000000" w:themeColor="text1"/>
          <w:szCs w:val="21"/>
        </w:rPr>
        <w:t>60</w:t>
      </w:r>
      <w:r w:rsidRPr="00D3689E">
        <w:rPr>
          <w:rFonts w:asciiTheme="minorEastAsia" w:eastAsiaTheme="minorEastAsia" w:hAnsiTheme="minorEastAsia" w:hint="eastAsia"/>
          <w:color w:val="000000" w:themeColor="text1"/>
          <w:szCs w:val="21"/>
        </w:rPr>
        <w:t>日内争议未能以协商方式解决的，任何一方均有权将争议提交华南国际经济贸易仲裁委员会，按照华南国际经济贸易仲裁委员会届时有效的仲裁规则进行仲裁。仲裁地点为深圳市。仲裁裁决是终局的，对各方当事人均有约束力，仲裁费用由败诉方承担，除非仲裁裁决另有决定。</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争议处理期间，双方当事人应各自继续履行基金合同和本托管协议规定的义务，维护基金份额持有人的合法权益。</w:t>
      </w:r>
    </w:p>
    <w:p w:rsidR="00713568" w:rsidRPr="00D3689E" w:rsidP="00713568">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szCs w:val="21"/>
        </w:rPr>
        <w:t>本协议适用中华人民共和国法律并从其解释。</w:t>
      </w:r>
    </w:p>
    <w:p w:rsidR="00F40A39" w:rsidRPr="00D3689E" w:rsidP="00F40A39">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八</w:t>
      </w:r>
      <w:r w:rsidRPr="00D3689E">
        <w:rPr>
          <w:rFonts w:asciiTheme="minorEastAsia" w:eastAsiaTheme="minorEastAsia" w:hAnsiTheme="minorEastAsia" w:cs="Arial"/>
          <w:color w:val="000000" w:themeColor="text1"/>
          <w:szCs w:val="21"/>
        </w:rPr>
        <w:t>、托管协议的修改</w:t>
      </w:r>
      <w:r w:rsidRPr="00D3689E">
        <w:rPr>
          <w:rFonts w:asciiTheme="minorEastAsia" w:eastAsiaTheme="minorEastAsia" w:hAnsiTheme="minorEastAsia" w:cs="Arial" w:hint="eastAsia"/>
          <w:color w:val="000000" w:themeColor="text1"/>
          <w:szCs w:val="21"/>
        </w:rPr>
        <w:t>、</w:t>
      </w:r>
      <w:r w:rsidRPr="00D3689E">
        <w:rPr>
          <w:rFonts w:asciiTheme="minorEastAsia" w:eastAsiaTheme="minorEastAsia" w:hAnsiTheme="minorEastAsia" w:cs="Arial"/>
          <w:color w:val="000000" w:themeColor="text1"/>
          <w:szCs w:val="21"/>
        </w:rPr>
        <w:t>终止</w:t>
      </w:r>
      <w:r w:rsidRPr="00D3689E">
        <w:rPr>
          <w:rFonts w:asciiTheme="minorEastAsia" w:eastAsiaTheme="minorEastAsia" w:hAnsiTheme="minorEastAsia" w:cs="Arial" w:hint="eastAsia"/>
          <w:color w:val="000000" w:themeColor="text1"/>
          <w:szCs w:val="21"/>
        </w:rPr>
        <w:t>与</w:t>
      </w:r>
      <w:r w:rsidRPr="00D3689E">
        <w:rPr>
          <w:rFonts w:asciiTheme="minorEastAsia" w:eastAsiaTheme="minorEastAsia" w:hAnsiTheme="minorEastAsia" w:cs="Arial"/>
          <w:color w:val="000000" w:themeColor="text1"/>
          <w:szCs w:val="21"/>
        </w:rPr>
        <w:t>基金财产的清算</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（一）托管协议的修改程序</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本协议经双方当事人经协商一致，可以书面形式对协议进行修改。修改后的新协议，其内容不得与基金合同的规定有任何冲突。</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（二）基金托管协议终止出现的情形</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发生以下情况，本托管协议终止：</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1、《基金合同》终止；</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2、本基金更换基金托管人；</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3、本基金更换基金管理人；</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4、基金托管人因解散、破产、撤销等事由，不能继续担任基金托管人的职务，而在6个月内无其他适当的托管机构承接其原有权利义务；</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5、基金管理人因解散、破产、撤销等事由，不能继续担任基金管理人的职务，而在6个月内无其他适当的基金管理公司承接其原有权利义务；</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6、发生《基金法》、《运作办法》或其他法律法规规定的终止事项。</w:t>
      </w:r>
    </w:p>
    <w:p w:rsidR="00713568" w:rsidRPr="00D3689E" w:rsidP="00713568">
      <w:pPr>
        <w:tabs>
          <w:tab w:val="num" w:pos="1260"/>
        </w:tabs>
        <w:spacing w:line="360" w:lineRule="auto"/>
        <w:ind w:firstLine="420" w:firstLineChars="200"/>
        <w:rPr>
          <w:rFonts w:asciiTheme="minorEastAsia" w:eastAsiaTheme="minorEastAsia" w:hAnsiTheme="minorEastAsia" w:cs="Arial"/>
          <w:color w:val="000000" w:themeColor="text1"/>
          <w:szCs w:val="21"/>
        </w:rPr>
      </w:pPr>
      <w:r w:rsidRPr="00D3689E">
        <w:rPr>
          <w:rFonts w:asciiTheme="minorEastAsia" w:eastAsiaTheme="minorEastAsia" w:hAnsiTheme="minorEastAsia" w:cs="Arial" w:hint="eastAsia"/>
          <w:color w:val="000000" w:themeColor="text1"/>
          <w:szCs w:val="21"/>
        </w:rPr>
        <w:t>（三）基金财产的清算</w:t>
      </w:r>
    </w:p>
    <w:p w:rsidR="0052794A" w:rsidRPr="00D3689E" w:rsidP="00D8629F">
      <w:pPr>
        <w:spacing w:line="360" w:lineRule="auto"/>
        <w:ind w:firstLine="420" w:firstLineChars="200"/>
        <w:rPr>
          <w:rFonts w:asciiTheme="minorEastAsia" w:eastAsiaTheme="minorEastAsia" w:hAnsiTheme="minorEastAsia"/>
          <w:color w:val="000000" w:themeColor="text1"/>
          <w:szCs w:val="18"/>
        </w:rPr>
      </w:pPr>
      <w:r w:rsidRPr="00D3689E">
        <w:rPr>
          <w:rFonts w:asciiTheme="minorEastAsia" w:eastAsiaTheme="minorEastAsia" w:hAnsiTheme="minorEastAsia" w:cs="Arial" w:hint="eastAsia"/>
          <w:color w:val="000000" w:themeColor="text1"/>
          <w:szCs w:val="21"/>
        </w:rPr>
        <w:t>基金管理人和基金托管人应按照《基金合同》及有关法律法规的规定对本基金的财产进行清算。</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923" w:name="_Toc308697716"/>
      <w:bookmarkStart w:id="924" w:name="_Toc309286238"/>
      <w:bookmarkStart w:id="925" w:name="_Toc308697717"/>
      <w:bookmarkStart w:id="926" w:name="_Toc309286239"/>
      <w:bookmarkStart w:id="927" w:name="_Toc308697718"/>
      <w:bookmarkStart w:id="928" w:name="_Toc309286240"/>
      <w:bookmarkStart w:id="929" w:name="_Toc308697719"/>
      <w:bookmarkStart w:id="930" w:name="_Toc309286241"/>
      <w:bookmarkStart w:id="931" w:name="_Toc308697720"/>
      <w:bookmarkStart w:id="932" w:name="_Toc309286242"/>
      <w:bookmarkStart w:id="933" w:name="_Toc308697721"/>
      <w:bookmarkStart w:id="934" w:name="_Toc309286243"/>
      <w:bookmarkStart w:id="935" w:name="_Toc308697722"/>
      <w:bookmarkStart w:id="936" w:name="_Toc309286244"/>
      <w:bookmarkStart w:id="937" w:name="_Toc308697723"/>
      <w:bookmarkStart w:id="938" w:name="_Toc309286245"/>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D3689E">
        <w:rPr>
          <w:rFonts w:asciiTheme="minorEastAsia" w:eastAsiaTheme="minorEastAsia" w:hAnsiTheme="minorEastAsia"/>
          <w:b w:val="0"/>
          <w:bCs/>
          <w:color w:val="000000" w:themeColor="text1"/>
        </w:rPr>
        <w:br w:type="page"/>
      </w:r>
      <w:bookmarkStart w:id="939" w:name="_Toc169103853"/>
      <w:r w:rsidRPr="00D3689E">
        <w:rPr>
          <w:rFonts w:asciiTheme="minorEastAsia" w:eastAsiaTheme="minorEastAsia" w:hAnsiTheme="minorEastAsia" w:hint="eastAsia"/>
          <w:color w:val="000000" w:themeColor="text1"/>
        </w:rPr>
        <w:t>对基金份额持有人的服务</w:t>
      </w:r>
      <w:bookmarkStart w:id="940" w:name="_Toc38186634"/>
      <w:bookmarkEnd w:id="939"/>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rPr>
        <w:t>基金管理</w:t>
      </w:r>
      <w:r w:rsidRPr="00D3689E">
        <w:rPr>
          <w:rFonts w:asciiTheme="minorEastAsia" w:eastAsiaTheme="minorEastAsia" w:hAnsiTheme="minorEastAsia" w:hint="eastAsia"/>
          <w:color w:val="000000" w:themeColor="text1"/>
          <w:szCs w:val="21"/>
        </w:rPr>
        <w:t>人承诺为基金份额持有人提供一系列的服务。以下是主要的服务内容，基金管理人根据基金份额持有人的需要和市场的变化，有权增加、修改这些服务项目：</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（一）基金份额持有人投资交易确认服务</w:t>
      </w:r>
    </w:p>
    <w:p w:rsidR="008D770F"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基金注册登记机构保留基金份额持有人名册上列明的所有基金份额持有人的基金交易记录。</w:t>
      </w:r>
      <w:r w:rsidRPr="00D3689E" w:rsidR="009F5244">
        <w:rPr>
          <w:rFonts w:asciiTheme="minorEastAsia" w:eastAsiaTheme="minorEastAsia" w:hAnsiTheme="minorEastAsia" w:hint="eastAsia"/>
          <w:color w:val="000000" w:themeColor="text1"/>
          <w:szCs w:val="21"/>
        </w:rPr>
        <w:t>本</w:t>
      </w:r>
      <w:r w:rsidRPr="00D3689E" w:rsidR="00145523">
        <w:rPr>
          <w:rFonts w:asciiTheme="minorEastAsia" w:eastAsiaTheme="minorEastAsia" w:hAnsiTheme="minorEastAsia" w:hint="eastAsia"/>
          <w:color w:val="000000" w:themeColor="text1"/>
          <w:szCs w:val="21"/>
        </w:rPr>
        <w:t>公司根据在直销网点进行交易的投资人的要求提供成交确认单。非直销销售机构基金份额持有人投资交易确认服务请参照各销售机构实际业务流程及规定。</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（二）基金份额持有人交易记录查询服务</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本基金份额持有人可通过基金管理人的客户服务中心查询历史交易记录。</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（三）基金份额持有人对账单服务形式</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、基金份额持有人可登录本公司网站</w:t>
      </w:r>
      <w:r w:rsidRPr="00D3689E" w:rsidR="00AC785D">
        <w:rPr>
          <w:rFonts w:asciiTheme="minorEastAsia" w:eastAsiaTheme="minorEastAsia" w:hAnsiTheme="minorEastAsia" w:hint="eastAsia"/>
          <w:color w:val="000000" w:themeColor="text1"/>
          <w:szCs w:val="21"/>
        </w:rPr>
        <w:t>（</w:t>
      </w:r>
      <w:hyperlink r:id="rId18" w:history="1">
        <w:r w:rsidRPr="00D3689E">
          <w:rPr>
            <w:rFonts w:asciiTheme="minorEastAsia" w:eastAsiaTheme="minorEastAsia" w:hAnsiTheme="minorEastAsia"/>
            <w:color w:val="000000" w:themeColor="text1"/>
            <w:szCs w:val="21"/>
          </w:rPr>
          <w:t>http://www.efunds.com.cn</w:t>
        </w:r>
      </w:hyperlink>
      <w:r w:rsidRPr="00D3689E" w:rsidR="00AC785D">
        <w:rPr>
          <w:rFonts w:asciiTheme="minorEastAsia" w:eastAsiaTheme="minorEastAsia" w:hAnsiTheme="minorEastAsia" w:hint="eastAsia"/>
          <w:color w:val="000000" w:themeColor="text1"/>
          <w:szCs w:val="21"/>
        </w:rPr>
        <w:t>）</w:t>
      </w:r>
      <w:r w:rsidRPr="00D3689E">
        <w:rPr>
          <w:rFonts w:asciiTheme="minorEastAsia" w:eastAsiaTheme="minorEastAsia" w:hAnsiTheme="minorEastAsia" w:hint="eastAsia"/>
          <w:color w:val="000000" w:themeColor="text1"/>
          <w:szCs w:val="21"/>
        </w:rPr>
        <w:t>查阅对账单。</w:t>
      </w:r>
    </w:p>
    <w:p w:rsidR="000528B9" w:rsidRPr="00D3689E" w:rsidP="00417C26">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2</w:t>
      </w:r>
      <w:r w:rsidRPr="00D3689E">
        <w:rPr>
          <w:rFonts w:asciiTheme="minorEastAsia" w:eastAsiaTheme="minorEastAsia" w:hAnsiTheme="minorEastAsia" w:hint="eastAsia"/>
          <w:color w:val="000000" w:themeColor="text1"/>
          <w:szCs w:val="21"/>
        </w:rPr>
        <w:t>、</w:t>
      </w:r>
      <w:r w:rsidRPr="00D3689E" w:rsidR="0004416F">
        <w:rPr>
          <w:rFonts w:asciiTheme="minorEastAsia" w:eastAsiaTheme="minorEastAsia" w:hAnsiTheme="minorEastAsia" w:hint="eastAsia"/>
          <w:color w:val="000000" w:themeColor="text1"/>
          <w:szCs w:val="21"/>
        </w:rPr>
        <w:t>本公司至少每年度以电子邮件、短信或其他形式向通过易方达直销系统持有本公司基金份额的持有人提供基金保有情况信息，基金份额持有人也可以向本公司定制电子邮件形式的月度对账单。</w:t>
      </w:r>
      <w:r w:rsidRPr="00D3689E">
        <w:rPr>
          <w:rFonts w:asciiTheme="minorEastAsia" w:eastAsiaTheme="minorEastAsia" w:hAnsiTheme="minorEastAsia" w:hint="eastAsia"/>
          <w:color w:val="000000" w:themeColor="text1"/>
          <w:szCs w:val="21"/>
        </w:rPr>
        <w:t>具体查阅和定制账单的方法可参见本公司网站或拨打客服热线咨询。</w:t>
      </w:r>
    </w:p>
    <w:p w:rsidR="000528B9" w:rsidRPr="00D3689E" w:rsidP="00E46C99">
      <w:pPr>
        <w:spacing w:line="360" w:lineRule="auto"/>
        <w:ind w:firstLine="42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（四）资讯服务</w:t>
      </w:r>
    </w:p>
    <w:p w:rsidR="000528B9" w:rsidRPr="00D3689E" w:rsidP="00417C26">
      <w:pPr>
        <w:spacing w:line="360" w:lineRule="auto"/>
        <w:ind w:firstLine="42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szCs w:val="21"/>
        </w:rPr>
        <w:t>1</w:t>
      </w:r>
      <w:r w:rsidRPr="00D3689E">
        <w:rPr>
          <w:rFonts w:asciiTheme="minorEastAsia" w:eastAsiaTheme="minorEastAsia" w:hAnsiTheme="minorEastAsia" w:hint="eastAsia"/>
          <w:color w:val="000000" w:themeColor="text1"/>
          <w:szCs w:val="21"/>
        </w:rPr>
        <w:t>、客户服务中心电</w:t>
      </w:r>
      <w:r w:rsidRPr="00D3689E">
        <w:rPr>
          <w:rFonts w:asciiTheme="minorEastAsia" w:eastAsiaTheme="minorEastAsia" w:hAnsiTheme="minorEastAsia" w:hint="eastAsia"/>
          <w:color w:val="000000" w:themeColor="text1"/>
        </w:rPr>
        <w:t>话</w:t>
      </w:r>
    </w:p>
    <w:p w:rsidR="000528B9" w:rsidRPr="00D3689E" w:rsidP="000528B9">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kern w:val="0"/>
          <w:szCs w:val="21"/>
        </w:rPr>
        <w:t>投资者如果想了解申购与赎回的交易情况、基金账户余额、基金产品与服务等信息，</w:t>
      </w:r>
      <w:r w:rsidRPr="00D3689E">
        <w:rPr>
          <w:rFonts w:asciiTheme="minorEastAsia" w:eastAsiaTheme="minorEastAsia" w:hAnsiTheme="minorEastAsia" w:hint="eastAsia"/>
          <w:color w:val="000000" w:themeColor="text1"/>
          <w:kern w:val="0"/>
        </w:rPr>
        <w:t>或反馈投资过程中需要投诉与建议的情况，</w:t>
      </w:r>
      <w:r w:rsidRPr="00D3689E">
        <w:rPr>
          <w:rFonts w:asciiTheme="minorEastAsia" w:eastAsiaTheme="minorEastAsia" w:hAnsiTheme="minorEastAsia" w:hint="eastAsia"/>
          <w:color w:val="000000" w:themeColor="text1"/>
          <w:kern w:val="0"/>
          <w:szCs w:val="21"/>
        </w:rPr>
        <w:t>可拨打如下电话：</w:t>
      </w:r>
      <w:r w:rsidRPr="00D3689E">
        <w:rPr>
          <w:rFonts w:asciiTheme="minorEastAsia" w:eastAsiaTheme="minorEastAsia" w:hAnsiTheme="minorEastAsia"/>
          <w:color w:val="000000" w:themeColor="text1"/>
          <w:kern w:val="0"/>
          <w:szCs w:val="21"/>
        </w:rPr>
        <w:t>4008818088。</w:t>
      </w:r>
      <w:r w:rsidRPr="00D3689E">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r w:rsidRPr="00D3689E">
        <w:rPr>
          <w:rFonts w:asciiTheme="minorEastAsia" w:eastAsiaTheme="minorEastAsia" w:hAnsiTheme="minorEastAsia" w:hint="eastAsia"/>
          <w:color w:val="000000" w:themeColor="text1"/>
        </w:rPr>
        <w:t>。</w:t>
      </w:r>
    </w:p>
    <w:p w:rsidR="000528B9" w:rsidRPr="00D3689E" w:rsidP="000528B9">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、互联网站及电子信箱</w:t>
      </w:r>
    </w:p>
    <w:p w:rsidR="000528B9" w:rsidRPr="00D3689E" w:rsidP="000528B9">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网址：</w:t>
      </w:r>
      <w:hyperlink r:id="rId18" w:history="1">
        <w:r w:rsidRPr="00D3689E">
          <w:rPr>
            <w:rFonts w:asciiTheme="minorEastAsia" w:eastAsiaTheme="minorEastAsia" w:hAnsiTheme="minorEastAsia"/>
            <w:color w:val="000000" w:themeColor="text1"/>
          </w:rPr>
          <w:t>http://www.efunds.com.cn</w:t>
        </w:r>
      </w:hyperlink>
    </w:p>
    <w:p w:rsidR="000528B9" w:rsidRPr="00D3689E" w:rsidP="000528B9">
      <w:pPr>
        <w:spacing w:line="360" w:lineRule="auto"/>
        <w:ind w:firstLine="420" w:firstLineChars="20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电子信箱：</w:t>
      </w:r>
      <w:hyperlink r:id="rId19" w:history="1">
        <w:r w:rsidRPr="00D3689E">
          <w:rPr>
            <w:rFonts w:asciiTheme="minorEastAsia" w:eastAsiaTheme="minorEastAsia" w:hAnsiTheme="minorEastAsia"/>
            <w:color w:val="000000" w:themeColor="text1"/>
          </w:rPr>
          <w:t>service@efunds.com.cn</w:t>
        </w:r>
      </w:hyperlink>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941" w:name="_Toc38438275"/>
      <w:bookmarkStart w:id="942" w:name="_Toc38438612"/>
      <w:bookmarkStart w:id="943" w:name="_Toc38438949"/>
      <w:bookmarkStart w:id="944" w:name="_Toc38439286"/>
      <w:bookmarkStart w:id="945" w:name="_Toc38439623"/>
      <w:bookmarkStart w:id="946" w:name="_Toc38439960"/>
      <w:bookmarkStart w:id="947" w:name="_Toc38440297"/>
      <w:bookmarkStart w:id="948" w:name="_Toc38440630"/>
      <w:bookmarkStart w:id="949" w:name="_Toc38440829"/>
      <w:bookmarkStart w:id="950" w:name="_Toc38441161"/>
      <w:bookmarkStart w:id="951" w:name="_Toc38441493"/>
      <w:bookmarkStart w:id="952" w:name="_Toc38441821"/>
      <w:bookmarkStart w:id="953" w:name="_Toc38442153"/>
      <w:bookmarkStart w:id="954" w:name="_Toc38442485"/>
      <w:bookmarkStart w:id="955" w:name="_Toc38442816"/>
      <w:bookmarkStart w:id="956" w:name="_Toc38443147"/>
      <w:bookmarkStart w:id="957" w:name="_Toc38443478"/>
      <w:bookmarkStart w:id="958" w:name="_Toc38443809"/>
      <w:bookmarkStart w:id="959" w:name="_Toc38438277"/>
      <w:bookmarkStart w:id="960" w:name="_Toc38438614"/>
      <w:bookmarkStart w:id="961" w:name="_Toc38438951"/>
      <w:bookmarkStart w:id="962" w:name="_Toc38439288"/>
      <w:bookmarkStart w:id="963" w:name="_Toc38439625"/>
      <w:bookmarkStart w:id="964" w:name="_Toc38439962"/>
      <w:bookmarkStart w:id="965" w:name="_Toc38440299"/>
      <w:bookmarkStart w:id="966" w:name="_Toc38440632"/>
      <w:bookmarkStart w:id="967" w:name="_Toc38440831"/>
      <w:bookmarkStart w:id="968" w:name="_Toc38441163"/>
      <w:bookmarkStart w:id="969" w:name="_Toc38441495"/>
      <w:bookmarkStart w:id="970" w:name="_Toc38441823"/>
      <w:bookmarkStart w:id="971" w:name="_Toc38442155"/>
      <w:bookmarkStart w:id="972" w:name="_Toc38442487"/>
      <w:bookmarkStart w:id="973" w:name="_Toc38442818"/>
      <w:bookmarkStart w:id="974" w:name="_Toc38443149"/>
      <w:bookmarkStart w:id="975" w:name="_Toc38443480"/>
      <w:bookmarkStart w:id="976" w:name="_Toc38443811"/>
      <w:bookmarkStart w:id="977" w:name="_Toc38438278"/>
      <w:bookmarkStart w:id="978" w:name="_Toc38438615"/>
      <w:bookmarkStart w:id="979" w:name="_Toc38438952"/>
      <w:bookmarkStart w:id="980" w:name="_Toc38439289"/>
      <w:bookmarkStart w:id="981" w:name="_Toc38439626"/>
      <w:bookmarkStart w:id="982" w:name="_Toc38439963"/>
      <w:bookmarkStart w:id="983" w:name="_Toc38440300"/>
      <w:bookmarkStart w:id="984" w:name="_Toc38440633"/>
      <w:bookmarkStart w:id="985" w:name="_Toc38440832"/>
      <w:bookmarkStart w:id="986" w:name="_Toc38441164"/>
      <w:bookmarkStart w:id="987" w:name="_Toc38441496"/>
      <w:bookmarkStart w:id="988" w:name="_Toc38441824"/>
      <w:bookmarkStart w:id="989" w:name="_Toc38442156"/>
      <w:bookmarkStart w:id="990" w:name="_Toc38442488"/>
      <w:bookmarkStart w:id="991" w:name="_Toc38442819"/>
      <w:bookmarkStart w:id="992" w:name="_Toc38443150"/>
      <w:bookmarkStart w:id="993" w:name="_Toc38443481"/>
      <w:bookmarkStart w:id="994" w:name="_Toc38443812"/>
      <w:bookmarkStart w:id="995" w:name="_Toc38438279"/>
      <w:bookmarkStart w:id="996" w:name="_Toc38438616"/>
      <w:bookmarkStart w:id="997" w:name="_Toc38438953"/>
      <w:bookmarkStart w:id="998" w:name="_Toc38439290"/>
      <w:bookmarkStart w:id="999" w:name="_Toc38439627"/>
      <w:bookmarkStart w:id="1000" w:name="_Toc38439964"/>
      <w:bookmarkStart w:id="1001" w:name="_Toc38440301"/>
      <w:bookmarkStart w:id="1002" w:name="_Toc38440634"/>
      <w:bookmarkStart w:id="1003" w:name="_Toc38440833"/>
      <w:bookmarkStart w:id="1004" w:name="_Toc38441165"/>
      <w:bookmarkStart w:id="1005" w:name="_Toc38441497"/>
      <w:bookmarkStart w:id="1006" w:name="_Toc38441825"/>
      <w:bookmarkStart w:id="1007" w:name="_Toc38442157"/>
      <w:bookmarkStart w:id="1008" w:name="_Toc38442489"/>
      <w:bookmarkStart w:id="1009" w:name="_Toc38442820"/>
      <w:bookmarkStart w:id="1010" w:name="_Toc38443151"/>
      <w:bookmarkStart w:id="1011" w:name="_Toc38443482"/>
      <w:bookmarkStart w:id="1012" w:name="_Toc38443813"/>
      <w:bookmarkStart w:id="1013" w:name="_Toc38438280"/>
      <w:bookmarkStart w:id="1014" w:name="_Toc38438617"/>
      <w:bookmarkStart w:id="1015" w:name="_Toc38438954"/>
      <w:bookmarkStart w:id="1016" w:name="_Toc38439291"/>
      <w:bookmarkStart w:id="1017" w:name="_Toc38439628"/>
      <w:bookmarkStart w:id="1018" w:name="_Toc38439965"/>
      <w:bookmarkStart w:id="1019" w:name="_Toc38440302"/>
      <w:bookmarkStart w:id="1020" w:name="_Toc38440635"/>
      <w:bookmarkStart w:id="1021" w:name="_Toc38440834"/>
      <w:bookmarkStart w:id="1022" w:name="_Toc38441166"/>
      <w:bookmarkStart w:id="1023" w:name="_Toc38441498"/>
      <w:bookmarkStart w:id="1024" w:name="_Toc38441826"/>
      <w:bookmarkStart w:id="1025" w:name="_Toc38442158"/>
      <w:bookmarkStart w:id="1026" w:name="_Toc38442490"/>
      <w:bookmarkStart w:id="1027" w:name="_Toc38442821"/>
      <w:bookmarkStart w:id="1028" w:name="_Toc38443152"/>
      <w:bookmarkStart w:id="1029" w:name="_Toc38443483"/>
      <w:bookmarkStart w:id="1030" w:name="_Toc38443814"/>
      <w:bookmarkStart w:id="1031" w:name="_Toc38438281"/>
      <w:bookmarkStart w:id="1032" w:name="_Toc38438618"/>
      <w:bookmarkStart w:id="1033" w:name="_Toc38438955"/>
      <w:bookmarkStart w:id="1034" w:name="_Toc38439292"/>
      <w:bookmarkStart w:id="1035" w:name="_Toc38439629"/>
      <w:bookmarkStart w:id="1036" w:name="_Toc38439966"/>
      <w:bookmarkStart w:id="1037" w:name="_Toc38440303"/>
      <w:bookmarkStart w:id="1038" w:name="_Toc38440636"/>
      <w:bookmarkStart w:id="1039" w:name="_Toc38440835"/>
      <w:bookmarkStart w:id="1040" w:name="_Toc38441167"/>
      <w:bookmarkStart w:id="1041" w:name="_Toc38441499"/>
      <w:bookmarkStart w:id="1042" w:name="_Toc38441827"/>
      <w:bookmarkStart w:id="1043" w:name="_Toc38442159"/>
      <w:bookmarkStart w:id="1044" w:name="_Toc38442491"/>
      <w:bookmarkStart w:id="1045" w:name="_Toc38442822"/>
      <w:bookmarkStart w:id="1046" w:name="_Toc38443153"/>
      <w:bookmarkStart w:id="1047" w:name="_Toc38443484"/>
      <w:bookmarkStart w:id="1048" w:name="_Toc38443815"/>
      <w:bookmarkStart w:id="1049" w:name="_Toc38438282"/>
      <w:bookmarkStart w:id="1050" w:name="_Toc38438619"/>
      <w:bookmarkStart w:id="1051" w:name="_Toc38438956"/>
      <w:bookmarkStart w:id="1052" w:name="_Toc38439293"/>
      <w:bookmarkStart w:id="1053" w:name="_Toc38439630"/>
      <w:bookmarkStart w:id="1054" w:name="_Toc38439967"/>
      <w:bookmarkStart w:id="1055" w:name="_Toc38440304"/>
      <w:bookmarkStart w:id="1056" w:name="_Toc38440637"/>
      <w:bookmarkStart w:id="1057" w:name="_Toc38440836"/>
      <w:bookmarkStart w:id="1058" w:name="_Toc38441168"/>
      <w:bookmarkStart w:id="1059" w:name="_Toc38441500"/>
      <w:bookmarkStart w:id="1060" w:name="_Toc38441828"/>
      <w:bookmarkStart w:id="1061" w:name="_Toc38442160"/>
      <w:bookmarkStart w:id="1062" w:name="_Toc38442492"/>
      <w:bookmarkStart w:id="1063" w:name="_Toc38442823"/>
      <w:bookmarkStart w:id="1064" w:name="_Toc38443154"/>
      <w:bookmarkStart w:id="1065" w:name="_Toc38443485"/>
      <w:bookmarkStart w:id="1066" w:name="_Toc38443816"/>
      <w:bookmarkStart w:id="1067" w:name="_Toc38438283"/>
      <w:bookmarkStart w:id="1068" w:name="_Toc38438620"/>
      <w:bookmarkStart w:id="1069" w:name="_Toc38438957"/>
      <w:bookmarkStart w:id="1070" w:name="_Toc38439294"/>
      <w:bookmarkStart w:id="1071" w:name="_Toc38439631"/>
      <w:bookmarkStart w:id="1072" w:name="_Toc38439968"/>
      <w:bookmarkStart w:id="1073" w:name="_Toc38440305"/>
      <w:bookmarkStart w:id="1074" w:name="_Toc38440638"/>
      <w:bookmarkStart w:id="1075" w:name="_Toc38440837"/>
      <w:bookmarkStart w:id="1076" w:name="_Toc38441169"/>
      <w:bookmarkStart w:id="1077" w:name="_Toc38441501"/>
      <w:bookmarkStart w:id="1078" w:name="_Toc38441829"/>
      <w:bookmarkStart w:id="1079" w:name="_Toc38442161"/>
      <w:bookmarkStart w:id="1080" w:name="_Toc38442493"/>
      <w:bookmarkStart w:id="1081" w:name="_Toc38442824"/>
      <w:bookmarkStart w:id="1082" w:name="_Toc38443155"/>
      <w:bookmarkStart w:id="1083" w:name="_Toc38443486"/>
      <w:bookmarkStart w:id="1084" w:name="_Toc38443817"/>
      <w:bookmarkStart w:id="1085" w:name="_Toc38438284"/>
      <w:bookmarkStart w:id="1086" w:name="_Toc38438621"/>
      <w:bookmarkStart w:id="1087" w:name="_Toc38438958"/>
      <w:bookmarkStart w:id="1088" w:name="_Toc38439295"/>
      <w:bookmarkStart w:id="1089" w:name="_Toc38439632"/>
      <w:bookmarkStart w:id="1090" w:name="_Toc38439969"/>
      <w:bookmarkStart w:id="1091" w:name="_Toc38440306"/>
      <w:bookmarkStart w:id="1092" w:name="_Toc38440639"/>
      <w:bookmarkStart w:id="1093" w:name="_Toc38440838"/>
      <w:bookmarkStart w:id="1094" w:name="_Toc38441170"/>
      <w:bookmarkStart w:id="1095" w:name="_Toc38441502"/>
      <w:bookmarkStart w:id="1096" w:name="_Toc38441830"/>
      <w:bookmarkStart w:id="1097" w:name="_Toc38442162"/>
      <w:bookmarkStart w:id="1098" w:name="_Toc38442494"/>
      <w:bookmarkStart w:id="1099" w:name="_Toc38442825"/>
      <w:bookmarkStart w:id="1100" w:name="_Toc38443156"/>
      <w:bookmarkStart w:id="1101" w:name="_Toc38443487"/>
      <w:bookmarkStart w:id="1102" w:name="_Toc38443818"/>
      <w:bookmarkStart w:id="1103" w:name="_Toc38438285"/>
      <w:bookmarkStart w:id="1104" w:name="_Toc38438622"/>
      <w:bookmarkStart w:id="1105" w:name="_Toc38438959"/>
      <w:bookmarkStart w:id="1106" w:name="_Toc38439296"/>
      <w:bookmarkStart w:id="1107" w:name="_Toc38439633"/>
      <w:bookmarkStart w:id="1108" w:name="_Toc38439970"/>
      <w:bookmarkStart w:id="1109" w:name="_Toc38440307"/>
      <w:bookmarkStart w:id="1110" w:name="_Toc38440640"/>
      <w:bookmarkStart w:id="1111" w:name="_Toc38440839"/>
      <w:bookmarkStart w:id="1112" w:name="_Toc38441171"/>
      <w:bookmarkStart w:id="1113" w:name="_Toc38441503"/>
      <w:bookmarkStart w:id="1114" w:name="_Toc38441831"/>
      <w:bookmarkStart w:id="1115" w:name="_Toc38442163"/>
      <w:bookmarkStart w:id="1116" w:name="_Toc38442495"/>
      <w:bookmarkStart w:id="1117" w:name="_Toc38442826"/>
      <w:bookmarkStart w:id="1118" w:name="_Toc38443157"/>
      <w:bookmarkStart w:id="1119" w:name="_Toc38443488"/>
      <w:bookmarkStart w:id="1120" w:name="_Toc38443819"/>
      <w:bookmarkStart w:id="1121" w:name="_Toc38438286"/>
      <w:bookmarkStart w:id="1122" w:name="_Toc38438623"/>
      <w:bookmarkStart w:id="1123" w:name="_Toc38438960"/>
      <w:bookmarkStart w:id="1124" w:name="_Toc38439297"/>
      <w:bookmarkStart w:id="1125" w:name="_Toc38439634"/>
      <w:bookmarkStart w:id="1126" w:name="_Toc38439971"/>
      <w:bookmarkStart w:id="1127" w:name="_Toc38440308"/>
      <w:bookmarkStart w:id="1128" w:name="_Toc38440641"/>
      <w:bookmarkStart w:id="1129" w:name="_Toc38440840"/>
      <w:bookmarkStart w:id="1130" w:name="_Toc38441172"/>
      <w:bookmarkStart w:id="1131" w:name="_Toc38441504"/>
      <w:bookmarkStart w:id="1132" w:name="_Toc38441832"/>
      <w:bookmarkStart w:id="1133" w:name="_Toc38442164"/>
      <w:bookmarkStart w:id="1134" w:name="_Toc38442496"/>
      <w:bookmarkStart w:id="1135" w:name="_Toc38442827"/>
      <w:bookmarkStart w:id="1136" w:name="_Toc38443158"/>
      <w:bookmarkStart w:id="1137" w:name="_Toc38443489"/>
      <w:bookmarkStart w:id="1138" w:name="_Toc38443820"/>
      <w:bookmarkStart w:id="1139" w:name="_Toc38438287"/>
      <w:bookmarkStart w:id="1140" w:name="_Toc38438624"/>
      <w:bookmarkStart w:id="1141" w:name="_Toc38438961"/>
      <w:bookmarkStart w:id="1142" w:name="_Toc38439298"/>
      <w:bookmarkStart w:id="1143" w:name="_Toc38439635"/>
      <w:bookmarkStart w:id="1144" w:name="_Toc38439972"/>
      <w:bookmarkStart w:id="1145" w:name="_Toc38440309"/>
      <w:bookmarkStart w:id="1146" w:name="_Toc38440642"/>
      <w:bookmarkStart w:id="1147" w:name="_Toc38440841"/>
      <w:bookmarkStart w:id="1148" w:name="_Toc38441173"/>
      <w:bookmarkStart w:id="1149" w:name="_Toc38441505"/>
      <w:bookmarkStart w:id="1150" w:name="_Toc38441833"/>
      <w:bookmarkStart w:id="1151" w:name="_Toc38442165"/>
      <w:bookmarkStart w:id="1152" w:name="_Toc38442497"/>
      <w:bookmarkStart w:id="1153" w:name="_Toc38442828"/>
      <w:bookmarkStart w:id="1154" w:name="_Toc38443159"/>
      <w:bookmarkStart w:id="1155" w:name="_Toc38443490"/>
      <w:bookmarkStart w:id="1156" w:name="_Toc38443821"/>
      <w:bookmarkStart w:id="1157" w:name="_Toc38438288"/>
      <w:bookmarkStart w:id="1158" w:name="_Toc38438625"/>
      <w:bookmarkStart w:id="1159" w:name="_Toc38438962"/>
      <w:bookmarkStart w:id="1160" w:name="_Toc38439299"/>
      <w:bookmarkStart w:id="1161" w:name="_Toc38439636"/>
      <w:bookmarkStart w:id="1162" w:name="_Toc38439973"/>
      <w:bookmarkStart w:id="1163" w:name="_Toc38440310"/>
      <w:bookmarkStart w:id="1164" w:name="_Toc38440643"/>
      <w:bookmarkStart w:id="1165" w:name="_Toc38440842"/>
      <w:bookmarkStart w:id="1166" w:name="_Toc38441174"/>
      <w:bookmarkStart w:id="1167" w:name="_Toc38441506"/>
      <w:bookmarkStart w:id="1168" w:name="_Toc38441834"/>
      <w:bookmarkStart w:id="1169" w:name="_Toc38442166"/>
      <w:bookmarkStart w:id="1170" w:name="_Toc38442498"/>
      <w:bookmarkStart w:id="1171" w:name="_Toc38442829"/>
      <w:bookmarkStart w:id="1172" w:name="_Toc38443160"/>
      <w:bookmarkStart w:id="1173" w:name="_Toc38443491"/>
      <w:bookmarkStart w:id="1174" w:name="_Toc38443822"/>
      <w:bookmarkStart w:id="1175" w:name="_Toc38438289"/>
      <w:bookmarkStart w:id="1176" w:name="_Toc38438626"/>
      <w:bookmarkStart w:id="1177" w:name="_Toc38438963"/>
      <w:bookmarkStart w:id="1178" w:name="_Toc38439300"/>
      <w:bookmarkStart w:id="1179" w:name="_Toc38439637"/>
      <w:bookmarkStart w:id="1180" w:name="_Toc38439974"/>
      <w:bookmarkStart w:id="1181" w:name="_Toc38440311"/>
      <w:bookmarkStart w:id="1182" w:name="_Toc38440644"/>
      <w:bookmarkStart w:id="1183" w:name="_Toc38440843"/>
      <w:bookmarkStart w:id="1184" w:name="_Toc38441175"/>
      <w:bookmarkStart w:id="1185" w:name="_Toc38441507"/>
      <w:bookmarkStart w:id="1186" w:name="_Toc38441835"/>
      <w:bookmarkStart w:id="1187" w:name="_Toc38442167"/>
      <w:bookmarkStart w:id="1188" w:name="_Toc38442499"/>
      <w:bookmarkStart w:id="1189" w:name="_Toc38442830"/>
      <w:bookmarkStart w:id="1190" w:name="_Toc38443161"/>
      <w:bookmarkStart w:id="1191" w:name="_Toc38443492"/>
      <w:bookmarkStart w:id="1192" w:name="_Toc38443823"/>
      <w:bookmarkStart w:id="1193" w:name="_Toc38438290"/>
      <w:bookmarkStart w:id="1194" w:name="_Toc38438627"/>
      <w:bookmarkStart w:id="1195" w:name="_Toc38438964"/>
      <w:bookmarkStart w:id="1196" w:name="_Toc38439301"/>
      <w:bookmarkStart w:id="1197" w:name="_Toc38439638"/>
      <w:bookmarkStart w:id="1198" w:name="_Toc38439975"/>
      <w:bookmarkStart w:id="1199" w:name="_Toc38440312"/>
      <w:bookmarkStart w:id="1200" w:name="_Toc38440645"/>
      <w:bookmarkStart w:id="1201" w:name="_Toc38440844"/>
      <w:bookmarkStart w:id="1202" w:name="_Toc38441176"/>
      <w:bookmarkStart w:id="1203" w:name="_Toc38441508"/>
      <w:bookmarkStart w:id="1204" w:name="_Toc38441836"/>
      <w:bookmarkStart w:id="1205" w:name="_Toc38442168"/>
      <w:bookmarkStart w:id="1206" w:name="_Toc38442500"/>
      <w:bookmarkStart w:id="1207" w:name="_Toc38442831"/>
      <w:bookmarkStart w:id="1208" w:name="_Toc38443162"/>
      <w:bookmarkStart w:id="1209" w:name="_Toc38443493"/>
      <w:bookmarkStart w:id="1210" w:name="_Toc38443824"/>
      <w:bookmarkStart w:id="1211" w:name="_Toc38438291"/>
      <w:bookmarkStart w:id="1212" w:name="_Toc38438628"/>
      <w:bookmarkStart w:id="1213" w:name="_Toc38438965"/>
      <w:bookmarkStart w:id="1214" w:name="_Toc38439302"/>
      <w:bookmarkStart w:id="1215" w:name="_Toc38439639"/>
      <w:bookmarkStart w:id="1216" w:name="_Toc38439976"/>
      <w:bookmarkStart w:id="1217" w:name="_Toc38440313"/>
      <w:bookmarkStart w:id="1218" w:name="_Toc38440646"/>
      <w:bookmarkStart w:id="1219" w:name="_Toc38440845"/>
      <w:bookmarkStart w:id="1220" w:name="_Toc38441177"/>
      <w:bookmarkStart w:id="1221" w:name="_Toc38441509"/>
      <w:bookmarkStart w:id="1222" w:name="_Toc38441837"/>
      <w:bookmarkStart w:id="1223" w:name="_Toc38442169"/>
      <w:bookmarkStart w:id="1224" w:name="_Toc38442501"/>
      <w:bookmarkStart w:id="1225" w:name="_Toc38442832"/>
      <w:bookmarkStart w:id="1226" w:name="_Toc38443163"/>
      <w:bookmarkStart w:id="1227" w:name="_Toc38443494"/>
      <w:bookmarkStart w:id="1228" w:name="_Toc38443825"/>
      <w:bookmarkStart w:id="1229" w:name="_Toc38438292"/>
      <w:bookmarkStart w:id="1230" w:name="_Toc38438629"/>
      <w:bookmarkStart w:id="1231" w:name="_Toc38438966"/>
      <w:bookmarkStart w:id="1232" w:name="_Toc38439303"/>
      <w:bookmarkStart w:id="1233" w:name="_Toc38439640"/>
      <w:bookmarkStart w:id="1234" w:name="_Toc38439977"/>
      <w:bookmarkStart w:id="1235" w:name="_Toc38440314"/>
      <w:bookmarkStart w:id="1236" w:name="_Toc38440647"/>
      <w:bookmarkStart w:id="1237" w:name="_Toc38440846"/>
      <w:bookmarkStart w:id="1238" w:name="_Toc38441178"/>
      <w:bookmarkStart w:id="1239" w:name="_Toc38441510"/>
      <w:bookmarkStart w:id="1240" w:name="_Toc38441838"/>
      <w:bookmarkStart w:id="1241" w:name="_Toc38442170"/>
      <w:bookmarkStart w:id="1242" w:name="_Toc38442502"/>
      <w:bookmarkStart w:id="1243" w:name="_Toc38442833"/>
      <w:bookmarkStart w:id="1244" w:name="_Toc38443164"/>
      <w:bookmarkStart w:id="1245" w:name="_Toc38443495"/>
      <w:bookmarkStart w:id="1246" w:name="_Toc38443826"/>
      <w:bookmarkStart w:id="1247" w:name="_Toc38438293"/>
      <w:bookmarkStart w:id="1248" w:name="_Toc38438630"/>
      <w:bookmarkStart w:id="1249" w:name="_Toc38438967"/>
      <w:bookmarkStart w:id="1250" w:name="_Toc38439304"/>
      <w:bookmarkStart w:id="1251" w:name="_Toc38439641"/>
      <w:bookmarkStart w:id="1252" w:name="_Toc38439978"/>
      <w:bookmarkStart w:id="1253" w:name="_Toc38440315"/>
      <w:bookmarkStart w:id="1254" w:name="_Toc38440648"/>
      <w:bookmarkStart w:id="1255" w:name="_Toc38440847"/>
      <w:bookmarkStart w:id="1256" w:name="_Toc38441179"/>
      <w:bookmarkStart w:id="1257" w:name="_Toc38441511"/>
      <w:bookmarkStart w:id="1258" w:name="_Toc38441839"/>
      <w:bookmarkStart w:id="1259" w:name="_Toc38442171"/>
      <w:bookmarkStart w:id="1260" w:name="_Toc38442503"/>
      <w:bookmarkStart w:id="1261" w:name="_Toc38442834"/>
      <w:bookmarkStart w:id="1262" w:name="_Toc38443165"/>
      <w:bookmarkStart w:id="1263" w:name="_Toc38443496"/>
      <w:bookmarkStart w:id="1264" w:name="_Toc38443827"/>
      <w:bookmarkStart w:id="1265" w:name="_Toc38438296"/>
      <w:bookmarkStart w:id="1266" w:name="_Toc38438633"/>
      <w:bookmarkStart w:id="1267" w:name="_Toc38438970"/>
      <w:bookmarkStart w:id="1268" w:name="_Toc38439307"/>
      <w:bookmarkStart w:id="1269" w:name="_Toc38439644"/>
      <w:bookmarkStart w:id="1270" w:name="_Toc38439981"/>
      <w:bookmarkStart w:id="1271" w:name="_Toc38440318"/>
      <w:bookmarkStart w:id="1272" w:name="_Toc38440651"/>
      <w:bookmarkStart w:id="1273" w:name="_Toc38440850"/>
      <w:bookmarkStart w:id="1274" w:name="_Toc38441182"/>
      <w:bookmarkStart w:id="1275" w:name="_Toc38441514"/>
      <w:bookmarkStart w:id="1276" w:name="_Toc38441842"/>
      <w:bookmarkStart w:id="1277" w:name="_Toc38442174"/>
      <w:bookmarkStart w:id="1278" w:name="_Toc38442506"/>
      <w:bookmarkStart w:id="1279" w:name="_Toc38442837"/>
      <w:bookmarkStart w:id="1280" w:name="_Toc38443168"/>
      <w:bookmarkStart w:id="1281" w:name="_Toc38443499"/>
      <w:bookmarkStart w:id="1282" w:name="_Toc38443830"/>
      <w:bookmarkStart w:id="1283" w:name="_Toc38438297"/>
      <w:bookmarkStart w:id="1284" w:name="_Toc38438634"/>
      <w:bookmarkStart w:id="1285" w:name="_Toc38438971"/>
      <w:bookmarkStart w:id="1286" w:name="_Toc38439308"/>
      <w:bookmarkStart w:id="1287" w:name="_Toc38439645"/>
      <w:bookmarkStart w:id="1288" w:name="_Toc38439982"/>
      <w:bookmarkStart w:id="1289" w:name="_Toc38440319"/>
      <w:bookmarkStart w:id="1290" w:name="_Toc38440652"/>
      <w:bookmarkStart w:id="1291" w:name="_Toc38440851"/>
      <w:bookmarkStart w:id="1292" w:name="_Toc38441183"/>
      <w:bookmarkStart w:id="1293" w:name="_Toc38441515"/>
      <w:bookmarkStart w:id="1294" w:name="_Toc38441843"/>
      <w:bookmarkStart w:id="1295" w:name="_Toc38442175"/>
      <w:bookmarkStart w:id="1296" w:name="_Toc38442507"/>
      <w:bookmarkStart w:id="1297" w:name="_Toc38442838"/>
      <w:bookmarkStart w:id="1298" w:name="_Toc38443169"/>
      <w:bookmarkStart w:id="1299" w:name="_Toc38443500"/>
      <w:bookmarkStart w:id="1300" w:name="_Toc38443831"/>
      <w:bookmarkStart w:id="1301" w:name="_Toc38438298"/>
      <w:bookmarkStart w:id="1302" w:name="_Toc38438635"/>
      <w:bookmarkStart w:id="1303" w:name="_Toc38438972"/>
      <w:bookmarkStart w:id="1304" w:name="_Toc38439309"/>
      <w:bookmarkStart w:id="1305" w:name="_Toc38439646"/>
      <w:bookmarkStart w:id="1306" w:name="_Toc38439983"/>
      <w:bookmarkStart w:id="1307" w:name="_Toc38440320"/>
      <w:bookmarkStart w:id="1308" w:name="_Toc38440653"/>
      <w:bookmarkStart w:id="1309" w:name="_Toc38440852"/>
      <w:bookmarkStart w:id="1310" w:name="_Toc38441184"/>
      <w:bookmarkStart w:id="1311" w:name="_Toc38441516"/>
      <w:bookmarkStart w:id="1312" w:name="_Toc38441844"/>
      <w:bookmarkStart w:id="1313" w:name="_Toc38442176"/>
      <w:bookmarkStart w:id="1314" w:name="_Toc38442508"/>
      <w:bookmarkStart w:id="1315" w:name="_Toc38442839"/>
      <w:bookmarkStart w:id="1316" w:name="_Toc38443170"/>
      <w:bookmarkStart w:id="1317" w:name="_Toc38443501"/>
      <w:bookmarkStart w:id="1318" w:name="_Toc38443832"/>
      <w:bookmarkStart w:id="1319" w:name="_Toc38438299"/>
      <w:bookmarkStart w:id="1320" w:name="_Toc38438636"/>
      <w:bookmarkStart w:id="1321" w:name="_Toc38438973"/>
      <w:bookmarkStart w:id="1322" w:name="_Toc38439310"/>
      <w:bookmarkStart w:id="1323" w:name="_Toc38439647"/>
      <w:bookmarkStart w:id="1324" w:name="_Toc38439984"/>
      <w:bookmarkStart w:id="1325" w:name="_Toc38440321"/>
      <w:bookmarkStart w:id="1326" w:name="_Toc38440654"/>
      <w:bookmarkStart w:id="1327" w:name="_Toc38440853"/>
      <w:bookmarkStart w:id="1328" w:name="_Toc38441185"/>
      <w:bookmarkStart w:id="1329" w:name="_Toc38441517"/>
      <w:bookmarkStart w:id="1330" w:name="_Toc38441845"/>
      <w:bookmarkStart w:id="1331" w:name="_Toc38442177"/>
      <w:bookmarkStart w:id="1332" w:name="_Toc38442509"/>
      <w:bookmarkStart w:id="1333" w:name="_Toc38442840"/>
      <w:bookmarkStart w:id="1334" w:name="_Toc38443171"/>
      <w:bookmarkStart w:id="1335" w:name="_Toc38443502"/>
      <w:bookmarkStart w:id="1336" w:name="_Toc38443833"/>
      <w:bookmarkStart w:id="1337" w:name="_Toc38438301"/>
      <w:bookmarkStart w:id="1338" w:name="_Toc38438638"/>
      <w:bookmarkStart w:id="1339" w:name="_Toc38438975"/>
      <w:bookmarkStart w:id="1340" w:name="_Toc38439312"/>
      <w:bookmarkStart w:id="1341" w:name="_Toc38439649"/>
      <w:bookmarkStart w:id="1342" w:name="_Toc38439986"/>
      <w:bookmarkStart w:id="1343" w:name="_Toc38440323"/>
      <w:bookmarkStart w:id="1344" w:name="_Toc38440656"/>
      <w:bookmarkStart w:id="1345" w:name="_Toc38440855"/>
      <w:bookmarkStart w:id="1346" w:name="_Toc38441187"/>
      <w:bookmarkStart w:id="1347" w:name="_Toc38441519"/>
      <w:bookmarkStart w:id="1348" w:name="_Toc38441847"/>
      <w:bookmarkStart w:id="1349" w:name="_Toc38442179"/>
      <w:bookmarkStart w:id="1350" w:name="_Toc38442511"/>
      <w:bookmarkStart w:id="1351" w:name="_Toc38442842"/>
      <w:bookmarkStart w:id="1352" w:name="_Toc38443173"/>
      <w:bookmarkStart w:id="1353" w:name="_Toc38443504"/>
      <w:bookmarkStart w:id="1354" w:name="_Toc38443835"/>
      <w:bookmarkStart w:id="1355" w:name="_Toc38438302"/>
      <w:bookmarkStart w:id="1356" w:name="_Toc38438639"/>
      <w:bookmarkStart w:id="1357" w:name="_Toc38438976"/>
      <w:bookmarkStart w:id="1358" w:name="_Toc38439313"/>
      <w:bookmarkStart w:id="1359" w:name="_Toc38439650"/>
      <w:bookmarkStart w:id="1360" w:name="_Toc38439987"/>
      <w:bookmarkStart w:id="1361" w:name="_Toc38440324"/>
      <w:bookmarkStart w:id="1362" w:name="_Toc38440657"/>
      <w:bookmarkStart w:id="1363" w:name="_Toc38440856"/>
      <w:bookmarkStart w:id="1364" w:name="_Toc38441188"/>
      <w:bookmarkStart w:id="1365" w:name="_Toc38441520"/>
      <w:bookmarkStart w:id="1366" w:name="_Toc38441848"/>
      <w:bookmarkStart w:id="1367" w:name="_Toc38442180"/>
      <w:bookmarkStart w:id="1368" w:name="_Toc38442512"/>
      <w:bookmarkStart w:id="1369" w:name="_Toc38442843"/>
      <w:bookmarkStart w:id="1370" w:name="_Toc38443174"/>
      <w:bookmarkStart w:id="1371" w:name="_Toc38443505"/>
      <w:bookmarkStart w:id="1372" w:name="_Toc38443836"/>
      <w:bookmarkStart w:id="1373" w:name="_Toc38438303"/>
      <w:bookmarkStart w:id="1374" w:name="_Toc38438640"/>
      <w:bookmarkStart w:id="1375" w:name="_Toc38438977"/>
      <w:bookmarkStart w:id="1376" w:name="_Toc38439314"/>
      <w:bookmarkStart w:id="1377" w:name="_Toc38439651"/>
      <w:bookmarkStart w:id="1378" w:name="_Toc38439988"/>
      <w:bookmarkStart w:id="1379" w:name="_Toc38440325"/>
      <w:bookmarkStart w:id="1380" w:name="_Toc38440658"/>
      <w:bookmarkStart w:id="1381" w:name="_Toc38440857"/>
      <w:bookmarkStart w:id="1382" w:name="_Toc38441189"/>
      <w:bookmarkStart w:id="1383" w:name="_Toc38441521"/>
      <w:bookmarkStart w:id="1384" w:name="_Toc38441849"/>
      <w:bookmarkStart w:id="1385" w:name="_Toc38442181"/>
      <w:bookmarkStart w:id="1386" w:name="_Toc38442513"/>
      <w:bookmarkStart w:id="1387" w:name="_Toc38442844"/>
      <w:bookmarkStart w:id="1388" w:name="_Toc38443175"/>
      <w:bookmarkStart w:id="1389" w:name="_Toc38443506"/>
      <w:bookmarkStart w:id="1390" w:name="_Toc38443837"/>
      <w:bookmarkStart w:id="1391" w:name="_Toc38438304"/>
      <w:bookmarkStart w:id="1392" w:name="_Toc38438641"/>
      <w:bookmarkStart w:id="1393" w:name="_Toc38438978"/>
      <w:bookmarkStart w:id="1394" w:name="_Toc38439315"/>
      <w:bookmarkStart w:id="1395" w:name="_Toc38439652"/>
      <w:bookmarkStart w:id="1396" w:name="_Toc38439989"/>
      <w:bookmarkStart w:id="1397" w:name="_Toc38440326"/>
      <w:bookmarkStart w:id="1398" w:name="_Toc38440659"/>
      <w:bookmarkStart w:id="1399" w:name="_Toc38440858"/>
      <w:bookmarkStart w:id="1400" w:name="_Toc38441190"/>
      <w:bookmarkStart w:id="1401" w:name="_Toc38441522"/>
      <w:bookmarkStart w:id="1402" w:name="_Toc38441850"/>
      <w:bookmarkStart w:id="1403" w:name="_Toc38442182"/>
      <w:bookmarkStart w:id="1404" w:name="_Toc38442514"/>
      <w:bookmarkStart w:id="1405" w:name="_Toc38442845"/>
      <w:bookmarkStart w:id="1406" w:name="_Toc38443176"/>
      <w:bookmarkStart w:id="1407" w:name="_Toc38443507"/>
      <w:bookmarkStart w:id="1408" w:name="_Toc38443838"/>
      <w:bookmarkStart w:id="1409" w:name="_Toc38438305"/>
      <w:bookmarkStart w:id="1410" w:name="_Toc38438642"/>
      <w:bookmarkStart w:id="1411" w:name="_Toc38438979"/>
      <w:bookmarkStart w:id="1412" w:name="_Toc38439316"/>
      <w:bookmarkStart w:id="1413" w:name="_Toc38439653"/>
      <w:bookmarkStart w:id="1414" w:name="_Toc38439990"/>
      <w:bookmarkStart w:id="1415" w:name="_Toc38440327"/>
      <w:bookmarkStart w:id="1416" w:name="_Toc38440660"/>
      <w:bookmarkStart w:id="1417" w:name="_Toc38440859"/>
      <w:bookmarkStart w:id="1418" w:name="_Toc38441191"/>
      <w:bookmarkStart w:id="1419" w:name="_Toc38441523"/>
      <w:bookmarkStart w:id="1420" w:name="_Toc38441851"/>
      <w:bookmarkStart w:id="1421" w:name="_Toc38442183"/>
      <w:bookmarkStart w:id="1422" w:name="_Toc38442515"/>
      <w:bookmarkStart w:id="1423" w:name="_Toc38442846"/>
      <w:bookmarkStart w:id="1424" w:name="_Toc38443177"/>
      <w:bookmarkStart w:id="1425" w:name="_Toc38443508"/>
      <w:bookmarkStart w:id="1426" w:name="_Toc38443839"/>
      <w:bookmarkStart w:id="1427" w:name="_Toc38438306"/>
      <w:bookmarkStart w:id="1428" w:name="_Toc38438643"/>
      <w:bookmarkStart w:id="1429" w:name="_Toc38438980"/>
      <w:bookmarkStart w:id="1430" w:name="_Toc38439317"/>
      <w:bookmarkStart w:id="1431" w:name="_Toc38439654"/>
      <w:bookmarkStart w:id="1432" w:name="_Toc38439991"/>
      <w:bookmarkStart w:id="1433" w:name="_Toc38440328"/>
      <w:bookmarkStart w:id="1434" w:name="_Toc38440661"/>
      <w:bookmarkStart w:id="1435" w:name="_Toc38440860"/>
      <w:bookmarkStart w:id="1436" w:name="_Toc38441192"/>
      <w:bookmarkStart w:id="1437" w:name="_Toc38441524"/>
      <w:bookmarkStart w:id="1438" w:name="_Toc38441852"/>
      <w:bookmarkStart w:id="1439" w:name="_Toc38442184"/>
      <w:bookmarkStart w:id="1440" w:name="_Toc38442516"/>
      <w:bookmarkStart w:id="1441" w:name="_Toc38442847"/>
      <w:bookmarkStart w:id="1442" w:name="_Toc38443178"/>
      <w:bookmarkStart w:id="1443" w:name="_Toc38443509"/>
      <w:bookmarkStart w:id="1444" w:name="_Toc38443840"/>
      <w:bookmarkStart w:id="1445" w:name="_Toc38438310"/>
      <w:bookmarkStart w:id="1446" w:name="_Toc38438647"/>
      <w:bookmarkStart w:id="1447" w:name="_Toc38438984"/>
      <w:bookmarkStart w:id="1448" w:name="_Toc38439321"/>
      <w:bookmarkStart w:id="1449" w:name="_Toc38439658"/>
      <w:bookmarkStart w:id="1450" w:name="_Toc38439995"/>
      <w:bookmarkStart w:id="1451" w:name="_Toc38440332"/>
      <w:bookmarkStart w:id="1452" w:name="_Toc38440665"/>
      <w:bookmarkStart w:id="1453" w:name="_Toc38440864"/>
      <w:bookmarkStart w:id="1454" w:name="_Toc38441196"/>
      <w:bookmarkStart w:id="1455" w:name="_Toc38441528"/>
      <w:bookmarkStart w:id="1456" w:name="_Toc38441856"/>
      <w:bookmarkStart w:id="1457" w:name="_Toc38442188"/>
      <w:bookmarkStart w:id="1458" w:name="_Toc38442520"/>
      <w:bookmarkStart w:id="1459" w:name="_Toc38442851"/>
      <w:bookmarkStart w:id="1460" w:name="_Toc38443182"/>
      <w:bookmarkStart w:id="1461" w:name="_Toc38443513"/>
      <w:bookmarkStart w:id="1462" w:name="_Toc38443844"/>
      <w:bookmarkStart w:id="1463" w:name="_Toc38438311"/>
      <w:bookmarkStart w:id="1464" w:name="_Toc38438648"/>
      <w:bookmarkStart w:id="1465" w:name="_Toc38438985"/>
      <w:bookmarkStart w:id="1466" w:name="_Toc38439322"/>
      <w:bookmarkStart w:id="1467" w:name="_Toc38439659"/>
      <w:bookmarkStart w:id="1468" w:name="_Toc38439996"/>
      <w:bookmarkStart w:id="1469" w:name="_Toc38440333"/>
      <w:bookmarkStart w:id="1470" w:name="_Toc38440666"/>
      <w:bookmarkStart w:id="1471" w:name="_Toc38440865"/>
      <w:bookmarkStart w:id="1472" w:name="_Toc38441197"/>
      <w:bookmarkStart w:id="1473" w:name="_Toc38441529"/>
      <w:bookmarkStart w:id="1474" w:name="_Toc38441857"/>
      <w:bookmarkStart w:id="1475" w:name="_Toc38442189"/>
      <w:bookmarkStart w:id="1476" w:name="_Toc38442521"/>
      <w:bookmarkStart w:id="1477" w:name="_Toc38442852"/>
      <w:bookmarkStart w:id="1478" w:name="_Toc38443183"/>
      <w:bookmarkStart w:id="1479" w:name="_Toc38443514"/>
      <w:bookmarkStart w:id="1480" w:name="_Toc38443845"/>
      <w:bookmarkStart w:id="1481" w:name="_Toc38438312"/>
      <w:bookmarkStart w:id="1482" w:name="_Toc38438649"/>
      <w:bookmarkStart w:id="1483" w:name="_Toc38438986"/>
      <w:bookmarkStart w:id="1484" w:name="_Toc38439323"/>
      <w:bookmarkStart w:id="1485" w:name="_Toc38439660"/>
      <w:bookmarkStart w:id="1486" w:name="_Toc38439997"/>
      <w:bookmarkStart w:id="1487" w:name="_Toc38440334"/>
      <w:bookmarkStart w:id="1488" w:name="_Toc38440667"/>
      <w:bookmarkStart w:id="1489" w:name="_Toc38440866"/>
      <w:bookmarkStart w:id="1490" w:name="_Toc38441198"/>
      <w:bookmarkStart w:id="1491" w:name="_Toc38441530"/>
      <w:bookmarkStart w:id="1492" w:name="_Toc38441858"/>
      <w:bookmarkStart w:id="1493" w:name="_Toc38442190"/>
      <w:bookmarkStart w:id="1494" w:name="_Toc38442522"/>
      <w:bookmarkStart w:id="1495" w:name="_Toc38442853"/>
      <w:bookmarkStart w:id="1496" w:name="_Toc38443184"/>
      <w:bookmarkStart w:id="1497" w:name="_Toc38443515"/>
      <w:bookmarkStart w:id="1498" w:name="_Toc38443846"/>
      <w:bookmarkStart w:id="1499" w:name="_Toc38438313"/>
      <w:bookmarkStart w:id="1500" w:name="_Toc38438650"/>
      <w:bookmarkStart w:id="1501" w:name="_Toc38438987"/>
      <w:bookmarkStart w:id="1502" w:name="_Toc38439324"/>
      <w:bookmarkStart w:id="1503" w:name="_Toc38439661"/>
      <w:bookmarkStart w:id="1504" w:name="_Toc38439998"/>
      <w:bookmarkStart w:id="1505" w:name="_Toc38440335"/>
      <w:bookmarkStart w:id="1506" w:name="_Toc38440668"/>
      <w:bookmarkStart w:id="1507" w:name="_Toc38440867"/>
      <w:bookmarkStart w:id="1508" w:name="_Toc38441199"/>
      <w:bookmarkStart w:id="1509" w:name="_Toc38441531"/>
      <w:bookmarkStart w:id="1510" w:name="_Toc38441859"/>
      <w:bookmarkStart w:id="1511" w:name="_Toc38442191"/>
      <w:bookmarkStart w:id="1512" w:name="_Toc38442523"/>
      <w:bookmarkStart w:id="1513" w:name="_Toc38442854"/>
      <w:bookmarkStart w:id="1514" w:name="_Toc38443185"/>
      <w:bookmarkStart w:id="1515" w:name="_Toc38443516"/>
      <w:bookmarkStart w:id="1516" w:name="_Toc38443847"/>
      <w:bookmarkStart w:id="1517" w:name="_Toc38438314"/>
      <w:bookmarkStart w:id="1518" w:name="_Toc38438651"/>
      <w:bookmarkStart w:id="1519" w:name="_Toc38438988"/>
      <w:bookmarkStart w:id="1520" w:name="_Toc38439325"/>
      <w:bookmarkStart w:id="1521" w:name="_Toc38439662"/>
      <w:bookmarkStart w:id="1522" w:name="_Toc38439999"/>
      <w:bookmarkStart w:id="1523" w:name="_Toc38440336"/>
      <w:bookmarkStart w:id="1524" w:name="_Toc38440669"/>
      <w:bookmarkStart w:id="1525" w:name="_Toc38440868"/>
      <w:bookmarkStart w:id="1526" w:name="_Toc38441200"/>
      <w:bookmarkStart w:id="1527" w:name="_Toc38441532"/>
      <w:bookmarkStart w:id="1528" w:name="_Toc38441860"/>
      <w:bookmarkStart w:id="1529" w:name="_Toc38442192"/>
      <w:bookmarkStart w:id="1530" w:name="_Toc38442524"/>
      <w:bookmarkStart w:id="1531" w:name="_Toc38442855"/>
      <w:bookmarkStart w:id="1532" w:name="_Toc38443186"/>
      <w:bookmarkStart w:id="1533" w:name="_Toc38443517"/>
      <w:bookmarkStart w:id="1534" w:name="_Toc38443848"/>
      <w:bookmarkStart w:id="1535" w:name="_Toc38438315"/>
      <w:bookmarkStart w:id="1536" w:name="_Toc38438652"/>
      <w:bookmarkStart w:id="1537" w:name="_Toc38438989"/>
      <w:bookmarkStart w:id="1538" w:name="_Toc38439326"/>
      <w:bookmarkStart w:id="1539" w:name="_Toc38439663"/>
      <w:bookmarkStart w:id="1540" w:name="_Toc38440000"/>
      <w:bookmarkStart w:id="1541" w:name="_Toc38440337"/>
      <w:bookmarkStart w:id="1542" w:name="_Toc38440670"/>
      <w:bookmarkStart w:id="1543" w:name="_Toc38440869"/>
      <w:bookmarkStart w:id="1544" w:name="_Toc38441201"/>
      <w:bookmarkStart w:id="1545" w:name="_Toc38441533"/>
      <w:bookmarkStart w:id="1546" w:name="_Toc38441861"/>
      <w:bookmarkStart w:id="1547" w:name="_Toc38442193"/>
      <w:bookmarkStart w:id="1548" w:name="_Toc38442525"/>
      <w:bookmarkStart w:id="1549" w:name="_Toc38442856"/>
      <w:bookmarkStart w:id="1550" w:name="_Toc38443187"/>
      <w:bookmarkStart w:id="1551" w:name="_Toc38443518"/>
      <w:bookmarkStart w:id="1552" w:name="_Toc38443849"/>
      <w:bookmarkStart w:id="1553" w:name="_Toc38438316"/>
      <w:bookmarkStart w:id="1554" w:name="_Toc38438653"/>
      <w:bookmarkStart w:id="1555" w:name="_Toc38438990"/>
      <w:bookmarkStart w:id="1556" w:name="_Toc38439327"/>
      <w:bookmarkStart w:id="1557" w:name="_Toc38439664"/>
      <w:bookmarkStart w:id="1558" w:name="_Toc38440001"/>
      <w:bookmarkStart w:id="1559" w:name="_Toc38440338"/>
      <w:bookmarkStart w:id="1560" w:name="_Toc38440671"/>
      <w:bookmarkStart w:id="1561" w:name="_Toc38440870"/>
      <w:bookmarkStart w:id="1562" w:name="_Toc38441202"/>
      <w:bookmarkStart w:id="1563" w:name="_Toc38441534"/>
      <w:bookmarkStart w:id="1564" w:name="_Toc38441862"/>
      <w:bookmarkStart w:id="1565" w:name="_Toc38442194"/>
      <w:bookmarkStart w:id="1566" w:name="_Toc38442526"/>
      <w:bookmarkStart w:id="1567" w:name="_Toc38442857"/>
      <w:bookmarkStart w:id="1568" w:name="_Toc38443188"/>
      <w:bookmarkStart w:id="1569" w:name="_Toc38443519"/>
      <w:bookmarkStart w:id="1570" w:name="_Toc38443850"/>
      <w:bookmarkStart w:id="1571" w:name="_Toc38438317"/>
      <w:bookmarkStart w:id="1572" w:name="_Toc38438654"/>
      <w:bookmarkStart w:id="1573" w:name="_Toc38438991"/>
      <w:bookmarkStart w:id="1574" w:name="_Toc38439328"/>
      <w:bookmarkStart w:id="1575" w:name="_Toc38439665"/>
      <w:bookmarkStart w:id="1576" w:name="_Toc38440002"/>
      <w:bookmarkStart w:id="1577" w:name="_Toc38440339"/>
      <w:bookmarkStart w:id="1578" w:name="_Toc38440672"/>
      <w:bookmarkStart w:id="1579" w:name="_Toc38440871"/>
      <w:bookmarkStart w:id="1580" w:name="_Toc38441203"/>
      <w:bookmarkStart w:id="1581" w:name="_Toc38441535"/>
      <w:bookmarkStart w:id="1582" w:name="_Toc38441863"/>
      <w:bookmarkStart w:id="1583" w:name="_Toc38442195"/>
      <w:bookmarkStart w:id="1584" w:name="_Toc38442527"/>
      <w:bookmarkStart w:id="1585" w:name="_Toc38442858"/>
      <w:bookmarkStart w:id="1586" w:name="_Toc38443189"/>
      <w:bookmarkStart w:id="1587" w:name="_Toc38443520"/>
      <w:bookmarkStart w:id="1588" w:name="_Toc38443851"/>
      <w:bookmarkStart w:id="1589" w:name="_Toc38438318"/>
      <w:bookmarkStart w:id="1590" w:name="_Toc38438655"/>
      <w:bookmarkStart w:id="1591" w:name="_Toc38438992"/>
      <w:bookmarkStart w:id="1592" w:name="_Toc38439329"/>
      <w:bookmarkStart w:id="1593" w:name="_Toc38439666"/>
      <w:bookmarkStart w:id="1594" w:name="_Toc38440003"/>
      <w:bookmarkStart w:id="1595" w:name="_Toc38440340"/>
      <w:bookmarkStart w:id="1596" w:name="_Toc38440673"/>
      <w:bookmarkStart w:id="1597" w:name="_Toc38440872"/>
      <w:bookmarkStart w:id="1598" w:name="_Toc38441204"/>
      <w:bookmarkStart w:id="1599" w:name="_Toc38441536"/>
      <w:bookmarkStart w:id="1600" w:name="_Toc38441864"/>
      <w:bookmarkStart w:id="1601" w:name="_Toc38442196"/>
      <w:bookmarkStart w:id="1602" w:name="_Toc38442528"/>
      <w:bookmarkStart w:id="1603" w:name="_Toc38442859"/>
      <w:bookmarkStart w:id="1604" w:name="_Toc38443190"/>
      <w:bookmarkStart w:id="1605" w:name="_Toc38443521"/>
      <w:bookmarkStart w:id="1606" w:name="_Toc38443852"/>
      <w:bookmarkStart w:id="1607" w:name="_Toc38438319"/>
      <w:bookmarkStart w:id="1608" w:name="_Toc38438656"/>
      <w:bookmarkStart w:id="1609" w:name="_Toc38438993"/>
      <w:bookmarkStart w:id="1610" w:name="_Toc38439330"/>
      <w:bookmarkStart w:id="1611" w:name="_Toc38439667"/>
      <w:bookmarkStart w:id="1612" w:name="_Toc38440004"/>
      <w:bookmarkStart w:id="1613" w:name="_Toc38440341"/>
      <w:bookmarkStart w:id="1614" w:name="_Toc38440674"/>
      <w:bookmarkStart w:id="1615" w:name="_Toc38440873"/>
      <w:bookmarkStart w:id="1616" w:name="_Toc38441205"/>
      <w:bookmarkStart w:id="1617" w:name="_Toc38441537"/>
      <w:bookmarkStart w:id="1618" w:name="_Toc38441865"/>
      <w:bookmarkStart w:id="1619" w:name="_Toc38442197"/>
      <w:bookmarkStart w:id="1620" w:name="_Toc38442529"/>
      <w:bookmarkStart w:id="1621" w:name="_Toc38442860"/>
      <w:bookmarkStart w:id="1622" w:name="_Toc38443191"/>
      <w:bookmarkStart w:id="1623" w:name="_Toc38443522"/>
      <w:bookmarkStart w:id="1624" w:name="_Toc38443853"/>
      <w:bookmarkStart w:id="1625" w:name="_Toc38438320"/>
      <w:bookmarkStart w:id="1626" w:name="_Toc38438657"/>
      <w:bookmarkStart w:id="1627" w:name="_Toc38438994"/>
      <w:bookmarkStart w:id="1628" w:name="_Toc38439331"/>
      <w:bookmarkStart w:id="1629" w:name="_Toc38439668"/>
      <w:bookmarkStart w:id="1630" w:name="_Toc38440005"/>
      <w:bookmarkStart w:id="1631" w:name="_Toc38440342"/>
      <w:bookmarkStart w:id="1632" w:name="_Toc38440675"/>
      <w:bookmarkStart w:id="1633" w:name="_Toc38440874"/>
      <w:bookmarkStart w:id="1634" w:name="_Toc38441206"/>
      <w:bookmarkStart w:id="1635" w:name="_Toc38441538"/>
      <w:bookmarkStart w:id="1636" w:name="_Toc38441866"/>
      <w:bookmarkStart w:id="1637" w:name="_Toc38442198"/>
      <w:bookmarkStart w:id="1638" w:name="_Toc38442530"/>
      <w:bookmarkStart w:id="1639" w:name="_Toc38442861"/>
      <w:bookmarkStart w:id="1640" w:name="_Toc38443192"/>
      <w:bookmarkStart w:id="1641" w:name="_Toc38443523"/>
      <w:bookmarkStart w:id="1642" w:name="_Toc38443854"/>
      <w:bookmarkStart w:id="1643" w:name="_Toc38438321"/>
      <w:bookmarkStart w:id="1644" w:name="_Toc38438658"/>
      <w:bookmarkStart w:id="1645" w:name="_Toc38438995"/>
      <w:bookmarkStart w:id="1646" w:name="_Toc38439332"/>
      <w:bookmarkStart w:id="1647" w:name="_Toc38439669"/>
      <w:bookmarkStart w:id="1648" w:name="_Toc38440006"/>
      <w:bookmarkStart w:id="1649" w:name="_Toc38440343"/>
      <w:bookmarkStart w:id="1650" w:name="_Toc38440676"/>
      <w:bookmarkStart w:id="1651" w:name="_Toc38440875"/>
      <w:bookmarkStart w:id="1652" w:name="_Toc38441207"/>
      <w:bookmarkStart w:id="1653" w:name="_Toc38441539"/>
      <w:bookmarkStart w:id="1654" w:name="_Toc38441867"/>
      <w:bookmarkStart w:id="1655" w:name="_Toc38442199"/>
      <w:bookmarkStart w:id="1656" w:name="_Toc38442531"/>
      <w:bookmarkStart w:id="1657" w:name="_Toc38442862"/>
      <w:bookmarkStart w:id="1658" w:name="_Toc38443193"/>
      <w:bookmarkStart w:id="1659" w:name="_Toc38443524"/>
      <w:bookmarkStart w:id="1660" w:name="_Toc38443855"/>
      <w:bookmarkStart w:id="1661" w:name="_Toc38438322"/>
      <w:bookmarkStart w:id="1662" w:name="_Toc38438659"/>
      <w:bookmarkStart w:id="1663" w:name="_Toc38438996"/>
      <w:bookmarkStart w:id="1664" w:name="_Toc38439333"/>
      <w:bookmarkStart w:id="1665" w:name="_Toc38439670"/>
      <w:bookmarkStart w:id="1666" w:name="_Toc38440007"/>
      <w:bookmarkStart w:id="1667" w:name="_Toc38440344"/>
      <w:bookmarkStart w:id="1668" w:name="_Toc38440677"/>
      <w:bookmarkStart w:id="1669" w:name="_Toc38440876"/>
      <w:bookmarkStart w:id="1670" w:name="_Toc38441208"/>
      <w:bookmarkStart w:id="1671" w:name="_Toc38441540"/>
      <w:bookmarkStart w:id="1672" w:name="_Toc38441868"/>
      <w:bookmarkStart w:id="1673" w:name="_Toc38442200"/>
      <w:bookmarkStart w:id="1674" w:name="_Toc38442532"/>
      <w:bookmarkStart w:id="1675" w:name="_Toc38442863"/>
      <w:bookmarkStart w:id="1676" w:name="_Toc38443194"/>
      <w:bookmarkStart w:id="1677" w:name="_Toc38443525"/>
      <w:bookmarkStart w:id="1678" w:name="_Toc38443856"/>
      <w:bookmarkStart w:id="1679" w:name="_Toc38438323"/>
      <w:bookmarkStart w:id="1680" w:name="_Toc38438660"/>
      <w:bookmarkStart w:id="1681" w:name="_Toc38438997"/>
      <w:bookmarkStart w:id="1682" w:name="_Toc38439334"/>
      <w:bookmarkStart w:id="1683" w:name="_Toc38439671"/>
      <w:bookmarkStart w:id="1684" w:name="_Toc38440008"/>
      <w:bookmarkStart w:id="1685" w:name="_Toc38440345"/>
      <w:bookmarkStart w:id="1686" w:name="_Toc38440678"/>
      <w:bookmarkStart w:id="1687" w:name="_Toc38440877"/>
      <w:bookmarkStart w:id="1688" w:name="_Toc38441209"/>
      <w:bookmarkStart w:id="1689" w:name="_Toc38441541"/>
      <w:bookmarkStart w:id="1690" w:name="_Toc38441869"/>
      <w:bookmarkStart w:id="1691" w:name="_Toc38442201"/>
      <w:bookmarkStart w:id="1692" w:name="_Toc38442533"/>
      <w:bookmarkStart w:id="1693" w:name="_Toc38442864"/>
      <w:bookmarkStart w:id="1694" w:name="_Toc38443195"/>
      <w:bookmarkStart w:id="1695" w:name="_Toc38443526"/>
      <w:bookmarkStart w:id="1696" w:name="_Toc38443857"/>
      <w:bookmarkStart w:id="1697" w:name="_Toc38438324"/>
      <w:bookmarkStart w:id="1698" w:name="_Toc38438661"/>
      <w:bookmarkStart w:id="1699" w:name="_Toc38438998"/>
      <w:bookmarkStart w:id="1700" w:name="_Toc38439335"/>
      <w:bookmarkStart w:id="1701" w:name="_Toc38439672"/>
      <w:bookmarkStart w:id="1702" w:name="_Toc38440009"/>
      <w:bookmarkStart w:id="1703" w:name="_Toc38440346"/>
      <w:bookmarkStart w:id="1704" w:name="_Toc38440679"/>
      <w:bookmarkStart w:id="1705" w:name="_Toc38440878"/>
      <w:bookmarkStart w:id="1706" w:name="_Toc38441210"/>
      <w:bookmarkStart w:id="1707" w:name="_Toc38441542"/>
      <w:bookmarkStart w:id="1708" w:name="_Toc38441870"/>
      <w:bookmarkStart w:id="1709" w:name="_Toc38442202"/>
      <w:bookmarkStart w:id="1710" w:name="_Toc38442534"/>
      <w:bookmarkStart w:id="1711" w:name="_Toc38442865"/>
      <w:bookmarkStart w:id="1712" w:name="_Toc38443196"/>
      <w:bookmarkStart w:id="1713" w:name="_Toc38443527"/>
      <w:bookmarkStart w:id="1714" w:name="_Toc38443858"/>
      <w:bookmarkStart w:id="1715" w:name="_Toc38438325"/>
      <w:bookmarkStart w:id="1716" w:name="_Toc38438662"/>
      <w:bookmarkStart w:id="1717" w:name="_Toc38438999"/>
      <w:bookmarkStart w:id="1718" w:name="_Toc38439336"/>
      <w:bookmarkStart w:id="1719" w:name="_Toc38439673"/>
      <w:bookmarkStart w:id="1720" w:name="_Toc38440010"/>
      <w:bookmarkStart w:id="1721" w:name="_Toc38440347"/>
      <w:bookmarkStart w:id="1722" w:name="_Toc38440879"/>
      <w:bookmarkStart w:id="1723" w:name="_Toc38441211"/>
      <w:bookmarkStart w:id="1724" w:name="_Toc38441543"/>
      <w:bookmarkStart w:id="1725" w:name="_Toc38441871"/>
      <w:bookmarkStart w:id="1726" w:name="_Toc38442203"/>
      <w:bookmarkStart w:id="1727" w:name="_Toc38442535"/>
      <w:bookmarkStart w:id="1728" w:name="_Toc38442866"/>
      <w:bookmarkStart w:id="1729" w:name="_Toc38443197"/>
      <w:bookmarkStart w:id="1730" w:name="_Toc38443528"/>
      <w:bookmarkStart w:id="1731" w:name="_Toc38443859"/>
      <w:bookmarkStart w:id="1732" w:name="_Toc38438326"/>
      <w:bookmarkStart w:id="1733" w:name="_Toc38438663"/>
      <w:bookmarkStart w:id="1734" w:name="_Toc38439000"/>
      <w:bookmarkStart w:id="1735" w:name="_Toc38439337"/>
      <w:bookmarkStart w:id="1736" w:name="_Toc38439674"/>
      <w:bookmarkStart w:id="1737" w:name="_Toc38440011"/>
      <w:bookmarkStart w:id="1738" w:name="_Toc38440348"/>
      <w:bookmarkStart w:id="1739" w:name="_Toc38440880"/>
      <w:bookmarkStart w:id="1740" w:name="_Toc38441212"/>
      <w:bookmarkStart w:id="1741" w:name="_Toc38441544"/>
      <w:bookmarkStart w:id="1742" w:name="_Toc38441872"/>
      <w:bookmarkStart w:id="1743" w:name="_Toc38442204"/>
      <w:bookmarkStart w:id="1744" w:name="_Toc38442536"/>
      <w:bookmarkStart w:id="1745" w:name="_Toc38442867"/>
      <w:bookmarkStart w:id="1746" w:name="_Toc38443198"/>
      <w:bookmarkStart w:id="1747" w:name="_Toc38443529"/>
      <w:bookmarkStart w:id="1748" w:name="_Toc38443860"/>
      <w:bookmarkStart w:id="1749" w:name="_Toc38438327"/>
      <w:bookmarkStart w:id="1750" w:name="_Toc38438664"/>
      <w:bookmarkStart w:id="1751" w:name="_Toc38439001"/>
      <w:bookmarkStart w:id="1752" w:name="_Toc38439338"/>
      <w:bookmarkStart w:id="1753" w:name="_Toc38439675"/>
      <w:bookmarkStart w:id="1754" w:name="_Toc38440012"/>
      <w:bookmarkStart w:id="1755" w:name="_Toc38440349"/>
      <w:bookmarkStart w:id="1756" w:name="_Toc38440881"/>
      <w:bookmarkStart w:id="1757" w:name="_Toc38441213"/>
      <w:bookmarkStart w:id="1758" w:name="_Toc38441545"/>
      <w:bookmarkStart w:id="1759" w:name="_Toc38441873"/>
      <w:bookmarkStart w:id="1760" w:name="_Toc38442205"/>
      <w:bookmarkStart w:id="1761" w:name="_Toc38442537"/>
      <w:bookmarkStart w:id="1762" w:name="_Toc38442868"/>
      <w:bookmarkStart w:id="1763" w:name="_Toc38443199"/>
      <w:bookmarkStart w:id="1764" w:name="_Toc38443530"/>
      <w:bookmarkStart w:id="1765" w:name="_Toc38443861"/>
      <w:bookmarkStart w:id="1766" w:name="_Toc38438328"/>
      <w:bookmarkStart w:id="1767" w:name="_Toc38438665"/>
      <w:bookmarkStart w:id="1768" w:name="_Toc38439002"/>
      <w:bookmarkStart w:id="1769" w:name="_Toc38439339"/>
      <w:bookmarkStart w:id="1770" w:name="_Toc38439676"/>
      <w:bookmarkStart w:id="1771" w:name="_Toc38440013"/>
      <w:bookmarkStart w:id="1772" w:name="_Toc38440350"/>
      <w:bookmarkStart w:id="1773" w:name="_Toc38440882"/>
      <w:bookmarkStart w:id="1774" w:name="_Toc38441214"/>
      <w:bookmarkStart w:id="1775" w:name="_Toc38441546"/>
      <w:bookmarkStart w:id="1776" w:name="_Toc38441874"/>
      <w:bookmarkStart w:id="1777" w:name="_Toc38442206"/>
      <w:bookmarkStart w:id="1778" w:name="_Toc38442538"/>
      <w:bookmarkStart w:id="1779" w:name="_Toc38442869"/>
      <w:bookmarkStart w:id="1780" w:name="_Toc38443200"/>
      <w:bookmarkStart w:id="1781" w:name="_Toc38443531"/>
      <w:bookmarkStart w:id="1782" w:name="_Toc38443862"/>
      <w:bookmarkStart w:id="1783" w:name="_Toc38438329"/>
      <w:bookmarkStart w:id="1784" w:name="_Toc38438666"/>
      <w:bookmarkStart w:id="1785" w:name="_Toc38439003"/>
      <w:bookmarkStart w:id="1786" w:name="_Toc38439340"/>
      <w:bookmarkStart w:id="1787" w:name="_Toc38439677"/>
      <w:bookmarkStart w:id="1788" w:name="_Toc38440014"/>
      <w:bookmarkStart w:id="1789" w:name="_Toc38440351"/>
      <w:bookmarkStart w:id="1790" w:name="_Toc38440883"/>
      <w:bookmarkStart w:id="1791" w:name="_Toc38441215"/>
      <w:bookmarkStart w:id="1792" w:name="_Toc38441547"/>
      <w:bookmarkStart w:id="1793" w:name="_Toc38441875"/>
      <w:bookmarkStart w:id="1794" w:name="_Toc38442207"/>
      <w:bookmarkStart w:id="1795" w:name="_Toc38442539"/>
      <w:bookmarkStart w:id="1796" w:name="_Toc38442870"/>
      <w:bookmarkStart w:id="1797" w:name="_Toc38443201"/>
      <w:bookmarkStart w:id="1798" w:name="_Toc38443532"/>
      <w:bookmarkStart w:id="1799" w:name="_Toc38443863"/>
      <w:bookmarkStart w:id="1800" w:name="_Toc38438330"/>
      <w:bookmarkStart w:id="1801" w:name="_Toc38438667"/>
      <w:bookmarkStart w:id="1802" w:name="_Toc38439004"/>
      <w:bookmarkStart w:id="1803" w:name="_Toc38439341"/>
      <w:bookmarkStart w:id="1804" w:name="_Toc38439678"/>
      <w:bookmarkStart w:id="1805" w:name="_Toc38440015"/>
      <w:bookmarkStart w:id="1806" w:name="_Toc38440352"/>
      <w:bookmarkStart w:id="1807" w:name="_Toc38440884"/>
      <w:bookmarkStart w:id="1808" w:name="_Toc38441216"/>
      <w:bookmarkStart w:id="1809" w:name="_Toc38441548"/>
      <w:bookmarkStart w:id="1810" w:name="_Toc38441876"/>
      <w:bookmarkStart w:id="1811" w:name="_Toc38442208"/>
      <w:bookmarkStart w:id="1812" w:name="_Toc38442540"/>
      <w:bookmarkStart w:id="1813" w:name="_Toc38442871"/>
      <w:bookmarkStart w:id="1814" w:name="_Toc38443202"/>
      <w:bookmarkStart w:id="1815" w:name="_Toc38443533"/>
      <w:bookmarkStart w:id="1816" w:name="_Toc38443864"/>
      <w:bookmarkStart w:id="1817" w:name="_Toc38438331"/>
      <w:bookmarkStart w:id="1818" w:name="_Toc38438668"/>
      <w:bookmarkStart w:id="1819" w:name="_Toc38439005"/>
      <w:bookmarkStart w:id="1820" w:name="_Toc38439342"/>
      <w:bookmarkStart w:id="1821" w:name="_Toc38439679"/>
      <w:bookmarkStart w:id="1822" w:name="_Toc38440016"/>
      <w:bookmarkStart w:id="1823" w:name="_Toc38440353"/>
      <w:bookmarkStart w:id="1824" w:name="_Toc38440885"/>
      <w:bookmarkStart w:id="1825" w:name="_Toc38441217"/>
      <w:bookmarkStart w:id="1826" w:name="_Toc38441549"/>
      <w:bookmarkStart w:id="1827" w:name="_Toc38441877"/>
      <w:bookmarkStart w:id="1828" w:name="_Toc38442209"/>
      <w:bookmarkStart w:id="1829" w:name="_Toc38442541"/>
      <w:bookmarkStart w:id="1830" w:name="_Toc38442872"/>
      <w:bookmarkStart w:id="1831" w:name="_Toc38443203"/>
      <w:bookmarkStart w:id="1832" w:name="_Toc38443534"/>
      <w:bookmarkStart w:id="1833" w:name="_Toc38443865"/>
      <w:bookmarkStart w:id="1834" w:name="_Toc38438332"/>
      <w:bookmarkStart w:id="1835" w:name="_Toc38438669"/>
      <w:bookmarkStart w:id="1836" w:name="_Toc38439006"/>
      <w:bookmarkStart w:id="1837" w:name="_Toc38439343"/>
      <w:bookmarkStart w:id="1838" w:name="_Toc38439680"/>
      <w:bookmarkStart w:id="1839" w:name="_Toc38440017"/>
      <w:bookmarkStart w:id="1840" w:name="_Toc38440354"/>
      <w:bookmarkStart w:id="1841" w:name="_Toc38440886"/>
      <w:bookmarkStart w:id="1842" w:name="_Toc38441218"/>
      <w:bookmarkStart w:id="1843" w:name="_Toc38441550"/>
      <w:bookmarkStart w:id="1844" w:name="_Toc38441878"/>
      <w:bookmarkStart w:id="1845" w:name="_Toc38442210"/>
      <w:bookmarkStart w:id="1846" w:name="_Toc38442542"/>
      <w:bookmarkStart w:id="1847" w:name="_Toc38442873"/>
      <w:bookmarkStart w:id="1848" w:name="_Toc38443204"/>
      <w:bookmarkStart w:id="1849" w:name="_Toc38443535"/>
      <w:bookmarkStart w:id="1850" w:name="_Toc38443866"/>
      <w:bookmarkStart w:id="1851" w:name="_Toc38438333"/>
      <w:bookmarkStart w:id="1852" w:name="_Toc38438670"/>
      <w:bookmarkStart w:id="1853" w:name="_Toc38439007"/>
      <w:bookmarkStart w:id="1854" w:name="_Toc38439344"/>
      <w:bookmarkStart w:id="1855" w:name="_Toc38439681"/>
      <w:bookmarkStart w:id="1856" w:name="_Toc38440018"/>
      <w:bookmarkStart w:id="1857" w:name="_Toc38440355"/>
      <w:bookmarkStart w:id="1858" w:name="_Toc38440887"/>
      <w:bookmarkStart w:id="1859" w:name="_Toc38441219"/>
      <w:bookmarkStart w:id="1860" w:name="_Toc38441551"/>
      <w:bookmarkStart w:id="1861" w:name="_Toc38441879"/>
      <w:bookmarkStart w:id="1862" w:name="_Toc38442211"/>
      <w:bookmarkStart w:id="1863" w:name="_Toc38442543"/>
      <w:bookmarkStart w:id="1864" w:name="_Toc38442874"/>
      <w:bookmarkStart w:id="1865" w:name="_Toc38443205"/>
      <w:bookmarkStart w:id="1866" w:name="_Toc38443536"/>
      <w:bookmarkStart w:id="1867" w:name="_Toc38443867"/>
      <w:bookmarkStart w:id="1868" w:name="_Toc38438334"/>
      <w:bookmarkStart w:id="1869" w:name="_Toc38438671"/>
      <w:bookmarkStart w:id="1870" w:name="_Toc38439008"/>
      <w:bookmarkStart w:id="1871" w:name="_Toc38439345"/>
      <w:bookmarkStart w:id="1872" w:name="_Toc38439682"/>
      <w:bookmarkStart w:id="1873" w:name="_Toc38440019"/>
      <w:bookmarkStart w:id="1874" w:name="_Toc38440356"/>
      <w:bookmarkStart w:id="1875" w:name="_Toc38440888"/>
      <w:bookmarkStart w:id="1876" w:name="_Toc38441220"/>
      <w:bookmarkStart w:id="1877" w:name="_Toc38441552"/>
      <w:bookmarkStart w:id="1878" w:name="_Toc38441880"/>
      <w:bookmarkStart w:id="1879" w:name="_Toc38442212"/>
      <w:bookmarkStart w:id="1880" w:name="_Toc38442544"/>
      <w:bookmarkStart w:id="1881" w:name="_Toc38442875"/>
      <w:bookmarkStart w:id="1882" w:name="_Toc38443206"/>
      <w:bookmarkStart w:id="1883" w:name="_Toc38443537"/>
      <w:bookmarkStart w:id="1884" w:name="_Toc38443868"/>
      <w:bookmarkStart w:id="1885" w:name="_Toc38438335"/>
      <w:bookmarkStart w:id="1886" w:name="_Toc38438672"/>
      <w:bookmarkStart w:id="1887" w:name="_Toc38439009"/>
      <w:bookmarkStart w:id="1888" w:name="_Toc38439346"/>
      <w:bookmarkStart w:id="1889" w:name="_Toc38439683"/>
      <w:bookmarkStart w:id="1890" w:name="_Toc38440020"/>
      <w:bookmarkStart w:id="1891" w:name="_Toc38440357"/>
      <w:bookmarkStart w:id="1892" w:name="_Toc38440889"/>
      <w:bookmarkStart w:id="1893" w:name="_Toc38441221"/>
      <w:bookmarkStart w:id="1894" w:name="_Toc38441553"/>
      <w:bookmarkStart w:id="1895" w:name="_Toc38441881"/>
      <w:bookmarkStart w:id="1896" w:name="_Toc38442213"/>
      <w:bookmarkStart w:id="1897" w:name="_Toc38442545"/>
      <w:bookmarkStart w:id="1898" w:name="_Toc38442876"/>
      <w:bookmarkStart w:id="1899" w:name="_Toc38443207"/>
      <w:bookmarkStart w:id="1900" w:name="_Toc38443538"/>
      <w:bookmarkStart w:id="1901" w:name="_Toc38443869"/>
      <w:bookmarkStart w:id="1902" w:name="_Toc38438336"/>
      <w:bookmarkStart w:id="1903" w:name="_Toc38438673"/>
      <w:bookmarkStart w:id="1904" w:name="_Toc38439010"/>
      <w:bookmarkStart w:id="1905" w:name="_Toc38439347"/>
      <w:bookmarkStart w:id="1906" w:name="_Toc38439684"/>
      <w:bookmarkStart w:id="1907" w:name="_Toc38440021"/>
      <w:bookmarkStart w:id="1908" w:name="_Toc38440358"/>
      <w:bookmarkStart w:id="1909" w:name="_Toc38440890"/>
      <w:bookmarkStart w:id="1910" w:name="_Toc38441222"/>
      <w:bookmarkStart w:id="1911" w:name="_Toc38441554"/>
      <w:bookmarkStart w:id="1912" w:name="_Toc38441882"/>
      <w:bookmarkStart w:id="1913" w:name="_Toc38442214"/>
      <w:bookmarkStart w:id="1914" w:name="_Toc38442546"/>
      <w:bookmarkStart w:id="1915" w:name="_Toc38442877"/>
      <w:bookmarkStart w:id="1916" w:name="_Toc38443208"/>
      <w:bookmarkStart w:id="1917" w:name="_Toc38443539"/>
      <w:bookmarkStart w:id="1918" w:name="_Toc38443870"/>
      <w:bookmarkStart w:id="1919" w:name="_Toc38438337"/>
      <w:bookmarkStart w:id="1920" w:name="_Toc38438674"/>
      <w:bookmarkStart w:id="1921" w:name="_Toc38439011"/>
      <w:bookmarkStart w:id="1922" w:name="_Toc38439348"/>
      <w:bookmarkStart w:id="1923" w:name="_Toc38439685"/>
      <w:bookmarkStart w:id="1924" w:name="_Toc38440022"/>
      <w:bookmarkStart w:id="1925" w:name="_Toc38440359"/>
      <w:bookmarkStart w:id="1926" w:name="_Toc38440891"/>
      <w:bookmarkStart w:id="1927" w:name="_Toc38441223"/>
      <w:bookmarkStart w:id="1928" w:name="_Toc38441555"/>
      <w:bookmarkStart w:id="1929" w:name="_Toc38441883"/>
      <w:bookmarkStart w:id="1930" w:name="_Toc38442215"/>
      <w:bookmarkStart w:id="1931" w:name="_Toc38442547"/>
      <w:bookmarkStart w:id="1932" w:name="_Toc38442878"/>
      <w:bookmarkStart w:id="1933" w:name="_Toc38443209"/>
      <w:bookmarkStart w:id="1934" w:name="_Toc38443540"/>
      <w:bookmarkStart w:id="1935" w:name="_Toc38443871"/>
      <w:bookmarkStart w:id="1936" w:name="_Toc38438338"/>
      <w:bookmarkStart w:id="1937" w:name="_Toc38438675"/>
      <w:bookmarkStart w:id="1938" w:name="_Toc38439012"/>
      <w:bookmarkStart w:id="1939" w:name="_Toc38439349"/>
      <w:bookmarkStart w:id="1940" w:name="_Toc38439686"/>
      <w:bookmarkStart w:id="1941" w:name="_Toc38440023"/>
      <w:bookmarkStart w:id="1942" w:name="_Toc38440360"/>
      <w:bookmarkStart w:id="1943" w:name="_Toc38440892"/>
      <w:bookmarkStart w:id="1944" w:name="_Toc38441224"/>
      <w:bookmarkStart w:id="1945" w:name="_Toc38441556"/>
      <w:bookmarkStart w:id="1946" w:name="_Toc38441884"/>
      <w:bookmarkStart w:id="1947" w:name="_Toc38442216"/>
      <w:bookmarkStart w:id="1948" w:name="_Toc38442548"/>
      <w:bookmarkStart w:id="1949" w:name="_Toc38442879"/>
      <w:bookmarkStart w:id="1950" w:name="_Toc38443210"/>
      <w:bookmarkStart w:id="1951" w:name="_Toc38443541"/>
      <w:bookmarkStart w:id="1952" w:name="_Toc38443872"/>
      <w:bookmarkStart w:id="1953" w:name="_Toc38438339"/>
      <w:bookmarkStart w:id="1954" w:name="_Toc38438676"/>
      <w:bookmarkStart w:id="1955" w:name="_Toc38439013"/>
      <w:bookmarkStart w:id="1956" w:name="_Toc38439350"/>
      <w:bookmarkStart w:id="1957" w:name="_Toc38439687"/>
      <w:bookmarkStart w:id="1958" w:name="_Toc38440024"/>
      <w:bookmarkStart w:id="1959" w:name="_Toc38440361"/>
      <w:bookmarkStart w:id="1960" w:name="_Toc38440893"/>
      <w:bookmarkStart w:id="1961" w:name="_Toc38441225"/>
      <w:bookmarkStart w:id="1962" w:name="_Toc38441557"/>
      <w:bookmarkStart w:id="1963" w:name="_Toc38441885"/>
      <w:bookmarkStart w:id="1964" w:name="_Toc38442217"/>
      <w:bookmarkStart w:id="1965" w:name="_Toc38442549"/>
      <w:bookmarkStart w:id="1966" w:name="_Toc38442880"/>
      <w:bookmarkStart w:id="1967" w:name="_Toc38443211"/>
      <w:bookmarkStart w:id="1968" w:name="_Toc38443542"/>
      <w:bookmarkStart w:id="1969" w:name="_Toc38443873"/>
      <w:bookmarkStart w:id="1970" w:name="_Toc38438340"/>
      <w:bookmarkStart w:id="1971" w:name="_Toc38438677"/>
      <w:bookmarkStart w:id="1972" w:name="_Toc38439014"/>
      <w:bookmarkStart w:id="1973" w:name="_Toc38439351"/>
      <w:bookmarkStart w:id="1974" w:name="_Toc38439688"/>
      <w:bookmarkStart w:id="1975" w:name="_Toc38440025"/>
      <w:bookmarkStart w:id="1976" w:name="_Toc38440362"/>
      <w:bookmarkStart w:id="1977" w:name="_Toc38440894"/>
      <w:bookmarkStart w:id="1978" w:name="_Toc38441226"/>
      <w:bookmarkStart w:id="1979" w:name="_Toc38441558"/>
      <w:bookmarkStart w:id="1980" w:name="_Toc38441886"/>
      <w:bookmarkStart w:id="1981" w:name="_Toc38442218"/>
      <w:bookmarkStart w:id="1982" w:name="_Toc38442550"/>
      <w:bookmarkStart w:id="1983" w:name="_Toc38442881"/>
      <w:bookmarkStart w:id="1984" w:name="_Toc38443212"/>
      <w:bookmarkStart w:id="1985" w:name="_Toc38443543"/>
      <w:bookmarkStart w:id="1986" w:name="_Toc38443874"/>
      <w:bookmarkStart w:id="1987" w:name="_Toc38438341"/>
      <w:bookmarkStart w:id="1988" w:name="_Toc38438678"/>
      <w:bookmarkStart w:id="1989" w:name="_Toc38439015"/>
      <w:bookmarkStart w:id="1990" w:name="_Toc38439352"/>
      <w:bookmarkStart w:id="1991" w:name="_Toc38439689"/>
      <w:bookmarkStart w:id="1992" w:name="_Toc38440026"/>
      <w:bookmarkStart w:id="1993" w:name="_Toc38440363"/>
      <w:bookmarkStart w:id="1994" w:name="_Toc38440895"/>
      <w:bookmarkStart w:id="1995" w:name="_Toc38441227"/>
      <w:bookmarkStart w:id="1996" w:name="_Toc38441559"/>
      <w:bookmarkStart w:id="1997" w:name="_Toc38441887"/>
      <w:bookmarkStart w:id="1998" w:name="_Toc38442219"/>
      <w:bookmarkStart w:id="1999" w:name="_Toc38442551"/>
      <w:bookmarkStart w:id="2000" w:name="_Toc38442882"/>
      <w:bookmarkStart w:id="2001" w:name="_Toc38443213"/>
      <w:bookmarkStart w:id="2002" w:name="_Toc38443544"/>
      <w:bookmarkStart w:id="2003" w:name="_Toc38443875"/>
      <w:bookmarkStart w:id="2004" w:name="_Toc38438342"/>
      <w:bookmarkStart w:id="2005" w:name="_Toc38438679"/>
      <w:bookmarkStart w:id="2006" w:name="_Toc38439016"/>
      <w:bookmarkStart w:id="2007" w:name="_Toc38439353"/>
      <w:bookmarkStart w:id="2008" w:name="_Toc38439690"/>
      <w:bookmarkStart w:id="2009" w:name="_Toc38440027"/>
      <w:bookmarkStart w:id="2010" w:name="_Toc38440364"/>
      <w:bookmarkStart w:id="2011" w:name="_Toc38440896"/>
      <w:bookmarkStart w:id="2012" w:name="_Toc38441228"/>
      <w:bookmarkStart w:id="2013" w:name="_Toc38441560"/>
      <w:bookmarkStart w:id="2014" w:name="_Toc38441888"/>
      <w:bookmarkStart w:id="2015" w:name="_Toc38442220"/>
      <w:bookmarkStart w:id="2016" w:name="_Toc38442552"/>
      <w:bookmarkStart w:id="2017" w:name="_Toc38442883"/>
      <w:bookmarkStart w:id="2018" w:name="_Toc38443214"/>
      <w:bookmarkStart w:id="2019" w:name="_Toc38443545"/>
      <w:bookmarkStart w:id="2020" w:name="_Toc38443876"/>
      <w:bookmarkStart w:id="2021" w:name="_Toc38438343"/>
      <w:bookmarkStart w:id="2022" w:name="_Toc38438680"/>
      <w:bookmarkStart w:id="2023" w:name="_Toc38439017"/>
      <w:bookmarkStart w:id="2024" w:name="_Toc38439354"/>
      <w:bookmarkStart w:id="2025" w:name="_Toc38439691"/>
      <w:bookmarkStart w:id="2026" w:name="_Toc38440028"/>
      <w:bookmarkStart w:id="2027" w:name="_Toc38440365"/>
      <w:bookmarkStart w:id="2028" w:name="_Toc38440897"/>
      <w:bookmarkStart w:id="2029" w:name="_Toc38441229"/>
      <w:bookmarkStart w:id="2030" w:name="_Toc38441561"/>
      <w:bookmarkStart w:id="2031" w:name="_Toc38441889"/>
      <w:bookmarkStart w:id="2032" w:name="_Toc38442221"/>
      <w:bookmarkStart w:id="2033" w:name="_Toc38442553"/>
      <w:bookmarkStart w:id="2034" w:name="_Toc38442884"/>
      <w:bookmarkStart w:id="2035" w:name="_Toc38443215"/>
      <w:bookmarkStart w:id="2036" w:name="_Toc38443546"/>
      <w:bookmarkStart w:id="2037" w:name="_Toc38443877"/>
      <w:bookmarkStart w:id="2038" w:name="_Toc13148422"/>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sidRPr="00D3689E">
        <w:rPr>
          <w:rFonts w:asciiTheme="minorEastAsia" w:eastAsiaTheme="minorEastAsia" w:hAnsiTheme="minorEastAsia"/>
          <w:b w:val="0"/>
          <w:bCs/>
          <w:color w:val="000000" w:themeColor="text1"/>
        </w:rPr>
        <w:br w:type="page"/>
      </w:r>
      <w:bookmarkStart w:id="2039" w:name="_Toc169103854"/>
      <w:bookmarkEnd w:id="2038"/>
      <w:r w:rsidRPr="00D3689E">
        <w:rPr>
          <w:rFonts w:asciiTheme="minorEastAsia" w:eastAsiaTheme="minorEastAsia" w:hAnsiTheme="minorEastAsia" w:hint="eastAsia"/>
          <w:color w:val="000000" w:themeColor="text1"/>
        </w:rPr>
        <w:t>其他应披露事项</w:t>
      </w:r>
      <w:bookmarkEnd w:id="2039"/>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6"/>
        <w:gridCol w:w="1559"/>
      </w:tblGrid>
      <w:tr w:rsidTr="0093363C">
        <w:tblPrEx>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536" w:type="dxa"/>
            <w:shd w:val="clear" w:color="auto" w:fill="auto"/>
            <w:vAlign w:val="center"/>
            <w:hideMark/>
          </w:tcPr>
          <w:p w:rsidR="00E34502" w:rsidRPr="00D3689E" w:rsidP="006D03CB">
            <w:pPr>
              <w:spacing w:line="360" w:lineRule="auto"/>
              <w:ind w:firstLine="420" w:firstLineChars="200"/>
              <w:jc w:val="center"/>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公告事项</w:t>
            </w:r>
          </w:p>
        </w:tc>
        <w:tc>
          <w:tcPr>
            <w:tcW w:w="1559" w:type="dxa"/>
            <w:shd w:val="clear" w:color="auto" w:fill="auto"/>
            <w:vAlign w:val="center"/>
            <w:hideMark/>
          </w:tcPr>
          <w:p w:rsidR="00E34502" w:rsidRPr="00D3689E" w:rsidP="006D03CB">
            <w:pPr>
              <w:spacing w:line="360" w:lineRule="auto"/>
              <w:jc w:val="center"/>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披露日期</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易方达基金管理有限公司旗下基金2022年中期报告提示性公告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2022-08-30</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关于旗下部分基金2022年9月5日因境外主要投资市场节假日暂停申购、赎回、转换、定期定额投资业务的提示性公告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2022-08-31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易方达基金管理有限公司旗下基金2022年第3季度报告提示性公告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2022-10-26</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易方达中证海外中国互联网50交易型开放式指数证券投资基金联接基金调整大额申购业务限制的公告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2022-10-28</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易方达中证海外中国互联网50交易型开放式指数证券投资基金联接基金2022年11月2日暂停申购、赎回及定期定额投资业务的公告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2022-11-02</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关于旗下部分基金2022年11月24日因境外主要投资市场节假日暂停申购、赎回、转换、定期定额投资业务的提示性公告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2022-11-21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关于旗下部分基金2022年12月26日至2022年12月27日因港股通非交易日及境外主要投资市场节假日暂停申购、赎回、转换、定期定额投资业务的提示性公告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2022-12-21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关于易方达中证海外中国互联网50交易型开放式指数证券投资基金联接基金2023年境外主要投资市场节假日暂停申购、赎回、定期定额投资业务的公告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2022-12-28</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关于旗下部分基金2023年1月16日因境外主要投资市场节假日暂停申购、赎回、转换、定期定额投资业务的提示性公告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2023-01-11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易方达中证海外中国互联网50交易型开放式指数证券投资基金联接基金调整大额申购业务限制的公告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2023-01-19</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易方达基金管理有限公司旗下基金2022年第4季度报告提示性公告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2023-01-20</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关于旗下部分基金2023年2月20日因境外主要投资市场节假日暂停申购、赎回、转换、定期定额投资业务的提示性公告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2023-02-15</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易方达中证海外中国互联网50交易型开放式指数证券投资基金联接基金调整大额申购业务限制的公告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2023-02-22</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易方达基金管理有限公司旗下基金2022年年度报告提示性公告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2023-03-30</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易方达基金管理有限公司关于提醒投资者及时提供或更新身份信息资料的公告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2023-03-31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关于旗下部分基金2023年4月7日至2023年4月10日因港股通非交易日及境外主要投资市场节假日暂停申购、赎回、转换、定期定额投资业务的提示性公告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2023-04-03</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易方达基金管理有限公司旗下基金2023年第1季度报告提示性公告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2023-04-21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易方达基金管理有限公司高级管理人员变更公告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2023-04-22</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关于旗下部分基金2023年5月26日至2023年5月29日因境外主要投资市场节假日暂停申购、赎回、转换、定期定额投资业务的提示性公告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2023-05-23</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关于旗下部分基金2023年6月19日因境外主要投资市场节假日暂停</w:t>
            </w:r>
            <w:r w:rsidRPr="00D3689E">
              <w:rPr>
                <w:rFonts w:asciiTheme="minorEastAsia" w:eastAsiaTheme="minorEastAsia" w:hAnsiTheme="minorEastAsia"/>
                <w:color w:val="000000" w:themeColor="text1"/>
              </w:rPr>
              <w:t>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2023-06-14</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易方达中证海外中国互联网50交易型开放式指数证券投资基金联接基金基金经理变更公告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2023-06-21</w:t>
            </w:r>
          </w:p>
        </w:tc>
      </w:tr>
      <w:tr>
        <w:tblPrEx>
          <w:tblW w:w="8095" w:type="dxa"/>
          <w:tblInd w:w="93" w:type="dxa"/>
          <w:tblLayout w:type="fixed"/>
          <w:tblLook w:val="04A0"/>
        </w:tblPrEx>
        <w:tc>
          <w:tcPr>
            <w:tcW w:w="6536" w:type="dxa"/>
          </w:tcPr>
          <w:p w:rsidR="00007E6D" w:rsidRPr="00D3689E">
            <w:pPr>
              <w:jc w:val="left"/>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关于旗下部分基金2023年7月4日因境外主要投资市场节假日暂停申购、赎回、转换、定期定额投资业务的提示性公告</w:t>
            </w:r>
          </w:p>
        </w:tc>
        <w:tc>
          <w:tcPr>
            <w:tcW w:w="1559" w:type="dxa"/>
          </w:tcPr>
          <w:p w:rsidR="00007E6D" w:rsidRPr="00D3689E">
            <w:pPr>
              <w:jc w:val="center"/>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2023-06-29</w:t>
            </w:r>
          </w:p>
        </w:tc>
      </w:tr>
    </w:tbl>
    <w:p w:rsidR="00E34502" w:rsidRPr="00D3689E" w:rsidP="0028353A">
      <w:pPr>
        <w:pStyle w:val="ListParagraph"/>
        <w:ind w:left="0" w:hanging="36" w:leftChars="-17" w:hangingChars="17"/>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注：以上公告事项披露在规定媒介及基金管理人网站上。</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bookmarkStart w:id="2040" w:name="_Toc13852070"/>
      <w:bookmarkStart w:id="2041" w:name="_Toc38438350"/>
      <w:bookmarkStart w:id="2042" w:name="_Toc38438687"/>
      <w:bookmarkStart w:id="2043" w:name="_Toc38439024"/>
      <w:bookmarkStart w:id="2044" w:name="_Toc38439361"/>
      <w:bookmarkStart w:id="2045" w:name="_Toc38439698"/>
      <w:bookmarkStart w:id="2046" w:name="_Toc38440035"/>
      <w:bookmarkStart w:id="2047" w:name="_Toc38440372"/>
      <w:bookmarkStart w:id="2048" w:name="_Toc38440904"/>
      <w:bookmarkStart w:id="2049" w:name="_Toc38441236"/>
      <w:bookmarkStart w:id="2050" w:name="_Toc38441568"/>
      <w:bookmarkStart w:id="2051" w:name="_Toc38441896"/>
      <w:bookmarkStart w:id="2052" w:name="_Toc38442228"/>
      <w:bookmarkStart w:id="2053" w:name="_Toc38442560"/>
      <w:bookmarkStart w:id="2054" w:name="_Toc38442891"/>
      <w:bookmarkStart w:id="2055" w:name="_Toc38443222"/>
      <w:bookmarkStart w:id="2056" w:name="_Toc38443553"/>
      <w:bookmarkStart w:id="2057" w:name="_Toc38443883"/>
      <w:bookmarkStart w:id="2058" w:name="_Toc38438351"/>
      <w:bookmarkStart w:id="2059" w:name="_Toc38438688"/>
      <w:bookmarkStart w:id="2060" w:name="_Toc38439025"/>
      <w:bookmarkStart w:id="2061" w:name="_Toc38439362"/>
      <w:bookmarkStart w:id="2062" w:name="_Toc38439699"/>
      <w:bookmarkStart w:id="2063" w:name="_Toc38440036"/>
      <w:bookmarkStart w:id="2064" w:name="_Toc38440373"/>
      <w:bookmarkStart w:id="2065" w:name="_Toc38440905"/>
      <w:bookmarkStart w:id="2066" w:name="_Toc38441237"/>
      <w:bookmarkStart w:id="2067" w:name="_Toc38441569"/>
      <w:bookmarkStart w:id="2068" w:name="_Toc38441897"/>
      <w:bookmarkStart w:id="2069" w:name="_Toc38442229"/>
      <w:bookmarkStart w:id="2070" w:name="_Toc38442561"/>
      <w:bookmarkStart w:id="2071" w:name="_Toc38442892"/>
      <w:bookmarkStart w:id="2072" w:name="_Toc38443223"/>
      <w:bookmarkStart w:id="2073" w:name="_Toc38443554"/>
      <w:bookmarkStart w:id="2074" w:name="_Toc38443884"/>
      <w:bookmarkStart w:id="2075" w:name="_Toc38438352"/>
      <w:bookmarkStart w:id="2076" w:name="_Toc38438689"/>
      <w:bookmarkStart w:id="2077" w:name="_Toc38439026"/>
      <w:bookmarkStart w:id="2078" w:name="_Toc38439363"/>
      <w:bookmarkStart w:id="2079" w:name="_Toc38439700"/>
      <w:bookmarkStart w:id="2080" w:name="_Toc38440037"/>
      <w:bookmarkStart w:id="2081" w:name="_Toc38440374"/>
      <w:bookmarkStart w:id="2082" w:name="_Toc38440906"/>
      <w:bookmarkStart w:id="2083" w:name="_Toc38441238"/>
      <w:bookmarkStart w:id="2084" w:name="_Toc38441570"/>
      <w:bookmarkStart w:id="2085" w:name="_Toc38441898"/>
      <w:bookmarkStart w:id="2086" w:name="_Toc38442230"/>
      <w:bookmarkStart w:id="2087" w:name="_Toc38442562"/>
      <w:bookmarkStart w:id="2088" w:name="_Toc38442893"/>
      <w:bookmarkStart w:id="2089" w:name="_Toc38443224"/>
      <w:bookmarkStart w:id="2090" w:name="_Toc38443555"/>
      <w:bookmarkStart w:id="2091" w:name="_Toc38443885"/>
      <w:bookmarkStart w:id="2092" w:name="_Toc38438353"/>
      <w:bookmarkStart w:id="2093" w:name="_Toc38438690"/>
      <w:bookmarkStart w:id="2094" w:name="_Toc38439027"/>
      <w:bookmarkStart w:id="2095" w:name="_Toc38439364"/>
      <w:bookmarkStart w:id="2096" w:name="_Toc38439701"/>
      <w:bookmarkStart w:id="2097" w:name="_Toc38440038"/>
      <w:bookmarkStart w:id="2098" w:name="_Toc38440375"/>
      <w:bookmarkStart w:id="2099" w:name="_Toc38440907"/>
      <w:bookmarkStart w:id="2100" w:name="_Toc38441239"/>
      <w:bookmarkStart w:id="2101" w:name="_Toc38441571"/>
      <w:bookmarkStart w:id="2102" w:name="_Toc38441899"/>
      <w:bookmarkStart w:id="2103" w:name="_Toc38442231"/>
      <w:bookmarkStart w:id="2104" w:name="_Toc38442563"/>
      <w:bookmarkStart w:id="2105" w:name="_Toc38442894"/>
      <w:bookmarkStart w:id="2106" w:name="_Toc38443225"/>
      <w:bookmarkStart w:id="2107" w:name="_Toc38443556"/>
      <w:bookmarkStart w:id="2108" w:name="_Toc38443886"/>
      <w:bookmarkStart w:id="2109" w:name="_Toc38438354"/>
      <w:bookmarkStart w:id="2110" w:name="_Toc38438691"/>
      <w:bookmarkStart w:id="2111" w:name="_Toc38439028"/>
      <w:bookmarkStart w:id="2112" w:name="_Toc38439365"/>
      <w:bookmarkStart w:id="2113" w:name="_Toc38439702"/>
      <w:bookmarkStart w:id="2114" w:name="_Toc38440039"/>
      <w:bookmarkStart w:id="2115" w:name="_Toc38440376"/>
      <w:bookmarkStart w:id="2116" w:name="_Toc38440908"/>
      <w:bookmarkStart w:id="2117" w:name="_Toc38441240"/>
      <w:bookmarkStart w:id="2118" w:name="_Toc38441572"/>
      <w:bookmarkStart w:id="2119" w:name="_Toc38441900"/>
      <w:bookmarkStart w:id="2120" w:name="_Toc38442232"/>
      <w:bookmarkStart w:id="2121" w:name="_Toc38442564"/>
      <w:bookmarkStart w:id="2122" w:name="_Toc38442895"/>
      <w:bookmarkStart w:id="2123" w:name="_Toc38443226"/>
      <w:bookmarkStart w:id="2124" w:name="_Toc38443557"/>
      <w:bookmarkStart w:id="2125" w:name="_Toc38443887"/>
      <w:bookmarkStart w:id="2126" w:name="_Toc38438355"/>
      <w:bookmarkStart w:id="2127" w:name="_Toc38438692"/>
      <w:bookmarkStart w:id="2128" w:name="_Toc38439029"/>
      <w:bookmarkStart w:id="2129" w:name="_Toc38439366"/>
      <w:bookmarkStart w:id="2130" w:name="_Toc38439703"/>
      <w:bookmarkStart w:id="2131" w:name="_Toc38440040"/>
      <w:bookmarkStart w:id="2132" w:name="_Toc38440377"/>
      <w:bookmarkStart w:id="2133" w:name="_Toc38440909"/>
      <w:bookmarkStart w:id="2134" w:name="_Toc38441241"/>
      <w:bookmarkStart w:id="2135" w:name="_Toc38441573"/>
      <w:bookmarkStart w:id="2136" w:name="_Toc38441901"/>
      <w:bookmarkStart w:id="2137" w:name="_Toc38442233"/>
      <w:bookmarkStart w:id="2138" w:name="_Toc38442565"/>
      <w:bookmarkStart w:id="2139" w:name="_Toc38442896"/>
      <w:bookmarkStart w:id="2140" w:name="_Toc38443227"/>
      <w:bookmarkStart w:id="2141" w:name="_Toc38443558"/>
      <w:bookmarkStart w:id="2142" w:name="_Toc38443888"/>
      <w:bookmarkStart w:id="2143" w:name="_Toc38438356"/>
      <w:bookmarkStart w:id="2144" w:name="_Toc38438693"/>
      <w:bookmarkStart w:id="2145" w:name="_Toc38439030"/>
      <w:bookmarkStart w:id="2146" w:name="_Toc38439367"/>
      <w:bookmarkStart w:id="2147" w:name="_Toc38439704"/>
      <w:bookmarkStart w:id="2148" w:name="_Toc38440041"/>
      <w:bookmarkStart w:id="2149" w:name="_Toc38440378"/>
      <w:bookmarkStart w:id="2150" w:name="_Toc38440910"/>
      <w:bookmarkStart w:id="2151" w:name="_Toc38441242"/>
      <w:bookmarkStart w:id="2152" w:name="_Toc38441574"/>
      <w:bookmarkStart w:id="2153" w:name="_Toc38441902"/>
      <w:bookmarkStart w:id="2154" w:name="_Toc38442234"/>
      <w:bookmarkStart w:id="2155" w:name="_Toc38442566"/>
      <w:bookmarkStart w:id="2156" w:name="_Toc38442897"/>
      <w:bookmarkStart w:id="2157" w:name="_Toc38443228"/>
      <w:bookmarkStart w:id="2158" w:name="_Toc38443559"/>
      <w:bookmarkStart w:id="2159" w:name="_Toc38443889"/>
      <w:bookmarkStart w:id="2160" w:name="_Toc38438357"/>
      <w:bookmarkStart w:id="2161" w:name="_Toc38438694"/>
      <w:bookmarkStart w:id="2162" w:name="_Toc38439031"/>
      <w:bookmarkStart w:id="2163" w:name="_Toc38439368"/>
      <w:bookmarkStart w:id="2164" w:name="_Toc38439705"/>
      <w:bookmarkStart w:id="2165" w:name="_Toc38440042"/>
      <w:bookmarkStart w:id="2166" w:name="_Toc38440379"/>
      <w:bookmarkStart w:id="2167" w:name="_Toc38440911"/>
      <w:bookmarkStart w:id="2168" w:name="_Toc38441243"/>
      <w:bookmarkStart w:id="2169" w:name="_Toc38441575"/>
      <w:bookmarkStart w:id="2170" w:name="_Toc38441903"/>
      <w:bookmarkStart w:id="2171" w:name="_Toc38442235"/>
      <w:bookmarkStart w:id="2172" w:name="_Toc38442567"/>
      <w:bookmarkStart w:id="2173" w:name="_Toc38442898"/>
      <w:bookmarkStart w:id="2174" w:name="_Toc38443229"/>
      <w:bookmarkStart w:id="2175" w:name="_Toc38443560"/>
      <w:bookmarkStart w:id="2176" w:name="_Toc38443890"/>
      <w:bookmarkStart w:id="2177" w:name="_Toc38438358"/>
      <w:bookmarkStart w:id="2178" w:name="_Toc38438695"/>
      <w:bookmarkStart w:id="2179" w:name="_Toc38439032"/>
      <w:bookmarkStart w:id="2180" w:name="_Toc38439369"/>
      <w:bookmarkStart w:id="2181" w:name="_Toc38439706"/>
      <w:bookmarkStart w:id="2182" w:name="_Toc38440043"/>
      <w:bookmarkStart w:id="2183" w:name="_Toc38440380"/>
      <w:bookmarkStart w:id="2184" w:name="_Toc38440912"/>
      <w:bookmarkStart w:id="2185" w:name="_Toc38441244"/>
      <w:bookmarkStart w:id="2186" w:name="_Toc38441576"/>
      <w:bookmarkStart w:id="2187" w:name="_Toc38441904"/>
      <w:bookmarkStart w:id="2188" w:name="_Toc38442236"/>
      <w:bookmarkStart w:id="2189" w:name="_Toc38442568"/>
      <w:bookmarkStart w:id="2190" w:name="_Toc38442899"/>
      <w:bookmarkStart w:id="2191" w:name="_Toc38443230"/>
      <w:bookmarkStart w:id="2192" w:name="_Toc38443561"/>
      <w:bookmarkStart w:id="2193" w:name="_Toc38443891"/>
      <w:bookmarkStart w:id="2194" w:name="_Toc38438359"/>
      <w:bookmarkStart w:id="2195" w:name="_Toc38438696"/>
      <w:bookmarkStart w:id="2196" w:name="_Toc38439033"/>
      <w:bookmarkStart w:id="2197" w:name="_Toc38439370"/>
      <w:bookmarkStart w:id="2198" w:name="_Toc38439707"/>
      <w:bookmarkStart w:id="2199" w:name="_Toc38440044"/>
      <w:bookmarkStart w:id="2200" w:name="_Toc38440381"/>
      <w:bookmarkStart w:id="2201" w:name="_Toc38440913"/>
      <w:bookmarkStart w:id="2202" w:name="_Toc38441245"/>
      <w:bookmarkStart w:id="2203" w:name="_Toc38441577"/>
      <w:bookmarkStart w:id="2204" w:name="_Toc38441905"/>
      <w:bookmarkStart w:id="2205" w:name="_Toc38442237"/>
      <w:bookmarkStart w:id="2206" w:name="_Toc38442569"/>
      <w:bookmarkStart w:id="2207" w:name="_Toc38442900"/>
      <w:bookmarkStart w:id="2208" w:name="_Toc38443231"/>
      <w:bookmarkStart w:id="2209" w:name="_Toc38443562"/>
      <w:bookmarkStart w:id="2210" w:name="_Toc38443892"/>
      <w:bookmarkStart w:id="2211" w:name="_Toc38438360"/>
      <w:bookmarkStart w:id="2212" w:name="_Toc38438697"/>
      <w:bookmarkStart w:id="2213" w:name="_Toc38439034"/>
      <w:bookmarkStart w:id="2214" w:name="_Toc38439371"/>
      <w:bookmarkStart w:id="2215" w:name="_Toc38439708"/>
      <w:bookmarkStart w:id="2216" w:name="_Toc38440045"/>
      <w:bookmarkStart w:id="2217" w:name="_Toc38440382"/>
      <w:bookmarkStart w:id="2218" w:name="_Toc38440914"/>
      <w:bookmarkStart w:id="2219" w:name="_Toc38441246"/>
      <w:bookmarkStart w:id="2220" w:name="_Toc38441578"/>
      <w:bookmarkStart w:id="2221" w:name="_Toc38441906"/>
      <w:bookmarkStart w:id="2222" w:name="_Toc38442238"/>
      <w:bookmarkStart w:id="2223" w:name="_Toc38442570"/>
      <w:bookmarkStart w:id="2224" w:name="_Toc38442901"/>
      <w:bookmarkStart w:id="2225" w:name="_Toc38443232"/>
      <w:bookmarkStart w:id="2226" w:name="_Toc38443563"/>
      <w:bookmarkStart w:id="2227" w:name="_Toc38443893"/>
      <w:bookmarkStart w:id="2228" w:name="_Toc38438361"/>
      <w:bookmarkStart w:id="2229" w:name="_Toc38438698"/>
      <w:bookmarkStart w:id="2230" w:name="_Toc38439035"/>
      <w:bookmarkStart w:id="2231" w:name="_Toc38439372"/>
      <w:bookmarkStart w:id="2232" w:name="_Toc38439709"/>
      <w:bookmarkStart w:id="2233" w:name="_Toc38440046"/>
      <w:bookmarkStart w:id="2234" w:name="_Toc38440383"/>
      <w:bookmarkStart w:id="2235" w:name="_Toc38440915"/>
      <w:bookmarkStart w:id="2236" w:name="_Toc38441247"/>
      <w:bookmarkStart w:id="2237" w:name="_Toc38441579"/>
      <w:bookmarkStart w:id="2238" w:name="_Toc38441907"/>
      <w:bookmarkStart w:id="2239" w:name="_Toc38442239"/>
      <w:bookmarkStart w:id="2240" w:name="_Toc38442571"/>
      <w:bookmarkStart w:id="2241" w:name="_Toc38442902"/>
      <w:bookmarkStart w:id="2242" w:name="_Toc38443233"/>
      <w:bookmarkStart w:id="2243" w:name="_Toc38443564"/>
      <w:bookmarkStart w:id="2244" w:name="_Toc38443894"/>
      <w:bookmarkStart w:id="2245" w:name="_Toc38438362"/>
      <w:bookmarkStart w:id="2246" w:name="_Toc38438699"/>
      <w:bookmarkStart w:id="2247" w:name="_Toc38439036"/>
      <w:bookmarkStart w:id="2248" w:name="_Toc38439373"/>
      <w:bookmarkStart w:id="2249" w:name="_Toc38439710"/>
      <w:bookmarkStart w:id="2250" w:name="_Toc38440047"/>
      <w:bookmarkStart w:id="2251" w:name="_Toc38440384"/>
      <w:bookmarkStart w:id="2252" w:name="_Toc38440916"/>
      <w:bookmarkStart w:id="2253" w:name="_Toc38441248"/>
      <w:bookmarkStart w:id="2254" w:name="_Toc38441580"/>
      <w:bookmarkStart w:id="2255" w:name="_Toc38441908"/>
      <w:bookmarkStart w:id="2256" w:name="_Toc38442240"/>
      <w:bookmarkStart w:id="2257" w:name="_Toc38442572"/>
      <w:bookmarkStart w:id="2258" w:name="_Toc38442903"/>
      <w:bookmarkStart w:id="2259" w:name="_Toc38443234"/>
      <w:bookmarkStart w:id="2260" w:name="_Toc38443565"/>
      <w:bookmarkStart w:id="2261" w:name="_Toc38443895"/>
      <w:bookmarkStart w:id="2262" w:name="_Toc38438363"/>
      <w:bookmarkStart w:id="2263" w:name="_Toc38438700"/>
      <w:bookmarkStart w:id="2264" w:name="_Toc38439037"/>
      <w:bookmarkStart w:id="2265" w:name="_Toc38439374"/>
      <w:bookmarkStart w:id="2266" w:name="_Toc38439711"/>
      <w:bookmarkStart w:id="2267" w:name="_Toc38440048"/>
      <w:bookmarkStart w:id="2268" w:name="_Toc38440385"/>
      <w:bookmarkStart w:id="2269" w:name="_Toc38440917"/>
      <w:bookmarkStart w:id="2270" w:name="_Toc38441249"/>
      <w:bookmarkStart w:id="2271" w:name="_Toc38441581"/>
      <w:bookmarkStart w:id="2272" w:name="_Toc38441909"/>
      <w:bookmarkStart w:id="2273" w:name="_Toc38442241"/>
      <w:bookmarkStart w:id="2274" w:name="_Toc38442573"/>
      <w:bookmarkStart w:id="2275" w:name="_Toc38442904"/>
      <w:bookmarkStart w:id="2276" w:name="_Toc38443235"/>
      <w:bookmarkStart w:id="2277" w:name="_Toc38443566"/>
      <w:bookmarkStart w:id="2278" w:name="_Toc38443896"/>
      <w:bookmarkStart w:id="2279" w:name="_Toc38438364"/>
      <w:bookmarkStart w:id="2280" w:name="_Toc38438701"/>
      <w:bookmarkStart w:id="2281" w:name="_Toc38439038"/>
      <w:bookmarkStart w:id="2282" w:name="_Toc38439375"/>
      <w:bookmarkStart w:id="2283" w:name="_Toc38439712"/>
      <w:bookmarkStart w:id="2284" w:name="_Toc38440049"/>
      <w:bookmarkStart w:id="2285" w:name="_Toc38440386"/>
      <w:bookmarkStart w:id="2286" w:name="_Toc38440918"/>
      <w:bookmarkStart w:id="2287" w:name="_Toc38441250"/>
      <w:bookmarkStart w:id="2288" w:name="_Toc38441582"/>
      <w:bookmarkStart w:id="2289" w:name="_Toc38441910"/>
      <w:bookmarkStart w:id="2290" w:name="_Toc38442242"/>
      <w:bookmarkStart w:id="2291" w:name="_Toc38442574"/>
      <w:bookmarkStart w:id="2292" w:name="_Toc38442905"/>
      <w:bookmarkStart w:id="2293" w:name="_Toc38443236"/>
      <w:bookmarkStart w:id="2294" w:name="_Toc38443567"/>
      <w:bookmarkStart w:id="2295" w:name="_Toc38443897"/>
      <w:bookmarkStart w:id="2296" w:name="_Toc38438365"/>
      <w:bookmarkStart w:id="2297" w:name="_Toc38438702"/>
      <w:bookmarkStart w:id="2298" w:name="_Toc38439039"/>
      <w:bookmarkStart w:id="2299" w:name="_Toc38439376"/>
      <w:bookmarkStart w:id="2300" w:name="_Toc38439713"/>
      <w:bookmarkStart w:id="2301" w:name="_Toc38440050"/>
      <w:bookmarkStart w:id="2302" w:name="_Toc38440387"/>
      <w:bookmarkStart w:id="2303" w:name="_Toc38440919"/>
      <w:bookmarkStart w:id="2304" w:name="_Toc38441251"/>
      <w:bookmarkStart w:id="2305" w:name="_Toc38441583"/>
      <w:bookmarkStart w:id="2306" w:name="_Toc38441911"/>
      <w:bookmarkStart w:id="2307" w:name="_Toc38442243"/>
      <w:bookmarkStart w:id="2308" w:name="_Toc38442575"/>
      <w:bookmarkStart w:id="2309" w:name="_Toc38442906"/>
      <w:bookmarkStart w:id="2310" w:name="_Toc38443237"/>
      <w:bookmarkStart w:id="2311" w:name="_Toc38443568"/>
      <w:bookmarkStart w:id="2312" w:name="_Toc38443898"/>
      <w:bookmarkStart w:id="2313" w:name="_Toc38438366"/>
      <w:bookmarkStart w:id="2314" w:name="_Toc38438703"/>
      <w:bookmarkStart w:id="2315" w:name="_Toc38439040"/>
      <w:bookmarkStart w:id="2316" w:name="_Toc38439377"/>
      <w:bookmarkStart w:id="2317" w:name="_Toc38439714"/>
      <w:bookmarkStart w:id="2318" w:name="_Toc38440051"/>
      <w:bookmarkStart w:id="2319" w:name="_Toc38440388"/>
      <w:bookmarkStart w:id="2320" w:name="_Toc38440920"/>
      <w:bookmarkStart w:id="2321" w:name="_Toc38441252"/>
      <w:bookmarkStart w:id="2322" w:name="_Toc38441584"/>
      <w:bookmarkStart w:id="2323" w:name="_Toc38441912"/>
      <w:bookmarkStart w:id="2324" w:name="_Toc38442244"/>
      <w:bookmarkStart w:id="2325" w:name="_Toc38442576"/>
      <w:bookmarkStart w:id="2326" w:name="_Toc38442907"/>
      <w:bookmarkStart w:id="2327" w:name="_Toc38443238"/>
      <w:bookmarkStart w:id="2328" w:name="_Toc38443569"/>
      <w:bookmarkStart w:id="2329" w:name="_Toc38443899"/>
      <w:bookmarkStart w:id="2330" w:name="_Toc38438367"/>
      <w:bookmarkStart w:id="2331" w:name="_Toc38438704"/>
      <w:bookmarkStart w:id="2332" w:name="_Toc38439041"/>
      <w:bookmarkStart w:id="2333" w:name="_Toc38439378"/>
      <w:bookmarkStart w:id="2334" w:name="_Toc38439715"/>
      <w:bookmarkStart w:id="2335" w:name="_Toc38440052"/>
      <w:bookmarkStart w:id="2336" w:name="_Toc38440389"/>
      <w:bookmarkStart w:id="2337" w:name="_Toc38440921"/>
      <w:bookmarkStart w:id="2338" w:name="_Toc38441253"/>
      <w:bookmarkStart w:id="2339" w:name="_Toc38441585"/>
      <w:bookmarkStart w:id="2340" w:name="_Toc38441913"/>
      <w:bookmarkStart w:id="2341" w:name="_Toc38442245"/>
      <w:bookmarkStart w:id="2342" w:name="_Toc38442577"/>
      <w:bookmarkStart w:id="2343" w:name="_Toc38442908"/>
      <w:bookmarkStart w:id="2344" w:name="_Toc38443239"/>
      <w:bookmarkStart w:id="2345" w:name="_Toc38443570"/>
      <w:bookmarkStart w:id="2346" w:name="_Toc38443900"/>
      <w:bookmarkStart w:id="2347" w:name="_Toc38438368"/>
      <w:bookmarkStart w:id="2348" w:name="_Toc38438705"/>
      <w:bookmarkStart w:id="2349" w:name="_Toc38439042"/>
      <w:bookmarkStart w:id="2350" w:name="_Toc38439379"/>
      <w:bookmarkStart w:id="2351" w:name="_Toc38439716"/>
      <w:bookmarkStart w:id="2352" w:name="_Toc38440053"/>
      <w:bookmarkStart w:id="2353" w:name="_Toc38440390"/>
      <w:bookmarkStart w:id="2354" w:name="_Toc38440922"/>
      <w:bookmarkStart w:id="2355" w:name="_Toc38441254"/>
      <w:bookmarkStart w:id="2356" w:name="_Toc38441586"/>
      <w:bookmarkStart w:id="2357" w:name="_Toc38441914"/>
      <w:bookmarkStart w:id="2358" w:name="_Toc38442246"/>
      <w:bookmarkStart w:id="2359" w:name="_Toc38442578"/>
      <w:bookmarkStart w:id="2360" w:name="_Toc38442909"/>
      <w:bookmarkStart w:id="2361" w:name="_Toc38443240"/>
      <w:bookmarkStart w:id="2362" w:name="_Toc38443571"/>
      <w:bookmarkStart w:id="2363" w:name="_Toc38443901"/>
      <w:bookmarkStart w:id="2364" w:name="_Toc38438369"/>
      <w:bookmarkStart w:id="2365" w:name="_Toc38438706"/>
      <w:bookmarkStart w:id="2366" w:name="_Toc38439043"/>
      <w:bookmarkStart w:id="2367" w:name="_Toc38439380"/>
      <w:bookmarkStart w:id="2368" w:name="_Toc38439717"/>
      <w:bookmarkStart w:id="2369" w:name="_Toc38440054"/>
      <w:bookmarkStart w:id="2370" w:name="_Toc38440391"/>
      <w:bookmarkStart w:id="2371" w:name="_Toc38440923"/>
      <w:bookmarkStart w:id="2372" w:name="_Toc38441255"/>
      <w:bookmarkStart w:id="2373" w:name="_Toc38441587"/>
      <w:bookmarkStart w:id="2374" w:name="_Toc38441915"/>
      <w:bookmarkStart w:id="2375" w:name="_Toc38442247"/>
      <w:bookmarkStart w:id="2376" w:name="_Toc38442579"/>
      <w:bookmarkStart w:id="2377" w:name="_Toc38442910"/>
      <w:bookmarkStart w:id="2378" w:name="_Toc38443241"/>
      <w:bookmarkStart w:id="2379" w:name="_Toc38443572"/>
      <w:bookmarkStart w:id="2380" w:name="_Toc38443902"/>
      <w:bookmarkStart w:id="2381" w:name="_Toc38438371"/>
      <w:bookmarkStart w:id="2382" w:name="_Toc38438708"/>
      <w:bookmarkStart w:id="2383" w:name="_Toc38439045"/>
      <w:bookmarkStart w:id="2384" w:name="_Toc38439382"/>
      <w:bookmarkStart w:id="2385" w:name="_Toc38439719"/>
      <w:bookmarkStart w:id="2386" w:name="_Toc38440056"/>
      <w:bookmarkStart w:id="2387" w:name="_Toc38440393"/>
      <w:bookmarkStart w:id="2388" w:name="_Toc38440925"/>
      <w:bookmarkStart w:id="2389" w:name="_Toc38441257"/>
      <w:bookmarkStart w:id="2390" w:name="_Toc38441589"/>
      <w:bookmarkStart w:id="2391" w:name="_Toc38441917"/>
      <w:bookmarkStart w:id="2392" w:name="_Toc38442249"/>
      <w:bookmarkStart w:id="2393" w:name="_Toc38442581"/>
      <w:bookmarkStart w:id="2394" w:name="_Toc38442912"/>
      <w:bookmarkStart w:id="2395" w:name="_Toc38443243"/>
      <w:bookmarkStart w:id="2396" w:name="_Toc38443574"/>
      <w:bookmarkStart w:id="2397" w:name="_Toc38443904"/>
      <w:bookmarkStart w:id="2398" w:name="_Toc38438372"/>
      <w:bookmarkStart w:id="2399" w:name="_Toc38438709"/>
      <w:bookmarkStart w:id="2400" w:name="_Toc38439046"/>
      <w:bookmarkStart w:id="2401" w:name="_Toc38439383"/>
      <w:bookmarkStart w:id="2402" w:name="_Toc38439720"/>
      <w:bookmarkStart w:id="2403" w:name="_Toc38440057"/>
      <w:bookmarkStart w:id="2404" w:name="_Toc38440394"/>
      <w:bookmarkStart w:id="2405" w:name="_Toc38440926"/>
      <w:bookmarkStart w:id="2406" w:name="_Toc38441258"/>
      <w:bookmarkStart w:id="2407" w:name="_Toc38441590"/>
      <w:bookmarkStart w:id="2408" w:name="_Toc38441918"/>
      <w:bookmarkStart w:id="2409" w:name="_Toc38442250"/>
      <w:bookmarkStart w:id="2410" w:name="_Toc38442582"/>
      <w:bookmarkStart w:id="2411" w:name="_Toc38442913"/>
      <w:bookmarkStart w:id="2412" w:name="_Toc38443244"/>
      <w:bookmarkStart w:id="2413" w:name="_Toc38443575"/>
      <w:bookmarkStart w:id="2414" w:name="_Toc38443905"/>
      <w:bookmarkStart w:id="2415" w:name="_Toc38438373"/>
      <w:bookmarkStart w:id="2416" w:name="_Toc38438710"/>
      <w:bookmarkStart w:id="2417" w:name="_Toc38439047"/>
      <w:bookmarkStart w:id="2418" w:name="_Toc38439384"/>
      <w:bookmarkStart w:id="2419" w:name="_Toc38439721"/>
      <w:bookmarkStart w:id="2420" w:name="_Toc38440058"/>
      <w:bookmarkStart w:id="2421" w:name="_Toc38440395"/>
      <w:bookmarkStart w:id="2422" w:name="_Toc38440927"/>
      <w:bookmarkStart w:id="2423" w:name="_Toc38441259"/>
      <w:bookmarkStart w:id="2424" w:name="_Toc38441591"/>
      <w:bookmarkStart w:id="2425" w:name="_Toc38441919"/>
      <w:bookmarkStart w:id="2426" w:name="_Toc38442251"/>
      <w:bookmarkStart w:id="2427" w:name="_Toc38442583"/>
      <w:bookmarkStart w:id="2428" w:name="_Toc38442914"/>
      <w:bookmarkStart w:id="2429" w:name="_Toc38443245"/>
      <w:bookmarkStart w:id="2430" w:name="_Toc38443576"/>
      <w:bookmarkStart w:id="2431" w:name="_Toc38443906"/>
      <w:bookmarkStart w:id="2432" w:name="_Toc38438374"/>
      <w:bookmarkStart w:id="2433" w:name="_Toc38438711"/>
      <w:bookmarkStart w:id="2434" w:name="_Toc38439048"/>
      <w:bookmarkStart w:id="2435" w:name="_Toc38439385"/>
      <w:bookmarkStart w:id="2436" w:name="_Toc38439722"/>
      <w:bookmarkStart w:id="2437" w:name="_Toc38440059"/>
      <w:bookmarkStart w:id="2438" w:name="_Toc38440396"/>
      <w:bookmarkStart w:id="2439" w:name="_Toc38440928"/>
      <w:bookmarkStart w:id="2440" w:name="_Toc38441260"/>
      <w:bookmarkStart w:id="2441" w:name="_Toc38441592"/>
      <w:bookmarkStart w:id="2442" w:name="_Toc38441920"/>
      <w:bookmarkStart w:id="2443" w:name="_Toc38442252"/>
      <w:bookmarkStart w:id="2444" w:name="_Toc38442584"/>
      <w:bookmarkStart w:id="2445" w:name="_Toc38442915"/>
      <w:bookmarkStart w:id="2446" w:name="_Toc38443246"/>
      <w:bookmarkStart w:id="2447" w:name="_Toc38443577"/>
      <w:bookmarkStart w:id="2448" w:name="_Toc38443907"/>
      <w:bookmarkStart w:id="2449" w:name="_Toc38438375"/>
      <w:bookmarkStart w:id="2450" w:name="_Toc38438712"/>
      <w:bookmarkStart w:id="2451" w:name="_Toc38439049"/>
      <w:bookmarkStart w:id="2452" w:name="_Toc38439386"/>
      <w:bookmarkStart w:id="2453" w:name="_Toc38439723"/>
      <w:bookmarkStart w:id="2454" w:name="_Toc38440060"/>
      <w:bookmarkStart w:id="2455" w:name="_Toc38440397"/>
      <w:bookmarkStart w:id="2456" w:name="_Toc38440929"/>
      <w:bookmarkStart w:id="2457" w:name="_Toc38441261"/>
      <w:bookmarkStart w:id="2458" w:name="_Toc38441593"/>
      <w:bookmarkStart w:id="2459" w:name="_Toc38441921"/>
      <w:bookmarkStart w:id="2460" w:name="_Toc38442253"/>
      <w:bookmarkStart w:id="2461" w:name="_Toc38442585"/>
      <w:bookmarkStart w:id="2462" w:name="_Toc38442916"/>
      <w:bookmarkStart w:id="2463" w:name="_Toc38443247"/>
      <w:bookmarkStart w:id="2464" w:name="_Toc38443578"/>
      <w:bookmarkStart w:id="2465" w:name="_Toc38443908"/>
      <w:bookmarkStart w:id="2466" w:name="_Toc38438376"/>
      <w:bookmarkStart w:id="2467" w:name="_Toc38438713"/>
      <w:bookmarkStart w:id="2468" w:name="_Toc38439050"/>
      <w:bookmarkStart w:id="2469" w:name="_Toc38439387"/>
      <w:bookmarkStart w:id="2470" w:name="_Toc38439724"/>
      <w:bookmarkStart w:id="2471" w:name="_Toc38440061"/>
      <w:bookmarkStart w:id="2472" w:name="_Toc38440398"/>
      <w:bookmarkStart w:id="2473" w:name="_Toc38440930"/>
      <w:bookmarkStart w:id="2474" w:name="_Toc38441262"/>
      <w:bookmarkStart w:id="2475" w:name="_Toc38441594"/>
      <w:bookmarkStart w:id="2476" w:name="_Toc38441922"/>
      <w:bookmarkStart w:id="2477" w:name="_Toc38442254"/>
      <w:bookmarkStart w:id="2478" w:name="_Toc38442586"/>
      <w:bookmarkStart w:id="2479" w:name="_Toc38442917"/>
      <w:bookmarkStart w:id="2480" w:name="_Toc38443248"/>
      <w:bookmarkStart w:id="2481" w:name="_Toc38443579"/>
      <w:bookmarkStart w:id="2482" w:name="_Toc38443909"/>
      <w:bookmarkStart w:id="2483" w:name="_Toc38438377"/>
      <w:bookmarkStart w:id="2484" w:name="_Toc38438714"/>
      <w:bookmarkStart w:id="2485" w:name="_Toc38439051"/>
      <w:bookmarkStart w:id="2486" w:name="_Toc38439388"/>
      <w:bookmarkStart w:id="2487" w:name="_Toc38439725"/>
      <w:bookmarkStart w:id="2488" w:name="_Toc38440062"/>
      <w:bookmarkStart w:id="2489" w:name="_Toc38440399"/>
      <w:bookmarkStart w:id="2490" w:name="_Toc38440931"/>
      <w:bookmarkStart w:id="2491" w:name="_Toc38441263"/>
      <w:bookmarkStart w:id="2492" w:name="_Toc38441595"/>
      <w:bookmarkStart w:id="2493" w:name="_Toc38441923"/>
      <w:bookmarkStart w:id="2494" w:name="_Toc38442255"/>
      <w:bookmarkStart w:id="2495" w:name="_Toc38442587"/>
      <w:bookmarkStart w:id="2496" w:name="_Toc38442918"/>
      <w:bookmarkStart w:id="2497" w:name="_Toc38443249"/>
      <w:bookmarkStart w:id="2498" w:name="_Toc38443580"/>
      <w:bookmarkStart w:id="2499" w:name="_Toc38443910"/>
      <w:bookmarkStart w:id="2500" w:name="_Toc38438378"/>
      <w:bookmarkStart w:id="2501" w:name="_Toc38438715"/>
      <w:bookmarkStart w:id="2502" w:name="_Toc38439052"/>
      <w:bookmarkStart w:id="2503" w:name="_Toc38439389"/>
      <w:bookmarkStart w:id="2504" w:name="_Toc38439726"/>
      <w:bookmarkStart w:id="2505" w:name="_Toc38440063"/>
      <w:bookmarkStart w:id="2506" w:name="_Toc38440400"/>
      <w:bookmarkStart w:id="2507" w:name="_Toc38440932"/>
      <w:bookmarkStart w:id="2508" w:name="_Toc38441264"/>
      <w:bookmarkStart w:id="2509" w:name="_Toc38441596"/>
      <w:bookmarkStart w:id="2510" w:name="_Toc38441924"/>
      <w:bookmarkStart w:id="2511" w:name="_Toc38442256"/>
      <w:bookmarkStart w:id="2512" w:name="_Toc38442588"/>
      <w:bookmarkStart w:id="2513" w:name="_Toc38442919"/>
      <w:bookmarkStart w:id="2514" w:name="_Toc38443250"/>
      <w:bookmarkStart w:id="2515" w:name="_Toc38443581"/>
      <w:bookmarkStart w:id="2516" w:name="_Toc38443911"/>
      <w:bookmarkStart w:id="2517" w:name="_Toc38438379"/>
      <w:bookmarkStart w:id="2518" w:name="_Toc38438716"/>
      <w:bookmarkStart w:id="2519" w:name="_Toc38439053"/>
      <w:bookmarkStart w:id="2520" w:name="_Toc38439390"/>
      <w:bookmarkStart w:id="2521" w:name="_Toc38439727"/>
      <w:bookmarkStart w:id="2522" w:name="_Toc38440064"/>
      <w:bookmarkStart w:id="2523" w:name="_Toc38440401"/>
      <w:bookmarkStart w:id="2524" w:name="_Toc38440933"/>
      <w:bookmarkStart w:id="2525" w:name="_Toc38441265"/>
      <w:bookmarkStart w:id="2526" w:name="_Toc38441597"/>
      <w:bookmarkStart w:id="2527" w:name="_Toc38441925"/>
      <w:bookmarkStart w:id="2528" w:name="_Toc38442257"/>
      <w:bookmarkStart w:id="2529" w:name="_Toc38442589"/>
      <w:bookmarkStart w:id="2530" w:name="_Toc38442920"/>
      <w:bookmarkStart w:id="2531" w:name="_Toc38443251"/>
      <w:bookmarkStart w:id="2532" w:name="_Toc38443582"/>
      <w:bookmarkStart w:id="2533" w:name="_Toc38443912"/>
      <w:bookmarkStart w:id="2534" w:name="_Toc38438380"/>
      <w:bookmarkStart w:id="2535" w:name="_Toc38438717"/>
      <w:bookmarkStart w:id="2536" w:name="_Toc38439054"/>
      <w:bookmarkStart w:id="2537" w:name="_Toc38439391"/>
      <w:bookmarkStart w:id="2538" w:name="_Toc38439728"/>
      <w:bookmarkStart w:id="2539" w:name="_Toc38440065"/>
      <w:bookmarkStart w:id="2540" w:name="_Toc38440402"/>
      <w:bookmarkStart w:id="2541" w:name="_Toc38440934"/>
      <w:bookmarkStart w:id="2542" w:name="_Toc38441266"/>
      <w:bookmarkStart w:id="2543" w:name="_Toc38441598"/>
      <w:bookmarkStart w:id="2544" w:name="_Toc38441926"/>
      <w:bookmarkStart w:id="2545" w:name="_Toc38442258"/>
      <w:bookmarkStart w:id="2546" w:name="_Toc38442590"/>
      <w:bookmarkStart w:id="2547" w:name="_Toc38442921"/>
      <w:bookmarkStart w:id="2548" w:name="_Toc38443252"/>
      <w:bookmarkStart w:id="2549" w:name="_Toc38443583"/>
      <w:bookmarkStart w:id="2550" w:name="_Toc38443913"/>
      <w:bookmarkStart w:id="2551" w:name="_Toc38438381"/>
      <w:bookmarkStart w:id="2552" w:name="_Toc38438718"/>
      <w:bookmarkStart w:id="2553" w:name="_Toc38439055"/>
      <w:bookmarkStart w:id="2554" w:name="_Toc38439392"/>
      <w:bookmarkStart w:id="2555" w:name="_Toc38439729"/>
      <w:bookmarkStart w:id="2556" w:name="_Toc38440066"/>
      <w:bookmarkStart w:id="2557" w:name="_Toc38440403"/>
      <w:bookmarkStart w:id="2558" w:name="_Toc38440935"/>
      <w:bookmarkStart w:id="2559" w:name="_Toc38441267"/>
      <w:bookmarkStart w:id="2560" w:name="_Toc38441599"/>
      <w:bookmarkStart w:id="2561" w:name="_Toc38441927"/>
      <w:bookmarkStart w:id="2562" w:name="_Toc38442259"/>
      <w:bookmarkStart w:id="2563" w:name="_Toc38442591"/>
      <w:bookmarkStart w:id="2564" w:name="_Toc38442922"/>
      <w:bookmarkStart w:id="2565" w:name="_Toc38443253"/>
      <w:bookmarkStart w:id="2566" w:name="_Toc38443584"/>
      <w:bookmarkStart w:id="2567" w:name="_Toc38443914"/>
      <w:bookmarkStart w:id="2568" w:name="_Toc38438382"/>
      <w:bookmarkStart w:id="2569" w:name="_Toc38438719"/>
      <w:bookmarkStart w:id="2570" w:name="_Toc38439056"/>
      <w:bookmarkStart w:id="2571" w:name="_Toc38439393"/>
      <w:bookmarkStart w:id="2572" w:name="_Toc38439730"/>
      <w:bookmarkStart w:id="2573" w:name="_Toc38440067"/>
      <w:bookmarkStart w:id="2574" w:name="_Toc38440404"/>
      <w:bookmarkStart w:id="2575" w:name="_Toc38440936"/>
      <w:bookmarkStart w:id="2576" w:name="_Toc38441268"/>
      <w:bookmarkStart w:id="2577" w:name="_Toc38441600"/>
      <w:bookmarkStart w:id="2578" w:name="_Toc38441928"/>
      <w:bookmarkStart w:id="2579" w:name="_Toc38442260"/>
      <w:bookmarkStart w:id="2580" w:name="_Toc38442592"/>
      <w:bookmarkStart w:id="2581" w:name="_Toc38442923"/>
      <w:bookmarkStart w:id="2582" w:name="_Toc38443254"/>
      <w:bookmarkStart w:id="2583" w:name="_Toc38443585"/>
      <w:bookmarkStart w:id="2584" w:name="_Toc38443915"/>
      <w:bookmarkStart w:id="2585" w:name="_Toc38438383"/>
      <w:bookmarkStart w:id="2586" w:name="_Toc38438720"/>
      <w:bookmarkStart w:id="2587" w:name="_Toc38439057"/>
      <w:bookmarkStart w:id="2588" w:name="_Toc38439394"/>
      <w:bookmarkStart w:id="2589" w:name="_Toc38439731"/>
      <w:bookmarkStart w:id="2590" w:name="_Toc38440068"/>
      <w:bookmarkStart w:id="2591" w:name="_Toc38440405"/>
      <w:bookmarkStart w:id="2592" w:name="_Toc38440937"/>
      <w:bookmarkStart w:id="2593" w:name="_Toc38441269"/>
      <w:bookmarkStart w:id="2594" w:name="_Toc38441601"/>
      <w:bookmarkStart w:id="2595" w:name="_Toc38441929"/>
      <w:bookmarkStart w:id="2596" w:name="_Toc38442261"/>
      <w:bookmarkStart w:id="2597" w:name="_Toc38442593"/>
      <w:bookmarkStart w:id="2598" w:name="_Toc38442924"/>
      <w:bookmarkStart w:id="2599" w:name="_Toc38443255"/>
      <w:bookmarkStart w:id="2600" w:name="_Toc38443586"/>
      <w:bookmarkStart w:id="2601" w:name="_Toc38443916"/>
      <w:bookmarkStart w:id="2602" w:name="_Toc38438384"/>
      <w:bookmarkStart w:id="2603" w:name="_Toc38438721"/>
      <w:bookmarkStart w:id="2604" w:name="_Toc38439058"/>
      <w:bookmarkStart w:id="2605" w:name="_Toc38439395"/>
      <w:bookmarkStart w:id="2606" w:name="_Toc38439732"/>
      <w:bookmarkStart w:id="2607" w:name="_Toc38440069"/>
      <w:bookmarkStart w:id="2608" w:name="_Toc38440406"/>
      <w:bookmarkStart w:id="2609" w:name="_Toc38440938"/>
      <w:bookmarkStart w:id="2610" w:name="_Toc38441270"/>
      <w:bookmarkStart w:id="2611" w:name="_Toc38441602"/>
      <w:bookmarkStart w:id="2612" w:name="_Toc38441930"/>
      <w:bookmarkStart w:id="2613" w:name="_Toc38442262"/>
      <w:bookmarkStart w:id="2614" w:name="_Toc38442594"/>
      <w:bookmarkStart w:id="2615" w:name="_Toc38442925"/>
      <w:bookmarkStart w:id="2616" w:name="_Toc38443256"/>
      <w:bookmarkStart w:id="2617" w:name="_Toc38443587"/>
      <w:bookmarkStart w:id="2618" w:name="_Toc38443917"/>
      <w:bookmarkStart w:id="2619" w:name="_Toc38438385"/>
      <w:bookmarkStart w:id="2620" w:name="_Toc38438722"/>
      <w:bookmarkStart w:id="2621" w:name="_Toc38439059"/>
      <w:bookmarkStart w:id="2622" w:name="_Toc38439396"/>
      <w:bookmarkStart w:id="2623" w:name="_Toc38439733"/>
      <w:bookmarkStart w:id="2624" w:name="_Toc38440070"/>
      <w:bookmarkStart w:id="2625" w:name="_Toc38440407"/>
      <w:bookmarkStart w:id="2626" w:name="_Toc38440939"/>
      <w:bookmarkStart w:id="2627" w:name="_Toc38441271"/>
      <w:bookmarkStart w:id="2628" w:name="_Toc38441603"/>
      <w:bookmarkStart w:id="2629" w:name="_Toc38441931"/>
      <w:bookmarkStart w:id="2630" w:name="_Toc38442263"/>
      <w:bookmarkStart w:id="2631" w:name="_Toc38442595"/>
      <w:bookmarkStart w:id="2632" w:name="_Toc38442926"/>
      <w:bookmarkStart w:id="2633" w:name="_Toc38443257"/>
      <w:bookmarkStart w:id="2634" w:name="_Toc38443588"/>
      <w:bookmarkStart w:id="2635" w:name="_Toc38443918"/>
      <w:bookmarkStart w:id="2636" w:name="_Toc38438386"/>
      <w:bookmarkStart w:id="2637" w:name="_Toc38438723"/>
      <w:bookmarkStart w:id="2638" w:name="_Toc38439060"/>
      <w:bookmarkStart w:id="2639" w:name="_Toc38439397"/>
      <w:bookmarkStart w:id="2640" w:name="_Toc38439734"/>
      <w:bookmarkStart w:id="2641" w:name="_Toc38440071"/>
      <w:bookmarkStart w:id="2642" w:name="_Toc38440408"/>
      <w:bookmarkStart w:id="2643" w:name="_Toc38440940"/>
      <w:bookmarkStart w:id="2644" w:name="_Toc38441272"/>
      <w:bookmarkStart w:id="2645" w:name="_Toc38441604"/>
      <w:bookmarkStart w:id="2646" w:name="_Toc38441932"/>
      <w:bookmarkStart w:id="2647" w:name="_Toc38442264"/>
      <w:bookmarkStart w:id="2648" w:name="_Toc38442596"/>
      <w:bookmarkStart w:id="2649" w:name="_Toc38442927"/>
      <w:bookmarkStart w:id="2650" w:name="_Toc38443258"/>
      <w:bookmarkStart w:id="2651" w:name="_Toc38443589"/>
      <w:bookmarkStart w:id="2652" w:name="_Toc38443919"/>
      <w:bookmarkStart w:id="2653" w:name="_Toc38438387"/>
      <w:bookmarkStart w:id="2654" w:name="_Toc38438724"/>
      <w:bookmarkStart w:id="2655" w:name="_Toc38439061"/>
      <w:bookmarkStart w:id="2656" w:name="_Toc38439398"/>
      <w:bookmarkStart w:id="2657" w:name="_Toc38439735"/>
      <w:bookmarkStart w:id="2658" w:name="_Toc38440072"/>
      <w:bookmarkStart w:id="2659" w:name="_Toc38440409"/>
      <w:bookmarkStart w:id="2660" w:name="_Toc38440941"/>
      <w:bookmarkStart w:id="2661" w:name="_Toc38441273"/>
      <w:bookmarkStart w:id="2662" w:name="_Toc38441605"/>
      <w:bookmarkStart w:id="2663" w:name="_Toc38441933"/>
      <w:bookmarkStart w:id="2664" w:name="_Toc38442265"/>
      <w:bookmarkStart w:id="2665" w:name="_Toc38442597"/>
      <w:bookmarkStart w:id="2666" w:name="_Toc38442928"/>
      <w:bookmarkStart w:id="2667" w:name="_Toc38443259"/>
      <w:bookmarkStart w:id="2668" w:name="_Toc38443590"/>
      <w:bookmarkStart w:id="2669" w:name="_Toc38443920"/>
      <w:bookmarkStart w:id="2670" w:name="_Toc38438388"/>
      <w:bookmarkStart w:id="2671" w:name="_Toc38438725"/>
      <w:bookmarkStart w:id="2672" w:name="_Toc38439062"/>
      <w:bookmarkStart w:id="2673" w:name="_Toc38439399"/>
      <w:bookmarkStart w:id="2674" w:name="_Toc38439736"/>
      <w:bookmarkStart w:id="2675" w:name="_Toc38440073"/>
      <w:bookmarkStart w:id="2676" w:name="_Toc38440410"/>
      <w:bookmarkStart w:id="2677" w:name="_Toc38440942"/>
      <w:bookmarkStart w:id="2678" w:name="_Toc38441274"/>
      <w:bookmarkStart w:id="2679" w:name="_Toc38441606"/>
      <w:bookmarkStart w:id="2680" w:name="_Toc38441934"/>
      <w:bookmarkStart w:id="2681" w:name="_Toc38442266"/>
      <w:bookmarkStart w:id="2682" w:name="_Toc38442598"/>
      <w:bookmarkStart w:id="2683" w:name="_Toc38442929"/>
      <w:bookmarkStart w:id="2684" w:name="_Toc38443260"/>
      <w:bookmarkStart w:id="2685" w:name="_Toc38443591"/>
      <w:bookmarkStart w:id="2686" w:name="_Toc38443921"/>
      <w:bookmarkStart w:id="2687" w:name="_Toc38438389"/>
      <w:bookmarkStart w:id="2688" w:name="_Toc38438726"/>
      <w:bookmarkStart w:id="2689" w:name="_Toc38439063"/>
      <w:bookmarkStart w:id="2690" w:name="_Toc38439400"/>
      <w:bookmarkStart w:id="2691" w:name="_Toc38439737"/>
      <w:bookmarkStart w:id="2692" w:name="_Toc38440074"/>
      <w:bookmarkStart w:id="2693" w:name="_Toc38440411"/>
      <w:bookmarkStart w:id="2694" w:name="_Toc38440943"/>
      <w:bookmarkStart w:id="2695" w:name="_Toc38441275"/>
      <w:bookmarkStart w:id="2696" w:name="_Toc38441607"/>
      <w:bookmarkStart w:id="2697" w:name="_Toc38441935"/>
      <w:bookmarkStart w:id="2698" w:name="_Toc38442267"/>
      <w:bookmarkStart w:id="2699" w:name="_Toc38442599"/>
      <w:bookmarkStart w:id="2700" w:name="_Toc38442930"/>
      <w:bookmarkStart w:id="2701" w:name="_Toc38443261"/>
      <w:bookmarkStart w:id="2702" w:name="_Toc38443592"/>
      <w:bookmarkStart w:id="2703" w:name="_Toc38443922"/>
      <w:bookmarkStart w:id="2704" w:name="_Toc38438390"/>
      <w:bookmarkStart w:id="2705" w:name="_Toc38438727"/>
      <w:bookmarkStart w:id="2706" w:name="_Toc38439064"/>
      <w:bookmarkStart w:id="2707" w:name="_Toc38439401"/>
      <w:bookmarkStart w:id="2708" w:name="_Toc38439738"/>
      <w:bookmarkStart w:id="2709" w:name="_Toc38440075"/>
      <w:bookmarkStart w:id="2710" w:name="_Toc38440412"/>
      <w:bookmarkStart w:id="2711" w:name="_Toc38440944"/>
      <w:bookmarkStart w:id="2712" w:name="_Toc38441276"/>
      <w:bookmarkStart w:id="2713" w:name="_Toc38441608"/>
      <w:bookmarkStart w:id="2714" w:name="_Toc38441936"/>
      <w:bookmarkStart w:id="2715" w:name="_Toc38442268"/>
      <w:bookmarkStart w:id="2716" w:name="_Toc38442600"/>
      <w:bookmarkStart w:id="2717" w:name="_Toc38442931"/>
      <w:bookmarkStart w:id="2718" w:name="_Toc38443262"/>
      <w:bookmarkStart w:id="2719" w:name="_Toc38443593"/>
      <w:bookmarkStart w:id="2720" w:name="_Toc38443923"/>
      <w:bookmarkStart w:id="2721" w:name="_Toc38438391"/>
      <w:bookmarkStart w:id="2722" w:name="_Toc38438728"/>
      <w:bookmarkStart w:id="2723" w:name="_Toc38439065"/>
      <w:bookmarkStart w:id="2724" w:name="_Toc38439402"/>
      <w:bookmarkStart w:id="2725" w:name="_Toc38439739"/>
      <w:bookmarkStart w:id="2726" w:name="_Toc38440076"/>
      <w:bookmarkStart w:id="2727" w:name="_Toc38440413"/>
      <w:bookmarkStart w:id="2728" w:name="_Toc38440945"/>
      <w:bookmarkStart w:id="2729" w:name="_Toc38441277"/>
      <w:bookmarkStart w:id="2730" w:name="_Toc38441609"/>
      <w:bookmarkStart w:id="2731" w:name="_Toc38441937"/>
      <w:bookmarkStart w:id="2732" w:name="_Toc38442269"/>
      <w:bookmarkStart w:id="2733" w:name="_Toc38442601"/>
      <w:bookmarkStart w:id="2734" w:name="_Toc38442932"/>
      <w:bookmarkStart w:id="2735" w:name="_Toc38443263"/>
      <w:bookmarkStart w:id="2736" w:name="_Toc38443594"/>
      <w:bookmarkStart w:id="2737" w:name="_Toc38443924"/>
      <w:bookmarkStart w:id="2738" w:name="_Toc38438392"/>
      <w:bookmarkStart w:id="2739" w:name="_Toc38438729"/>
      <w:bookmarkStart w:id="2740" w:name="_Toc38439066"/>
      <w:bookmarkStart w:id="2741" w:name="_Toc38439403"/>
      <w:bookmarkStart w:id="2742" w:name="_Toc38439740"/>
      <w:bookmarkStart w:id="2743" w:name="_Toc38440077"/>
      <w:bookmarkStart w:id="2744" w:name="_Toc38440414"/>
      <w:bookmarkStart w:id="2745" w:name="_Toc38440946"/>
      <w:bookmarkStart w:id="2746" w:name="_Toc38441278"/>
      <w:bookmarkStart w:id="2747" w:name="_Toc38441610"/>
      <w:bookmarkStart w:id="2748" w:name="_Toc38441938"/>
      <w:bookmarkStart w:id="2749" w:name="_Toc38442270"/>
      <w:bookmarkStart w:id="2750" w:name="_Toc38442602"/>
      <w:bookmarkStart w:id="2751" w:name="_Toc38442933"/>
      <w:bookmarkStart w:id="2752" w:name="_Toc38443264"/>
      <w:bookmarkStart w:id="2753" w:name="_Toc38443595"/>
      <w:bookmarkStart w:id="2754" w:name="_Toc38443925"/>
      <w:bookmarkStart w:id="2755" w:name="_Toc38438393"/>
      <w:bookmarkStart w:id="2756" w:name="_Toc38438730"/>
      <w:bookmarkStart w:id="2757" w:name="_Toc38439067"/>
      <w:bookmarkStart w:id="2758" w:name="_Toc38439404"/>
      <w:bookmarkStart w:id="2759" w:name="_Toc38439741"/>
      <w:bookmarkStart w:id="2760" w:name="_Toc38440078"/>
      <w:bookmarkStart w:id="2761" w:name="_Toc38440415"/>
      <w:bookmarkStart w:id="2762" w:name="_Toc38440947"/>
      <w:bookmarkStart w:id="2763" w:name="_Toc38441279"/>
      <w:bookmarkStart w:id="2764" w:name="_Toc38441611"/>
      <w:bookmarkStart w:id="2765" w:name="_Toc38441939"/>
      <w:bookmarkStart w:id="2766" w:name="_Toc38442271"/>
      <w:bookmarkStart w:id="2767" w:name="_Toc38442603"/>
      <w:bookmarkStart w:id="2768" w:name="_Toc38442934"/>
      <w:bookmarkStart w:id="2769" w:name="_Toc38443265"/>
      <w:bookmarkStart w:id="2770" w:name="_Toc38443596"/>
      <w:bookmarkStart w:id="2771" w:name="_Toc38443926"/>
      <w:bookmarkStart w:id="2772" w:name="_Toc38438394"/>
      <w:bookmarkStart w:id="2773" w:name="_Toc38438731"/>
      <w:bookmarkStart w:id="2774" w:name="_Toc38439068"/>
      <w:bookmarkStart w:id="2775" w:name="_Toc38439405"/>
      <w:bookmarkStart w:id="2776" w:name="_Toc38439742"/>
      <w:bookmarkStart w:id="2777" w:name="_Toc38440079"/>
      <w:bookmarkStart w:id="2778" w:name="_Toc38440416"/>
      <w:bookmarkStart w:id="2779" w:name="_Toc38440948"/>
      <w:bookmarkStart w:id="2780" w:name="_Toc38441280"/>
      <w:bookmarkStart w:id="2781" w:name="_Toc38441612"/>
      <w:bookmarkStart w:id="2782" w:name="_Toc38441940"/>
      <w:bookmarkStart w:id="2783" w:name="_Toc38442272"/>
      <w:bookmarkStart w:id="2784" w:name="_Toc38442604"/>
      <w:bookmarkStart w:id="2785" w:name="_Toc38442935"/>
      <w:bookmarkStart w:id="2786" w:name="_Toc38443266"/>
      <w:bookmarkStart w:id="2787" w:name="_Toc38443597"/>
      <w:bookmarkStart w:id="2788" w:name="_Toc38443927"/>
      <w:bookmarkStart w:id="2789" w:name="_Toc38438395"/>
      <w:bookmarkStart w:id="2790" w:name="_Toc38438732"/>
      <w:bookmarkStart w:id="2791" w:name="_Toc38439069"/>
      <w:bookmarkStart w:id="2792" w:name="_Toc38439406"/>
      <w:bookmarkStart w:id="2793" w:name="_Toc38439743"/>
      <w:bookmarkStart w:id="2794" w:name="_Toc38440080"/>
      <w:bookmarkStart w:id="2795" w:name="_Toc38440417"/>
      <w:bookmarkStart w:id="2796" w:name="_Toc38440949"/>
      <w:bookmarkStart w:id="2797" w:name="_Toc38441281"/>
      <w:bookmarkStart w:id="2798" w:name="_Toc38441613"/>
      <w:bookmarkStart w:id="2799" w:name="_Toc38441941"/>
      <w:bookmarkStart w:id="2800" w:name="_Toc38442273"/>
      <w:bookmarkStart w:id="2801" w:name="_Toc38442605"/>
      <w:bookmarkStart w:id="2802" w:name="_Toc38442936"/>
      <w:bookmarkStart w:id="2803" w:name="_Toc38443267"/>
      <w:bookmarkStart w:id="2804" w:name="_Toc38443598"/>
      <w:bookmarkStart w:id="2805" w:name="_Toc38443928"/>
      <w:bookmarkStart w:id="2806" w:name="_Toc38438396"/>
      <w:bookmarkStart w:id="2807" w:name="_Toc38438733"/>
      <w:bookmarkStart w:id="2808" w:name="_Toc38439070"/>
      <w:bookmarkStart w:id="2809" w:name="_Toc38439407"/>
      <w:bookmarkStart w:id="2810" w:name="_Toc38439744"/>
      <w:bookmarkStart w:id="2811" w:name="_Toc38440081"/>
      <w:bookmarkStart w:id="2812" w:name="_Toc38440418"/>
      <w:bookmarkStart w:id="2813" w:name="_Toc38440950"/>
      <w:bookmarkStart w:id="2814" w:name="_Toc38441282"/>
      <w:bookmarkStart w:id="2815" w:name="_Toc38441614"/>
      <w:bookmarkStart w:id="2816" w:name="_Toc38441942"/>
      <w:bookmarkStart w:id="2817" w:name="_Toc38442274"/>
      <w:bookmarkStart w:id="2818" w:name="_Toc38442606"/>
      <w:bookmarkStart w:id="2819" w:name="_Toc38442937"/>
      <w:bookmarkStart w:id="2820" w:name="_Toc38443268"/>
      <w:bookmarkStart w:id="2821" w:name="_Toc38443599"/>
      <w:bookmarkStart w:id="2822" w:name="_Toc38443929"/>
      <w:bookmarkStart w:id="2823" w:name="_Toc38438397"/>
      <w:bookmarkStart w:id="2824" w:name="_Toc38438734"/>
      <w:bookmarkStart w:id="2825" w:name="_Toc38439071"/>
      <w:bookmarkStart w:id="2826" w:name="_Toc38439408"/>
      <w:bookmarkStart w:id="2827" w:name="_Toc38439745"/>
      <w:bookmarkStart w:id="2828" w:name="_Toc38440082"/>
      <w:bookmarkStart w:id="2829" w:name="_Toc38440419"/>
      <w:bookmarkStart w:id="2830" w:name="_Toc38440951"/>
      <w:bookmarkStart w:id="2831" w:name="_Toc38441283"/>
      <w:bookmarkStart w:id="2832" w:name="_Toc38441615"/>
      <w:bookmarkStart w:id="2833" w:name="_Toc38441943"/>
      <w:bookmarkStart w:id="2834" w:name="_Toc38442275"/>
      <w:bookmarkStart w:id="2835" w:name="_Toc38442607"/>
      <w:bookmarkStart w:id="2836" w:name="_Toc38442938"/>
      <w:bookmarkStart w:id="2837" w:name="_Toc38443269"/>
      <w:bookmarkStart w:id="2838" w:name="_Toc38443600"/>
      <w:bookmarkStart w:id="2839" w:name="_Toc38443930"/>
      <w:bookmarkStart w:id="2840" w:name="_Toc38438398"/>
      <w:bookmarkStart w:id="2841" w:name="_Toc38438735"/>
      <w:bookmarkStart w:id="2842" w:name="_Toc38439072"/>
      <w:bookmarkStart w:id="2843" w:name="_Toc38439409"/>
      <w:bookmarkStart w:id="2844" w:name="_Toc38439746"/>
      <w:bookmarkStart w:id="2845" w:name="_Toc38440083"/>
      <w:bookmarkStart w:id="2846" w:name="_Toc38440420"/>
      <w:bookmarkStart w:id="2847" w:name="_Toc38440952"/>
      <w:bookmarkStart w:id="2848" w:name="_Toc38441284"/>
      <w:bookmarkStart w:id="2849" w:name="_Toc38441616"/>
      <w:bookmarkStart w:id="2850" w:name="_Toc38441944"/>
      <w:bookmarkStart w:id="2851" w:name="_Toc38442276"/>
      <w:bookmarkStart w:id="2852" w:name="_Toc38442608"/>
      <w:bookmarkStart w:id="2853" w:name="_Toc38442939"/>
      <w:bookmarkStart w:id="2854" w:name="_Toc38443270"/>
      <w:bookmarkStart w:id="2855" w:name="_Toc38443601"/>
      <w:bookmarkStart w:id="2856" w:name="_Toc38443931"/>
      <w:bookmarkStart w:id="2857" w:name="_Toc38438400"/>
      <w:bookmarkStart w:id="2858" w:name="_Toc38438737"/>
      <w:bookmarkStart w:id="2859" w:name="_Toc38439074"/>
      <w:bookmarkStart w:id="2860" w:name="_Toc38439411"/>
      <w:bookmarkStart w:id="2861" w:name="_Toc38439748"/>
      <w:bookmarkStart w:id="2862" w:name="_Toc38440085"/>
      <w:bookmarkStart w:id="2863" w:name="_Toc38440422"/>
      <w:bookmarkStart w:id="2864" w:name="_Toc38440954"/>
      <w:bookmarkStart w:id="2865" w:name="_Toc38441286"/>
      <w:bookmarkStart w:id="2866" w:name="_Toc38441618"/>
      <w:bookmarkStart w:id="2867" w:name="_Toc38441946"/>
      <w:bookmarkStart w:id="2868" w:name="_Toc38442278"/>
      <w:bookmarkStart w:id="2869" w:name="_Toc38442610"/>
      <w:bookmarkStart w:id="2870" w:name="_Toc38442941"/>
      <w:bookmarkStart w:id="2871" w:name="_Toc38443272"/>
      <w:bookmarkStart w:id="2872" w:name="_Toc38443603"/>
      <w:bookmarkStart w:id="2873" w:name="_Toc38443933"/>
      <w:bookmarkStart w:id="2874" w:name="_Toc38438401"/>
      <w:bookmarkStart w:id="2875" w:name="_Toc38438738"/>
      <w:bookmarkStart w:id="2876" w:name="_Toc38439075"/>
      <w:bookmarkStart w:id="2877" w:name="_Toc38439412"/>
      <w:bookmarkStart w:id="2878" w:name="_Toc38439749"/>
      <w:bookmarkStart w:id="2879" w:name="_Toc38440086"/>
      <w:bookmarkStart w:id="2880" w:name="_Toc38440423"/>
      <w:bookmarkStart w:id="2881" w:name="_Toc38440955"/>
      <w:bookmarkStart w:id="2882" w:name="_Toc38441287"/>
      <w:bookmarkStart w:id="2883" w:name="_Toc38441619"/>
      <w:bookmarkStart w:id="2884" w:name="_Toc38441947"/>
      <w:bookmarkStart w:id="2885" w:name="_Toc38442279"/>
      <w:bookmarkStart w:id="2886" w:name="_Toc38442611"/>
      <w:bookmarkStart w:id="2887" w:name="_Toc38442942"/>
      <w:bookmarkStart w:id="2888" w:name="_Toc38443273"/>
      <w:bookmarkStart w:id="2889" w:name="_Toc38443604"/>
      <w:bookmarkStart w:id="2890" w:name="_Toc38443934"/>
      <w:bookmarkStart w:id="2891" w:name="_Toc38438402"/>
      <w:bookmarkStart w:id="2892" w:name="_Toc38438739"/>
      <w:bookmarkStart w:id="2893" w:name="_Toc38439076"/>
      <w:bookmarkStart w:id="2894" w:name="_Toc38439413"/>
      <w:bookmarkStart w:id="2895" w:name="_Toc38439750"/>
      <w:bookmarkStart w:id="2896" w:name="_Toc38440087"/>
      <w:bookmarkStart w:id="2897" w:name="_Toc38440424"/>
      <w:bookmarkStart w:id="2898" w:name="_Toc38440956"/>
      <w:bookmarkStart w:id="2899" w:name="_Toc38441288"/>
      <w:bookmarkStart w:id="2900" w:name="_Toc38441620"/>
      <w:bookmarkStart w:id="2901" w:name="_Toc38441948"/>
      <w:bookmarkStart w:id="2902" w:name="_Toc38442280"/>
      <w:bookmarkStart w:id="2903" w:name="_Toc38442612"/>
      <w:bookmarkStart w:id="2904" w:name="_Toc38442943"/>
      <w:bookmarkStart w:id="2905" w:name="_Toc38443274"/>
      <w:bookmarkStart w:id="2906" w:name="_Toc38443605"/>
      <w:bookmarkStart w:id="2907" w:name="_Toc38443935"/>
      <w:bookmarkStart w:id="2908" w:name="_Toc38438404"/>
      <w:bookmarkStart w:id="2909" w:name="_Toc38438741"/>
      <w:bookmarkStart w:id="2910" w:name="_Toc38439078"/>
      <w:bookmarkStart w:id="2911" w:name="_Toc38439415"/>
      <w:bookmarkStart w:id="2912" w:name="_Toc38439752"/>
      <w:bookmarkStart w:id="2913" w:name="_Toc38440089"/>
      <w:bookmarkStart w:id="2914" w:name="_Toc38440426"/>
      <w:bookmarkStart w:id="2915" w:name="_Toc38440958"/>
      <w:bookmarkStart w:id="2916" w:name="_Toc38441290"/>
      <w:bookmarkStart w:id="2917" w:name="_Toc38441622"/>
      <w:bookmarkStart w:id="2918" w:name="_Toc38441950"/>
      <w:bookmarkStart w:id="2919" w:name="_Toc38442282"/>
      <w:bookmarkStart w:id="2920" w:name="_Toc38442614"/>
      <w:bookmarkStart w:id="2921" w:name="_Toc38442945"/>
      <w:bookmarkStart w:id="2922" w:name="_Toc38443276"/>
      <w:bookmarkStart w:id="2923" w:name="_Toc38443607"/>
      <w:bookmarkStart w:id="2924" w:name="_Toc38443937"/>
      <w:bookmarkStart w:id="2925" w:name="_Toc38438405"/>
      <w:bookmarkStart w:id="2926" w:name="_Toc38438742"/>
      <w:bookmarkStart w:id="2927" w:name="_Toc38439079"/>
      <w:bookmarkStart w:id="2928" w:name="_Toc38439416"/>
      <w:bookmarkStart w:id="2929" w:name="_Toc38439753"/>
      <w:bookmarkStart w:id="2930" w:name="_Toc38440090"/>
      <w:bookmarkStart w:id="2931" w:name="_Toc38440427"/>
      <w:bookmarkStart w:id="2932" w:name="_Toc38440959"/>
      <w:bookmarkStart w:id="2933" w:name="_Toc38441291"/>
      <w:bookmarkStart w:id="2934" w:name="_Toc38441623"/>
      <w:bookmarkStart w:id="2935" w:name="_Toc38441951"/>
      <w:bookmarkStart w:id="2936" w:name="_Toc38442283"/>
      <w:bookmarkStart w:id="2937" w:name="_Toc38442615"/>
      <w:bookmarkStart w:id="2938" w:name="_Toc38442946"/>
      <w:bookmarkStart w:id="2939" w:name="_Toc38443277"/>
      <w:bookmarkStart w:id="2940" w:name="_Toc38443608"/>
      <w:bookmarkStart w:id="2941" w:name="_Toc38443938"/>
      <w:bookmarkStart w:id="2942" w:name="_Toc38438406"/>
      <w:bookmarkStart w:id="2943" w:name="_Toc38438743"/>
      <w:bookmarkStart w:id="2944" w:name="_Toc38439080"/>
      <w:bookmarkStart w:id="2945" w:name="_Toc38439417"/>
      <w:bookmarkStart w:id="2946" w:name="_Toc38439754"/>
      <w:bookmarkStart w:id="2947" w:name="_Toc38440091"/>
      <w:bookmarkStart w:id="2948" w:name="_Toc38440428"/>
      <w:bookmarkStart w:id="2949" w:name="_Toc38440960"/>
      <w:bookmarkStart w:id="2950" w:name="_Toc38441292"/>
      <w:bookmarkStart w:id="2951" w:name="_Toc38441624"/>
      <w:bookmarkStart w:id="2952" w:name="_Toc38441952"/>
      <w:bookmarkStart w:id="2953" w:name="_Toc38442284"/>
      <w:bookmarkStart w:id="2954" w:name="_Toc38442616"/>
      <w:bookmarkStart w:id="2955" w:name="_Toc38442947"/>
      <w:bookmarkStart w:id="2956" w:name="_Toc38443278"/>
      <w:bookmarkStart w:id="2957" w:name="_Toc38443609"/>
      <w:bookmarkStart w:id="2958" w:name="_Toc38443939"/>
      <w:bookmarkStart w:id="2959" w:name="_Toc38438407"/>
      <w:bookmarkStart w:id="2960" w:name="_Toc38438744"/>
      <w:bookmarkStart w:id="2961" w:name="_Toc38439081"/>
      <w:bookmarkStart w:id="2962" w:name="_Toc38439418"/>
      <w:bookmarkStart w:id="2963" w:name="_Toc38439755"/>
      <w:bookmarkStart w:id="2964" w:name="_Toc38440092"/>
      <w:bookmarkStart w:id="2965" w:name="_Toc38440429"/>
      <w:bookmarkStart w:id="2966" w:name="_Toc38440961"/>
      <w:bookmarkStart w:id="2967" w:name="_Toc38441293"/>
      <w:bookmarkStart w:id="2968" w:name="_Toc38441625"/>
      <w:bookmarkStart w:id="2969" w:name="_Toc38441953"/>
      <w:bookmarkStart w:id="2970" w:name="_Toc38442285"/>
      <w:bookmarkStart w:id="2971" w:name="_Toc38442617"/>
      <w:bookmarkStart w:id="2972" w:name="_Toc38442948"/>
      <w:bookmarkStart w:id="2973" w:name="_Toc38443279"/>
      <w:bookmarkStart w:id="2974" w:name="_Toc38443610"/>
      <w:bookmarkStart w:id="2975" w:name="_Toc38443940"/>
      <w:bookmarkStart w:id="2976" w:name="_Toc38438408"/>
      <w:bookmarkStart w:id="2977" w:name="_Toc38438745"/>
      <w:bookmarkStart w:id="2978" w:name="_Toc38439082"/>
      <w:bookmarkStart w:id="2979" w:name="_Toc38439419"/>
      <w:bookmarkStart w:id="2980" w:name="_Toc38439756"/>
      <w:bookmarkStart w:id="2981" w:name="_Toc38440093"/>
      <w:bookmarkStart w:id="2982" w:name="_Toc38440430"/>
      <w:bookmarkStart w:id="2983" w:name="_Toc38440962"/>
      <w:bookmarkStart w:id="2984" w:name="_Toc38441294"/>
      <w:bookmarkStart w:id="2985" w:name="_Toc38441626"/>
      <w:bookmarkStart w:id="2986" w:name="_Toc38441954"/>
      <w:bookmarkStart w:id="2987" w:name="_Toc38442286"/>
      <w:bookmarkStart w:id="2988" w:name="_Toc38442618"/>
      <w:bookmarkStart w:id="2989" w:name="_Toc38442949"/>
      <w:bookmarkStart w:id="2990" w:name="_Toc38443280"/>
      <w:bookmarkStart w:id="2991" w:name="_Toc38443611"/>
      <w:bookmarkStart w:id="2992" w:name="_Toc38443941"/>
      <w:bookmarkStart w:id="2993" w:name="_Toc38438409"/>
      <w:bookmarkStart w:id="2994" w:name="_Toc38438746"/>
      <w:bookmarkStart w:id="2995" w:name="_Toc38439083"/>
      <w:bookmarkStart w:id="2996" w:name="_Toc38439420"/>
      <w:bookmarkStart w:id="2997" w:name="_Toc38439757"/>
      <w:bookmarkStart w:id="2998" w:name="_Toc38440094"/>
      <w:bookmarkStart w:id="2999" w:name="_Toc38440431"/>
      <w:bookmarkStart w:id="3000" w:name="_Toc38440963"/>
      <w:bookmarkStart w:id="3001" w:name="_Toc38441295"/>
      <w:bookmarkStart w:id="3002" w:name="_Toc38441627"/>
      <w:bookmarkStart w:id="3003" w:name="_Toc38441955"/>
      <w:bookmarkStart w:id="3004" w:name="_Toc38442287"/>
      <w:bookmarkStart w:id="3005" w:name="_Toc38442619"/>
      <w:bookmarkStart w:id="3006" w:name="_Toc38442950"/>
      <w:bookmarkStart w:id="3007" w:name="_Toc38443281"/>
      <w:bookmarkStart w:id="3008" w:name="_Toc38443612"/>
      <w:bookmarkStart w:id="3009" w:name="_Toc38443942"/>
      <w:bookmarkStart w:id="3010" w:name="_Toc38438410"/>
      <w:bookmarkStart w:id="3011" w:name="_Toc38438747"/>
      <w:bookmarkStart w:id="3012" w:name="_Toc38439084"/>
      <w:bookmarkStart w:id="3013" w:name="_Toc38439421"/>
      <w:bookmarkStart w:id="3014" w:name="_Toc38439758"/>
      <w:bookmarkStart w:id="3015" w:name="_Toc38440095"/>
      <w:bookmarkStart w:id="3016" w:name="_Toc38440432"/>
      <w:bookmarkStart w:id="3017" w:name="_Toc38440964"/>
      <w:bookmarkStart w:id="3018" w:name="_Toc38441296"/>
      <w:bookmarkStart w:id="3019" w:name="_Toc38441628"/>
      <w:bookmarkStart w:id="3020" w:name="_Toc38441956"/>
      <w:bookmarkStart w:id="3021" w:name="_Toc38442288"/>
      <w:bookmarkStart w:id="3022" w:name="_Toc38442620"/>
      <w:bookmarkStart w:id="3023" w:name="_Toc38442951"/>
      <w:bookmarkStart w:id="3024" w:name="_Toc38443282"/>
      <w:bookmarkStart w:id="3025" w:name="_Toc38443613"/>
      <w:bookmarkStart w:id="3026" w:name="_Toc38443943"/>
      <w:bookmarkStart w:id="3027" w:name="_Toc38438411"/>
      <w:bookmarkStart w:id="3028" w:name="_Toc38438748"/>
      <w:bookmarkStart w:id="3029" w:name="_Toc38439085"/>
      <w:bookmarkStart w:id="3030" w:name="_Toc38439422"/>
      <w:bookmarkStart w:id="3031" w:name="_Toc38439759"/>
      <w:bookmarkStart w:id="3032" w:name="_Toc38440096"/>
      <w:bookmarkStart w:id="3033" w:name="_Toc38440433"/>
      <w:bookmarkStart w:id="3034" w:name="_Toc38440965"/>
      <w:bookmarkStart w:id="3035" w:name="_Toc38441297"/>
      <w:bookmarkStart w:id="3036" w:name="_Toc38441629"/>
      <w:bookmarkStart w:id="3037" w:name="_Toc38441957"/>
      <w:bookmarkStart w:id="3038" w:name="_Toc38442289"/>
      <w:bookmarkStart w:id="3039" w:name="_Toc38442621"/>
      <w:bookmarkStart w:id="3040" w:name="_Toc38442952"/>
      <w:bookmarkStart w:id="3041" w:name="_Toc38443283"/>
      <w:bookmarkStart w:id="3042" w:name="_Toc38443614"/>
      <w:bookmarkStart w:id="3043" w:name="_Toc38443944"/>
      <w:bookmarkStart w:id="3044" w:name="_Toc38438412"/>
      <w:bookmarkStart w:id="3045" w:name="_Toc38438749"/>
      <w:bookmarkStart w:id="3046" w:name="_Toc38439086"/>
      <w:bookmarkStart w:id="3047" w:name="_Toc38439423"/>
      <w:bookmarkStart w:id="3048" w:name="_Toc38439760"/>
      <w:bookmarkStart w:id="3049" w:name="_Toc38440097"/>
      <w:bookmarkStart w:id="3050" w:name="_Toc38440434"/>
      <w:bookmarkStart w:id="3051" w:name="_Toc38440966"/>
      <w:bookmarkStart w:id="3052" w:name="_Toc38441298"/>
      <w:bookmarkStart w:id="3053" w:name="_Toc38441630"/>
      <w:bookmarkStart w:id="3054" w:name="_Toc38441958"/>
      <w:bookmarkStart w:id="3055" w:name="_Toc38442290"/>
      <w:bookmarkStart w:id="3056" w:name="_Toc38442622"/>
      <w:bookmarkStart w:id="3057" w:name="_Toc38442953"/>
      <w:bookmarkStart w:id="3058" w:name="_Toc38443284"/>
      <w:bookmarkStart w:id="3059" w:name="_Toc38443615"/>
      <w:bookmarkStart w:id="3060" w:name="_Toc38443945"/>
      <w:bookmarkStart w:id="3061" w:name="_Toc38438413"/>
      <w:bookmarkStart w:id="3062" w:name="_Toc38438750"/>
      <w:bookmarkStart w:id="3063" w:name="_Toc38439087"/>
      <w:bookmarkStart w:id="3064" w:name="_Toc38439424"/>
      <w:bookmarkStart w:id="3065" w:name="_Toc38439761"/>
      <w:bookmarkStart w:id="3066" w:name="_Toc38440098"/>
      <w:bookmarkStart w:id="3067" w:name="_Toc38440435"/>
      <w:bookmarkStart w:id="3068" w:name="_Toc38440967"/>
      <w:bookmarkStart w:id="3069" w:name="_Toc38441299"/>
      <w:bookmarkStart w:id="3070" w:name="_Toc38441631"/>
      <w:bookmarkStart w:id="3071" w:name="_Toc38441959"/>
      <w:bookmarkStart w:id="3072" w:name="_Toc38442291"/>
      <w:bookmarkStart w:id="3073" w:name="_Toc38442623"/>
      <w:bookmarkStart w:id="3074" w:name="_Toc38442954"/>
      <w:bookmarkStart w:id="3075" w:name="_Toc38443285"/>
      <w:bookmarkStart w:id="3076" w:name="_Toc38443616"/>
      <w:bookmarkStart w:id="3077" w:name="_Toc38443946"/>
      <w:bookmarkStart w:id="3078" w:name="_Toc38438414"/>
      <w:bookmarkStart w:id="3079" w:name="_Toc38438751"/>
      <w:bookmarkStart w:id="3080" w:name="_Toc38439088"/>
      <w:bookmarkStart w:id="3081" w:name="_Toc38439425"/>
      <w:bookmarkStart w:id="3082" w:name="_Toc38439762"/>
      <w:bookmarkStart w:id="3083" w:name="_Toc38440099"/>
      <w:bookmarkStart w:id="3084" w:name="_Toc38440436"/>
      <w:bookmarkStart w:id="3085" w:name="_Toc38440968"/>
      <w:bookmarkStart w:id="3086" w:name="_Toc38441300"/>
      <w:bookmarkStart w:id="3087" w:name="_Toc38441632"/>
      <w:bookmarkStart w:id="3088" w:name="_Toc38441960"/>
      <w:bookmarkStart w:id="3089" w:name="_Toc38442292"/>
      <w:bookmarkStart w:id="3090" w:name="_Toc38442624"/>
      <w:bookmarkStart w:id="3091" w:name="_Toc38442955"/>
      <w:bookmarkStart w:id="3092" w:name="_Toc38443286"/>
      <w:bookmarkStart w:id="3093" w:name="_Toc38443617"/>
      <w:bookmarkStart w:id="3094" w:name="_Toc38443947"/>
      <w:bookmarkStart w:id="3095" w:name="_Toc38438415"/>
      <w:bookmarkStart w:id="3096" w:name="_Toc38438752"/>
      <w:bookmarkStart w:id="3097" w:name="_Toc38439089"/>
      <w:bookmarkStart w:id="3098" w:name="_Toc38439426"/>
      <w:bookmarkStart w:id="3099" w:name="_Toc38439763"/>
      <w:bookmarkStart w:id="3100" w:name="_Toc38440100"/>
      <w:bookmarkStart w:id="3101" w:name="_Toc38440437"/>
      <w:bookmarkStart w:id="3102" w:name="_Toc38440969"/>
      <w:bookmarkStart w:id="3103" w:name="_Toc38441301"/>
      <w:bookmarkStart w:id="3104" w:name="_Toc38441633"/>
      <w:bookmarkStart w:id="3105" w:name="_Toc38441961"/>
      <w:bookmarkStart w:id="3106" w:name="_Toc38442293"/>
      <w:bookmarkStart w:id="3107" w:name="_Toc38442625"/>
      <w:bookmarkStart w:id="3108" w:name="_Toc38442956"/>
      <w:bookmarkStart w:id="3109" w:name="_Toc38443287"/>
      <w:bookmarkStart w:id="3110" w:name="_Toc38443618"/>
      <w:bookmarkStart w:id="3111" w:name="_Toc38443948"/>
      <w:bookmarkStart w:id="3112" w:name="_Toc38438416"/>
      <w:bookmarkStart w:id="3113" w:name="_Toc38438753"/>
      <w:bookmarkStart w:id="3114" w:name="_Toc38439090"/>
      <w:bookmarkStart w:id="3115" w:name="_Toc38439427"/>
      <w:bookmarkStart w:id="3116" w:name="_Toc38439764"/>
      <w:bookmarkStart w:id="3117" w:name="_Toc38440101"/>
      <w:bookmarkStart w:id="3118" w:name="_Toc38440438"/>
      <w:bookmarkStart w:id="3119" w:name="_Toc38440970"/>
      <w:bookmarkStart w:id="3120" w:name="_Toc38441302"/>
      <w:bookmarkStart w:id="3121" w:name="_Toc38441634"/>
      <w:bookmarkStart w:id="3122" w:name="_Toc38441962"/>
      <w:bookmarkStart w:id="3123" w:name="_Toc38442294"/>
      <w:bookmarkStart w:id="3124" w:name="_Toc38442626"/>
      <w:bookmarkStart w:id="3125" w:name="_Toc38442957"/>
      <w:bookmarkStart w:id="3126" w:name="_Toc38443288"/>
      <w:bookmarkStart w:id="3127" w:name="_Toc38443619"/>
      <w:bookmarkStart w:id="3128" w:name="_Toc38443949"/>
      <w:bookmarkStart w:id="3129" w:name="_Toc38438417"/>
      <w:bookmarkStart w:id="3130" w:name="_Toc38438754"/>
      <w:bookmarkStart w:id="3131" w:name="_Toc38439091"/>
      <w:bookmarkStart w:id="3132" w:name="_Toc38439428"/>
      <w:bookmarkStart w:id="3133" w:name="_Toc38439765"/>
      <w:bookmarkStart w:id="3134" w:name="_Toc38440102"/>
      <w:bookmarkStart w:id="3135" w:name="_Toc38440439"/>
      <w:bookmarkStart w:id="3136" w:name="_Toc38440971"/>
      <w:bookmarkStart w:id="3137" w:name="_Toc38441303"/>
      <w:bookmarkStart w:id="3138" w:name="_Toc38441635"/>
      <w:bookmarkStart w:id="3139" w:name="_Toc38441963"/>
      <w:bookmarkStart w:id="3140" w:name="_Toc38442295"/>
      <w:bookmarkStart w:id="3141" w:name="_Toc38442627"/>
      <w:bookmarkStart w:id="3142" w:name="_Toc38442958"/>
      <w:bookmarkStart w:id="3143" w:name="_Toc38443289"/>
      <w:bookmarkStart w:id="3144" w:name="_Toc38443620"/>
      <w:bookmarkStart w:id="3145" w:name="_Toc38443950"/>
      <w:bookmarkStart w:id="3146" w:name="_Toc38438418"/>
      <w:bookmarkStart w:id="3147" w:name="_Toc38438755"/>
      <w:bookmarkStart w:id="3148" w:name="_Toc38439092"/>
      <w:bookmarkStart w:id="3149" w:name="_Toc38439429"/>
      <w:bookmarkStart w:id="3150" w:name="_Toc38439766"/>
      <w:bookmarkStart w:id="3151" w:name="_Toc38440103"/>
      <w:bookmarkStart w:id="3152" w:name="_Toc38440440"/>
      <w:bookmarkStart w:id="3153" w:name="_Toc38440972"/>
      <w:bookmarkStart w:id="3154" w:name="_Toc38441304"/>
      <w:bookmarkStart w:id="3155" w:name="_Toc38441636"/>
      <w:bookmarkStart w:id="3156" w:name="_Toc38441964"/>
      <w:bookmarkStart w:id="3157" w:name="_Toc38442296"/>
      <w:bookmarkStart w:id="3158" w:name="_Toc38442628"/>
      <w:bookmarkStart w:id="3159" w:name="_Toc38442959"/>
      <w:bookmarkStart w:id="3160" w:name="_Toc38443290"/>
      <w:bookmarkStart w:id="3161" w:name="_Toc38443621"/>
      <w:bookmarkStart w:id="3162" w:name="_Toc38443951"/>
      <w:bookmarkStart w:id="3163" w:name="_Toc38438419"/>
      <w:bookmarkStart w:id="3164" w:name="_Toc38438756"/>
      <w:bookmarkStart w:id="3165" w:name="_Toc38439093"/>
      <w:bookmarkStart w:id="3166" w:name="_Toc38439430"/>
      <w:bookmarkStart w:id="3167" w:name="_Toc38439767"/>
      <w:bookmarkStart w:id="3168" w:name="_Toc38440104"/>
      <w:bookmarkStart w:id="3169" w:name="_Toc38440441"/>
      <w:bookmarkStart w:id="3170" w:name="_Toc38440973"/>
      <w:bookmarkStart w:id="3171" w:name="_Toc38441305"/>
      <w:bookmarkStart w:id="3172" w:name="_Toc38441637"/>
      <w:bookmarkStart w:id="3173" w:name="_Toc38441965"/>
      <w:bookmarkStart w:id="3174" w:name="_Toc38442297"/>
      <w:bookmarkStart w:id="3175" w:name="_Toc38442629"/>
      <w:bookmarkStart w:id="3176" w:name="_Toc38442960"/>
      <w:bookmarkStart w:id="3177" w:name="_Toc38443291"/>
      <w:bookmarkStart w:id="3178" w:name="_Toc38443622"/>
      <w:bookmarkStart w:id="3179" w:name="_Toc38443952"/>
      <w:bookmarkStart w:id="3180" w:name="_Toc38438420"/>
      <w:bookmarkStart w:id="3181" w:name="_Toc38438757"/>
      <w:bookmarkStart w:id="3182" w:name="_Toc38439094"/>
      <w:bookmarkStart w:id="3183" w:name="_Toc38439431"/>
      <w:bookmarkStart w:id="3184" w:name="_Toc38439768"/>
      <w:bookmarkStart w:id="3185" w:name="_Toc38440105"/>
      <w:bookmarkStart w:id="3186" w:name="_Toc38440442"/>
      <w:bookmarkStart w:id="3187" w:name="_Toc38440974"/>
      <w:bookmarkStart w:id="3188" w:name="_Toc38441306"/>
      <w:bookmarkStart w:id="3189" w:name="_Toc38441638"/>
      <w:bookmarkStart w:id="3190" w:name="_Toc38441966"/>
      <w:bookmarkStart w:id="3191" w:name="_Toc38442298"/>
      <w:bookmarkStart w:id="3192" w:name="_Toc38442630"/>
      <w:bookmarkStart w:id="3193" w:name="_Toc38442961"/>
      <w:bookmarkStart w:id="3194" w:name="_Toc38443292"/>
      <w:bookmarkStart w:id="3195" w:name="_Toc38443623"/>
      <w:bookmarkStart w:id="3196" w:name="_Toc38443953"/>
      <w:bookmarkStart w:id="3197" w:name="_Toc38438421"/>
      <w:bookmarkStart w:id="3198" w:name="_Toc38438758"/>
      <w:bookmarkStart w:id="3199" w:name="_Toc38439095"/>
      <w:bookmarkStart w:id="3200" w:name="_Toc38439432"/>
      <w:bookmarkStart w:id="3201" w:name="_Toc38439769"/>
      <w:bookmarkStart w:id="3202" w:name="_Toc38440106"/>
      <w:bookmarkStart w:id="3203" w:name="_Toc38440443"/>
      <w:bookmarkStart w:id="3204" w:name="_Toc38440975"/>
      <w:bookmarkStart w:id="3205" w:name="_Toc38441307"/>
      <w:bookmarkStart w:id="3206" w:name="_Toc38441639"/>
      <w:bookmarkStart w:id="3207" w:name="_Toc38441967"/>
      <w:bookmarkStart w:id="3208" w:name="_Toc38442299"/>
      <w:bookmarkStart w:id="3209" w:name="_Toc38442631"/>
      <w:bookmarkStart w:id="3210" w:name="_Toc38442962"/>
      <w:bookmarkStart w:id="3211" w:name="_Toc38443293"/>
      <w:bookmarkStart w:id="3212" w:name="_Toc38443624"/>
      <w:bookmarkStart w:id="3213" w:name="_Toc38443954"/>
      <w:bookmarkStart w:id="3214" w:name="_Toc38438422"/>
      <w:bookmarkStart w:id="3215" w:name="_Toc38438759"/>
      <w:bookmarkStart w:id="3216" w:name="_Toc38439096"/>
      <w:bookmarkStart w:id="3217" w:name="_Toc38439433"/>
      <w:bookmarkStart w:id="3218" w:name="_Toc38439770"/>
      <w:bookmarkStart w:id="3219" w:name="_Toc38440107"/>
      <w:bookmarkStart w:id="3220" w:name="_Toc38440444"/>
      <w:bookmarkStart w:id="3221" w:name="_Toc38440976"/>
      <w:bookmarkStart w:id="3222" w:name="_Toc38441308"/>
      <w:bookmarkStart w:id="3223" w:name="_Toc38441640"/>
      <w:bookmarkStart w:id="3224" w:name="_Toc38441968"/>
      <w:bookmarkStart w:id="3225" w:name="_Toc38442300"/>
      <w:bookmarkStart w:id="3226" w:name="_Toc38442632"/>
      <w:bookmarkStart w:id="3227" w:name="_Toc38442963"/>
      <w:bookmarkStart w:id="3228" w:name="_Toc38443294"/>
      <w:bookmarkStart w:id="3229" w:name="_Toc38443625"/>
      <w:bookmarkStart w:id="3230" w:name="_Toc38443955"/>
      <w:bookmarkStart w:id="3231" w:name="_Toc38438423"/>
      <w:bookmarkStart w:id="3232" w:name="_Toc38438760"/>
      <w:bookmarkStart w:id="3233" w:name="_Toc38439097"/>
      <w:bookmarkStart w:id="3234" w:name="_Toc38439434"/>
      <w:bookmarkStart w:id="3235" w:name="_Toc38439771"/>
      <w:bookmarkStart w:id="3236" w:name="_Toc38440108"/>
      <w:bookmarkStart w:id="3237" w:name="_Toc38440445"/>
      <w:bookmarkStart w:id="3238" w:name="_Toc38440977"/>
      <w:bookmarkStart w:id="3239" w:name="_Toc38441309"/>
      <w:bookmarkStart w:id="3240" w:name="_Toc38441641"/>
      <w:bookmarkStart w:id="3241" w:name="_Toc38441969"/>
      <w:bookmarkStart w:id="3242" w:name="_Toc38442301"/>
      <w:bookmarkStart w:id="3243" w:name="_Toc38442633"/>
      <w:bookmarkStart w:id="3244" w:name="_Toc38442964"/>
      <w:bookmarkStart w:id="3245" w:name="_Toc38443295"/>
      <w:bookmarkStart w:id="3246" w:name="_Toc38443626"/>
      <w:bookmarkStart w:id="3247" w:name="_Toc38443956"/>
      <w:bookmarkStart w:id="3248" w:name="_Toc38438424"/>
      <w:bookmarkStart w:id="3249" w:name="_Toc38438761"/>
      <w:bookmarkStart w:id="3250" w:name="_Toc38439098"/>
      <w:bookmarkStart w:id="3251" w:name="_Toc38439435"/>
      <w:bookmarkStart w:id="3252" w:name="_Toc38439772"/>
      <w:bookmarkStart w:id="3253" w:name="_Toc38440109"/>
      <w:bookmarkStart w:id="3254" w:name="_Toc38440446"/>
      <w:bookmarkStart w:id="3255" w:name="_Toc38440978"/>
      <w:bookmarkStart w:id="3256" w:name="_Toc38441310"/>
      <w:bookmarkStart w:id="3257" w:name="_Toc38441642"/>
      <w:bookmarkStart w:id="3258" w:name="_Toc38441970"/>
      <w:bookmarkStart w:id="3259" w:name="_Toc38442302"/>
      <w:bookmarkStart w:id="3260" w:name="_Toc38442634"/>
      <w:bookmarkStart w:id="3261" w:name="_Toc38442965"/>
      <w:bookmarkStart w:id="3262" w:name="_Toc38443296"/>
      <w:bookmarkStart w:id="3263" w:name="_Toc38443627"/>
      <w:bookmarkStart w:id="3264" w:name="_Toc38443957"/>
      <w:bookmarkStart w:id="3265" w:name="_Toc38438425"/>
      <w:bookmarkStart w:id="3266" w:name="_Toc38438762"/>
      <w:bookmarkStart w:id="3267" w:name="_Toc38439099"/>
      <w:bookmarkStart w:id="3268" w:name="_Toc38439436"/>
      <w:bookmarkStart w:id="3269" w:name="_Toc38439773"/>
      <w:bookmarkStart w:id="3270" w:name="_Toc38440110"/>
      <w:bookmarkStart w:id="3271" w:name="_Toc38440447"/>
      <w:bookmarkStart w:id="3272" w:name="_Toc38440979"/>
      <w:bookmarkStart w:id="3273" w:name="_Toc38441311"/>
      <w:bookmarkStart w:id="3274" w:name="_Toc38441643"/>
      <w:bookmarkStart w:id="3275" w:name="_Toc38441971"/>
      <w:bookmarkStart w:id="3276" w:name="_Toc38442303"/>
      <w:bookmarkStart w:id="3277" w:name="_Toc38442635"/>
      <w:bookmarkStart w:id="3278" w:name="_Toc38442966"/>
      <w:bookmarkStart w:id="3279" w:name="_Toc38443297"/>
      <w:bookmarkStart w:id="3280" w:name="_Toc38443628"/>
      <w:bookmarkStart w:id="3281" w:name="_Toc38443958"/>
      <w:bookmarkStart w:id="3282" w:name="_Toc38438426"/>
      <w:bookmarkStart w:id="3283" w:name="_Toc38438763"/>
      <w:bookmarkStart w:id="3284" w:name="_Toc38439100"/>
      <w:bookmarkStart w:id="3285" w:name="_Toc38439437"/>
      <w:bookmarkStart w:id="3286" w:name="_Toc38439774"/>
      <w:bookmarkStart w:id="3287" w:name="_Toc38440111"/>
      <w:bookmarkStart w:id="3288" w:name="_Toc38440448"/>
      <w:bookmarkStart w:id="3289" w:name="_Toc38440980"/>
      <w:bookmarkStart w:id="3290" w:name="_Toc38441312"/>
      <w:bookmarkStart w:id="3291" w:name="_Toc38441644"/>
      <w:bookmarkStart w:id="3292" w:name="_Toc38441972"/>
      <w:bookmarkStart w:id="3293" w:name="_Toc38442304"/>
      <w:bookmarkStart w:id="3294" w:name="_Toc38442636"/>
      <w:bookmarkStart w:id="3295" w:name="_Toc38442967"/>
      <w:bookmarkStart w:id="3296" w:name="_Toc38443298"/>
      <w:bookmarkStart w:id="3297" w:name="_Toc38443629"/>
      <w:bookmarkStart w:id="3298" w:name="_Toc38443959"/>
      <w:bookmarkStart w:id="3299" w:name="_Toc38438427"/>
      <w:bookmarkStart w:id="3300" w:name="_Toc38438764"/>
      <w:bookmarkStart w:id="3301" w:name="_Toc38439101"/>
      <w:bookmarkStart w:id="3302" w:name="_Toc38439438"/>
      <w:bookmarkStart w:id="3303" w:name="_Toc38439775"/>
      <w:bookmarkStart w:id="3304" w:name="_Toc38440112"/>
      <w:bookmarkStart w:id="3305" w:name="_Toc38440449"/>
      <w:bookmarkStart w:id="3306" w:name="_Toc38440981"/>
      <w:bookmarkStart w:id="3307" w:name="_Toc38441313"/>
      <w:bookmarkStart w:id="3308" w:name="_Toc38441645"/>
      <w:bookmarkStart w:id="3309" w:name="_Toc38441973"/>
      <w:bookmarkStart w:id="3310" w:name="_Toc38442305"/>
      <w:bookmarkStart w:id="3311" w:name="_Toc38442637"/>
      <w:bookmarkStart w:id="3312" w:name="_Toc38442968"/>
      <w:bookmarkStart w:id="3313" w:name="_Toc38443299"/>
      <w:bookmarkStart w:id="3314" w:name="_Toc38443630"/>
      <w:bookmarkStart w:id="3315" w:name="_Toc38443960"/>
      <w:bookmarkStart w:id="3316" w:name="_Toc38438428"/>
      <w:bookmarkStart w:id="3317" w:name="_Toc38438765"/>
      <w:bookmarkStart w:id="3318" w:name="_Toc38439102"/>
      <w:bookmarkStart w:id="3319" w:name="_Toc38439439"/>
      <w:bookmarkStart w:id="3320" w:name="_Toc38439776"/>
      <w:bookmarkStart w:id="3321" w:name="_Toc38440113"/>
      <w:bookmarkStart w:id="3322" w:name="_Toc38440450"/>
      <w:bookmarkStart w:id="3323" w:name="_Toc38440982"/>
      <w:bookmarkStart w:id="3324" w:name="_Toc38441314"/>
      <w:bookmarkStart w:id="3325" w:name="_Toc38441646"/>
      <w:bookmarkStart w:id="3326" w:name="_Toc38441974"/>
      <w:bookmarkStart w:id="3327" w:name="_Toc38442306"/>
      <w:bookmarkStart w:id="3328" w:name="_Toc38442638"/>
      <w:bookmarkStart w:id="3329" w:name="_Toc38442969"/>
      <w:bookmarkStart w:id="3330" w:name="_Toc38443300"/>
      <w:bookmarkStart w:id="3331" w:name="_Toc38443631"/>
      <w:bookmarkStart w:id="3332" w:name="_Toc38443961"/>
      <w:bookmarkStart w:id="3333" w:name="_Toc38438429"/>
      <w:bookmarkStart w:id="3334" w:name="_Toc38438766"/>
      <w:bookmarkStart w:id="3335" w:name="_Toc38439103"/>
      <w:bookmarkStart w:id="3336" w:name="_Toc38439440"/>
      <w:bookmarkStart w:id="3337" w:name="_Toc38439777"/>
      <w:bookmarkStart w:id="3338" w:name="_Toc38440114"/>
      <w:bookmarkStart w:id="3339" w:name="_Toc38440451"/>
      <w:bookmarkStart w:id="3340" w:name="_Toc38440983"/>
      <w:bookmarkStart w:id="3341" w:name="_Toc38441315"/>
      <w:bookmarkStart w:id="3342" w:name="_Toc38441647"/>
      <w:bookmarkStart w:id="3343" w:name="_Toc38441975"/>
      <w:bookmarkStart w:id="3344" w:name="_Toc38442307"/>
      <w:bookmarkStart w:id="3345" w:name="_Toc38442639"/>
      <w:bookmarkStart w:id="3346" w:name="_Toc38442970"/>
      <w:bookmarkStart w:id="3347" w:name="_Toc38443301"/>
      <w:bookmarkStart w:id="3348" w:name="_Toc38443632"/>
      <w:bookmarkStart w:id="3349" w:name="_Toc38443962"/>
      <w:bookmarkStart w:id="3350" w:name="_Toc38438430"/>
      <w:bookmarkStart w:id="3351" w:name="_Toc38438767"/>
      <w:bookmarkStart w:id="3352" w:name="_Toc38439104"/>
      <w:bookmarkStart w:id="3353" w:name="_Toc38439441"/>
      <w:bookmarkStart w:id="3354" w:name="_Toc38439778"/>
      <w:bookmarkStart w:id="3355" w:name="_Toc38440115"/>
      <w:bookmarkStart w:id="3356" w:name="_Toc38440452"/>
      <w:bookmarkStart w:id="3357" w:name="_Toc38440984"/>
      <w:bookmarkStart w:id="3358" w:name="_Toc38441316"/>
      <w:bookmarkStart w:id="3359" w:name="_Toc38441648"/>
      <w:bookmarkStart w:id="3360" w:name="_Toc38441976"/>
      <w:bookmarkStart w:id="3361" w:name="_Toc38442308"/>
      <w:bookmarkStart w:id="3362" w:name="_Toc38442640"/>
      <w:bookmarkStart w:id="3363" w:name="_Toc38442971"/>
      <w:bookmarkStart w:id="3364" w:name="_Toc38443302"/>
      <w:bookmarkStart w:id="3365" w:name="_Toc38443633"/>
      <w:bookmarkStart w:id="3366" w:name="_Toc38443963"/>
      <w:bookmarkStart w:id="3367" w:name="_Toc38438431"/>
      <w:bookmarkStart w:id="3368" w:name="_Toc38438768"/>
      <w:bookmarkStart w:id="3369" w:name="_Toc38439105"/>
      <w:bookmarkStart w:id="3370" w:name="_Toc38439442"/>
      <w:bookmarkStart w:id="3371" w:name="_Toc38439779"/>
      <w:bookmarkStart w:id="3372" w:name="_Toc38440116"/>
      <w:bookmarkStart w:id="3373" w:name="_Toc38440453"/>
      <w:bookmarkStart w:id="3374" w:name="_Toc38440985"/>
      <w:bookmarkStart w:id="3375" w:name="_Toc38441317"/>
      <w:bookmarkStart w:id="3376" w:name="_Toc38441649"/>
      <w:bookmarkStart w:id="3377" w:name="_Toc38441977"/>
      <w:bookmarkStart w:id="3378" w:name="_Toc38442309"/>
      <w:bookmarkStart w:id="3379" w:name="_Toc38442641"/>
      <w:bookmarkStart w:id="3380" w:name="_Toc38442972"/>
      <w:bookmarkStart w:id="3381" w:name="_Toc38443303"/>
      <w:bookmarkStart w:id="3382" w:name="_Toc38443634"/>
      <w:bookmarkStart w:id="3383" w:name="_Toc38443964"/>
      <w:bookmarkStart w:id="3384" w:name="_Toc38438432"/>
      <w:bookmarkStart w:id="3385" w:name="_Toc38438769"/>
      <w:bookmarkStart w:id="3386" w:name="_Toc38439106"/>
      <w:bookmarkStart w:id="3387" w:name="_Toc38439443"/>
      <w:bookmarkStart w:id="3388" w:name="_Toc38439780"/>
      <w:bookmarkStart w:id="3389" w:name="_Toc38440117"/>
      <w:bookmarkStart w:id="3390" w:name="_Toc38440454"/>
      <w:bookmarkStart w:id="3391" w:name="_Toc38440986"/>
      <w:bookmarkStart w:id="3392" w:name="_Toc38441318"/>
      <w:bookmarkStart w:id="3393" w:name="_Toc38441650"/>
      <w:bookmarkStart w:id="3394" w:name="_Toc38441978"/>
      <w:bookmarkStart w:id="3395" w:name="_Toc38442310"/>
      <w:bookmarkStart w:id="3396" w:name="_Toc38442642"/>
      <w:bookmarkStart w:id="3397" w:name="_Toc38442973"/>
      <w:bookmarkStart w:id="3398" w:name="_Toc38443304"/>
      <w:bookmarkStart w:id="3399" w:name="_Toc38443635"/>
      <w:bookmarkStart w:id="3400" w:name="_Toc38443965"/>
      <w:bookmarkStart w:id="3401" w:name="_Toc38438433"/>
      <w:bookmarkStart w:id="3402" w:name="_Toc38438770"/>
      <w:bookmarkStart w:id="3403" w:name="_Toc38439107"/>
      <w:bookmarkStart w:id="3404" w:name="_Toc38439444"/>
      <w:bookmarkStart w:id="3405" w:name="_Toc38439781"/>
      <w:bookmarkStart w:id="3406" w:name="_Toc38440118"/>
      <w:bookmarkStart w:id="3407" w:name="_Toc38440455"/>
      <w:bookmarkStart w:id="3408" w:name="_Toc38440987"/>
      <w:bookmarkStart w:id="3409" w:name="_Toc38441319"/>
      <w:bookmarkStart w:id="3410" w:name="_Toc38441651"/>
      <w:bookmarkStart w:id="3411" w:name="_Toc38441979"/>
      <w:bookmarkStart w:id="3412" w:name="_Toc38442311"/>
      <w:bookmarkStart w:id="3413" w:name="_Toc38442643"/>
      <w:bookmarkStart w:id="3414" w:name="_Toc38442974"/>
      <w:bookmarkStart w:id="3415" w:name="_Toc38443305"/>
      <w:bookmarkStart w:id="3416" w:name="_Toc38443636"/>
      <w:bookmarkStart w:id="3417" w:name="_Toc38443966"/>
      <w:bookmarkStart w:id="3418" w:name="_Toc38438434"/>
      <w:bookmarkStart w:id="3419" w:name="_Toc38438771"/>
      <w:bookmarkStart w:id="3420" w:name="_Toc38439108"/>
      <w:bookmarkStart w:id="3421" w:name="_Toc38439445"/>
      <w:bookmarkStart w:id="3422" w:name="_Toc38439782"/>
      <w:bookmarkStart w:id="3423" w:name="_Toc38440119"/>
      <w:bookmarkStart w:id="3424" w:name="_Toc38440456"/>
      <w:bookmarkStart w:id="3425" w:name="_Toc38440988"/>
      <w:bookmarkStart w:id="3426" w:name="_Toc38441320"/>
      <w:bookmarkStart w:id="3427" w:name="_Toc38441652"/>
      <w:bookmarkStart w:id="3428" w:name="_Toc38441980"/>
      <w:bookmarkStart w:id="3429" w:name="_Toc38442312"/>
      <w:bookmarkStart w:id="3430" w:name="_Toc38442644"/>
      <w:bookmarkStart w:id="3431" w:name="_Toc38442975"/>
      <w:bookmarkStart w:id="3432" w:name="_Toc38443306"/>
      <w:bookmarkStart w:id="3433" w:name="_Toc38443637"/>
      <w:bookmarkStart w:id="3434" w:name="_Toc38443967"/>
      <w:bookmarkStart w:id="3435" w:name="_Toc38438435"/>
      <w:bookmarkStart w:id="3436" w:name="_Toc38438772"/>
      <w:bookmarkStart w:id="3437" w:name="_Toc38439109"/>
      <w:bookmarkStart w:id="3438" w:name="_Toc38439446"/>
      <w:bookmarkStart w:id="3439" w:name="_Toc38439783"/>
      <w:bookmarkStart w:id="3440" w:name="_Toc38440120"/>
      <w:bookmarkStart w:id="3441" w:name="_Toc38440457"/>
      <w:bookmarkStart w:id="3442" w:name="_Toc38440989"/>
      <w:bookmarkStart w:id="3443" w:name="_Toc38441321"/>
      <w:bookmarkStart w:id="3444" w:name="_Toc38441653"/>
      <w:bookmarkStart w:id="3445" w:name="_Toc38441981"/>
      <w:bookmarkStart w:id="3446" w:name="_Toc38442313"/>
      <w:bookmarkStart w:id="3447" w:name="_Toc38442645"/>
      <w:bookmarkStart w:id="3448" w:name="_Toc38442976"/>
      <w:bookmarkStart w:id="3449" w:name="_Toc38443307"/>
      <w:bookmarkStart w:id="3450" w:name="_Toc38443638"/>
      <w:bookmarkStart w:id="3451" w:name="_Toc38443968"/>
      <w:bookmarkStart w:id="3452" w:name="_Toc38438436"/>
      <w:bookmarkStart w:id="3453" w:name="_Toc38438773"/>
      <w:bookmarkStart w:id="3454" w:name="_Toc38439110"/>
      <w:bookmarkStart w:id="3455" w:name="_Toc38439447"/>
      <w:bookmarkStart w:id="3456" w:name="_Toc38439784"/>
      <w:bookmarkStart w:id="3457" w:name="_Toc38440121"/>
      <w:bookmarkStart w:id="3458" w:name="_Toc38440458"/>
      <w:bookmarkStart w:id="3459" w:name="_Toc38440990"/>
      <w:bookmarkStart w:id="3460" w:name="_Toc38441322"/>
      <w:bookmarkStart w:id="3461" w:name="_Toc38441654"/>
      <w:bookmarkStart w:id="3462" w:name="_Toc38441982"/>
      <w:bookmarkStart w:id="3463" w:name="_Toc38442314"/>
      <w:bookmarkStart w:id="3464" w:name="_Toc38442646"/>
      <w:bookmarkStart w:id="3465" w:name="_Toc38442977"/>
      <w:bookmarkStart w:id="3466" w:name="_Toc38443308"/>
      <w:bookmarkStart w:id="3467" w:name="_Toc38443639"/>
      <w:bookmarkStart w:id="3468" w:name="_Toc38443969"/>
      <w:bookmarkStart w:id="3469" w:name="_Toc38438437"/>
      <w:bookmarkStart w:id="3470" w:name="_Toc38438774"/>
      <w:bookmarkStart w:id="3471" w:name="_Toc38439111"/>
      <w:bookmarkStart w:id="3472" w:name="_Toc38439448"/>
      <w:bookmarkStart w:id="3473" w:name="_Toc38439785"/>
      <w:bookmarkStart w:id="3474" w:name="_Toc38440122"/>
      <w:bookmarkStart w:id="3475" w:name="_Toc38440459"/>
      <w:bookmarkStart w:id="3476" w:name="_Toc38440991"/>
      <w:bookmarkStart w:id="3477" w:name="_Toc38441323"/>
      <w:bookmarkStart w:id="3478" w:name="_Toc38441655"/>
      <w:bookmarkStart w:id="3479" w:name="_Toc38441983"/>
      <w:bookmarkStart w:id="3480" w:name="_Toc38442315"/>
      <w:bookmarkStart w:id="3481" w:name="_Toc38442647"/>
      <w:bookmarkStart w:id="3482" w:name="_Toc38442978"/>
      <w:bookmarkStart w:id="3483" w:name="_Toc38443309"/>
      <w:bookmarkStart w:id="3484" w:name="_Toc38443640"/>
      <w:bookmarkStart w:id="3485" w:name="_Toc38443970"/>
      <w:bookmarkStart w:id="3486" w:name="_Toc38438438"/>
      <w:bookmarkStart w:id="3487" w:name="_Toc38438775"/>
      <w:bookmarkStart w:id="3488" w:name="_Toc38439112"/>
      <w:bookmarkStart w:id="3489" w:name="_Toc38439449"/>
      <w:bookmarkStart w:id="3490" w:name="_Toc38439786"/>
      <w:bookmarkStart w:id="3491" w:name="_Toc38440123"/>
      <w:bookmarkStart w:id="3492" w:name="_Toc38440460"/>
      <w:bookmarkStart w:id="3493" w:name="_Toc38440992"/>
      <w:bookmarkStart w:id="3494" w:name="_Toc38441324"/>
      <w:bookmarkStart w:id="3495" w:name="_Toc38441656"/>
      <w:bookmarkStart w:id="3496" w:name="_Toc38441984"/>
      <w:bookmarkStart w:id="3497" w:name="_Toc38442316"/>
      <w:bookmarkStart w:id="3498" w:name="_Toc38442648"/>
      <w:bookmarkStart w:id="3499" w:name="_Toc38442979"/>
      <w:bookmarkStart w:id="3500" w:name="_Toc38443310"/>
      <w:bookmarkStart w:id="3501" w:name="_Toc38443641"/>
      <w:bookmarkStart w:id="3502" w:name="_Toc38443971"/>
      <w:bookmarkStart w:id="3503" w:name="_Toc38438439"/>
      <w:bookmarkStart w:id="3504" w:name="_Toc38438776"/>
      <w:bookmarkStart w:id="3505" w:name="_Toc38439113"/>
      <w:bookmarkStart w:id="3506" w:name="_Toc38439450"/>
      <w:bookmarkStart w:id="3507" w:name="_Toc38439787"/>
      <w:bookmarkStart w:id="3508" w:name="_Toc38440124"/>
      <w:bookmarkStart w:id="3509" w:name="_Toc38440461"/>
      <w:bookmarkStart w:id="3510" w:name="_Toc38440993"/>
      <w:bookmarkStart w:id="3511" w:name="_Toc38441325"/>
      <w:bookmarkStart w:id="3512" w:name="_Toc38441657"/>
      <w:bookmarkStart w:id="3513" w:name="_Toc38441985"/>
      <w:bookmarkStart w:id="3514" w:name="_Toc38442317"/>
      <w:bookmarkStart w:id="3515" w:name="_Toc38442649"/>
      <w:bookmarkStart w:id="3516" w:name="_Toc38442980"/>
      <w:bookmarkStart w:id="3517" w:name="_Toc38443311"/>
      <w:bookmarkStart w:id="3518" w:name="_Toc38443642"/>
      <w:bookmarkStart w:id="3519" w:name="_Toc38443972"/>
      <w:bookmarkStart w:id="3520" w:name="_Toc38438440"/>
      <w:bookmarkStart w:id="3521" w:name="_Toc38438777"/>
      <w:bookmarkStart w:id="3522" w:name="_Toc38439114"/>
      <w:bookmarkStart w:id="3523" w:name="_Toc38439451"/>
      <w:bookmarkStart w:id="3524" w:name="_Toc38439788"/>
      <w:bookmarkStart w:id="3525" w:name="_Toc38440125"/>
      <w:bookmarkStart w:id="3526" w:name="_Toc38440462"/>
      <w:bookmarkStart w:id="3527" w:name="_Toc38440994"/>
      <w:bookmarkStart w:id="3528" w:name="_Toc38441326"/>
      <w:bookmarkStart w:id="3529" w:name="_Toc38441658"/>
      <w:bookmarkStart w:id="3530" w:name="_Toc38441986"/>
      <w:bookmarkStart w:id="3531" w:name="_Toc38442318"/>
      <w:bookmarkStart w:id="3532" w:name="_Toc38442650"/>
      <w:bookmarkStart w:id="3533" w:name="_Toc38442981"/>
      <w:bookmarkStart w:id="3534" w:name="_Toc38443312"/>
      <w:bookmarkStart w:id="3535" w:name="_Toc38443643"/>
      <w:bookmarkStart w:id="3536" w:name="_Toc38443973"/>
      <w:bookmarkStart w:id="3537" w:name="_Toc38438441"/>
      <w:bookmarkStart w:id="3538" w:name="_Toc38438778"/>
      <w:bookmarkStart w:id="3539" w:name="_Toc38439115"/>
      <w:bookmarkStart w:id="3540" w:name="_Toc38439452"/>
      <w:bookmarkStart w:id="3541" w:name="_Toc38439789"/>
      <w:bookmarkStart w:id="3542" w:name="_Toc38440126"/>
      <w:bookmarkStart w:id="3543" w:name="_Toc38440463"/>
      <w:bookmarkStart w:id="3544" w:name="_Toc38440995"/>
      <w:bookmarkStart w:id="3545" w:name="_Toc38441327"/>
      <w:bookmarkStart w:id="3546" w:name="_Toc38441659"/>
      <w:bookmarkStart w:id="3547" w:name="_Toc38441987"/>
      <w:bookmarkStart w:id="3548" w:name="_Toc38442319"/>
      <w:bookmarkStart w:id="3549" w:name="_Toc38442651"/>
      <w:bookmarkStart w:id="3550" w:name="_Toc38442982"/>
      <w:bookmarkStart w:id="3551" w:name="_Toc38443313"/>
      <w:bookmarkStart w:id="3552" w:name="_Toc38443644"/>
      <w:bookmarkStart w:id="3553" w:name="_Toc38443974"/>
      <w:bookmarkStart w:id="3554" w:name="_Toc38438442"/>
      <w:bookmarkStart w:id="3555" w:name="_Toc38438779"/>
      <w:bookmarkStart w:id="3556" w:name="_Toc38439116"/>
      <w:bookmarkStart w:id="3557" w:name="_Toc38439453"/>
      <w:bookmarkStart w:id="3558" w:name="_Toc38439790"/>
      <w:bookmarkStart w:id="3559" w:name="_Toc38440127"/>
      <w:bookmarkStart w:id="3560" w:name="_Toc38440464"/>
      <w:bookmarkStart w:id="3561" w:name="_Toc38440996"/>
      <w:bookmarkStart w:id="3562" w:name="_Toc38441328"/>
      <w:bookmarkStart w:id="3563" w:name="_Toc38441660"/>
      <w:bookmarkStart w:id="3564" w:name="_Toc38441988"/>
      <w:bookmarkStart w:id="3565" w:name="_Toc38442320"/>
      <w:bookmarkStart w:id="3566" w:name="_Toc38442652"/>
      <w:bookmarkStart w:id="3567" w:name="_Toc38442983"/>
      <w:bookmarkStart w:id="3568" w:name="_Toc38443314"/>
      <w:bookmarkStart w:id="3569" w:name="_Toc38443645"/>
      <w:bookmarkStart w:id="3570" w:name="_Toc38443975"/>
      <w:bookmarkStart w:id="3571" w:name="_Toc38438443"/>
      <w:bookmarkStart w:id="3572" w:name="_Toc38438780"/>
      <w:bookmarkStart w:id="3573" w:name="_Toc38439117"/>
      <w:bookmarkStart w:id="3574" w:name="_Toc38439454"/>
      <w:bookmarkStart w:id="3575" w:name="_Toc38439791"/>
      <w:bookmarkStart w:id="3576" w:name="_Toc38440128"/>
      <w:bookmarkStart w:id="3577" w:name="_Toc38440465"/>
      <w:bookmarkStart w:id="3578" w:name="_Toc38440997"/>
      <w:bookmarkStart w:id="3579" w:name="_Toc38441329"/>
      <w:bookmarkStart w:id="3580" w:name="_Toc38441661"/>
      <w:bookmarkStart w:id="3581" w:name="_Toc38441989"/>
      <w:bookmarkStart w:id="3582" w:name="_Toc38442321"/>
      <w:bookmarkStart w:id="3583" w:name="_Toc38442653"/>
      <w:bookmarkStart w:id="3584" w:name="_Toc38442984"/>
      <w:bookmarkStart w:id="3585" w:name="_Toc38443315"/>
      <w:bookmarkStart w:id="3586" w:name="_Toc38443646"/>
      <w:bookmarkStart w:id="3587" w:name="_Toc38443976"/>
      <w:bookmarkStart w:id="3588" w:name="_Toc38438444"/>
      <w:bookmarkStart w:id="3589" w:name="_Toc38438781"/>
      <w:bookmarkStart w:id="3590" w:name="_Toc38439118"/>
      <w:bookmarkStart w:id="3591" w:name="_Toc38439455"/>
      <w:bookmarkStart w:id="3592" w:name="_Toc38439792"/>
      <w:bookmarkStart w:id="3593" w:name="_Toc38440129"/>
      <w:bookmarkStart w:id="3594" w:name="_Toc38440466"/>
      <w:bookmarkStart w:id="3595" w:name="_Toc38440998"/>
      <w:bookmarkStart w:id="3596" w:name="_Toc38441330"/>
      <w:bookmarkStart w:id="3597" w:name="_Toc38441662"/>
      <w:bookmarkStart w:id="3598" w:name="_Toc38441990"/>
      <w:bookmarkStart w:id="3599" w:name="_Toc38442322"/>
      <w:bookmarkStart w:id="3600" w:name="_Toc38442654"/>
      <w:bookmarkStart w:id="3601" w:name="_Toc38442985"/>
      <w:bookmarkStart w:id="3602" w:name="_Toc38443316"/>
      <w:bookmarkStart w:id="3603" w:name="_Toc38443647"/>
      <w:bookmarkStart w:id="3604" w:name="_Toc38443977"/>
      <w:bookmarkStart w:id="3605" w:name="_Toc38438445"/>
      <w:bookmarkStart w:id="3606" w:name="_Toc38438782"/>
      <w:bookmarkStart w:id="3607" w:name="_Toc38439119"/>
      <w:bookmarkStart w:id="3608" w:name="_Toc38439456"/>
      <w:bookmarkStart w:id="3609" w:name="_Toc38439793"/>
      <w:bookmarkStart w:id="3610" w:name="_Toc38440130"/>
      <w:bookmarkStart w:id="3611" w:name="_Toc38440467"/>
      <w:bookmarkStart w:id="3612" w:name="_Toc38440999"/>
      <w:bookmarkStart w:id="3613" w:name="_Toc38441331"/>
      <w:bookmarkStart w:id="3614" w:name="_Toc38441663"/>
      <w:bookmarkStart w:id="3615" w:name="_Toc38441991"/>
      <w:bookmarkStart w:id="3616" w:name="_Toc38442323"/>
      <w:bookmarkStart w:id="3617" w:name="_Toc38442655"/>
      <w:bookmarkStart w:id="3618" w:name="_Toc38442986"/>
      <w:bookmarkStart w:id="3619" w:name="_Toc38443317"/>
      <w:bookmarkStart w:id="3620" w:name="_Toc38443648"/>
      <w:bookmarkStart w:id="3621" w:name="_Toc38443978"/>
      <w:bookmarkStart w:id="3622" w:name="_Toc38438446"/>
      <w:bookmarkStart w:id="3623" w:name="_Toc38438783"/>
      <w:bookmarkStart w:id="3624" w:name="_Toc38439120"/>
      <w:bookmarkStart w:id="3625" w:name="_Toc38439457"/>
      <w:bookmarkStart w:id="3626" w:name="_Toc38439794"/>
      <w:bookmarkStart w:id="3627" w:name="_Toc38440131"/>
      <w:bookmarkStart w:id="3628" w:name="_Toc38440468"/>
      <w:bookmarkStart w:id="3629" w:name="_Toc38441000"/>
      <w:bookmarkStart w:id="3630" w:name="_Toc38441332"/>
      <w:bookmarkStart w:id="3631" w:name="_Toc38441664"/>
      <w:bookmarkStart w:id="3632" w:name="_Toc38441992"/>
      <w:bookmarkStart w:id="3633" w:name="_Toc38442324"/>
      <w:bookmarkStart w:id="3634" w:name="_Toc38442656"/>
      <w:bookmarkStart w:id="3635" w:name="_Toc38442987"/>
      <w:bookmarkStart w:id="3636" w:name="_Toc38443318"/>
      <w:bookmarkStart w:id="3637" w:name="_Toc38443649"/>
      <w:bookmarkStart w:id="3638" w:name="_Toc38443979"/>
      <w:bookmarkStart w:id="3639" w:name="_Toc38438447"/>
      <w:bookmarkStart w:id="3640" w:name="_Toc38438784"/>
      <w:bookmarkStart w:id="3641" w:name="_Toc38439121"/>
      <w:bookmarkStart w:id="3642" w:name="_Toc38439458"/>
      <w:bookmarkStart w:id="3643" w:name="_Toc38439795"/>
      <w:bookmarkStart w:id="3644" w:name="_Toc38440132"/>
      <w:bookmarkStart w:id="3645" w:name="_Toc38440469"/>
      <w:bookmarkStart w:id="3646" w:name="_Toc38441001"/>
      <w:bookmarkStart w:id="3647" w:name="_Toc38441333"/>
      <w:bookmarkStart w:id="3648" w:name="_Toc38441665"/>
      <w:bookmarkStart w:id="3649" w:name="_Toc38441993"/>
      <w:bookmarkStart w:id="3650" w:name="_Toc38442325"/>
      <w:bookmarkStart w:id="3651" w:name="_Toc38442657"/>
      <w:bookmarkStart w:id="3652" w:name="_Toc38442988"/>
      <w:bookmarkStart w:id="3653" w:name="_Toc38443319"/>
      <w:bookmarkStart w:id="3654" w:name="_Toc38443650"/>
      <w:bookmarkStart w:id="3655" w:name="_Toc38443980"/>
      <w:bookmarkStart w:id="3656" w:name="_Toc38438448"/>
      <w:bookmarkStart w:id="3657" w:name="_Toc38438785"/>
      <w:bookmarkStart w:id="3658" w:name="_Toc38439122"/>
      <w:bookmarkStart w:id="3659" w:name="_Toc38439459"/>
      <w:bookmarkStart w:id="3660" w:name="_Toc38439796"/>
      <w:bookmarkStart w:id="3661" w:name="_Toc38440133"/>
      <w:bookmarkStart w:id="3662" w:name="_Toc38440470"/>
      <w:bookmarkStart w:id="3663" w:name="_Toc38441002"/>
      <w:bookmarkStart w:id="3664" w:name="_Toc38441334"/>
      <w:bookmarkStart w:id="3665" w:name="_Toc38441666"/>
      <w:bookmarkStart w:id="3666" w:name="_Toc38441994"/>
      <w:bookmarkStart w:id="3667" w:name="_Toc38442326"/>
      <w:bookmarkStart w:id="3668" w:name="_Toc38442658"/>
      <w:bookmarkStart w:id="3669" w:name="_Toc38442989"/>
      <w:bookmarkStart w:id="3670" w:name="_Toc38443320"/>
      <w:bookmarkStart w:id="3671" w:name="_Toc38443651"/>
      <w:bookmarkStart w:id="3672" w:name="_Toc38443981"/>
      <w:bookmarkStart w:id="3673" w:name="_Toc38438449"/>
      <w:bookmarkStart w:id="3674" w:name="_Toc38438786"/>
      <w:bookmarkStart w:id="3675" w:name="_Toc38439123"/>
      <w:bookmarkStart w:id="3676" w:name="_Toc38439460"/>
      <w:bookmarkStart w:id="3677" w:name="_Toc38439797"/>
      <w:bookmarkStart w:id="3678" w:name="_Toc38440134"/>
      <w:bookmarkStart w:id="3679" w:name="_Toc38440471"/>
      <w:bookmarkStart w:id="3680" w:name="_Toc38441003"/>
      <w:bookmarkStart w:id="3681" w:name="_Toc38441335"/>
      <w:bookmarkStart w:id="3682" w:name="_Toc38441667"/>
      <w:bookmarkStart w:id="3683" w:name="_Toc38441995"/>
      <w:bookmarkStart w:id="3684" w:name="_Toc38442327"/>
      <w:bookmarkStart w:id="3685" w:name="_Toc38442659"/>
      <w:bookmarkStart w:id="3686" w:name="_Toc38442990"/>
      <w:bookmarkStart w:id="3687" w:name="_Toc38443321"/>
      <w:bookmarkStart w:id="3688" w:name="_Toc38443652"/>
      <w:bookmarkStart w:id="3689" w:name="_Toc38443982"/>
      <w:bookmarkStart w:id="3690" w:name="_Toc38438450"/>
      <w:bookmarkStart w:id="3691" w:name="_Toc38438787"/>
      <w:bookmarkStart w:id="3692" w:name="_Toc38439124"/>
      <w:bookmarkStart w:id="3693" w:name="_Toc38439461"/>
      <w:bookmarkStart w:id="3694" w:name="_Toc38439798"/>
      <w:bookmarkStart w:id="3695" w:name="_Toc38440135"/>
      <w:bookmarkStart w:id="3696" w:name="_Toc38440472"/>
      <w:bookmarkStart w:id="3697" w:name="_Toc38441004"/>
      <w:bookmarkStart w:id="3698" w:name="_Toc38441336"/>
      <w:bookmarkStart w:id="3699" w:name="_Toc38441668"/>
      <w:bookmarkStart w:id="3700" w:name="_Toc38441996"/>
      <w:bookmarkStart w:id="3701" w:name="_Toc38442328"/>
      <w:bookmarkStart w:id="3702" w:name="_Toc38442660"/>
      <w:bookmarkStart w:id="3703" w:name="_Toc38442991"/>
      <w:bookmarkStart w:id="3704" w:name="_Toc38443322"/>
      <w:bookmarkStart w:id="3705" w:name="_Toc38443653"/>
      <w:bookmarkStart w:id="3706" w:name="_Toc38443983"/>
      <w:bookmarkStart w:id="3707" w:name="_Toc38438451"/>
      <w:bookmarkStart w:id="3708" w:name="_Toc38438788"/>
      <w:bookmarkStart w:id="3709" w:name="_Toc38439125"/>
      <w:bookmarkStart w:id="3710" w:name="_Toc38439462"/>
      <w:bookmarkStart w:id="3711" w:name="_Toc38439799"/>
      <w:bookmarkStart w:id="3712" w:name="_Toc38440136"/>
      <w:bookmarkStart w:id="3713" w:name="_Toc38440473"/>
      <w:bookmarkStart w:id="3714" w:name="_Toc38441005"/>
      <w:bookmarkStart w:id="3715" w:name="_Toc38441337"/>
      <w:bookmarkStart w:id="3716" w:name="_Toc38441669"/>
      <w:bookmarkStart w:id="3717" w:name="_Toc38441997"/>
      <w:bookmarkStart w:id="3718" w:name="_Toc38442329"/>
      <w:bookmarkStart w:id="3719" w:name="_Toc38442661"/>
      <w:bookmarkStart w:id="3720" w:name="_Toc38442992"/>
      <w:bookmarkStart w:id="3721" w:name="_Toc38443323"/>
      <w:bookmarkStart w:id="3722" w:name="_Toc38443654"/>
      <w:bookmarkStart w:id="3723" w:name="_Toc38443984"/>
      <w:bookmarkStart w:id="3724" w:name="_Toc38438452"/>
      <w:bookmarkStart w:id="3725" w:name="_Toc38438789"/>
      <w:bookmarkStart w:id="3726" w:name="_Toc38439126"/>
      <w:bookmarkStart w:id="3727" w:name="_Toc38439463"/>
      <w:bookmarkStart w:id="3728" w:name="_Toc38439800"/>
      <w:bookmarkStart w:id="3729" w:name="_Toc38440137"/>
      <w:bookmarkStart w:id="3730" w:name="_Toc38440474"/>
      <w:bookmarkStart w:id="3731" w:name="_Toc38441006"/>
      <w:bookmarkStart w:id="3732" w:name="_Toc38441338"/>
      <w:bookmarkStart w:id="3733" w:name="_Toc38441670"/>
      <w:bookmarkStart w:id="3734" w:name="_Toc38441998"/>
      <w:bookmarkStart w:id="3735" w:name="_Toc38442330"/>
      <w:bookmarkStart w:id="3736" w:name="_Toc38442662"/>
      <w:bookmarkStart w:id="3737" w:name="_Toc38442993"/>
      <w:bookmarkStart w:id="3738" w:name="_Toc38443324"/>
      <w:bookmarkStart w:id="3739" w:name="_Toc38443655"/>
      <w:bookmarkStart w:id="3740" w:name="_Toc38443985"/>
      <w:bookmarkStart w:id="3741" w:name="_Toc38438453"/>
      <w:bookmarkStart w:id="3742" w:name="_Toc38438790"/>
      <w:bookmarkStart w:id="3743" w:name="_Toc38439127"/>
      <w:bookmarkStart w:id="3744" w:name="_Toc38439464"/>
      <w:bookmarkStart w:id="3745" w:name="_Toc38439801"/>
      <w:bookmarkStart w:id="3746" w:name="_Toc38440138"/>
      <w:bookmarkStart w:id="3747" w:name="_Toc38440475"/>
      <w:bookmarkStart w:id="3748" w:name="_Toc38441007"/>
      <w:bookmarkStart w:id="3749" w:name="_Toc38441339"/>
      <w:bookmarkStart w:id="3750" w:name="_Toc38441671"/>
      <w:bookmarkStart w:id="3751" w:name="_Toc38441999"/>
      <w:bookmarkStart w:id="3752" w:name="_Toc38442331"/>
      <w:bookmarkStart w:id="3753" w:name="_Toc38442663"/>
      <w:bookmarkStart w:id="3754" w:name="_Toc38442994"/>
      <w:bookmarkStart w:id="3755" w:name="_Toc38443325"/>
      <w:bookmarkStart w:id="3756" w:name="_Toc38443656"/>
      <w:bookmarkStart w:id="3757" w:name="_Toc38443986"/>
      <w:bookmarkStart w:id="3758" w:name="_Toc38438454"/>
      <w:bookmarkStart w:id="3759" w:name="_Toc38438791"/>
      <w:bookmarkStart w:id="3760" w:name="_Toc38439128"/>
      <w:bookmarkStart w:id="3761" w:name="_Toc38439465"/>
      <w:bookmarkStart w:id="3762" w:name="_Toc38439802"/>
      <w:bookmarkStart w:id="3763" w:name="_Toc38440139"/>
      <w:bookmarkStart w:id="3764" w:name="_Toc38440476"/>
      <w:bookmarkStart w:id="3765" w:name="_Toc38441008"/>
      <w:bookmarkStart w:id="3766" w:name="_Toc38441340"/>
      <w:bookmarkStart w:id="3767" w:name="_Toc38441672"/>
      <w:bookmarkStart w:id="3768" w:name="_Toc38442000"/>
      <w:bookmarkStart w:id="3769" w:name="_Toc38442332"/>
      <w:bookmarkStart w:id="3770" w:name="_Toc38442664"/>
      <w:bookmarkStart w:id="3771" w:name="_Toc38442995"/>
      <w:bookmarkStart w:id="3772" w:name="_Toc38443326"/>
      <w:bookmarkStart w:id="3773" w:name="_Toc38443657"/>
      <w:bookmarkStart w:id="3774" w:name="_Toc38443987"/>
      <w:bookmarkStart w:id="3775" w:name="_Toc38438455"/>
      <w:bookmarkStart w:id="3776" w:name="_Toc38438792"/>
      <w:bookmarkStart w:id="3777" w:name="_Toc38439129"/>
      <w:bookmarkStart w:id="3778" w:name="_Toc38439466"/>
      <w:bookmarkStart w:id="3779" w:name="_Toc38439803"/>
      <w:bookmarkStart w:id="3780" w:name="_Toc38440140"/>
      <w:bookmarkStart w:id="3781" w:name="_Toc38440477"/>
      <w:bookmarkStart w:id="3782" w:name="_Toc38441009"/>
      <w:bookmarkStart w:id="3783" w:name="_Toc38441341"/>
      <w:bookmarkStart w:id="3784" w:name="_Toc38441673"/>
      <w:bookmarkStart w:id="3785" w:name="_Toc38442001"/>
      <w:bookmarkStart w:id="3786" w:name="_Toc38442333"/>
      <w:bookmarkStart w:id="3787" w:name="_Toc38442665"/>
      <w:bookmarkStart w:id="3788" w:name="_Toc38442996"/>
      <w:bookmarkStart w:id="3789" w:name="_Toc38443327"/>
      <w:bookmarkStart w:id="3790" w:name="_Toc38443658"/>
      <w:bookmarkStart w:id="3791" w:name="_Toc38443988"/>
      <w:bookmarkStart w:id="3792" w:name="_Toc38438456"/>
      <w:bookmarkStart w:id="3793" w:name="_Toc38438793"/>
      <w:bookmarkStart w:id="3794" w:name="_Toc38439130"/>
      <w:bookmarkStart w:id="3795" w:name="_Toc38439467"/>
      <w:bookmarkStart w:id="3796" w:name="_Toc38439804"/>
      <w:bookmarkStart w:id="3797" w:name="_Toc38440141"/>
      <w:bookmarkStart w:id="3798" w:name="_Toc38440478"/>
      <w:bookmarkStart w:id="3799" w:name="_Toc38441010"/>
      <w:bookmarkStart w:id="3800" w:name="_Toc38441342"/>
      <w:bookmarkStart w:id="3801" w:name="_Toc38441674"/>
      <w:bookmarkStart w:id="3802" w:name="_Toc38442002"/>
      <w:bookmarkStart w:id="3803" w:name="_Toc38442334"/>
      <w:bookmarkStart w:id="3804" w:name="_Toc38442666"/>
      <w:bookmarkStart w:id="3805" w:name="_Toc38442997"/>
      <w:bookmarkStart w:id="3806" w:name="_Toc38443328"/>
      <w:bookmarkStart w:id="3807" w:name="_Toc38443659"/>
      <w:bookmarkStart w:id="3808" w:name="_Toc38443989"/>
      <w:bookmarkStart w:id="3809" w:name="_Toc38438457"/>
      <w:bookmarkStart w:id="3810" w:name="_Toc38438794"/>
      <w:bookmarkStart w:id="3811" w:name="_Toc38439131"/>
      <w:bookmarkStart w:id="3812" w:name="_Toc38439468"/>
      <w:bookmarkStart w:id="3813" w:name="_Toc38439805"/>
      <w:bookmarkStart w:id="3814" w:name="_Toc38440142"/>
      <w:bookmarkStart w:id="3815" w:name="_Toc38440479"/>
      <w:bookmarkStart w:id="3816" w:name="_Toc38441011"/>
      <w:bookmarkStart w:id="3817" w:name="_Toc38441343"/>
      <w:bookmarkStart w:id="3818" w:name="_Toc38441675"/>
      <w:bookmarkStart w:id="3819" w:name="_Toc38442003"/>
      <w:bookmarkStart w:id="3820" w:name="_Toc38442335"/>
      <w:bookmarkStart w:id="3821" w:name="_Toc38442667"/>
      <w:bookmarkStart w:id="3822" w:name="_Toc38442998"/>
      <w:bookmarkStart w:id="3823" w:name="_Toc38443329"/>
      <w:bookmarkStart w:id="3824" w:name="_Toc38443660"/>
      <w:bookmarkStart w:id="3825" w:name="_Toc38443990"/>
      <w:bookmarkStart w:id="3826" w:name="_Toc38438458"/>
      <w:bookmarkStart w:id="3827" w:name="_Toc38438795"/>
      <w:bookmarkStart w:id="3828" w:name="_Toc38439132"/>
      <w:bookmarkStart w:id="3829" w:name="_Toc38439469"/>
      <w:bookmarkStart w:id="3830" w:name="_Toc38439806"/>
      <w:bookmarkStart w:id="3831" w:name="_Toc38440143"/>
      <w:bookmarkStart w:id="3832" w:name="_Toc38440480"/>
      <w:bookmarkStart w:id="3833" w:name="_Toc38441012"/>
      <w:bookmarkStart w:id="3834" w:name="_Toc38441344"/>
      <w:bookmarkStart w:id="3835" w:name="_Toc38441676"/>
      <w:bookmarkStart w:id="3836" w:name="_Toc38442004"/>
      <w:bookmarkStart w:id="3837" w:name="_Toc38442336"/>
      <w:bookmarkStart w:id="3838" w:name="_Toc38442668"/>
      <w:bookmarkStart w:id="3839" w:name="_Toc38442999"/>
      <w:bookmarkStart w:id="3840" w:name="_Toc38443330"/>
      <w:bookmarkStart w:id="3841" w:name="_Toc38443661"/>
      <w:bookmarkStart w:id="3842" w:name="_Toc38443991"/>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rsidRPr="00D3689E">
        <w:rPr>
          <w:rFonts w:asciiTheme="minorEastAsia" w:eastAsiaTheme="minorEastAsia" w:hAnsiTheme="minorEastAsia"/>
          <w:b w:val="0"/>
          <w:bCs/>
          <w:color w:val="000000" w:themeColor="text1"/>
        </w:rPr>
        <w:br w:type="page"/>
      </w:r>
      <w:bookmarkStart w:id="3843" w:name="_Toc169103855"/>
      <w:r w:rsidRPr="00D3689E">
        <w:rPr>
          <w:rFonts w:asciiTheme="minorEastAsia" w:eastAsiaTheme="minorEastAsia" w:hAnsiTheme="minorEastAsia" w:hint="eastAsia"/>
          <w:color w:val="000000" w:themeColor="text1"/>
        </w:rPr>
        <w:t>招募说明书存放及查阅方式</w:t>
      </w:r>
      <w:bookmarkEnd w:id="3843"/>
    </w:p>
    <w:p w:rsidR="007154D7" w:rsidRPr="00D3689E" w:rsidP="00172767">
      <w:pPr>
        <w:spacing w:line="360" w:lineRule="auto"/>
        <w:ind w:firstLine="48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szCs w:val="21"/>
        </w:rPr>
        <w:t>本招募说明书存放在基金管理人、基金托管人及基金</w:t>
      </w:r>
      <w:r w:rsidRPr="00D3689E" w:rsidR="00517CD6">
        <w:rPr>
          <w:rFonts w:asciiTheme="minorEastAsia" w:eastAsiaTheme="minorEastAsia" w:hAnsiTheme="minorEastAsia" w:hint="eastAsia"/>
          <w:color w:val="000000" w:themeColor="text1"/>
          <w:szCs w:val="21"/>
        </w:rPr>
        <w:t>非直销销售</w:t>
      </w:r>
      <w:r w:rsidRPr="00D3689E">
        <w:rPr>
          <w:rFonts w:asciiTheme="minorEastAsia" w:eastAsiaTheme="minorEastAsia" w:hAnsiTheme="minorEastAsia" w:hint="eastAsia"/>
          <w:color w:val="000000" w:themeColor="text1"/>
          <w:szCs w:val="21"/>
        </w:rPr>
        <w:t>机构</w:t>
      </w:r>
      <w:r w:rsidRPr="00D3689E" w:rsidR="00C662F1">
        <w:rPr>
          <w:rFonts w:asciiTheme="minorEastAsia" w:eastAsiaTheme="minorEastAsia" w:hAnsiTheme="minorEastAsia" w:hint="eastAsia"/>
          <w:color w:val="000000" w:themeColor="text1"/>
          <w:szCs w:val="21"/>
        </w:rPr>
        <w:t>处</w:t>
      </w:r>
      <w:r w:rsidRPr="00D3689E">
        <w:rPr>
          <w:rFonts w:asciiTheme="minorEastAsia" w:eastAsiaTheme="minorEastAsia" w:hAnsiTheme="minorEastAsia" w:hint="eastAsia"/>
          <w:color w:val="000000" w:themeColor="text1"/>
          <w:szCs w:val="21"/>
        </w:rPr>
        <w:t>，投资者可在营业时间免费查阅，也可按工本费购买复印件。</w:t>
      </w:r>
    </w:p>
    <w:p w:rsidR="0064594E" w:rsidRPr="00D3689E" w:rsidP="00172767">
      <w:pPr>
        <w:spacing w:line="360" w:lineRule="auto"/>
        <w:ind w:firstLine="480"/>
        <w:rPr>
          <w:rFonts w:asciiTheme="minorEastAsia" w:eastAsiaTheme="minorEastAsia" w:hAnsiTheme="minorEastAsia"/>
          <w:color w:val="000000" w:themeColor="text1"/>
          <w:szCs w:val="21"/>
        </w:rPr>
      </w:pPr>
      <w:r w:rsidRPr="00D3689E">
        <w:rPr>
          <w:rFonts w:asciiTheme="minorEastAsia" w:eastAsiaTheme="minorEastAsia" w:hAnsiTheme="minorEastAsia" w:hint="eastAsia"/>
          <w:color w:val="000000" w:themeColor="text1"/>
        </w:rPr>
        <w:t>基金管理人和基金托管人保证文本的内容与公告的内容完全一致。</w:t>
      </w:r>
    </w:p>
    <w:p w:rsidR="0064594E" w:rsidRPr="00D3689E" w:rsidP="002C1A0C">
      <w:pPr>
        <w:pStyle w:val="1"/>
        <w:pageBreakBefore w:val="0"/>
        <w:numPr>
          <w:ilvl w:val="0"/>
          <w:numId w:val="4"/>
        </w:numPr>
        <w:spacing w:before="312" w:after="312" w:line="360" w:lineRule="auto"/>
        <w:ind w:left="1809" w:hanging="1168" w:firstLineChars="0"/>
        <w:rPr>
          <w:rFonts w:asciiTheme="minorEastAsia" w:eastAsiaTheme="minorEastAsia" w:hAnsiTheme="minorEastAsia"/>
          <w:color w:val="000000" w:themeColor="text1"/>
        </w:rPr>
      </w:pPr>
      <w:r w:rsidRPr="00D3689E">
        <w:rPr>
          <w:rFonts w:asciiTheme="minorEastAsia" w:eastAsiaTheme="minorEastAsia" w:hAnsiTheme="minorEastAsia"/>
          <w:b w:val="0"/>
          <w:color w:val="000000" w:themeColor="text1"/>
        </w:rPr>
        <w:br w:type="page"/>
      </w:r>
      <w:bookmarkStart w:id="3844" w:name="_Toc169103856"/>
      <w:r w:rsidRPr="00D3689E">
        <w:rPr>
          <w:rFonts w:asciiTheme="minorEastAsia" w:eastAsiaTheme="minorEastAsia" w:hAnsiTheme="minorEastAsia" w:hint="eastAsia"/>
          <w:color w:val="000000" w:themeColor="text1"/>
        </w:rPr>
        <w:t>备查文件</w:t>
      </w:r>
      <w:bookmarkEnd w:id="3844"/>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1</w:t>
      </w:r>
      <w:r w:rsidRPr="00D3689E">
        <w:rPr>
          <w:rFonts w:asciiTheme="minorEastAsia" w:eastAsiaTheme="minorEastAsia" w:hAnsiTheme="minorEastAsia" w:hint="eastAsia"/>
          <w:color w:val="000000" w:themeColor="text1"/>
        </w:rPr>
        <w:t>、中国证监会</w:t>
      </w:r>
      <w:r w:rsidRPr="00D3689E" w:rsidR="001029A2">
        <w:rPr>
          <w:rFonts w:asciiTheme="minorEastAsia" w:eastAsiaTheme="minorEastAsia" w:hAnsiTheme="minorEastAsia" w:hint="eastAsia"/>
          <w:color w:val="000000" w:themeColor="text1"/>
        </w:rPr>
        <w:t>注册</w:t>
      </w:r>
      <w:r w:rsidRPr="00D3689E" w:rsidR="001029A2">
        <w:rPr>
          <w:rFonts w:asciiTheme="minorEastAsia" w:eastAsiaTheme="minorEastAsia" w:hAnsiTheme="minorEastAsia" w:hint="eastAsia"/>
          <w:color w:val="000000" w:themeColor="text1"/>
          <w:szCs w:val="21"/>
        </w:rPr>
        <w:t>易方达中证海外中国互联网</w:t>
      </w:r>
      <w:r w:rsidRPr="00D3689E" w:rsidR="001029A2">
        <w:rPr>
          <w:rFonts w:asciiTheme="minorEastAsia" w:eastAsiaTheme="minorEastAsia" w:hAnsiTheme="minorEastAsia"/>
          <w:color w:val="000000" w:themeColor="text1"/>
          <w:szCs w:val="21"/>
        </w:rPr>
        <w:t>50交易型开放式指数证券投资基金联接基金</w:t>
      </w:r>
      <w:r w:rsidRPr="00D3689E">
        <w:rPr>
          <w:rFonts w:asciiTheme="minorEastAsia" w:eastAsiaTheme="minorEastAsia" w:hAnsiTheme="minorEastAsia" w:hint="eastAsia"/>
          <w:color w:val="000000" w:themeColor="text1"/>
        </w:rPr>
        <w:t>募集的文件；</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2</w:t>
      </w:r>
      <w:r w:rsidRPr="00D3689E">
        <w:rPr>
          <w:rFonts w:asciiTheme="minorEastAsia" w:eastAsiaTheme="minorEastAsia" w:hAnsiTheme="minorEastAsia" w:hint="eastAsia"/>
          <w:color w:val="000000" w:themeColor="text1"/>
        </w:rPr>
        <w:t>、《</w:t>
      </w:r>
      <w:r w:rsidRPr="00D3689E" w:rsidR="001029A2">
        <w:rPr>
          <w:rFonts w:asciiTheme="minorEastAsia" w:eastAsiaTheme="minorEastAsia" w:hAnsiTheme="minorEastAsia" w:hint="eastAsia"/>
          <w:color w:val="000000" w:themeColor="text1"/>
          <w:szCs w:val="21"/>
        </w:rPr>
        <w:t>易方达中证海外中国互联网</w:t>
      </w:r>
      <w:r w:rsidRPr="00D3689E" w:rsidR="001029A2">
        <w:rPr>
          <w:rFonts w:asciiTheme="minorEastAsia" w:eastAsiaTheme="minorEastAsia" w:hAnsiTheme="minorEastAsia"/>
          <w:color w:val="000000" w:themeColor="text1"/>
          <w:szCs w:val="21"/>
        </w:rPr>
        <w:t>50交易型开放式指数证券投资基金联接基金</w:t>
      </w:r>
      <w:r w:rsidRPr="00D3689E">
        <w:rPr>
          <w:rFonts w:asciiTheme="minorEastAsia" w:eastAsiaTheme="minorEastAsia" w:hAnsiTheme="minorEastAsia" w:hint="eastAsia"/>
          <w:color w:val="000000" w:themeColor="text1"/>
        </w:rPr>
        <w:t>基金合同》；</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3</w:t>
      </w:r>
      <w:r w:rsidRPr="00D3689E">
        <w:rPr>
          <w:rFonts w:asciiTheme="minorEastAsia" w:eastAsiaTheme="minorEastAsia" w:hAnsiTheme="minorEastAsia" w:hint="eastAsia"/>
          <w:color w:val="000000" w:themeColor="text1"/>
        </w:rPr>
        <w:t>、《</w:t>
      </w:r>
      <w:r w:rsidRPr="00D3689E" w:rsidR="001029A2">
        <w:rPr>
          <w:rFonts w:asciiTheme="minorEastAsia" w:eastAsiaTheme="minorEastAsia" w:hAnsiTheme="minorEastAsia" w:hint="eastAsia"/>
          <w:color w:val="000000" w:themeColor="text1"/>
          <w:szCs w:val="21"/>
        </w:rPr>
        <w:t>易方达中证海外中国互联网</w:t>
      </w:r>
      <w:r w:rsidRPr="00D3689E" w:rsidR="001029A2">
        <w:rPr>
          <w:rFonts w:asciiTheme="minorEastAsia" w:eastAsiaTheme="minorEastAsia" w:hAnsiTheme="minorEastAsia"/>
          <w:color w:val="000000" w:themeColor="text1"/>
          <w:szCs w:val="21"/>
        </w:rPr>
        <w:t>50交易型开放式指数证券投资基金联接基金</w:t>
      </w:r>
      <w:r w:rsidRPr="00D3689E">
        <w:rPr>
          <w:rFonts w:asciiTheme="minorEastAsia" w:eastAsiaTheme="minorEastAsia" w:hAnsiTheme="minorEastAsia" w:hint="eastAsia"/>
          <w:color w:val="000000" w:themeColor="text1"/>
        </w:rPr>
        <w:t>托管协议》；</w:t>
      </w:r>
    </w:p>
    <w:p w:rsidR="00C60980"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4</w:t>
      </w:r>
      <w:r w:rsidRPr="00D3689E">
        <w:rPr>
          <w:rFonts w:asciiTheme="minorEastAsia" w:eastAsiaTheme="minorEastAsia" w:hAnsiTheme="minorEastAsia" w:hint="eastAsia"/>
          <w:color w:val="000000" w:themeColor="text1"/>
        </w:rPr>
        <w:t>、《易方达基金管理有限公司开放式基金业务规则》；</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5</w:t>
      </w:r>
      <w:r w:rsidRPr="00D3689E">
        <w:rPr>
          <w:rFonts w:asciiTheme="minorEastAsia" w:eastAsiaTheme="minorEastAsia" w:hAnsiTheme="minorEastAsia" w:hint="eastAsia"/>
          <w:color w:val="000000" w:themeColor="text1"/>
        </w:rPr>
        <w:t>、法律意见书；</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6</w:t>
      </w:r>
      <w:r w:rsidRPr="00D3689E">
        <w:rPr>
          <w:rFonts w:asciiTheme="minorEastAsia" w:eastAsiaTheme="minorEastAsia" w:hAnsiTheme="minorEastAsia" w:hint="eastAsia"/>
          <w:color w:val="000000" w:themeColor="text1"/>
        </w:rPr>
        <w:t>、基金管理人业务资格批件和营业执照；</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color w:val="000000" w:themeColor="text1"/>
        </w:rPr>
        <w:t>7</w:t>
      </w:r>
      <w:r w:rsidRPr="00D3689E">
        <w:rPr>
          <w:rFonts w:asciiTheme="minorEastAsia" w:eastAsiaTheme="minorEastAsia" w:hAnsiTheme="minorEastAsia" w:hint="eastAsia"/>
          <w:color w:val="000000" w:themeColor="text1"/>
        </w:rPr>
        <w:t>、基金托管人业务资格批件和营业执照。</w:t>
      </w:r>
    </w:p>
    <w:p w:rsidR="0064594E"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存放地点：基金管理人、基金托管人处</w:t>
      </w:r>
      <w:r w:rsidRPr="00D3689E" w:rsidR="00FF3126">
        <w:rPr>
          <w:rFonts w:asciiTheme="minorEastAsia" w:eastAsiaTheme="minorEastAsia" w:hAnsiTheme="minorEastAsia" w:hint="eastAsia"/>
          <w:color w:val="000000" w:themeColor="text1"/>
        </w:rPr>
        <w:t>。</w:t>
      </w:r>
    </w:p>
    <w:p w:rsidR="00847DFF" w:rsidRPr="00D3689E" w:rsidP="00DB7712">
      <w:pPr>
        <w:spacing w:line="360" w:lineRule="auto"/>
        <w:ind w:firstLine="480"/>
        <w:rPr>
          <w:rFonts w:asciiTheme="minorEastAsia" w:eastAsiaTheme="minorEastAsia" w:hAnsiTheme="minorEastAsia"/>
          <w:color w:val="000000" w:themeColor="text1"/>
        </w:rPr>
      </w:pPr>
      <w:r w:rsidRPr="00D3689E">
        <w:rPr>
          <w:rFonts w:asciiTheme="minorEastAsia" w:eastAsiaTheme="minorEastAsia" w:hAnsiTheme="minorEastAsia" w:hint="eastAsia"/>
          <w:color w:val="000000" w:themeColor="text1"/>
        </w:rPr>
        <w:t>查阅方式：投资者可在营业时间免费查阅，也可按工本费购买复印件。</w:t>
      </w:r>
    </w:p>
    <w:p w:rsidR="0064594E" w:rsidRPr="00D3689E" w:rsidP="00172767">
      <w:pPr>
        <w:spacing w:line="360" w:lineRule="auto"/>
        <w:ind w:firstLine="420" w:firstLineChars="200"/>
        <w:rPr>
          <w:rFonts w:asciiTheme="minorEastAsia" w:eastAsiaTheme="minorEastAsia" w:hAnsiTheme="minorEastAsia"/>
          <w:color w:val="000000" w:themeColor="text1"/>
          <w:szCs w:val="21"/>
        </w:rPr>
      </w:pPr>
    </w:p>
    <w:p w:rsidR="00E95DC2" w:rsidRPr="00D3689E" w:rsidP="00DC1C66">
      <w:pPr>
        <w:spacing w:line="360" w:lineRule="auto"/>
        <w:ind w:right="210"/>
        <w:jc w:val="right"/>
        <w:rPr>
          <w:rFonts w:asciiTheme="minorEastAsia" w:eastAsiaTheme="minorEastAsia" w:hAnsiTheme="minorEastAsia"/>
          <w:color w:val="000000" w:themeColor="text1"/>
          <w:szCs w:val="21"/>
        </w:rPr>
      </w:pPr>
    </w:p>
    <w:p w:rsidR="0064594E" w:rsidRPr="00D3689E" w:rsidP="00DC1C66">
      <w:pPr>
        <w:spacing w:line="360" w:lineRule="auto"/>
        <w:ind w:right="210"/>
        <w:jc w:val="right"/>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szCs w:val="21"/>
        </w:rPr>
        <w:t>易方达基金管理有限公司</w:t>
      </w:r>
    </w:p>
    <w:p w:rsidR="008171A7" w:rsidRPr="00D3689E" w:rsidP="00E95DC2">
      <w:pPr>
        <w:spacing w:line="360" w:lineRule="auto"/>
        <w:ind w:right="420"/>
        <w:jc w:val="right"/>
        <w:rPr>
          <w:rFonts w:asciiTheme="minorEastAsia" w:eastAsiaTheme="minorEastAsia" w:hAnsiTheme="minorEastAsia"/>
          <w:color w:val="000000" w:themeColor="text1"/>
          <w:szCs w:val="21"/>
        </w:rPr>
      </w:pPr>
      <w:r w:rsidRPr="00D3689E">
        <w:rPr>
          <w:rFonts w:asciiTheme="minorEastAsia" w:eastAsiaTheme="minorEastAsia" w:hAnsiTheme="minorEastAsia"/>
          <w:color w:val="000000" w:themeColor="text1"/>
        </w:rPr>
        <w:t>2024</w:t>
      </w:r>
      <w:r w:rsidRPr="00D3689E" w:rsidR="008A06D5">
        <w:rPr>
          <w:rFonts w:asciiTheme="minorEastAsia" w:eastAsiaTheme="minorEastAsia" w:hAnsiTheme="minorEastAsia"/>
          <w:color w:val="000000" w:themeColor="text1"/>
        </w:rPr>
        <w:t>年</w:t>
      </w:r>
      <w:r w:rsidRPr="00D3689E">
        <w:rPr>
          <w:rFonts w:asciiTheme="minorEastAsia" w:eastAsiaTheme="minorEastAsia" w:hAnsiTheme="minorEastAsia"/>
          <w:color w:val="000000" w:themeColor="text1"/>
        </w:rPr>
        <w:t>6</w:t>
      </w:r>
      <w:r w:rsidRPr="00D3689E" w:rsidR="008A06D5">
        <w:rPr>
          <w:rFonts w:asciiTheme="minorEastAsia" w:eastAsiaTheme="minorEastAsia" w:hAnsiTheme="minorEastAsia"/>
          <w:color w:val="000000" w:themeColor="text1"/>
        </w:rPr>
        <w:t>月</w:t>
      </w:r>
      <w:r w:rsidRPr="00D3689E">
        <w:rPr>
          <w:rFonts w:asciiTheme="minorEastAsia" w:eastAsiaTheme="minorEastAsia" w:hAnsiTheme="minorEastAsia"/>
          <w:color w:val="000000" w:themeColor="text1"/>
        </w:rPr>
        <w:t>13</w:t>
      </w:r>
      <w:r w:rsidRPr="00D3689E" w:rsidR="008A06D5">
        <w:rPr>
          <w:rFonts w:asciiTheme="minorEastAsia" w:eastAsiaTheme="minorEastAsia" w:hAnsiTheme="minorEastAsia"/>
          <w:color w:val="000000" w:themeColor="text1"/>
        </w:rPr>
        <w:t>日</w:t>
      </w:r>
    </w:p>
    <w:sectPr w:rsidSect="00D95573">
      <w:pgSz w:w="11906" w:h="16838" w:code="9"/>
      <w:pgMar w:top="1440" w:right="1800" w:bottom="1440" w:left="180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S.....">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6C7462">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2A4989" w:rsidP="006C7462">
    <w:pPr>
      <w:pStyle w:val="Footer"/>
      <w:ind w:right="359" w:firstLine="360" w:rightChars="17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EF606D">
    <w:pPr>
      <w:pStyle w:val="Footer"/>
      <w:ind w:right="359" w:firstLine="200" w:rightChars="171" w:firstLineChars="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RPr="00D86C95" w:rsidP="0028353A">
    <w:pPr>
      <w:jc w:val="center"/>
      <w:rPr>
        <w:rFonts w:asciiTheme="minorEastAsia" w:eastAsiaTheme="minorEastAsia" w:hAnsiTheme="minorEastAsia"/>
        <w:szCs w:val="21"/>
      </w:rPr>
    </w:pPr>
  </w:p>
  <w:p w:rsidR="002A4989" w:rsidRPr="008333DD" w:rsidP="0028353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7E29F9">
    <w:pPr>
      <w:pStyle w:val="Footer"/>
      <w:framePr w:wrap="around" w:vAnchor="text" w:hAnchor="page" w:x="5626" w:y="1"/>
      <w:ind w:firstLine="0" w:firstLineChars="0"/>
      <w:rPr>
        <w:rStyle w:val="PageNumber"/>
      </w:rPr>
    </w:pPr>
  </w:p>
  <w:p w:rsidR="002A4989" w:rsidP="007E29F9">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7E29F9">
    <w:pPr>
      <w:pStyle w:val="Footer"/>
      <w:framePr w:wrap="around" w:vAnchor="text" w:hAnchor="page" w:x="5626" w:y="1"/>
      <w:ind w:firstLine="0" w:firstLineChars="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2A4989" w:rsidP="007E29F9">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RPr="00D86C95" w:rsidP="0028353A">
    <w:pPr>
      <w:jc w:val="center"/>
      <w:rPr>
        <w:rFonts w:asciiTheme="minorEastAsia" w:eastAsiaTheme="minorEastAsia" w:hAnsiTheme="minorEastAsia"/>
        <w:szCs w:val="21"/>
      </w:rPr>
    </w:pPr>
    <w:r w:rsidRPr="00D86C95">
      <w:rPr>
        <w:rFonts w:asciiTheme="minorEastAsia" w:eastAsiaTheme="minorEastAsia" w:hAnsiTheme="minorEastAsia"/>
        <w:szCs w:val="21"/>
      </w:rPr>
      <w:fldChar w:fldCharType="begin"/>
    </w:r>
    <w:r w:rsidRPr="00D86C95">
      <w:rPr>
        <w:rFonts w:asciiTheme="minorEastAsia" w:eastAsiaTheme="minorEastAsia" w:hAnsiTheme="minorEastAsia"/>
        <w:szCs w:val="21"/>
      </w:rPr>
      <w:instrText>PAGE   \* MERGEFORMAT</w:instrText>
    </w:r>
    <w:r w:rsidRPr="00D86C95">
      <w:rPr>
        <w:rFonts w:asciiTheme="minorEastAsia" w:eastAsiaTheme="minorEastAsia" w:hAnsiTheme="minorEastAsia"/>
        <w:szCs w:val="21"/>
      </w:rPr>
      <w:fldChar w:fldCharType="separate"/>
    </w:r>
    <w:r w:rsidRPr="00A32EDC" w:rsidR="00A32EDC">
      <w:rPr>
        <w:rFonts w:asciiTheme="minorEastAsia" w:eastAsiaTheme="minorEastAsia" w:hAnsiTheme="minorEastAsia"/>
        <w:noProof/>
        <w:szCs w:val="21"/>
        <w:lang w:val="zh-CN"/>
      </w:rPr>
      <w:t>133</w:t>
    </w:r>
    <w:r w:rsidRPr="00D86C95">
      <w:rPr>
        <w:rFonts w:asciiTheme="minorEastAsia" w:eastAsiaTheme="minorEastAsia" w:hAnsiTheme="minorEastAsia"/>
        <w:szCs w:val="21"/>
      </w:rPr>
      <w:fldChar w:fldCharType="end"/>
    </w:r>
  </w:p>
  <w:p w:rsidR="002A4989" w:rsidRPr="008333DD" w:rsidP="0028353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6C746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D86C95">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P="00D86C95">
    <w:pPr>
      <w:pStyle w:val="Header"/>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4989" w:rsidRPr="008333DD" w:rsidP="008333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37E46BB2"/>
    <w:multiLevelType w:val="hybridMultilevel"/>
    <w:tmpl w:val="A3F4567C"/>
    <w:lvl w:ilvl="0">
      <w:start w:val="1"/>
      <w:numFmt w:val="decimal"/>
      <w:lvlText w:val="%1、"/>
      <w:lvlJc w:val="left"/>
      <w:pPr>
        <w:tabs>
          <w:tab w:val="num" w:pos="780"/>
        </w:tabs>
        <w:ind w:left="0" w:firstLine="420"/>
      </w:pPr>
      <w:rPr>
        <w:rFonts w:hint="default"/>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4108037F"/>
    <w:multiLevelType w:val="hybridMultilevel"/>
    <w:tmpl w:val="147EA052"/>
    <w:lvl w:ilvl="0">
      <w:start w:val="1"/>
      <w:numFmt w:val="japaneseCounting"/>
      <w:lvlText w:val="第%1节"/>
      <w:lvlJc w:val="left"/>
      <w:pPr>
        <w:tabs>
          <w:tab w:val="num" w:pos="1170"/>
        </w:tabs>
        <w:ind w:left="1170" w:hanging="1170"/>
      </w:pPr>
      <w:rPr>
        <w:rFonts w:hint="default"/>
      </w:rPr>
    </w:lvl>
    <w:lvl w:ilvl="1">
      <w:start w:val="1"/>
      <w:numFmt w:val="japaneseCounting"/>
      <w:lvlText w:val="%2、"/>
      <w:lvlJc w:val="left"/>
      <w:pPr>
        <w:tabs>
          <w:tab w:val="num" w:pos="1035"/>
        </w:tabs>
        <w:ind w:left="1035" w:hanging="720"/>
      </w:pPr>
      <w:rPr>
        <w:rFonts w:hint="default"/>
      </w:rPr>
    </w:lvl>
    <w:lvl w:ilvl="2" w:tentative="1">
      <w:start w:val="1"/>
      <w:numFmt w:val="lowerRoman"/>
      <w:lvlText w:val="%3."/>
      <w:lvlJc w:val="right"/>
      <w:pPr>
        <w:tabs>
          <w:tab w:val="num" w:pos="1903"/>
        </w:tabs>
        <w:ind w:left="1903" w:hanging="420"/>
      </w:pPr>
    </w:lvl>
    <w:lvl w:ilvl="3" w:tentative="1">
      <w:start w:val="1"/>
      <w:numFmt w:val="decimal"/>
      <w:lvlText w:val="%4."/>
      <w:lvlJc w:val="left"/>
      <w:pPr>
        <w:tabs>
          <w:tab w:val="num" w:pos="2323"/>
        </w:tabs>
        <w:ind w:left="2323" w:hanging="420"/>
      </w:pPr>
    </w:lvl>
    <w:lvl w:ilvl="4" w:tentative="1">
      <w:start w:val="1"/>
      <w:numFmt w:val="lowerLetter"/>
      <w:lvlText w:val="%5)"/>
      <w:lvlJc w:val="left"/>
      <w:pPr>
        <w:tabs>
          <w:tab w:val="num" w:pos="2743"/>
        </w:tabs>
        <w:ind w:left="2743" w:hanging="420"/>
      </w:pPr>
    </w:lvl>
    <w:lvl w:ilvl="5" w:tentative="1">
      <w:start w:val="1"/>
      <w:numFmt w:val="lowerRoman"/>
      <w:lvlText w:val="%6."/>
      <w:lvlJc w:val="right"/>
      <w:pPr>
        <w:tabs>
          <w:tab w:val="num" w:pos="3163"/>
        </w:tabs>
        <w:ind w:left="3163" w:hanging="420"/>
      </w:pPr>
    </w:lvl>
    <w:lvl w:ilvl="6" w:tentative="1">
      <w:start w:val="1"/>
      <w:numFmt w:val="decimal"/>
      <w:lvlText w:val="%7."/>
      <w:lvlJc w:val="left"/>
      <w:pPr>
        <w:tabs>
          <w:tab w:val="num" w:pos="3583"/>
        </w:tabs>
        <w:ind w:left="3583" w:hanging="420"/>
      </w:pPr>
    </w:lvl>
    <w:lvl w:ilvl="7" w:tentative="1">
      <w:start w:val="1"/>
      <w:numFmt w:val="lowerLetter"/>
      <w:lvlText w:val="%8)"/>
      <w:lvlJc w:val="left"/>
      <w:pPr>
        <w:tabs>
          <w:tab w:val="num" w:pos="4003"/>
        </w:tabs>
        <w:ind w:left="4003" w:hanging="420"/>
      </w:pPr>
    </w:lvl>
    <w:lvl w:ilvl="8" w:tentative="1">
      <w:start w:val="1"/>
      <w:numFmt w:val="lowerRoman"/>
      <w:lvlText w:val="%9."/>
      <w:lvlJc w:val="right"/>
      <w:pPr>
        <w:tabs>
          <w:tab w:val="num" w:pos="4423"/>
        </w:tabs>
        <w:ind w:left="4423" w:hanging="420"/>
      </w:pPr>
    </w:lvl>
  </w:abstractNum>
  <w:abstractNum w:abstractNumId="3">
    <w:nsid w:val="465F68BE"/>
    <w:multiLevelType w:val="hybridMultilevel"/>
    <w:tmpl w:val="8CF4FEBC"/>
    <w:lvl w:ilvl="0">
      <w:start w:val="1"/>
      <w:numFmt w:val="decimal"/>
      <w:lvlText w:val="%1、"/>
      <w:lvlJc w:val="left"/>
      <w:pPr>
        <w:tabs>
          <w:tab w:val="num" w:pos="1980"/>
        </w:tabs>
        <w:ind w:left="1980" w:hanging="720"/>
      </w:pPr>
      <w:rPr>
        <w:rFonts w:hint="default"/>
        <w:lang w:val="en-US"/>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48959F9"/>
    <w:multiLevelType w:val="hybridMultilevel"/>
    <w:tmpl w:val="24505958"/>
    <w:lvl w:ilvl="0">
      <w:start w:val="1"/>
      <w:numFmt w:val="japaneseCounting"/>
      <w:lvlText w:val="%1、"/>
      <w:lvlJc w:val="left"/>
      <w:pPr>
        <w:tabs>
          <w:tab w:val="num" w:pos="420"/>
        </w:tabs>
        <w:ind w:left="420" w:hanging="420"/>
      </w:pPr>
      <w:rPr>
        <w:rFonts w:hint="default"/>
        <w:lang w:val="en-US"/>
      </w:rPr>
    </w:lvl>
    <w:lvl w:ilvl="1">
      <w:start w:val="1"/>
      <w:numFmt w:val="chineseCountingThousand"/>
      <w:lvlText w:val="(%2)"/>
      <w:lvlJc w:val="left"/>
      <w:pPr>
        <w:tabs>
          <w:tab w:val="num" w:pos="840"/>
        </w:tabs>
        <w:ind w:left="840" w:hanging="420"/>
      </w:pPr>
      <w:rPr>
        <w:rFonts w:hint="default"/>
      </w:rPr>
    </w:lvl>
    <w:lvl w:ilvl="2">
      <w:start w:val="1"/>
      <w:numFmt w:val="decimal"/>
      <w:lvlText w:val="（%3）"/>
      <w:lvlJc w:val="left"/>
      <w:pPr>
        <w:tabs>
          <w:tab w:val="num" w:pos="1560"/>
        </w:tabs>
        <w:ind w:left="1560" w:hanging="720"/>
      </w:pPr>
      <w:rPr>
        <w:rFonts w:hint="default"/>
        <w:lang w:val="en-US"/>
      </w:rPr>
    </w:lvl>
    <w:lvl w:ilvl="3">
      <w:start w:val="1"/>
      <w:numFmt w:val="decimal"/>
      <w:lvlText w:val="%4)"/>
      <w:lvlJc w:val="left"/>
      <w:pPr>
        <w:tabs>
          <w:tab w:val="num" w:pos="1260"/>
        </w:tabs>
        <w:ind w:left="1260" w:hanging="420"/>
      </w:pPr>
      <w:rPr>
        <w:rFonts w:hint="default"/>
      </w:rPr>
    </w:lvl>
    <w:lvl w:ilvl="4">
      <w:start w:val="1"/>
      <w:numFmt w:val="decimal"/>
      <w:lvlText w:val="（%5）"/>
      <w:lvlJc w:val="left"/>
      <w:pPr>
        <w:tabs>
          <w:tab w:val="num" w:pos="2400"/>
        </w:tabs>
        <w:ind w:left="2400" w:hanging="720"/>
      </w:pPr>
      <w:rPr>
        <w:rFonts w:hint="default"/>
        <w:lang w:val="en-US"/>
      </w:rPr>
    </w:lvl>
    <w:lvl w:ilvl="5">
      <w:start w:val="1"/>
      <w:numFmt w:val="decimal"/>
      <w:lvlText w:val="%6、"/>
      <w:lvlJc w:val="left"/>
      <w:pPr>
        <w:tabs>
          <w:tab w:val="num" w:pos="2460"/>
        </w:tabs>
        <w:ind w:left="2460" w:hanging="360"/>
      </w:pPr>
      <w:rPr>
        <w:rFonts w:hint="default"/>
      </w:r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5">
    <w:nsid w:val="5DAD0D01"/>
    <w:multiLevelType w:val="hybridMultilevel"/>
    <w:tmpl w:val="0366DAD2"/>
    <w:lvl w:ilvl="0">
      <w:start w:val="1"/>
      <w:numFmt w:val="decimal"/>
      <w:lvlText w:val="（%1）"/>
      <w:lvlJc w:val="left"/>
      <w:pPr>
        <w:ind w:left="840" w:hanging="420"/>
      </w:pPr>
      <w:rPr>
        <w:rFonts w:cs="Times New Roman" w:hint="eastAsia"/>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6">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D71A8F"/>
    <w:rsid w:val="000018D9"/>
    <w:rsid w:val="000022DB"/>
    <w:rsid w:val="00002E9D"/>
    <w:rsid w:val="000042A0"/>
    <w:rsid w:val="000042D4"/>
    <w:rsid w:val="00004AD1"/>
    <w:rsid w:val="00004CB9"/>
    <w:rsid w:val="0000570E"/>
    <w:rsid w:val="000057FE"/>
    <w:rsid w:val="00005F40"/>
    <w:rsid w:val="000069B8"/>
    <w:rsid w:val="00006C9E"/>
    <w:rsid w:val="00006E27"/>
    <w:rsid w:val="00007729"/>
    <w:rsid w:val="000077E2"/>
    <w:rsid w:val="00007E6D"/>
    <w:rsid w:val="00010825"/>
    <w:rsid w:val="00010C8A"/>
    <w:rsid w:val="000110E8"/>
    <w:rsid w:val="00011165"/>
    <w:rsid w:val="000111FC"/>
    <w:rsid w:val="00011269"/>
    <w:rsid w:val="000114F8"/>
    <w:rsid w:val="00011C7E"/>
    <w:rsid w:val="0001250E"/>
    <w:rsid w:val="00013480"/>
    <w:rsid w:val="00013B14"/>
    <w:rsid w:val="0001480A"/>
    <w:rsid w:val="00014DB5"/>
    <w:rsid w:val="00015AD5"/>
    <w:rsid w:val="000168DE"/>
    <w:rsid w:val="000216BE"/>
    <w:rsid w:val="00021837"/>
    <w:rsid w:val="00021A0D"/>
    <w:rsid w:val="000226B9"/>
    <w:rsid w:val="0002287F"/>
    <w:rsid w:val="00022CF2"/>
    <w:rsid w:val="000246E6"/>
    <w:rsid w:val="00024AED"/>
    <w:rsid w:val="00024E04"/>
    <w:rsid w:val="00024FD7"/>
    <w:rsid w:val="000254DE"/>
    <w:rsid w:val="00025E6F"/>
    <w:rsid w:val="0002730D"/>
    <w:rsid w:val="000278CD"/>
    <w:rsid w:val="00027D2E"/>
    <w:rsid w:val="00030360"/>
    <w:rsid w:val="00031D02"/>
    <w:rsid w:val="000332DF"/>
    <w:rsid w:val="0003334F"/>
    <w:rsid w:val="000347BF"/>
    <w:rsid w:val="000358E6"/>
    <w:rsid w:val="00035C24"/>
    <w:rsid w:val="00035EBE"/>
    <w:rsid w:val="000368C5"/>
    <w:rsid w:val="00036ACE"/>
    <w:rsid w:val="000371B7"/>
    <w:rsid w:val="000406ED"/>
    <w:rsid w:val="0004070B"/>
    <w:rsid w:val="00040AEE"/>
    <w:rsid w:val="00042432"/>
    <w:rsid w:val="00042FDC"/>
    <w:rsid w:val="00043F9A"/>
    <w:rsid w:val="00043FDC"/>
    <w:rsid w:val="0004416F"/>
    <w:rsid w:val="00044979"/>
    <w:rsid w:val="00044F24"/>
    <w:rsid w:val="0004548E"/>
    <w:rsid w:val="000457B2"/>
    <w:rsid w:val="00045CBE"/>
    <w:rsid w:val="000461DB"/>
    <w:rsid w:val="00046355"/>
    <w:rsid w:val="0004659A"/>
    <w:rsid w:val="000476E5"/>
    <w:rsid w:val="000502B2"/>
    <w:rsid w:val="00050AD8"/>
    <w:rsid w:val="00050D35"/>
    <w:rsid w:val="00050E60"/>
    <w:rsid w:val="000513E2"/>
    <w:rsid w:val="000515A5"/>
    <w:rsid w:val="000528B9"/>
    <w:rsid w:val="00054FB7"/>
    <w:rsid w:val="00055010"/>
    <w:rsid w:val="000552FA"/>
    <w:rsid w:val="000558A7"/>
    <w:rsid w:val="000559CC"/>
    <w:rsid w:val="00055A4E"/>
    <w:rsid w:val="0005638A"/>
    <w:rsid w:val="000565F7"/>
    <w:rsid w:val="00056C21"/>
    <w:rsid w:val="00056E49"/>
    <w:rsid w:val="000573E1"/>
    <w:rsid w:val="00060C3A"/>
    <w:rsid w:val="000615E1"/>
    <w:rsid w:val="0006193F"/>
    <w:rsid w:val="000635A0"/>
    <w:rsid w:val="00064FA1"/>
    <w:rsid w:val="00065A1D"/>
    <w:rsid w:val="00066EB3"/>
    <w:rsid w:val="00070B55"/>
    <w:rsid w:val="00070E5B"/>
    <w:rsid w:val="00070E82"/>
    <w:rsid w:val="00070F6A"/>
    <w:rsid w:val="000714B2"/>
    <w:rsid w:val="00072447"/>
    <w:rsid w:val="000735A5"/>
    <w:rsid w:val="00073C69"/>
    <w:rsid w:val="0007456D"/>
    <w:rsid w:val="000746EA"/>
    <w:rsid w:val="0007535B"/>
    <w:rsid w:val="000769FC"/>
    <w:rsid w:val="00076BBF"/>
    <w:rsid w:val="000775FD"/>
    <w:rsid w:val="00077823"/>
    <w:rsid w:val="00077B6B"/>
    <w:rsid w:val="000808EF"/>
    <w:rsid w:val="00080909"/>
    <w:rsid w:val="00081657"/>
    <w:rsid w:val="0008171F"/>
    <w:rsid w:val="0008234B"/>
    <w:rsid w:val="00082479"/>
    <w:rsid w:val="00082AC6"/>
    <w:rsid w:val="00082C42"/>
    <w:rsid w:val="00082D9A"/>
    <w:rsid w:val="00082EE7"/>
    <w:rsid w:val="0008330E"/>
    <w:rsid w:val="000844DD"/>
    <w:rsid w:val="000845F8"/>
    <w:rsid w:val="00085202"/>
    <w:rsid w:val="00085935"/>
    <w:rsid w:val="00085C13"/>
    <w:rsid w:val="0008783D"/>
    <w:rsid w:val="00087E99"/>
    <w:rsid w:val="000903F3"/>
    <w:rsid w:val="0009086E"/>
    <w:rsid w:val="00090891"/>
    <w:rsid w:val="000909D0"/>
    <w:rsid w:val="00090DC6"/>
    <w:rsid w:val="000910A1"/>
    <w:rsid w:val="00092333"/>
    <w:rsid w:val="000949D6"/>
    <w:rsid w:val="00095FD6"/>
    <w:rsid w:val="00096B0C"/>
    <w:rsid w:val="00097A82"/>
    <w:rsid w:val="00097C70"/>
    <w:rsid w:val="000A0DA0"/>
    <w:rsid w:val="000A0EC0"/>
    <w:rsid w:val="000A10F2"/>
    <w:rsid w:val="000A1BFC"/>
    <w:rsid w:val="000A2357"/>
    <w:rsid w:val="000A2677"/>
    <w:rsid w:val="000A3091"/>
    <w:rsid w:val="000A30AE"/>
    <w:rsid w:val="000A3B29"/>
    <w:rsid w:val="000A3EEA"/>
    <w:rsid w:val="000A44E0"/>
    <w:rsid w:val="000A4885"/>
    <w:rsid w:val="000A54D7"/>
    <w:rsid w:val="000A55A3"/>
    <w:rsid w:val="000A5865"/>
    <w:rsid w:val="000A5C0E"/>
    <w:rsid w:val="000A5CE4"/>
    <w:rsid w:val="000A7D0D"/>
    <w:rsid w:val="000B0298"/>
    <w:rsid w:val="000B06D9"/>
    <w:rsid w:val="000B10FF"/>
    <w:rsid w:val="000B134F"/>
    <w:rsid w:val="000B280B"/>
    <w:rsid w:val="000B282D"/>
    <w:rsid w:val="000B2E24"/>
    <w:rsid w:val="000B3B9A"/>
    <w:rsid w:val="000B46B8"/>
    <w:rsid w:val="000B4BFD"/>
    <w:rsid w:val="000B5644"/>
    <w:rsid w:val="000B7B42"/>
    <w:rsid w:val="000B7D01"/>
    <w:rsid w:val="000B7E67"/>
    <w:rsid w:val="000C0026"/>
    <w:rsid w:val="000C03BE"/>
    <w:rsid w:val="000C0E5C"/>
    <w:rsid w:val="000C12FC"/>
    <w:rsid w:val="000C1A10"/>
    <w:rsid w:val="000C2E9B"/>
    <w:rsid w:val="000C3215"/>
    <w:rsid w:val="000C38BF"/>
    <w:rsid w:val="000C3A8A"/>
    <w:rsid w:val="000C4718"/>
    <w:rsid w:val="000C5A9D"/>
    <w:rsid w:val="000C5D57"/>
    <w:rsid w:val="000C6434"/>
    <w:rsid w:val="000C6962"/>
    <w:rsid w:val="000C71E2"/>
    <w:rsid w:val="000C7AFA"/>
    <w:rsid w:val="000D0FD5"/>
    <w:rsid w:val="000D10F3"/>
    <w:rsid w:val="000D1C36"/>
    <w:rsid w:val="000D2FAC"/>
    <w:rsid w:val="000D3836"/>
    <w:rsid w:val="000D3B1A"/>
    <w:rsid w:val="000D3F61"/>
    <w:rsid w:val="000D4C97"/>
    <w:rsid w:val="000D50BD"/>
    <w:rsid w:val="000D5124"/>
    <w:rsid w:val="000D52D4"/>
    <w:rsid w:val="000D530B"/>
    <w:rsid w:val="000D6077"/>
    <w:rsid w:val="000D6088"/>
    <w:rsid w:val="000D686C"/>
    <w:rsid w:val="000D6BC4"/>
    <w:rsid w:val="000D6E4A"/>
    <w:rsid w:val="000D7086"/>
    <w:rsid w:val="000D7B39"/>
    <w:rsid w:val="000E04D1"/>
    <w:rsid w:val="000E11E7"/>
    <w:rsid w:val="000E13AF"/>
    <w:rsid w:val="000E2AED"/>
    <w:rsid w:val="000E2B25"/>
    <w:rsid w:val="000E406A"/>
    <w:rsid w:val="000E4469"/>
    <w:rsid w:val="000E46E9"/>
    <w:rsid w:val="000E513B"/>
    <w:rsid w:val="000E5613"/>
    <w:rsid w:val="000E5F43"/>
    <w:rsid w:val="000E626D"/>
    <w:rsid w:val="000E631B"/>
    <w:rsid w:val="000E7194"/>
    <w:rsid w:val="000E7917"/>
    <w:rsid w:val="000F085C"/>
    <w:rsid w:val="000F110E"/>
    <w:rsid w:val="000F1E00"/>
    <w:rsid w:val="000F1ED0"/>
    <w:rsid w:val="000F1F19"/>
    <w:rsid w:val="000F2C9A"/>
    <w:rsid w:val="000F2E90"/>
    <w:rsid w:val="000F3DD4"/>
    <w:rsid w:val="000F416D"/>
    <w:rsid w:val="000F4BBC"/>
    <w:rsid w:val="000F4FAD"/>
    <w:rsid w:val="000F539E"/>
    <w:rsid w:val="000F59CB"/>
    <w:rsid w:val="000F5A2F"/>
    <w:rsid w:val="000F6441"/>
    <w:rsid w:val="000F6CC5"/>
    <w:rsid w:val="000F6EB7"/>
    <w:rsid w:val="000F7CFF"/>
    <w:rsid w:val="001029A2"/>
    <w:rsid w:val="001037BB"/>
    <w:rsid w:val="00104A35"/>
    <w:rsid w:val="00104D12"/>
    <w:rsid w:val="00105989"/>
    <w:rsid w:val="00105FF4"/>
    <w:rsid w:val="001061EA"/>
    <w:rsid w:val="00106BAE"/>
    <w:rsid w:val="00106EDE"/>
    <w:rsid w:val="00106F35"/>
    <w:rsid w:val="00106FC0"/>
    <w:rsid w:val="001071E2"/>
    <w:rsid w:val="00110219"/>
    <w:rsid w:val="00110D82"/>
    <w:rsid w:val="001118CA"/>
    <w:rsid w:val="00111B14"/>
    <w:rsid w:val="0011281B"/>
    <w:rsid w:val="00112B2F"/>
    <w:rsid w:val="00113419"/>
    <w:rsid w:val="00113B3F"/>
    <w:rsid w:val="00114078"/>
    <w:rsid w:val="0011446F"/>
    <w:rsid w:val="0011496A"/>
    <w:rsid w:val="00114D89"/>
    <w:rsid w:val="0011551D"/>
    <w:rsid w:val="00115F0E"/>
    <w:rsid w:val="00115F9A"/>
    <w:rsid w:val="00116627"/>
    <w:rsid w:val="00117144"/>
    <w:rsid w:val="0012121C"/>
    <w:rsid w:val="00121793"/>
    <w:rsid w:val="00121E60"/>
    <w:rsid w:val="00122277"/>
    <w:rsid w:val="00122DB2"/>
    <w:rsid w:val="00123C1B"/>
    <w:rsid w:val="001241CD"/>
    <w:rsid w:val="00124817"/>
    <w:rsid w:val="00124E4C"/>
    <w:rsid w:val="00124EF5"/>
    <w:rsid w:val="0012511D"/>
    <w:rsid w:val="0012518D"/>
    <w:rsid w:val="00126382"/>
    <w:rsid w:val="001267F8"/>
    <w:rsid w:val="00126D83"/>
    <w:rsid w:val="001271BB"/>
    <w:rsid w:val="00127248"/>
    <w:rsid w:val="00127299"/>
    <w:rsid w:val="00127401"/>
    <w:rsid w:val="001279D5"/>
    <w:rsid w:val="00127CBD"/>
    <w:rsid w:val="00127DBB"/>
    <w:rsid w:val="0013004C"/>
    <w:rsid w:val="00130574"/>
    <w:rsid w:val="00130C68"/>
    <w:rsid w:val="001312AC"/>
    <w:rsid w:val="0013142E"/>
    <w:rsid w:val="0013181E"/>
    <w:rsid w:val="001322F8"/>
    <w:rsid w:val="00132358"/>
    <w:rsid w:val="0013254E"/>
    <w:rsid w:val="00132927"/>
    <w:rsid w:val="00132A95"/>
    <w:rsid w:val="00133DDB"/>
    <w:rsid w:val="00133F59"/>
    <w:rsid w:val="001340AC"/>
    <w:rsid w:val="00135950"/>
    <w:rsid w:val="00135A32"/>
    <w:rsid w:val="00135D52"/>
    <w:rsid w:val="001362C9"/>
    <w:rsid w:val="00136F0D"/>
    <w:rsid w:val="001378D9"/>
    <w:rsid w:val="001415F2"/>
    <w:rsid w:val="00141E82"/>
    <w:rsid w:val="0014257E"/>
    <w:rsid w:val="00142911"/>
    <w:rsid w:val="00142D24"/>
    <w:rsid w:val="00142DA9"/>
    <w:rsid w:val="00142FD7"/>
    <w:rsid w:val="0014420B"/>
    <w:rsid w:val="001442FD"/>
    <w:rsid w:val="001444FC"/>
    <w:rsid w:val="001446FF"/>
    <w:rsid w:val="00144B83"/>
    <w:rsid w:val="00144DC8"/>
    <w:rsid w:val="00144E8B"/>
    <w:rsid w:val="00145523"/>
    <w:rsid w:val="001466DF"/>
    <w:rsid w:val="00147692"/>
    <w:rsid w:val="00147E91"/>
    <w:rsid w:val="00151304"/>
    <w:rsid w:val="001520C7"/>
    <w:rsid w:val="00152F17"/>
    <w:rsid w:val="00153A74"/>
    <w:rsid w:val="00153B6D"/>
    <w:rsid w:val="00154491"/>
    <w:rsid w:val="00154534"/>
    <w:rsid w:val="00154AC6"/>
    <w:rsid w:val="00154C9F"/>
    <w:rsid w:val="001552A1"/>
    <w:rsid w:val="0015571D"/>
    <w:rsid w:val="00155B7E"/>
    <w:rsid w:val="00155BE8"/>
    <w:rsid w:val="00160ACC"/>
    <w:rsid w:val="00161038"/>
    <w:rsid w:val="00162BE4"/>
    <w:rsid w:val="00163338"/>
    <w:rsid w:val="00163549"/>
    <w:rsid w:val="00163767"/>
    <w:rsid w:val="00163DF6"/>
    <w:rsid w:val="001648BE"/>
    <w:rsid w:val="0016507D"/>
    <w:rsid w:val="00165211"/>
    <w:rsid w:val="0016530B"/>
    <w:rsid w:val="0016546D"/>
    <w:rsid w:val="00166AE6"/>
    <w:rsid w:val="0016717C"/>
    <w:rsid w:val="001674D5"/>
    <w:rsid w:val="00167C2C"/>
    <w:rsid w:val="001705E1"/>
    <w:rsid w:val="001705E7"/>
    <w:rsid w:val="00170C41"/>
    <w:rsid w:val="00170FE8"/>
    <w:rsid w:val="00171003"/>
    <w:rsid w:val="00171768"/>
    <w:rsid w:val="001720F6"/>
    <w:rsid w:val="001724ED"/>
    <w:rsid w:val="00172767"/>
    <w:rsid w:val="00172AF3"/>
    <w:rsid w:val="00174628"/>
    <w:rsid w:val="00174BE6"/>
    <w:rsid w:val="00174E0D"/>
    <w:rsid w:val="0017584F"/>
    <w:rsid w:val="00175BE6"/>
    <w:rsid w:val="0017674B"/>
    <w:rsid w:val="00177762"/>
    <w:rsid w:val="00177BBB"/>
    <w:rsid w:val="00177E9E"/>
    <w:rsid w:val="001800ED"/>
    <w:rsid w:val="00180137"/>
    <w:rsid w:val="00181CBB"/>
    <w:rsid w:val="001820B1"/>
    <w:rsid w:val="001822E4"/>
    <w:rsid w:val="00182559"/>
    <w:rsid w:val="0018256A"/>
    <w:rsid w:val="001827B6"/>
    <w:rsid w:val="00182AC7"/>
    <w:rsid w:val="00182D83"/>
    <w:rsid w:val="0018308E"/>
    <w:rsid w:val="00184DEB"/>
    <w:rsid w:val="001854D5"/>
    <w:rsid w:val="00186A92"/>
    <w:rsid w:val="00186C13"/>
    <w:rsid w:val="00187844"/>
    <w:rsid w:val="00187AE0"/>
    <w:rsid w:val="00187DDE"/>
    <w:rsid w:val="0019018B"/>
    <w:rsid w:val="00190523"/>
    <w:rsid w:val="00190BD2"/>
    <w:rsid w:val="00190C17"/>
    <w:rsid w:val="00191CF6"/>
    <w:rsid w:val="00192250"/>
    <w:rsid w:val="00192544"/>
    <w:rsid w:val="00193AB4"/>
    <w:rsid w:val="00193B53"/>
    <w:rsid w:val="00194089"/>
    <w:rsid w:val="00194489"/>
    <w:rsid w:val="00195B03"/>
    <w:rsid w:val="0019608D"/>
    <w:rsid w:val="0019659B"/>
    <w:rsid w:val="0019704F"/>
    <w:rsid w:val="00197273"/>
    <w:rsid w:val="0019769B"/>
    <w:rsid w:val="001A0E08"/>
    <w:rsid w:val="001A1DB2"/>
    <w:rsid w:val="001A2171"/>
    <w:rsid w:val="001A2CD2"/>
    <w:rsid w:val="001A329A"/>
    <w:rsid w:val="001A40DB"/>
    <w:rsid w:val="001A4AEC"/>
    <w:rsid w:val="001A550C"/>
    <w:rsid w:val="001A57DD"/>
    <w:rsid w:val="001A5E67"/>
    <w:rsid w:val="001A68F9"/>
    <w:rsid w:val="001A7341"/>
    <w:rsid w:val="001A774A"/>
    <w:rsid w:val="001A77FF"/>
    <w:rsid w:val="001A7F5E"/>
    <w:rsid w:val="001B0209"/>
    <w:rsid w:val="001B0C8B"/>
    <w:rsid w:val="001B0EA0"/>
    <w:rsid w:val="001B103A"/>
    <w:rsid w:val="001B170C"/>
    <w:rsid w:val="001B22A4"/>
    <w:rsid w:val="001B2DD1"/>
    <w:rsid w:val="001B2E71"/>
    <w:rsid w:val="001B3D1F"/>
    <w:rsid w:val="001B43D9"/>
    <w:rsid w:val="001B566E"/>
    <w:rsid w:val="001B5F4D"/>
    <w:rsid w:val="001B6447"/>
    <w:rsid w:val="001B6743"/>
    <w:rsid w:val="001B6E9A"/>
    <w:rsid w:val="001B7150"/>
    <w:rsid w:val="001B78D0"/>
    <w:rsid w:val="001C01FD"/>
    <w:rsid w:val="001C05DF"/>
    <w:rsid w:val="001C098E"/>
    <w:rsid w:val="001C22B9"/>
    <w:rsid w:val="001C23B4"/>
    <w:rsid w:val="001C289A"/>
    <w:rsid w:val="001C5664"/>
    <w:rsid w:val="001C5C15"/>
    <w:rsid w:val="001C5DC8"/>
    <w:rsid w:val="001C5E4E"/>
    <w:rsid w:val="001C6317"/>
    <w:rsid w:val="001C63A6"/>
    <w:rsid w:val="001C6DE0"/>
    <w:rsid w:val="001C757E"/>
    <w:rsid w:val="001C77D4"/>
    <w:rsid w:val="001D0401"/>
    <w:rsid w:val="001D04EC"/>
    <w:rsid w:val="001D0A25"/>
    <w:rsid w:val="001D14AF"/>
    <w:rsid w:val="001D2BBE"/>
    <w:rsid w:val="001D3026"/>
    <w:rsid w:val="001D3377"/>
    <w:rsid w:val="001D356C"/>
    <w:rsid w:val="001D36A5"/>
    <w:rsid w:val="001D45D1"/>
    <w:rsid w:val="001D5148"/>
    <w:rsid w:val="001D6894"/>
    <w:rsid w:val="001D6BF6"/>
    <w:rsid w:val="001E09A9"/>
    <w:rsid w:val="001E1053"/>
    <w:rsid w:val="001E175D"/>
    <w:rsid w:val="001E2770"/>
    <w:rsid w:val="001E28BD"/>
    <w:rsid w:val="001E2BEF"/>
    <w:rsid w:val="001E3AE0"/>
    <w:rsid w:val="001E3B32"/>
    <w:rsid w:val="001E4431"/>
    <w:rsid w:val="001E46C7"/>
    <w:rsid w:val="001E4C7B"/>
    <w:rsid w:val="001E50B3"/>
    <w:rsid w:val="001E743E"/>
    <w:rsid w:val="001E75CF"/>
    <w:rsid w:val="001E7B06"/>
    <w:rsid w:val="001E7CEC"/>
    <w:rsid w:val="001F08CC"/>
    <w:rsid w:val="001F1387"/>
    <w:rsid w:val="001F1B2F"/>
    <w:rsid w:val="001F2974"/>
    <w:rsid w:val="001F2C20"/>
    <w:rsid w:val="001F2F83"/>
    <w:rsid w:val="001F34DD"/>
    <w:rsid w:val="001F4492"/>
    <w:rsid w:val="001F4757"/>
    <w:rsid w:val="001F5B88"/>
    <w:rsid w:val="001F5CD7"/>
    <w:rsid w:val="001F5E4F"/>
    <w:rsid w:val="001F660D"/>
    <w:rsid w:val="001F6A17"/>
    <w:rsid w:val="001F6C40"/>
    <w:rsid w:val="001F6D20"/>
    <w:rsid w:val="001F6DF2"/>
    <w:rsid w:val="001F734D"/>
    <w:rsid w:val="002005DF"/>
    <w:rsid w:val="0020075D"/>
    <w:rsid w:val="00200E9B"/>
    <w:rsid w:val="00201108"/>
    <w:rsid w:val="002012DB"/>
    <w:rsid w:val="002015BC"/>
    <w:rsid w:val="002018A4"/>
    <w:rsid w:val="0020234D"/>
    <w:rsid w:val="00202690"/>
    <w:rsid w:val="00202B43"/>
    <w:rsid w:val="002032FC"/>
    <w:rsid w:val="002042EF"/>
    <w:rsid w:val="002048B9"/>
    <w:rsid w:val="00205009"/>
    <w:rsid w:val="00205CF4"/>
    <w:rsid w:val="00206431"/>
    <w:rsid w:val="0020651B"/>
    <w:rsid w:val="0020665E"/>
    <w:rsid w:val="0020700C"/>
    <w:rsid w:val="00207465"/>
    <w:rsid w:val="0020761D"/>
    <w:rsid w:val="00207681"/>
    <w:rsid w:val="0020799E"/>
    <w:rsid w:val="00211146"/>
    <w:rsid w:val="00211B2D"/>
    <w:rsid w:val="002123F7"/>
    <w:rsid w:val="0021596D"/>
    <w:rsid w:val="00216639"/>
    <w:rsid w:val="00216A27"/>
    <w:rsid w:val="00217386"/>
    <w:rsid w:val="002176C2"/>
    <w:rsid w:val="0022046B"/>
    <w:rsid w:val="00220AAC"/>
    <w:rsid w:val="00220CA9"/>
    <w:rsid w:val="0022179F"/>
    <w:rsid w:val="00221C2B"/>
    <w:rsid w:val="00221CE9"/>
    <w:rsid w:val="00222367"/>
    <w:rsid w:val="0022258C"/>
    <w:rsid w:val="00223123"/>
    <w:rsid w:val="00223227"/>
    <w:rsid w:val="0022439F"/>
    <w:rsid w:val="00225F78"/>
    <w:rsid w:val="00226CB1"/>
    <w:rsid w:val="0022726D"/>
    <w:rsid w:val="00227DD1"/>
    <w:rsid w:val="00227E0A"/>
    <w:rsid w:val="0023109B"/>
    <w:rsid w:val="002311AA"/>
    <w:rsid w:val="0023144C"/>
    <w:rsid w:val="0023163C"/>
    <w:rsid w:val="002319FB"/>
    <w:rsid w:val="002326A3"/>
    <w:rsid w:val="00232942"/>
    <w:rsid w:val="00232E48"/>
    <w:rsid w:val="00232FFE"/>
    <w:rsid w:val="00234BC7"/>
    <w:rsid w:val="00234C87"/>
    <w:rsid w:val="00234D27"/>
    <w:rsid w:val="002355BE"/>
    <w:rsid w:val="002362B6"/>
    <w:rsid w:val="00236B59"/>
    <w:rsid w:val="0023705A"/>
    <w:rsid w:val="00237210"/>
    <w:rsid w:val="0023796D"/>
    <w:rsid w:val="00240928"/>
    <w:rsid w:val="00241D41"/>
    <w:rsid w:val="00242473"/>
    <w:rsid w:val="00242706"/>
    <w:rsid w:val="00242949"/>
    <w:rsid w:val="00242AAA"/>
    <w:rsid w:val="0024304C"/>
    <w:rsid w:val="00243789"/>
    <w:rsid w:val="00243960"/>
    <w:rsid w:val="00243ED2"/>
    <w:rsid w:val="002449CB"/>
    <w:rsid w:val="0024606B"/>
    <w:rsid w:val="002464D5"/>
    <w:rsid w:val="00246D29"/>
    <w:rsid w:val="00247224"/>
    <w:rsid w:val="00247796"/>
    <w:rsid w:val="00247BE0"/>
    <w:rsid w:val="00250438"/>
    <w:rsid w:val="00250B1E"/>
    <w:rsid w:val="00250D27"/>
    <w:rsid w:val="002511C5"/>
    <w:rsid w:val="0025168D"/>
    <w:rsid w:val="0025221F"/>
    <w:rsid w:val="00252541"/>
    <w:rsid w:val="00252FED"/>
    <w:rsid w:val="0025311C"/>
    <w:rsid w:val="00253545"/>
    <w:rsid w:val="00254386"/>
    <w:rsid w:val="002554EC"/>
    <w:rsid w:val="00256DA0"/>
    <w:rsid w:val="002574FA"/>
    <w:rsid w:val="002575C5"/>
    <w:rsid w:val="00260641"/>
    <w:rsid w:val="0026135B"/>
    <w:rsid w:val="002619CC"/>
    <w:rsid w:val="002634CE"/>
    <w:rsid w:val="0026356F"/>
    <w:rsid w:val="00263EE8"/>
    <w:rsid w:val="00263FBC"/>
    <w:rsid w:val="0026465F"/>
    <w:rsid w:val="00265578"/>
    <w:rsid w:val="002656D0"/>
    <w:rsid w:val="00266269"/>
    <w:rsid w:val="00266936"/>
    <w:rsid w:val="00266E33"/>
    <w:rsid w:val="002670C8"/>
    <w:rsid w:val="002700B0"/>
    <w:rsid w:val="002705FB"/>
    <w:rsid w:val="002709D7"/>
    <w:rsid w:val="00271EF1"/>
    <w:rsid w:val="00271F2A"/>
    <w:rsid w:val="00273588"/>
    <w:rsid w:val="002743F7"/>
    <w:rsid w:val="0027469F"/>
    <w:rsid w:val="00274877"/>
    <w:rsid w:val="002754F9"/>
    <w:rsid w:val="00275546"/>
    <w:rsid w:val="0027561F"/>
    <w:rsid w:val="0027589F"/>
    <w:rsid w:val="00275A9F"/>
    <w:rsid w:val="00275B9B"/>
    <w:rsid w:val="00275D05"/>
    <w:rsid w:val="00275FBD"/>
    <w:rsid w:val="002760DF"/>
    <w:rsid w:val="002765A7"/>
    <w:rsid w:val="00276DC8"/>
    <w:rsid w:val="00276FC6"/>
    <w:rsid w:val="00277320"/>
    <w:rsid w:val="002779CB"/>
    <w:rsid w:val="00277CCD"/>
    <w:rsid w:val="00280583"/>
    <w:rsid w:val="00282042"/>
    <w:rsid w:val="00282447"/>
    <w:rsid w:val="002827C4"/>
    <w:rsid w:val="00282B1D"/>
    <w:rsid w:val="002830AE"/>
    <w:rsid w:val="0028353A"/>
    <w:rsid w:val="00283E42"/>
    <w:rsid w:val="0028425F"/>
    <w:rsid w:val="002851F2"/>
    <w:rsid w:val="00285A97"/>
    <w:rsid w:val="00285ADB"/>
    <w:rsid w:val="00285E67"/>
    <w:rsid w:val="002866B1"/>
    <w:rsid w:val="00287823"/>
    <w:rsid w:val="00287BFD"/>
    <w:rsid w:val="00287F0D"/>
    <w:rsid w:val="00290509"/>
    <w:rsid w:val="002916E8"/>
    <w:rsid w:val="00292FFB"/>
    <w:rsid w:val="0029380B"/>
    <w:rsid w:val="0029412A"/>
    <w:rsid w:val="00294677"/>
    <w:rsid w:val="00294707"/>
    <w:rsid w:val="002947E8"/>
    <w:rsid w:val="002948E3"/>
    <w:rsid w:val="002950F5"/>
    <w:rsid w:val="00295403"/>
    <w:rsid w:val="00295430"/>
    <w:rsid w:val="00295DEF"/>
    <w:rsid w:val="00296B3E"/>
    <w:rsid w:val="002A0C36"/>
    <w:rsid w:val="002A11F9"/>
    <w:rsid w:val="002A19AB"/>
    <w:rsid w:val="002A21E6"/>
    <w:rsid w:val="002A2833"/>
    <w:rsid w:val="002A2CD0"/>
    <w:rsid w:val="002A30A0"/>
    <w:rsid w:val="002A33BC"/>
    <w:rsid w:val="002A386D"/>
    <w:rsid w:val="002A396A"/>
    <w:rsid w:val="002A41B1"/>
    <w:rsid w:val="002A43D5"/>
    <w:rsid w:val="002A4989"/>
    <w:rsid w:val="002A4BEE"/>
    <w:rsid w:val="002A504B"/>
    <w:rsid w:val="002A5084"/>
    <w:rsid w:val="002A587E"/>
    <w:rsid w:val="002A60E5"/>
    <w:rsid w:val="002A615E"/>
    <w:rsid w:val="002A6654"/>
    <w:rsid w:val="002A673B"/>
    <w:rsid w:val="002A6958"/>
    <w:rsid w:val="002A6E5C"/>
    <w:rsid w:val="002A76E3"/>
    <w:rsid w:val="002A7EB0"/>
    <w:rsid w:val="002B025A"/>
    <w:rsid w:val="002B0D1E"/>
    <w:rsid w:val="002B0E3C"/>
    <w:rsid w:val="002B166A"/>
    <w:rsid w:val="002B22B7"/>
    <w:rsid w:val="002B231B"/>
    <w:rsid w:val="002B2930"/>
    <w:rsid w:val="002B2B4C"/>
    <w:rsid w:val="002B2CC4"/>
    <w:rsid w:val="002B348F"/>
    <w:rsid w:val="002B3BF5"/>
    <w:rsid w:val="002B49B5"/>
    <w:rsid w:val="002B537A"/>
    <w:rsid w:val="002B5A31"/>
    <w:rsid w:val="002B7176"/>
    <w:rsid w:val="002B740C"/>
    <w:rsid w:val="002B743D"/>
    <w:rsid w:val="002C0133"/>
    <w:rsid w:val="002C03AC"/>
    <w:rsid w:val="002C0CA4"/>
    <w:rsid w:val="002C0FBF"/>
    <w:rsid w:val="002C1A0C"/>
    <w:rsid w:val="002C2667"/>
    <w:rsid w:val="002C301E"/>
    <w:rsid w:val="002C3A93"/>
    <w:rsid w:val="002C4076"/>
    <w:rsid w:val="002C41D8"/>
    <w:rsid w:val="002C4332"/>
    <w:rsid w:val="002C4C70"/>
    <w:rsid w:val="002C526E"/>
    <w:rsid w:val="002C528A"/>
    <w:rsid w:val="002C5BC1"/>
    <w:rsid w:val="002C7528"/>
    <w:rsid w:val="002D03EF"/>
    <w:rsid w:val="002D0481"/>
    <w:rsid w:val="002D0939"/>
    <w:rsid w:val="002D0A71"/>
    <w:rsid w:val="002D0FE7"/>
    <w:rsid w:val="002D15A3"/>
    <w:rsid w:val="002D2AE6"/>
    <w:rsid w:val="002D3910"/>
    <w:rsid w:val="002D46D1"/>
    <w:rsid w:val="002D47A9"/>
    <w:rsid w:val="002D5D85"/>
    <w:rsid w:val="002D61F6"/>
    <w:rsid w:val="002D643B"/>
    <w:rsid w:val="002D6D07"/>
    <w:rsid w:val="002D6D3D"/>
    <w:rsid w:val="002D6EA1"/>
    <w:rsid w:val="002D72C0"/>
    <w:rsid w:val="002D76D1"/>
    <w:rsid w:val="002D7739"/>
    <w:rsid w:val="002D7F5D"/>
    <w:rsid w:val="002E05F2"/>
    <w:rsid w:val="002E071C"/>
    <w:rsid w:val="002E0A28"/>
    <w:rsid w:val="002E0FAC"/>
    <w:rsid w:val="002E1342"/>
    <w:rsid w:val="002E137E"/>
    <w:rsid w:val="002E1423"/>
    <w:rsid w:val="002E1963"/>
    <w:rsid w:val="002E290F"/>
    <w:rsid w:val="002E367F"/>
    <w:rsid w:val="002E3D71"/>
    <w:rsid w:val="002E4507"/>
    <w:rsid w:val="002E4CA6"/>
    <w:rsid w:val="002E61A7"/>
    <w:rsid w:val="002E6A07"/>
    <w:rsid w:val="002E6E6E"/>
    <w:rsid w:val="002E723B"/>
    <w:rsid w:val="002E744C"/>
    <w:rsid w:val="002E76BD"/>
    <w:rsid w:val="002E787C"/>
    <w:rsid w:val="002F00C3"/>
    <w:rsid w:val="002F0CD5"/>
    <w:rsid w:val="002F189A"/>
    <w:rsid w:val="002F33AD"/>
    <w:rsid w:val="002F386B"/>
    <w:rsid w:val="002F4819"/>
    <w:rsid w:val="002F6F4C"/>
    <w:rsid w:val="002F7669"/>
    <w:rsid w:val="00300213"/>
    <w:rsid w:val="00301103"/>
    <w:rsid w:val="0030168F"/>
    <w:rsid w:val="003016AB"/>
    <w:rsid w:val="00301B85"/>
    <w:rsid w:val="003027E2"/>
    <w:rsid w:val="003028F6"/>
    <w:rsid w:val="00303371"/>
    <w:rsid w:val="00303398"/>
    <w:rsid w:val="0030350E"/>
    <w:rsid w:val="003035B6"/>
    <w:rsid w:val="003037CE"/>
    <w:rsid w:val="00304379"/>
    <w:rsid w:val="00304599"/>
    <w:rsid w:val="00304A15"/>
    <w:rsid w:val="00304E89"/>
    <w:rsid w:val="00305595"/>
    <w:rsid w:val="00305923"/>
    <w:rsid w:val="00305955"/>
    <w:rsid w:val="00305EEE"/>
    <w:rsid w:val="00307C73"/>
    <w:rsid w:val="00307EB1"/>
    <w:rsid w:val="00311D94"/>
    <w:rsid w:val="0031204D"/>
    <w:rsid w:val="0031226A"/>
    <w:rsid w:val="00312595"/>
    <w:rsid w:val="003125C3"/>
    <w:rsid w:val="0031284E"/>
    <w:rsid w:val="00312B9B"/>
    <w:rsid w:val="00312C04"/>
    <w:rsid w:val="00313069"/>
    <w:rsid w:val="00313BE0"/>
    <w:rsid w:val="00313D9D"/>
    <w:rsid w:val="00314918"/>
    <w:rsid w:val="003155EB"/>
    <w:rsid w:val="00317A5A"/>
    <w:rsid w:val="00317EB7"/>
    <w:rsid w:val="0032032C"/>
    <w:rsid w:val="003206AE"/>
    <w:rsid w:val="0032072F"/>
    <w:rsid w:val="00320819"/>
    <w:rsid w:val="003215CE"/>
    <w:rsid w:val="00321C97"/>
    <w:rsid w:val="00322571"/>
    <w:rsid w:val="0032292C"/>
    <w:rsid w:val="00322F19"/>
    <w:rsid w:val="003230A5"/>
    <w:rsid w:val="003237C5"/>
    <w:rsid w:val="00323868"/>
    <w:rsid w:val="00323AE7"/>
    <w:rsid w:val="00324297"/>
    <w:rsid w:val="0032563F"/>
    <w:rsid w:val="00325EF5"/>
    <w:rsid w:val="00326F43"/>
    <w:rsid w:val="0032766D"/>
    <w:rsid w:val="003305E4"/>
    <w:rsid w:val="00330A7F"/>
    <w:rsid w:val="00330AB9"/>
    <w:rsid w:val="00331144"/>
    <w:rsid w:val="00331891"/>
    <w:rsid w:val="00331F63"/>
    <w:rsid w:val="00332836"/>
    <w:rsid w:val="003330DC"/>
    <w:rsid w:val="00333136"/>
    <w:rsid w:val="003336C8"/>
    <w:rsid w:val="00333706"/>
    <w:rsid w:val="00334217"/>
    <w:rsid w:val="00334255"/>
    <w:rsid w:val="00334C00"/>
    <w:rsid w:val="003353C4"/>
    <w:rsid w:val="00336493"/>
    <w:rsid w:val="003366B5"/>
    <w:rsid w:val="0033705B"/>
    <w:rsid w:val="00337866"/>
    <w:rsid w:val="00340438"/>
    <w:rsid w:val="0034070D"/>
    <w:rsid w:val="00340826"/>
    <w:rsid w:val="00341234"/>
    <w:rsid w:val="00341919"/>
    <w:rsid w:val="00341935"/>
    <w:rsid w:val="0034243E"/>
    <w:rsid w:val="00342CB3"/>
    <w:rsid w:val="00343795"/>
    <w:rsid w:val="00344443"/>
    <w:rsid w:val="003444DF"/>
    <w:rsid w:val="00350936"/>
    <w:rsid w:val="0035158E"/>
    <w:rsid w:val="003524BC"/>
    <w:rsid w:val="0035284C"/>
    <w:rsid w:val="00352D25"/>
    <w:rsid w:val="00353F45"/>
    <w:rsid w:val="0035524D"/>
    <w:rsid w:val="00355775"/>
    <w:rsid w:val="00355822"/>
    <w:rsid w:val="003558EF"/>
    <w:rsid w:val="00356FE7"/>
    <w:rsid w:val="00360164"/>
    <w:rsid w:val="003609D7"/>
    <w:rsid w:val="00360AE3"/>
    <w:rsid w:val="00360B76"/>
    <w:rsid w:val="00360ED2"/>
    <w:rsid w:val="0036157F"/>
    <w:rsid w:val="00361640"/>
    <w:rsid w:val="00361858"/>
    <w:rsid w:val="00361D0F"/>
    <w:rsid w:val="003620DD"/>
    <w:rsid w:val="0036225B"/>
    <w:rsid w:val="003626C3"/>
    <w:rsid w:val="00362A32"/>
    <w:rsid w:val="00362F97"/>
    <w:rsid w:val="00363300"/>
    <w:rsid w:val="00363389"/>
    <w:rsid w:val="00363931"/>
    <w:rsid w:val="00363967"/>
    <w:rsid w:val="003639D0"/>
    <w:rsid w:val="00363C43"/>
    <w:rsid w:val="00363FA4"/>
    <w:rsid w:val="003643DD"/>
    <w:rsid w:val="00365B2A"/>
    <w:rsid w:val="00365C56"/>
    <w:rsid w:val="0036609D"/>
    <w:rsid w:val="00366CA4"/>
    <w:rsid w:val="00367067"/>
    <w:rsid w:val="00367FC8"/>
    <w:rsid w:val="00370F15"/>
    <w:rsid w:val="0037127F"/>
    <w:rsid w:val="00371D8C"/>
    <w:rsid w:val="00371EF3"/>
    <w:rsid w:val="00372351"/>
    <w:rsid w:val="0037402C"/>
    <w:rsid w:val="0037421D"/>
    <w:rsid w:val="0037466D"/>
    <w:rsid w:val="00375A81"/>
    <w:rsid w:val="00375F69"/>
    <w:rsid w:val="00376B80"/>
    <w:rsid w:val="00376DC7"/>
    <w:rsid w:val="0037746D"/>
    <w:rsid w:val="00377F12"/>
    <w:rsid w:val="00377FD5"/>
    <w:rsid w:val="00380559"/>
    <w:rsid w:val="00380629"/>
    <w:rsid w:val="0038169A"/>
    <w:rsid w:val="00381F05"/>
    <w:rsid w:val="00382427"/>
    <w:rsid w:val="00383036"/>
    <w:rsid w:val="0038309B"/>
    <w:rsid w:val="00384C3E"/>
    <w:rsid w:val="0038518B"/>
    <w:rsid w:val="0038582B"/>
    <w:rsid w:val="003863A7"/>
    <w:rsid w:val="003866C1"/>
    <w:rsid w:val="00386DF3"/>
    <w:rsid w:val="00390986"/>
    <w:rsid w:val="00390D62"/>
    <w:rsid w:val="00391BD5"/>
    <w:rsid w:val="00391C76"/>
    <w:rsid w:val="00391D11"/>
    <w:rsid w:val="00391EA6"/>
    <w:rsid w:val="00391FFB"/>
    <w:rsid w:val="0039213F"/>
    <w:rsid w:val="0039259B"/>
    <w:rsid w:val="003927C3"/>
    <w:rsid w:val="00392A73"/>
    <w:rsid w:val="00392B80"/>
    <w:rsid w:val="00392CAB"/>
    <w:rsid w:val="00393E88"/>
    <w:rsid w:val="0039445C"/>
    <w:rsid w:val="003946BD"/>
    <w:rsid w:val="00395228"/>
    <w:rsid w:val="00395A73"/>
    <w:rsid w:val="00395D76"/>
    <w:rsid w:val="00395EA3"/>
    <w:rsid w:val="003962CA"/>
    <w:rsid w:val="00396772"/>
    <w:rsid w:val="00396CDC"/>
    <w:rsid w:val="0039726E"/>
    <w:rsid w:val="003A13C6"/>
    <w:rsid w:val="003A2078"/>
    <w:rsid w:val="003A2238"/>
    <w:rsid w:val="003A2B5D"/>
    <w:rsid w:val="003A2B71"/>
    <w:rsid w:val="003A3D5B"/>
    <w:rsid w:val="003A4B50"/>
    <w:rsid w:val="003A4C55"/>
    <w:rsid w:val="003A54EA"/>
    <w:rsid w:val="003A69A7"/>
    <w:rsid w:val="003A6F89"/>
    <w:rsid w:val="003A71A1"/>
    <w:rsid w:val="003A72ED"/>
    <w:rsid w:val="003A73AB"/>
    <w:rsid w:val="003A7FB5"/>
    <w:rsid w:val="003B0A38"/>
    <w:rsid w:val="003B3360"/>
    <w:rsid w:val="003B3F30"/>
    <w:rsid w:val="003B6F27"/>
    <w:rsid w:val="003B767D"/>
    <w:rsid w:val="003B79F7"/>
    <w:rsid w:val="003B7EF9"/>
    <w:rsid w:val="003C1465"/>
    <w:rsid w:val="003C2213"/>
    <w:rsid w:val="003C355D"/>
    <w:rsid w:val="003C3A9D"/>
    <w:rsid w:val="003C519D"/>
    <w:rsid w:val="003C590A"/>
    <w:rsid w:val="003C5B39"/>
    <w:rsid w:val="003C686E"/>
    <w:rsid w:val="003C6CBE"/>
    <w:rsid w:val="003C730D"/>
    <w:rsid w:val="003C77FE"/>
    <w:rsid w:val="003D0741"/>
    <w:rsid w:val="003D0904"/>
    <w:rsid w:val="003D0F93"/>
    <w:rsid w:val="003D132F"/>
    <w:rsid w:val="003D1439"/>
    <w:rsid w:val="003D1761"/>
    <w:rsid w:val="003D347C"/>
    <w:rsid w:val="003D73BE"/>
    <w:rsid w:val="003D7E6A"/>
    <w:rsid w:val="003D7EEB"/>
    <w:rsid w:val="003E018D"/>
    <w:rsid w:val="003E0224"/>
    <w:rsid w:val="003E0B28"/>
    <w:rsid w:val="003E0C75"/>
    <w:rsid w:val="003E1C9C"/>
    <w:rsid w:val="003E2E14"/>
    <w:rsid w:val="003E33DF"/>
    <w:rsid w:val="003E39C8"/>
    <w:rsid w:val="003E3EEA"/>
    <w:rsid w:val="003E4BF0"/>
    <w:rsid w:val="003E5027"/>
    <w:rsid w:val="003E54CE"/>
    <w:rsid w:val="003E5612"/>
    <w:rsid w:val="003E5F4F"/>
    <w:rsid w:val="003E63F5"/>
    <w:rsid w:val="003E66A8"/>
    <w:rsid w:val="003E6C5E"/>
    <w:rsid w:val="003E71B6"/>
    <w:rsid w:val="003E7509"/>
    <w:rsid w:val="003E7ADD"/>
    <w:rsid w:val="003F1ABD"/>
    <w:rsid w:val="003F1B59"/>
    <w:rsid w:val="003F49A0"/>
    <w:rsid w:val="003F49A8"/>
    <w:rsid w:val="003F4B10"/>
    <w:rsid w:val="003F4DBF"/>
    <w:rsid w:val="003F54A9"/>
    <w:rsid w:val="003F5DAB"/>
    <w:rsid w:val="003F60AE"/>
    <w:rsid w:val="003F6461"/>
    <w:rsid w:val="003F6896"/>
    <w:rsid w:val="003F6B23"/>
    <w:rsid w:val="003F75F9"/>
    <w:rsid w:val="004001D0"/>
    <w:rsid w:val="00400760"/>
    <w:rsid w:val="004008C7"/>
    <w:rsid w:val="00400C44"/>
    <w:rsid w:val="00400C7F"/>
    <w:rsid w:val="00400F97"/>
    <w:rsid w:val="00400FB4"/>
    <w:rsid w:val="004014D2"/>
    <w:rsid w:val="004024AB"/>
    <w:rsid w:val="004026A5"/>
    <w:rsid w:val="0040375F"/>
    <w:rsid w:val="00403C67"/>
    <w:rsid w:val="004043DE"/>
    <w:rsid w:val="00405606"/>
    <w:rsid w:val="00405611"/>
    <w:rsid w:val="00406C63"/>
    <w:rsid w:val="004078CC"/>
    <w:rsid w:val="00407E1F"/>
    <w:rsid w:val="00411FC8"/>
    <w:rsid w:val="004122B3"/>
    <w:rsid w:val="00412767"/>
    <w:rsid w:val="0041348F"/>
    <w:rsid w:val="00413960"/>
    <w:rsid w:val="00413D23"/>
    <w:rsid w:val="00413F7F"/>
    <w:rsid w:val="00414238"/>
    <w:rsid w:val="00414258"/>
    <w:rsid w:val="004142B1"/>
    <w:rsid w:val="00414491"/>
    <w:rsid w:val="00414CBF"/>
    <w:rsid w:val="00414F07"/>
    <w:rsid w:val="00415473"/>
    <w:rsid w:val="00415832"/>
    <w:rsid w:val="00415F20"/>
    <w:rsid w:val="00416014"/>
    <w:rsid w:val="00416047"/>
    <w:rsid w:val="00417C26"/>
    <w:rsid w:val="00420F68"/>
    <w:rsid w:val="004210A3"/>
    <w:rsid w:val="0042111C"/>
    <w:rsid w:val="00421935"/>
    <w:rsid w:val="004231DD"/>
    <w:rsid w:val="004241D0"/>
    <w:rsid w:val="0042447E"/>
    <w:rsid w:val="0042497A"/>
    <w:rsid w:val="00424F68"/>
    <w:rsid w:val="00425315"/>
    <w:rsid w:val="0042550D"/>
    <w:rsid w:val="004260A0"/>
    <w:rsid w:val="0042641B"/>
    <w:rsid w:val="00426769"/>
    <w:rsid w:val="00426FFC"/>
    <w:rsid w:val="00427C42"/>
    <w:rsid w:val="00427FDE"/>
    <w:rsid w:val="00430567"/>
    <w:rsid w:val="004337C1"/>
    <w:rsid w:val="00433ADA"/>
    <w:rsid w:val="00433F19"/>
    <w:rsid w:val="00434A35"/>
    <w:rsid w:val="004369D6"/>
    <w:rsid w:val="004373DD"/>
    <w:rsid w:val="00437626"/>
    <w:rsid w:val="00441177"/>
    <w:rsid w:val="0044143F"/>
    <w:rsid w:val="00441504"/>
    <w:rsid w:val="00441AC0"/>
    <w:rsid w:val="00441E70"/>
    <w:rsid w:val="00442230"/>
    <w:rsid w:val="004429B1"/>
    <w:rsid w:val="0044392A"/>
    <w:rsid w:val="00444198"/>
    <w:rsid w:val="0044554B"/>
    <w:rsid w:val="00446558"/>
    <w:rsid w:val="00446814"/>
    <w:rsid w:val="00446867"/>
    <w:rsid w:val="00446A8C"/>
    <w:rsid w:val="004470C1"/>
    <w:rsid w:val="00447911"/>
    <w:rsid w:val="00447BF5"/>
    <w:rsid w:val="00447D37"/>
    <w:rsid w:val="00447DB6"/>
    <w:rsid w:val="00447FA4"/>
    <w:rsid w:val="00450BAB"/>
    <w:rsid w:val="00450D6E"/>
    <w:rsid w:val="00451496"/>
    <w:rsid w:val="004519BB"/>
    <w:rsid w:val="0045276E"/>
    <w:rsid w:val="00452C3F"/>
    <w:rsid w:val="004538FF"/>
    <w:rsid w:val="0045482D"/>
    <w:rsid w:val="00454A44"/>
    <w:rsid w:val="0045655E"/>
    <w:rsid w:val="00456BC7"/>
    <w:rsid w:val="00457133"/>
    <w:rsid w:val="004572B7"/>
    <w:rsid w:val="00457385"/>
    <w:rsid w:val="00457FC4"/>
    <w:rsid w:val="0046019B"/>
    <w:rsid w:val="004603BC"/>
    <w:rsid w:val="00460B54"/>
    <w:rsid w:val="00460C65"/>
    <w:rsid w:val="004611EB"/>
    <w:rsid w:val="0046171E"/>
    <w:rsid w:val="00461856"/>
    <w:rsid w:val="00461890"/>
    <w:rsid w:val="00461915"/>
    <w:rsid w:val="00461A15"/>
    <w:rsid w:val="00461C2E"/>
    <w:rsid w:val="00462046"/>
    <w:rsid w:val="00462827"/>
    <w:rsid w:val="00462CF1"/>
    <w:rsid w:val="00462E19"/>
    <w:rsid w:val="0046306A"/>
    <w:rsid w:val="0046308E"/>
    <w:rsid w:val="0046329D"/>
    <w:rsid w:val="0046358F"/>
    <w:rsid w:val="00463DF5"/>
    <w:rsid w:val="004645AC"/>
    <w:rsid w:val="00464608"/>
    <w:rsid w:val="004647A8"/>
    <w:rsid w:val="004651E0"/>
    <w:rsid w:val="0046664C"/>
    <w:rsid w:val="00466EE0"/>
    <w:rsid w:val="00466EEA"/>
    <w:rsid w:val="00467157"/>
    <w:rsid w:val="0046759E"/>
    <w:rsid w:val="004675EC"/>
    <w:rsid w:val="004676FE"/>
    <w:rsid w:val="0046795B"/>
    <w:rsid w:val="00471B3B"/>
    <w:rsid w:val="0047211B"/>
    <w:rsid w:val="0047296D"/>
    <w:rsid w:val="00474215"/>
    <w:rsid w:val="0047485F"/>
    <w:rsid w:val="004757F6"/>
    <w:rsid w:val="00475855"/>
    <w:rsid w:val="00475B56"/>
    <w:rsid w:val="00475DCE"/>
    <w:rsid w:val="004761A5"/>
    <w:rsid w:val="004770A6"/>
    <w:rsid w:val="00481811"/>
    <w:rsid w:val="0048191B"/>
    <w:rsid w:val="0048218F"/>
    <w:rsid w:val="004835D6"/>
    <w:rsid w:val="004852D7"/>
    <w:rsid w:val="00485748"/>
    <w:rsid w:val="00485DB3"/>
    <w:rsid w:val="0048618B"/>
    <w:rsid w:val="004869A2"/>
    <w:rsid w:val="00486B0C"/>
    <w:rsid w:val="0048758F"/>
    <w:rsid w:val="00492058"/>
    <w:rsid w:val="00492892"/>
    <w:rsid w:val="004928D8"/>
    <w:rsid w:val="004945D5"/>
    <w:rsid w:val="00494F70"/>
    <w:rsid w:val="00495612"/>
    <w:rsid w:val="004967DB"/>
    <w:rsid w:val="00496890"/>
    <w:rsid w:val="00496A27"/>
    <w:rsid w:val="00497726"/>
    <w:rsid w:val="00497A1A"/>
    <w:rsid w:val="004A0D56"/>
    <w:rsid w:val="004A16D5"/>
    <w:rsid w:val="004A1A1D"/>
    <w:rsid w:val="004A1F00"/>
    <w:rsid w:val="004A28B8"/>
    <w:rsid w:val="004A318D"/>
    <w:rsid w:val="004A3482"/>
    <w:rsid w:val="004A552E"/>
    <w:rsid w:val="004A68F6"/>
    <w:rsid w:val="004A6D45"/>
    <w:rsid w:val="004A6ECF"/>
    <w:rsid w:val="004A7B40"/>
    <w:rsid w:val="004B030C"/>
    <w:rsid w:val="004B0938"/>
    <w:rsid w:val="004B1206"/>
    <w:rsid w:val="004B12BE"/>
    <w:rsid w:val="004B23B4"/>
    <w:rsid w:val="004B2AE1"/>
    <w:rsid w:val="004B2B9D"/>
    <w:rsid w:val="004B31BC"/>
    <w:rsid w:val="004B32B6"/>
    <w:rsid w:val="004B352F"/>
    <w:rsid w:val="004B35F1"/>
    <w:rsid w:val="004B4111"/>
    <w:rsid w:val="004B4138"/>
    <w:rsid w:val="004B5787"/>
    <w:rsid w:val="004B5ABF"/>
    <w:rsid w:val="004B5F05"/>
    <w:rsid w:val="004B652D"/>
    <w:rsid w:val="004B7349"/>
    <w:rsid w:val="004B78D9"/>
    <w:rsid w:val="004B7D74"/>
    <w:rsid w:val="004C023B"/>
    <w:rsid w:val="004C0D4F"/>
    <w:rsid w:val="004C2DD9"/>
    <w:rsid w:val="004C3CB3"/>
    <w:rsid w:val="004C3CC9"/>
    <w:rsid w:val="004C3E5B"/>
    <w:rsid w:val="004C43ED"/>
    <w:rsid w:val="004C6C89"/>
    <w:rsid w:val="004C77B3"/>
    <w:rsid w:val="004C796B"/>
    <w:rsid w:val="004C7E2F"/>
    <w:rsid w:val="004D0B5C"/>
    <w:rsid w:val="004D1879"/>
    <w:rsid w:val="004D1E64"/>
    <w:rsid w:val="004D2CFF"/>
    <w:rsid w:val="004D3249"/>
    <w:rsid w:val="004D369C"/>
    <w:rsid w:val="004D36B6"/>
    <w:rsid w:val="004D3D8F"/>
    <w:rsid w:val="004D50E2"/>
    <w:rsid w:val="004D53AB"/>
    <w:rsid w:val="004D53D1"/>
    <w:rsid w:val="004D56C8"/>
    <w:rsid w:val="004D5B27"/>
    <w:rsid w:val="004D6871"/>
    <w:rsid w:val="004D6DBF"/>
    <w:rsid w:val="004D76FB"/>
    <w:rsid w:val="004E077F"/>
    <w:rsid w:val="004E0D57"/>
    <w:rsid w:val="004E0E6D"/>
    <w:rsid w:val="004E11ED"/>
    <w:rsid w:val="004E1A12"/>
    <w:rsid w:val="004E1FF8"/>
    <w:rsid w:val="004E218B"/>
    <w:rsid w:val="004E2252"/>
    <w:rsid w:val="004E361F"/>
    <w:rsid w:val="004E3812"/>
    <w:rsid w:val="004E648D"/>
    <w:rsid w:val="004E6F82"/>
    <w:rsid w:val="004E77B4"/>
    <w:rsid w:val="004E7E93"/>
    <w:rsid w:val="004F005D"/>
    <w:rsid w:val="004F065A"/>
    <w:rsid w:val="004F0FF3"/>
    <w:rsid w:val="004F1037"/>
    <w:rsid w:val="004F11C4"/>
    <w:rsid w:val="004F17BB"/>
    <w:rsid w:val="004F1B26"/>
    <w:rsid w:val="004F22C8"/>
    <w:rsid w:val="004F2353"/>
    <w:rsid w:val="004F2AD8"/>
    <w:rsid w:val="004F2BE1"/>
    <w:rsid w:val="004F2FBE"/>
    <w:rsid w:val="004F3E8C"/>
    <w:rsid w:val="004F3ED6"/>
    <w:rsid w:val="004F4455"/>
    <w:rsid w:val="004F480F"/>
    <w:rsid w:val="004F482B"/>
    <w:rsid w:val="004F5638"/>
    <w:rsid w:val="004F5B1B"/>
    <w:rsid w:val="004F648D"/>
    <w:rsid w:val="00500862"/>
    <w:rsid w:val="00500927"/>
    <w:rsid w:val="00500ED2"/>
    <w:rsid w:val="00501B9F"/>
    <w:rsid w:val="00502123"/>
    <w:rsid w:val="0050241E"/>
    <w:rsid w:val="005028FC"/>
    <w:rsid w:val="00502DA0"/>
    <w:rsid w:val="00502E18"/>
    <w:rsid w:val="00503079"/>
    <w:rsid w:val="005034A7"/>
    <w:rsid w:val="00503B1D"/>
    <w:rsid w:val="00503B64"/>
    <w:rsid w:val="00503EE8"/>
    <w:rsid w:val="005041E4"/>
    <w:rsid w:val="00504693"/>
    <w:rsid w:val="005047ED"/>
    <w:rsid w:val="00504843"/>
    <w:rsid w:val="00505370"/>
    <w:rsid w:val="005057AF"/>
    <w:rsid w:val="00505B3F"/>
    <w:rsid w:val="00505E06"/>
    <w:rsid w:val="00506051"/>
    <w:rsid w:val="005062B1"/>
    <w:rsid w:val="00506317"/>
    <w:rsid w:val="005067F3"/>
    <w:rsid w:val="00506AFA"/>
    <w:rsid w:val="00507411"/>
    <w:rsid w:val="00507B1E"/>
    <w:rsid w:val="00507D12"/>
    <w:rsid w:val="0051048B"/>
    <w:rsid w:val="005106BE"/>
    <w:rsid w:val="00511D24"/>
    <w:rsid w:val="005125DB"/>
    <w:rsid w:val="00512721"/>
    <w:rsid w:val="00512792"/>
    <w:rsid w:val="005127C8"/>
    <w:rsid w:val="00512AE3"/>
    <w:rsid w:val="00512AFC"/>
    <w:rsid w:val="005136E1"/>
    <w:rsid w:val="00513DB3"/>
    <w:rsid w:val="00515626"/>
    <w:rsid w:val="00515775"/>
    <w:rsid w:val="00515CE4"/>
    <w:rsid w:val="00515CFA"/>
    <w:rsid w:val="00515DBA"/>
    <w:rsid w:val="005160F5"/>
    <w:rsid w:val="0051641B"/>
    <w:rsid w:val="00516892"/>
    <w:rsid w:val="00517138"/>
    <w:rsid w:val="00517C3D"/>
    <w:rsid w:val="00517CD6"/>
    <w:rsid w:val="00517E44"/>
    <w:rsid w:val="00520389"/>
    <w:rsid w:val="00520DEC"/>
    <w:rsid w:val="00521102"/>
    <w:rsid w:val="00521560"/>
    <w:rsid w:val="005223A6"/>
    <w:rsid w:val="00523CDB"/>
    <w:rsid w:val="0052445A"/>
    <w:rsid w:val="00524C9A"/>
    <w:rsid w:val="00525249"/>
    <w:rsid w:val="00525546"/>
    <w:rsid w:val="00525B13"/>
    <w:rsid w:val="0052673A"/>
    <w:rsid w:val="00526BDD"/>
    <w:rsid w:val="00526EA5"/>
    <w:rsid w:val="0052794A"/>
    <w:rsid w:val="00527CD4"/>
    <w:rsid w:val="00530DFC"/>
    <w:rsid w:val="005312B4"/>
    <w:rsid w:val="005320EA"/>
    <w:rsid w:val="00533205"/>
    <w:rsid w:val="00534AAC"/>
    <w:rsid w:val="00534B38"/>
    <w:rsid w:val="00534CD3"/>
    <w:rsid w:val="00534FEE"/>
    <w:rsid w:val="0053538D"/>
    <w:rsid w:val="00535459"/>
    <w:rsid w:val="00535631"/>
    <w:rsid w:val="00536493"/>
    <w:rsid w:val="005374BF"/>
    <w:rsid w:val="005400D1"/>
    <w:rsid w:val="0054021F"/>
    <w:rsid w:val="00540736"/>
    <w:rsid w:val="0054142D"/>
    <w:rsid w:val="005418BF"/>
    <w:rsid w:val="00541904"/>
    <w:rsid w:val="00543023"/>
    <w:rsid w:val="00543286"/>
    <w:rsid w:val="0054381C"/>
    <w:rsid w:val="00543AEE"/>
    <w:rsid w:val="00543CF4"/>
    <w:rsid w:val="005450A6"/>
    <w:rsid w:val="0054609C"/>
    <w:rsid w:val="005466C0"/>
    <w:rsid w:val="00546DAB"/>
    <w:rsid w:val="005470C7"/>
    <w:rsid w:val="00547803"/>
    <w:rsid w:val="005479C1"/>
    <w:rsid w:val="00550274"/>
    <w:rsid w:val="00550346"/>
    <w:rsid w:val="0055089F"/>
    <w:rsid w:val="00550BD4"/>
    <w:rsid w:val="00550D90"/>
    <w:rsid w:val="005510AF"/>
    <w:rsid w:val="005512D2"/>
    <w:rsid w:val="00551656"/>
    <w:rsid w:val="00551A8E"/>
    <w:rsid w:val="00552030"/>
    <w:rsid w:val="005524B6"/>
    <w:rsid w:val="005524DD"/>
    <w:rsid w:val="00552684"/>
    <w:rsid w:val="00553354"/>
    <w:rsid w:val="005543E7"/>
    <w:rsid w:val="0055598D"/>
    <w:rsid w:val="005573D5"/>
    <w:rsid w:val="005573FE"/>
    <w:rsid w:val="00557861"/>
    <w:rsid w:val="00557CC6"/>
    <w:rsid w:val="0056220E"/>
    <w:rsid w:val="005628EA"/>
    <w:rsid w:val="00562BA2"/>
    <w:rsid w:val="0056427B"/>
    <w:rsid w:val="005643EC"/>
    <w:rsid w:val="005644F0"/>
    <w:rsid w:val="00564795"/>
    <w:rsid w:val="00564E46"/>
    <w:rsid w:val="00564EE6"/>
    <w:rsid w:val="005656D6"/>
    <w:rsid w:val="0056667A"/>
    <w:rsid w:val="00566A99"/>
    <w:rsid w:val="00566BF9"/>
    <w:rsid w:val="00567471"/>
    <w:rsid w:val="005675D5"/>
    <w:rsid w:val="005676E3"/>
    <w:rsid w:val="00567953"/>
    <w:rsid w:val="00567A44"/>
    <w:rsid w:val="00567AE2"/>
    <w:rsid w:val="00567F4A"/>
    <w:rsid w:val="00570370"/>
    <w:rsid w:val="0057074A"/>
    <w:rsid w:val="00570755"/>
    <w:rsid w:val="00570E6A"/>
    <w:rsid w:val="005738B6"/>
    <w:rsid w:val="005749EA"/>
    <w:rsid w:val="0057587C"/>
    <w:rsid w:val="0057643B"/>
    <w:rsid w:val="00577A55"/>
    <w:rsid w:val="00577C29"/>
    <w:rsid w:val="005805A8"/>
    <w:rsid w:val="0058118F"/>
    <w:rsid w:val="0058172C"/>
    <w:rsid w:val="0058187B"/>
    <w:rsid w:val="00581A5A"/>
    <w:rsid w:val="00581D5A"/>
    <w:rsid w:val="00583273"/>
    <w:rsid w:val="0058362C"/>
    <w:rsid w:val="00583F07"/>
    <w:rsid w:val="005840B8"/>
    <w:rsid w:val="0058554E"/>
    <w:rsid w:val="0058731D"/>
    <w:rsid w:val="005874F4"/>
    <w:rsid w:val="00590171"/>
    <w:rsid w:val="00590358"/>
    <w:rsid w:val="00593236"/>
    <w:rsid w:val="0059348C"/>
    <w:rsid w:val="005936A9"/>
    <w:rsid w:val="005938D8"/>
    <w:rsid w:val="00594307"/>
    <w:rsid w:val="00595C32"/>
    <w:rsid w:val="005961C2"/>
    <w:rsid w:val="00596412"/>
    <w:rsid w:val="00597353"/>
    <w:rsid w:val="0059735E"/>
    <w:rsid w:val="00597480"/>
    <w:rsid w:val="00597D00"/>
    <w:rsid w:val="005A02D1"/>
    <w:rsid w:val="005A0BA8"/>
    <w:rsid w:val="005A0DE2"/>
    <w:rsid w:val="005A37B8"/>
    <w:rsid w:val="005A3AE4"/>
    <w:rsid w:val="005A4139"/>
    <w:rsid w:val="005A48C1"/>
    <w:rsid w:val="005A4B84"/>
    <w:rsid w:val="005A5309"/>
    <w:rsid w:val="005A5B54"/>
    <w:rsid w:val="005A60C4"/>
    <w:rsid w:val="005A676C"/>
    <w:rsid w:val="005A6CFB"/>
    <w:rsid w:val="005A7908"/>
    <w:rsid w:val="005A7F86"/>
    <w:rsid w:val="005B07DC"/>
    <w:rsid w:val="005B0CD5"/>
    <w:rsid w:val="005B1C6A"/>
    <w:rsid w:val="005B2E6F"/>
    <w:rsid w:val="005B2FE3"/>
    <w:rsid w:val="005B38CC"/>
    <w:rsid w:val="005B395A"/>
    <w:rsid w:val="005B3DE2"/>
    <w:rsid w:val="005B40A5"/>
    <w:rsid w:val="005B5183"/>
    <w:rsid w:val="005B5A8A"/>
    <w:rsid w:val="005B5EC0"/>
    <w:rsid w:val="005B7177"/>
    <w:rsid w:val="005B74F4"/>
    <w:rsid w:val="005B769E"/>
    <w:rsid w:val="005B7FD4"/>
    <w:rsid w:val="005C00BE"/>
    <w:rsid w:val="005C0DDB"/>
    <w:rsid w:val="005C1ED7"/>
    <w:rsid w:val="005C1F89"/>
    <w:rsid w:val="005C4636"/>
    <w:rsid w:val="005C4C63"/>
    <w:rsid w:val="005C5BD0"/>
    <w:rsid w:val="005C703F"/>
    <w:rsid w:val="005C7405"/>
    <w:rsid w:val="005C7DFF"/>
    <w:rsid w:val="005D17F8"/>
    <w:rsid w:val="005D32B0"/>
    <w:rsid w:val="005D4046"/>
    <w:rsid w:val="005D4BAF"/>
    <w:rsid w:val="005D6514"/>
    <w:rsid w:val="005D689A"/>
    <w:rsid w:val="005D72D8"/>
    <w:rsid w:val="005D73CF"/>
    <w:rsid w:val="005D78E9"/>
    <w:rsid w:val="005E0600"/>
    <w:rsid w:val="005E0B74"/>
    <w:rsid w:val="005E138B"/>
    <w:rsid w:val="005E15E0"/>
    <w:rsid w:val="005E1605"/>
    <w:rsid w:val="005E254A"/>
    <w:rsid w:val="005E2790"/>
    <w:rsid w:val="005E2925"/>
    <w:rsid w:val="005E2CA4"/>
    <w:rsid w:val="005E2D7E"/>
    <w:rsid w:val="005E2E10"/>
    <w:rsid w:val="005E3202"/>
    <w:rsid w:val="005E3581"/>
    <w:rsid w:val="005E3E8B"/>
    <w:rsid w:val="005E4C6D"/>
    <w:rsid w:val="005E4DAF"/>
    <w:rsid w:val="005E5157"/>
    <w:rsid w:val="005E526F"/>
    <w:rsid w:val="005E5C90"/>
    <w:rsid w:val="005E5EF4"/>
    <w:rsid w:val="005E681F"/>
    <w:rsid w:val="005E6BB3"/>
    <w:rsid w:val="005E6D28"/>
    <w:rsid w:val="005E6E77"/>
    <w:rsid w:val="005E7B57"/>
    <w:rsid w:val="005F0226"/>
    <w:rsid w:val="005F1278"/>
    <w:rsid w:val="005F1EFE"/>
    <w:rsid w:val="005F1F89"/>
    <w:rsid w:val="005F2A8C"/>
    <w:rsid w:val="005F2D89"/>
    <w:rsid w:val="005F3B36"/>
    <w:rsid w:val="005F43D1"/>
    <w:rsid w:val="005F4850"/>
    <w:rsid w:val="005F4B1A"/>
    <w:rsid w:val="005F52CA"/>
    <w:rsid w:val="005F5333"/>
    <w:rsid w:val="005F5B54"/>
    <w:rsid w:val="005F5D84"/>
    <w:rsid w:val="005F60CB"/>
    <w:rsid w:val="005F62C4"/>
    <w:rsid w:val="005F6375"/>
    <w:rsid w:val="005F64D3"/>
    <w:rsid w:val="005F71D4"/>
    <w:rsid w:val="005F74E4"/>
    <w:rsid w:val="005F7844"/>
    <w:rsid w:val="005F789B"/>
    <w:rsid w:val="005F7C25"/>
    <w:rsid w:val="006013B3"/>
    <w:rsid w:val="00601666"/>
    <w:rsid w:val="00601724"/>
    <w:rsid w:val="00603159"/>
    <w:rsid w:val="00603F0D"/>
    <w:rsid w:val="00604184"/>
    <w:rsid w:val="0060478E"/>
    <w:rsid w:val="00604D76"/>
    <w:rsid w:val="00605230"/>
    <w:rsid w:val="006052B3"/>
    <w:rsid w:val="00605B4F"/>
    <w:rsid w:val="00606291"/>
    <w:rsid w:val="00607435"/>
    <w:rsid w:val="00607474"/>
    <w:rsid w:val="006104BD"/>
    <w:rsid w:val="006108DF"/>
    <w:rsid w:val="00610DD0"/>
    <w:rsid w:val="00611587"/>
    <w:rsid w:val="006116B8"/>
    <w:rsid w:val="00611A7E"/>
    <w:rsid w:val="00611B61"/>
    <w:rsid w:val="00611CC2"/>
    <w:rsid w:val="006125DF"/>
    <w:rsid w:val="00613ABC"/>
    <w:rsid w:val="00613EBD"/>
    <w:rsid w:val="006152E4"/>
    <w:rsid w:val="00615AD0"/>
    <w:rsid w:val="006160DF"/>
    <w:rsid w:val="006162AE"/>
    <w:rsid w:val="006172A4"/>
    <w:rsid w:val="00617565"/>
    <w:rsid w:val="00620F6F"/>
    <w:rsid w:val="0062149B"/>
    <w:rsid w:val="006223B9"/>
    <w:rsid w:val="00622438"/>
    <w:rsid w:val="00622A75"/>
    <w:rsid w:val="0062403A"/>
    <w:rsid w:val="0062477B"/>
    <w:rsid w:val="00624F94"/>
    <w:rsid w:val="006252E6"/>
    <w:rsid w:val="00625F79"/>
    <w:rsid w:val="00631459"/>
    <w:rsid w:val="00631BF8"/>
    <w:rsid w:val="0063256B"/>
    <w:rsid w:val="006325E0"/>
    <w:rsid w:val="0063405D"/>
    <w:rsid w:val="0063480F"/>
    <w:rsid w:val="006349B4"/>
    <w:rsid w:val="00634CA6"/>
    <w:rsid w:val="00635A77"/>
    <w:rsid w:val="00635B9A"/>
    <w:rsid w:val="006361A0"/>
    <w:rsid w:val="00636315"/>
    <w:rsid w:val="00636CAF"/>
    <w:rsid w:val="00636CD3"/>
    <w:rsid w:val="00637280"/>
    <w:rsid w:val="00637285"/>
    <w:rsid w:val="0063753E"/>
    <w:rsid w:val="00637BBF"/>
    <w:rsid w:val="00637D14"/>
    <w:rsid w:val="00637E33"/>
    <w:rsid w:val="006403E3"/>
    <w:rsid w:val="00640B79"/>
    <w:rsid w:val="00640CFD"/>
    <w:rsid w:val="0064138C"/>
    <w:rsid w:val="006414FF"/>
    <w:rsid w:val="00641E4A"/>
    <w:rsid w:val="00642632"/>
    <w:rsid w:val="00642B75"/>
    <w:rsid w:val="006435A9"/>
    <w:rsid w:val="00643707"/>
    <w:rsid w:val="006454DD"/>
    <w:rsid w:val="0064594E"/>
    <w:rsid w:val="00646808"/>
    <w:rsid w:val="00646FFD"/>
    <w:rsid w:val="00650056"/>
    <w:rsid w:val="00650BE2"/>
    <w:rsid w:val="00652778"/>
    <w:rsid w:val="00653083"/>
    <w:rsid w:val="00653DA4"/>
    <w:rsid w:val="006541A1"/>
    <w:rsid w:val="0065435E"/>
    <w:rsid w:val="00654D15"/>
    <w:rsid w:val="006551A9"/>
    <w:rsid w:val="00656304"/>
    <w:rsid w:val="00656762"/>
    <w:rsid w:val="00657E72"/>
    <w:rsid w:val="00660126"/>
    <w:rsid w:val="00661062"/>
    <w:rsid w:val="00661BAF"/>
    <w:rsid w:val="00661C39"/>
    <w:rsid w:val="00661DB9"/>
    <w:rsid w:val="0066222C"/>
    <w:rsid w:val="006631F3"/>
    <w:rsid w:val="006637C9"/>
    <w:rsid w:val="00663C85"/>
    <w:rsid w:val="00663F60"/>
    <w:rsid w:val="0066417F"/>
    <w:rsid w:val="0066463B"/>
    <w:rsid w:val="00664C28"/>
    <w:rsid w:val="00665D6A"/>
    <w:rsid w:val="00667495"/>
    <w:rsid w:val="0067047C"/>
    <w:rsid w:val="00671302"/>
    <w:rsid w:val="00671833"/>
    <w:rsid w:val="00672503"/>
    <w:rsid w:val="00672B40"/>
    <w:rsid w:val="00672E5D"/>
    <w:rsid w:val="006741CD"/>
    <w:rsid w:val="00676029"/>
    <w:rsid w:val="00676427"/>
    <w:rsid w:val="00677933"/>
    <w:rsid w:val="00677EF0"/>
    <w:rsid w:val="00680A90"/>
    <w:rsid w:val="00680AEE"/>
    <w:rsid w:val="00680D56"/>
    <w:rsid w:val="00680F83"/>
    <w:rsid w:val="00681007"/>
    <w:rsid w:val="00681BCF"/>
    <w:rsid w:val="006823CA"/>
    <w:rsid w:val="0068276A"/>
    <w:rsid w:val="006827AD"/>
    <w:rsid w:val="00682E04"/>
    <w:rsid w:val="006832B4"/>
    <w:rsid w:val="00685235"/>
    <w:rsid w:val="006854CF"/>
    <w:rsid w:val="00685A3A"/>
    <w:rsid w:val="00685E5D"/>
    <w:rsid w:val="0068624C"/>
    <w:rsid w:val="00686AAC"/>
    <w:rsid w:val="00687714"/>
    <w:rsid w:val="006877CC"/>
    <w:rsid w:val="00690414"/>
    <w:rsid w:val="00690866"/>
    <w:rsid w:val="00690F0C"/>
    <w:rsid w:val="00691B89"/>
    <w:rsid w:val="006923A2"/>
    <w:rsid w:val="00692532"/>
    <w:rsid w:val="0069261B"/>
    <w:rsid w:val="00692722"/>
    <w:rsid w:val="00692779"/>
    <w:rsid w:val="00693760"/>
    <w:rsid w:val="00693898"/>
    <w:rsid w:val="0069426D"/>
    <w:rsid w:val="00694A62"/>
    <w:rsid w:val="00694AEC"/>
    <w:rsid w:val="00694C5C"/>
    <w:rsid w:val="00695132"/>
    <w:rsid w:val="0069570F"/>
    <w:rsid w:val="00695E98"/>
    <w:rsid w:val="006968A8"/>
    <w:rsid w:val="00696B4C"/>
    <w:rsid w:val="00697349"/>
    <w:rsid w:val="006974AF"/>
    <w:rsid w:val="006A0285"/>
    <w:rsid w:val="006A13AC"/>
    <w:rsid w:val="006A14B5"/>
    <w:rsid w:val="006A1E63"/>
    <w:rsid w:val="006A1EF3"/>
    <w:rsid w:val="006A3C1C"/>
    <w:rsid w:val="006A4644"/>
    <w:rsid w:val="006A4F60"/>
    <w:rsid w:val="006A682F"/>
    <w:rsid w:val="006A6DBE"/>
    <w:rsid w:val="006A7024"/>
    <w:rsid w:val="006A720D"/>
    <w:rsid w:val="006A763E"/>
    <w:rsid w:val="006B09EE"/>
    <w:rsid w:val="006B0ACA"/>
    <w:rsid w:val="006B1416"/>
    <w:rsid w:val="006B1BF3"/>
    <w:rsid w:val="006B1D6E"/>
    <w:rsid w:val="006B276E"/>
    <w:rsid w:val="006B2C03"/>
    <w:rsid w:val="006B2F77"/>
    <w:rsid w:val="006B30AB"/>
    <w:rsid w:val="006B4494"/>
    <w:rsid w:val="006B4627"/>
    <w:rsid w:val="006B49C3"/>
    <w:rsid w:val="006B56D0"/>
    <w:rsid w:val="006B57B8"/>
    <w:rsid w:val="006B60A1"/>
    <w:rsid w:val="006B6782"/>
    <w:rsid w:val="006B6817"/>
    <w:rsid w:val="006B7359"/>
    <w:rsid w:val="006B752B"/>
    <w:rsid w:val="006B7A15"/>
    <w:rsid w:val="006C0841"/>
    <w:rsid w:val="006C0BCB"/>
    <w:rsid w:val="006C20CE"/>
    <w:rsid w:val="006C2605"/>
    <w:rsid w:val="006C3584"/>
    <w:rsid w:val="006C4536"/>
    <w:rsid w:val="006C57D0"/>
    <w:rsid w:val="006C5A9A"/>
    <w:rsid w:val="006C6093"/>
    <w:rsid w:val="006C638F"/>
    <w:rsid w:val="006C6551"/>
    <w:rsid w:val="006C65D9"/>
    <w:rsid w:val="006C70B7"/>
    <w:rsid w:val="006C7462"/>
    <w:rsid w:val="006C74D5"/>
    <w:rsid w:val="006C74ED"/>
    <w:rsid w:val="006C7799"/>
    <w:rsid w:val="006D0286"/>
    <w:rsid w:val="006D03CB"/>
    <w:rsid w:val="006D0C3F"/>
    <w:rsid w:val="006D119B"/>
    <w:rsid w:val="006D186D"/>
    <w:rsid w:val="006D1AD9"/>
    <w:rsid w:val="006D21DA"/>
    <w:rsid w:val="006D22A1"/>
    <w:rsid w:val="006D25A3"/>
    <w:rsid w:val="006D3096"/>
    <w:rsid w:val="006D39A5"/>
    <w:rsid w:val="006D3A51"/>
    <w:rsid w:val="006D404F"/>
    <w:rsid w:val="006D44E9"/>
    <w:rsid w:val="006D4585"/>
    <w:rsid w:val="006D47EC"/>
    <w:rsid w:val="006D5D66"/>
    <w:rsid w:val="006D5FEC"/>
    <w:rsid w:val="006D64FF"/>
    <w:rsid w:val="006D67D7"/>
    <w:rsid w:val="006D6818"/>
    <w:rsid w:val="006D74FD"/>
    <w:rsid w:val="006E0327"/>
    <w:rsid w:val="006E0797"/>
    <w:rsid w:val="006E1559"/>
    <w:rsid w:val="006E1F91"/>
    <w:rsid w:val="006E2C1F"/>
    <w:rsid w:val="006E3F79"/>
    <w:rsid w:val="006E3FB1"/>
    <w:rsid w:val="006E410A"/>
    <w:rsid w:val="006E4236"/>
    <w:rsid w:val="006E46F1"/>
    <w:rsid w:val="006E492C"/>
    <w:rsid w:val="006E5158"/>
    <w:rsid w:val="006E54AA"/>
    <w:rsid w:val="006E6770"/>
    <w:rsid w:val="006E781F"/>
    <w:rsid w:val="006F0A23"/>
    <w:rsid w:val="006F0D9A"/>
    <w:rsid w:val="006F1B88"/>
    <w:rsid w:val="006F1D9F"/>
    <w:rsid w:val="006F23EB"/>
    <w:rsid w:val="006F3154"/>
    <w:rsid w:val="006F3733"/>
    <w:rsid w:val="006F3775"/>
    <w:rsid w:val="006F43DA"/>
    <w:rsid w:val="006F52BE"/>
    <w:rsid w:val="006F6372"/>
    <w:rsid w:val="006F64E7"/>
    <w:rsid w:val="006F6595"/>
    <w:rsid w:val="006F70CC"/>
    <w:rsid w:val="006F77A2"/>
    <w:rsid w:val="00700D4C"/>
    <w:rsid w:val="007026DE"/>
    <w:rsid w:val="00703185"/>
    <w:rsid w:val="00703829"/>
    <w:rsid w:val="00703E1F"/>
    <w:rsid w:val="00703E46"/>
    <w:rsid w:val="0070412A"/>
    <w:rsid w:val="0070659E"/>
    <w:rsid w:val="007069CB"/>
    <w:rsid w:val="00706B71"/>
    <w:rsid w:val="00706E5C"/>
    <w:rsid w:val="00707543"/>
    <w:rsid w:val="00707676"/>
    <w:rsid w:val="007078FC"/>
    <w:rsid w:val="007104B8"/>
    <w:rsid w:val="0071189C"/>
    <w:rsid w:val="00712C76"/>
    <w:rsid w:val="00713568"/>
    <w:rsid w:val="007137FA"/>
    <w:rsid w:val="00713A03"/>
    <w:rsid w:val="007145A4"/>
    <w:rsid w:val="007154D7"/>
    <w:rsid w:val="00715890"/>
    <w:rsid w:val="007159C8"/>
    <w:rsid w:val="00715B44"/>
    <w:rsid w:val="00716758"/>
    <w:rsid w:val="00717026"/>
    <w:rsid w:val="00717557"/>
    <w:rsid w:val="007206A5"/>
    <w:rsid w:val="007208EB"/>
    <w:rsid w:val="00720CAA"/>
    <w:rsid w:val="00720E49"/>
    <w:rsid w:val="007214E0"/>
    <w:rsid w:val="00721A3D"/>
    <w:rsid w:val="0072264F"/>
    <w:rsid w:val="00722BB1"/>
    <w:rsid w:val="00722D08"/>
    <w:rsid w:val="00723541"/>
    <w:rsid w:val="007239F1"/>
    <w:rsid w:val="007240FD"/>
    <w:rsid w:val="0072483E"/>
    <w:rsid w:val="00725219"/>
    <w:rsid w:val="007264F3"/>
    <w:rsid w:val="00726833"/>
    <w:rsid w:val="00726ADF"/>
    <w:rsid w:val="00726B6F"/>
    <w:rsid w:val="00726D89"/>
    <w:rsid w:val="007270D2"/>
    <w:rsid w:val="0072760A"/>
    <w:rsid w:val="00727AC1"/>
    <w:rsid w:val="00727B0D"/>
    <w:rsid w:val="007309F6"/>
    <w:rsid w:val="007318FD"/>
    <w:rsid w:val="00731923"/>
    <w:rsid w:val="00731A43"/>
    <w:rsid w:val="00732370"/>
    <w:rsid w:val="007324D8"/>
    <w:rsid w:val="0073288A"/>
    <w:rsid w:val="00732ECC"/>
    <w:rsid w:val="00733106"/>
    <w:rsid w:val="007332C4"/>
    <w:rsid w:val="0073333D"/>
    <w:rsid w:val="0073394B"/>
    <w:rsid w:val="007344A3"/>
    <w:rsid w:val="00734906"/>
    <w:rsid w:val="00734BFC"/>
    <w:rsid w:val="00734EEF"/>
    <w:rsid w:val="0073574C"/>
    <w:rsid w:val="00736C07"/>
    <w:rsid w:val="00737C66"/>
    <w:rsid w:val="00737DFB"/>
    <w:rsid w:val="0074044A"/>
    <w:rsid w:val="007404C8"/>
    <w:rsid w:val="00740555"/>
    <w:rsid w:val="00740AD0"/>
    <w:rsid w:val="00740BF6"/>
    <w:rsid w:val="00741240"/>
    <w:rsid w:val="007413F4"/>
    <w:rsid w:val="00741468"/>
    <w:rsid w:val="007424DC"/>
    <w:rsid w:val="00742D09"/>
    <w:rsid w:val="00742FEA"/>
    <w:rsid w:val="00743DAD"/>
    <w:rsid w:val="00743F89"/>
    <w:rsid w:val="007443E0"/>
    <w:rsid w:val="0074587F"/>
    <w:rsid w:val="0074591E"/>
    <w:rsid w:val="00747182"/>
    <w:rsid w:val="0074728F"/>
    <w:rsid w:val="00751798"/>
    <w:rsid w:val="00751A7E"/>
    <w:rsid w:val="00754271"/>
    <w:rsid w:val="00754610"/>
    <w:rsid w:val="00755310"/>
    <w:rsid w:val="007562BF"/>
    <w:rsid w:val="00756F9A"/>
    <w:rsid w:val="00757478"/>
    <w:rsid w:val="007574F9"/>
    <w:rsid w:val="00757C5A"/>
    <w:rsid w:val="00757EB8"/>
    <w:rsid w:val="007600F1"/>
    <w:rsid w:val="00760616"/>
    <w:rsid w:val="007608C0"/>
    <w:rsid w:val="00760A34"/>
    <w:rsid w:val="00760C15"/>
    <w:rsid w:val="00760E1B"/>
    <w:rsid w:val="00760FEC"/>
    <w:rsid w:val="0076223B"/>
    <w:rsid w:val="00763027"/>
    <w:rsid w:val="00763330"/>
    <w:rsid w:val="007634D0"/>
    <w:rsid w:val="00763FA7"/>
    <w:rsid w:val="0076419D"/>
    <w:rsid w:val="00764B8B"/>
    <w:rsid w:val="00764DE5"/>
    <w:rsid w:val="007657B8"/>
    <w:rsid w:val="00766387"/>
    <w:rsid w:val="00766406"/>
    <w:rsid w:val="007666D2"/>
    <w:rsid w:val="00766B43"/>
    <w:rsid w:val="007671B4"/>
    <w:rsid w:val="0076789E"/>
    <w:rsid w:val="00767A9E"/>
    <w:rsid w:val="00767B97"/>
    <w:rsid w:val="00767E48"/>
    <w:rsid w:val="007714B1"/>
    <w:rsid w:val="007714CB"/>
    <w:rsid w:val="007721F8"/>
    <w:rsid w:val="007723E8"/>
    <w:rsid w:val="00772C2F"/>
    <w:rsid w:val="00772E97"/>
    <w:rsid w:val="007740E9"/>
    <w:rsid w:val="00774152"/>
    <w:rsid w:val="00775478"/>
    <w:rsid w:val="00775873"/>
    <w:rsid w:val="00775CE7"/>
    <w:rsid w:val="00776000"/>
    <w:rsid w:val="0077646E"/>
    <w:rsid w:val="00776E50"/>
    <w:rsid w:val="007770DE"/>
    <w:rsid w:val="00777739"/>
    <w:rsid w:val="00777751"/>
    <w:rsid w:val="00777A4A"/>
    <w:rsid w:val="00780085"/>
    <w:rsid w:val="00780BC9"/>
    <w:rsid w:val="00780E6E"/>
    <w:rsid w:val="00781059"/>
    <w:rsid w:val="007814E9"/>
    <w:rsid w:val="007816B8"/>
    <w:rsid w:val="00781C14"/>
    <w:rsid w:val="00782F4F"/>
    <w:rsid w:val="00784687"/>
    <w:rsid w:val="00785666"/>
    <w:rsid w:val="007856BC"/>
    <w:rsid w:val="00785833"/>
    <w:rsid w:val="0078611F"/>
    <w:rsid w:val="00786575"/>
    <w:rsid w:val="007867F7"/>
    <w:rsid w:val="007869B0"/>
    <w:rsid w:val="00786ED8"/>
    <w:rsid w:val="00787275"/>
    <w:rsid w:val="00790C77"/>
    <w:rsid w:val="0079120E"/>
    <w:rsid w:val="007912EB"/>
    <w:rsid w:val="00791454"/>
    <w:rsid w:val="007914DD"/>
    <w:rsid w:val="00792361"/>
    <w:rsid w:val="00792837"/>
    <w:rsid w:val="00792905"/>
    <w:rsid w:val="00793297"/>
    <w:rsid w:val="00793537"/>
    <w:rsid w:val="00793EBD"/>
    <w:rsid w:val="00795CEF"/>
    <w:rsid w:val="0079639E"/>
    <w:rsid w:val="00796860"/>
    <w:rsid w:val="00796FB1"/>
    <w:rsid w:val="00797A78"/>
    <w:rsid w:val="007A04C1"/>
    <w:rsid w:val="007A0598"/>
    <w:rsid w:val="007A1304"/>
    <w:rsid w:val="007A18CE"/>
    <w:rsid w:val="007A1B23"/>
    <w:rsid w:val="007A1CD6"/>
    <w:rsid w:val="007A1DE7"/>
    <w:rsid w:val="007A2523"/>
    <w:rsid w:val="007A385C"/>
    <w:rsid w:val="007A49B6"/>
    <w:rsid w:val="007A4DC2"/>
    <w:rsid w:val="007A4F46"/>
    <w:rsid w:val="007A574F"/>
    <w:rsid w:val="007A5E65"/>
    <w:rsid w:val="007A6861"/>
    <w:rsid w:val="007A7C59"/>
    <w:rsid w:val="007A7DFA"/>
    <w:rsid w:val="007B131D"/>
    <w:rsid w:val="007B211A"/>
    <w:rsid w:val="007B3EE9"/>
    <w:rsid w:val="007B4A1A"/>
    <w:rsid w:val="007B5C93"/>
    <w:rsid w:val="007B5D11"/>
    <w:rsid w:val="007B72A8"/>
    <w:rsid w:val="007B78E6"/>
    <w:rsid w:val="007C0D13"/>
    <w:rsid w:val="007C101D"/>
    <w:rsid w:val="007C1691"/>
    <w:rsid w:val="007C1894"/>
    <w:rsid w:val="007C1B44"/>
    <w:rsid w:val="007C1D36"/>
    <w:rsid w:val="007C23DD"/>
    <w:rsid w:val="007C2CB2"/>
    <w:rsid w:val="007C3DF4"/>
    <w:rsid w:val="007C3EB5"/>
    <w:rsid w:val="007C4693"/>
    <w:rsid w:val="007C48A6"/>
    <w:rsid w:val="007C4946"/>
    <w:rsid w:val="007C6149"/>
    <w:rsid w:val="007C6404"/>
    <w:rsid w:val="007C74CE"/>
    <w:rsid w:val="007D094E"/>
    <w:rsid w:val="007D101C"/>
    <w:rsid w:val="007D14D3"/>
    <w:rsid w:val="007D2985"/>
    <w:rsid w:val="007D2F84"/>
    <w:rsid w:val="007D2FF6"/>
    <w:rsid w:val="007D30A4"/>
    <w:rsid w:val="007D3E23"/>
    <w:rsid w:val="007D5A0A"/>
    <w:rsid w:val="007D677F"/>
    <w:rsid w:val="007E03A6"/>
    <w:rsid w:val="007E0EE0"/>
    <w:rsid w:val="007E18FB"/>
    <w:rsid w:val="007E1A7D"/>
    <w:rsid w:val="007E230E"/>
    <w:rsid w:val="007E2826"/>
    <w:rsid w:val="007E29F9"/>
    <w:rsid w:val="007E3748"/>
    <w:rsid w:val="007E3C37"/>
    <w:rsid w:val="007E6224"/>
    <w:rsid w:val="007E627D"/>
    <w:rsid w:val="007E65DF"/>
    <w:rsid w:val="007E685B"/>
    <w:rsid w:val="007E6E51"/>
    <w:rsid w:val="007E71F8"/>
    <w:rsid w:val="007F1282"/>
    <w:rsid w:val="007F1F4A"/>
    <w:rsid w:val="007F1FCE"/>
    <w:rsid w:val="007F2050"/>
    <w:rsid w:val="007F230C"/>
    <w:rsid w:val="007F2641"/>
    <w:rsid w:val="007F2C02"/>
    <w:rsid w:val="007F4A09"/>
    <w:rsid w:val="007F4E93"/>
    <w:rsid w:val="007F7455"/>
    <w:rsid w:val="007F7BA8"/>
    <w:rsid w:val="00800F82"/>
    <w:rsid w:val="00801A0D"/>
    <w:rsid w:val="008037A4"/>
    <w:rsid w:val="00803F98"/>
    <w:rsid w:val="008057E4"/>
    <w:rsid w:val="00805A08"/>
    <w:rsid w:val="00805E1C"/>
    <w:rsid w:val="00806397"/>
    <w:rsid w:val="008077AA"/>
    <w:rsid w:val="0081002D"/>
    <w:rsid w:val="00810528"/>
    <w:rsid w:val="00810582"/>
    <w:rsid w:val="00810E86"/>
    <w:rsid w:val="0081120E"/>
    <w:rsid w:val="00811418"/>
    <w:rsid w:val="00811D6E"/>
    <w:rsid w:val="00812181"/>
    <w:rsid w:val="00812A58"/>
    <w:rsid w:val="00812FD8"/>
    <w:rsid w:val="0081311F"/>
    <w:rsid w:val="008138B0"/>
    <w:rsid w:val="008139F3"/>
    <w:rsid w:val="00813A1E"/>
    <w:rsid w:val="008150E3"/>
    <w:rsid w:val="008160B1"/>
    <w:rsid w:val="00816418"/>
    <w:rsid w:val="008165DD"/>
    <w:rsid w:val="00816AF1"/>
    <w:rsid w:val="00816B58"/>
    <w:rsid w:val="00816DEE"/>
    <w:rsid w:val="008171A7"/>
    <w:rsid w:val="0081739B"/>
    <w:rsid w:val="008173FE"/>
    <w:rsid w:val="008175A8"/>
    <w:rsid w:val="00817875"/>
    <w:rsid w:val="008178CA"/>
    <w:rsid w:val="00820927"/>
    <w:rsid w:val="008224C2"/>
    <w:rsid w:val="00822F48"/>
    <w:rsid w:val="008238DE"/>
    <w:rsid w:val="00824B34"/>
    <w:rsid w:val="00825A78"/>
    <w:rsid w:val="00826348"/>
    <w:rsid w:val="00826784"/>
    <w:rsid w:val="008268AE"/>
    <w:rsid w:val="0082776A"/>
    <w:rsid w:val="0083039C"/>
    <w:rsid w:val="0083047C"/>
    <w:rsid w:val="0083085F"/>
    <w:rsid w:val="00830B15"/>
    <w:rsid w:val="00830C1C"/>
    <w:rsid w:val="0083113F"/>
    <w:rsid w:val="00831882"/>
    <w:rsid w:val="00832148"/>
    <w:rsid w:val="008331D5"/>
    <w:rsid w:val="008333DD"/>
    <w:rsid w:val="0083343B"/>
    <w:rsid w:val="00833950"/>
    <w:rsid w:val="00833D22"/>
    <w:rsid w:val="00834865"/>
    <w:rsid w:val="0083515F"/>
    <w:rsid w:val="008352C7"/>
    <w:rsid w:val="0083560B"/>
    <w:rsid w:val="00836082"/>
    <w:rsid w:val="008362CF"/>
    <w:rsid w:val="0083681D"/>
    <w:rsid w:val="00836D72"/>
    <w:rsid w:val="0083786C"/>
    <w:rsid w:val="00840F5F"/>
    <w:rsid w:val="008410BE"/>
    <w:rsid w:val="008410FB"/>
    <w:rsid w:val="008411A9"/>
    <w:rsid w:val="008414EF"/>
    <w:rsid w:val="0084277E"/>
    <w:rsid w:val="00842A99"/>
    <w:rsid w:val="00842E69"/>
    <w:rsid w:val="00844029"/>
    <w:rsid w:val="0084408B"/>
    <w:rsid w:val="00844455"/>
    <w:rsid w:val="008445CA"/>
    <w:rsid w:val="00844814"/>
    <w:rsid w:val="00844BC5"/>
    <w:rsid w:val="00844BF4"/>
    <w:rsid w:val="00844F02"/>
    <w:rsid w:val="00845634"/>
    <w:rsid w:val="008467E3"/>
    <w:rsid w:val="00846A20"/>
    <w:rsid w:val="0084710A"/>
    <w:rsid w:val="008471D0"/>
    <w:rsid w:val="008472FD"/>
    <w:rsid w:val="00847DFF"/>
    <w:rsid w:val="00847EB9"/>
    <w:rsid w:val="0085009C"/>
    <w:rsid w:val="00850F09"/>
    <w:rsid w:val="008510C6"/>
    <w:rsid w:val="0085175A"/>
    <w:rsid w:val="00851823"/>
    <w:rsid w:val="00852032"/>
    <w:rsid w:val="008522BF"/>
    <w:rsid w:val="008524DF"/>
    <w:rsid w:val="008533EB"/>
    <w:rsid w:val="00853413"/>
    <w:rsid w:val="008538A9"/>
    <w:rsid w:val="0085577A"/>
    <w:rsid w:val="008563FB"/>
    <w:rsid w:val="00856A3A"/>
    <w:rsid w:val="00857874"/>
    <w:rsid w:val="00860E48"/>
    <w:rsid w:val="00860FC4"/>
    <w:rsid w:val="00861798"/>
    <w:rsid w:val="00861985"/>
    <w:rsid w:val="00862373"/>
    <w:rsid w:val="00862BE6"/>
    <w:rsid w:val="00863C8F"/>
    <w:rsid w:val="00864012"/>
    <w:rsid w:val="00865013"/>
    <w:rsid w:val="00865DDE"/>
    <w:rsid w:val="00866100"/>
    <w:rsid w:val="0086651B"/>
    <w:rsid w:val="00866EE2"/>
    <w:rsid w:val="00867FF9"/>
    <w:rsid w:val="00870695"/>
    <w:rsid w:val="00870762"/>
    <w:rsid w:val="008708F9"/>
    <w:rsid w:val="008709CB"/>
    <w:rsid w:val="0087130E"/>
    <w:rsid w:val="00871530"/>
    <w:rsid w:val="008715F0"/>
    <w:rsid w:val="00871761"/>
    <w:rsid w:val="00872305"/>
    <w:rsid w:val="008723B9"/>
    <w:rsid w:val="008726E9"/>
    <w:rsid w:val="00872DEC"/>
    <w:rsid w:val="00872FBE"/>
    <w:rsid w:val="008730F5"/>
    <w:rsid w:val="00873217"/>
    <w:rsid w:val="00873B78"/>
    <w:rsid w:val="00873FE7"/>
    <w:rsid w:val="008742D6"/>
    <w:rsid w:val="00874EFE"/>
    <w:rsid w:val="0087573A"/>
    <w:rsid w:val="00875888"/>
    <w:rsid w:val="00876031"/>
    <w:rsid w:val="00876733"/>
    <w:rsid w:val="00876D68"/>
    <w:rsid w:val="008807DB"/>
    <w:rsid w:val="008812E4"/>
    <w:rsid w:val="008817AC"/>
    <w:rsid w:val="00881E34"/>
    <w:rsid w:val="00881EE6"/>
    <w:rsid w:val="00882184"/>
    <w:rsid w:val="008829D2"/>
    <w:rsid w:val="00882A42"/>
    <w:rsid w:val="00882BC2"/>
    <w:rsid w:val="00882FB6"/>
    <w:rsid w:val="00883591"/>
    <w:rsid w:val="008835F7"/>
    <w:rsid w:val="00883C72"/>
    <w:rsid w:val="00883DCA"/>
    <w:rsid w:val="00884E93"/>
    <w:rsid w:val="00885CC8"/>
    <w:rsid w:val="00886EF1"/>
    <w:rsid w:val="008873FC"/>
    <w:rsid w:val="00887A5F"/>
    <w:rsid w:val="00887DF5"/>
    <w:rsid w:val="00890390"/>
    <w:rsid w:val="008919C6"/>
    <w:rsid w:val="00891AD2"/>
    <w:rsid w:val="00892229"/>
    <w:rsid w:val="008923A5"/>
    <w:rsid w:val="0089283F"/>
    <w:rsid w:val="00892C7F"/>
    <w:rsid w:val="0089315E"/>
    <w:rsid w:val="008938BE"/>
    <w:rsid w:val="00894914"/>
    <w:rsid w:val="00894E8D"/>
    <w:rsid w:val="00894F8B"/>
    <w:rsid w:val="00896286"/>
    <w:rsid w:val="00896516"/>
    <w:rsid w:val="0089666F"/>
    <w:rsid w:val="00897976"/>
    <w:rsid w:val="008A01FF"/>
    <w:rsid w:val="008A06D5"/>
    <w:rsid w:val="008A1A44"/>
    <w:rsid w:val="008A1B63"/>
    <w:rsid w:val="008A1BC5"/>
    <w:rsid w:val="008A2A5B"/>
    <w:rsid w:val="008A3C09"/>
    <w:rsid w:val="008A3D5B"/>
    <w:rsid w:val="008A4287"/>
    <w:rsid w:val="008A4C5C"/>
    <w:rsid w:val="008A4D95"/>
    <w:rsid w:val="008A525A"/>
    <w:rsid w:val="008A532F"/>
    <w:rsid w:val="008A567A"/>
    <w:rsid w:val="008A5DA6"/>
    <w:rsid w:val="008A6B65"/>
    <w:rsid w:val="008A7707"/>
    <w:rsid w:val="008A7E6E"/>
    <w:rsid w:val="008A7F85"/>
    <w:rsid w:val="008B005F"/>
    <w:rsid w:val="008B0A04"/>
    <w:rsid w:val="008B13C0"/>
    <w:rsid w:val="008B189C"/>
    <w:rsid w:val="008B2148"/>
    <w:rsid w:val="008B3885"/>
    <w:rsid w:val="008B41F0"/>
    <w:rsid w:val="008B42BF"/>
    <w:rsid w:val="008B47A1"/>
    <w:rsid w:val="008B4EA9"/>
    <w:rsid w:val="008B5369"/>
    <w:rsid w:val="008B74C9"/>
    <w:rsid w:val="008B7F1C"/>
    <w:rsid w:val="008C0961"/>
    <w:rsid w:val="008C0B70"/>
    <w:rsid w:val="008C0BBC"/>
    <w:rsid w:val="008C12CE"/>
    <w:rsid w:val="008C13CB"/>
    <w:rsid w:val="008C151A"/>
    <w:rsid w:val="008C194A"/>
    <w:rsid w:val="008C267B"/>
    <w:rsid w:val="008C2A9C"/>
    <w:rsid w:val="008C3677"/>
    <w:rsid w:val="008C36EA"/>
    <w:rsid w:val="008C4196"/>
    <w:rsid w:val="008C477D"/>
    <w:rsid w:val="008C57BA"/>
    <w:rsid w:val="008C5FF0"/>
    <w:rsid w:val="008C7223"/>
    <w:rsid w:val="008C736F"/>
    <w:rsid w:val="008C76D7"/>
    <w:rsid w:val="008C797D"/>
    <w:rsid w:val="008C7ADA"/>
    <w:rsid w:val="008D07DD"/>
    <w:rsid w:val="008D239D"/>
    <w:rsid w:val="008D2A46"/>
    <w:rsid w:val="008D34A0"/>
    <w:rsid w:val="008D490D"/>
    <w:rsid w:val="008D4F51"/>
    <w:rsid w:val="008D4FA2"/>
    <w:rsid w:val="008D5AA4"/>
    <w:rsid w:val="008D5CFD"/>
    <w:rsid w:val="008D6396"/>
    <w:rsid w:val="008D6F7A"/>
    <w:rsid w:val="008D70F8"/>
    <w:rsid w:val="008D7137"/>
    <w:rsid w:val="008D770F"/>
    <w:rsid w:val="008D79F9"/>
    <w:rsid w:val="008E08C1"/>
    <w:rsid w:val="008E0E07"/>
    <w:rsid w:val="008E12E5"/>
    <w:rsid w:val="008E13AC"/>
    <w:rsid w:val="008E386C"/>
    <w:rsid w:val="008E5341"/>
    <w:rsid w:val="008E5346"/>
    <w:rsid w:val="008E5685"/>
    <w:rsid w:val="008E6040"/>
    <w:rsid w:val="008E6297"/>
    <w:rsid w:val="008E6738"/>
    <w:rsid w:val="008E7D71"/>
    <w:rsid w:val="008F19DF"/>
    <w:rsid w:val="008F1A11"/>
    <w:rsid w:val="008F228E"/>
    <w:rsid w:val="008F2AA9"/>
    <w:rsid w:val="008F494C"/>
    <w:rsid w:val="008F4ECD"/>
    <w:rsid w:val="008F505B"/>
    <w:rsid w:val="008F74EF"/>
    <w:rsid w:val="008F7658"/>
    <w:rsid w:val="008F7880"/>
    <w:rsid w:val="008F7BFE"/>
    <w:rsid w:val="009002FF"/>
    <w:rsid w:val="00900947"/>
    <w:rsid w:val="009009AB"/>
    <w:rsid w:val="00900E0C"/>
    <w:rsid w:val="00901B53"/>
    <w:rsid w:val="009020EC"/>
    <w:rsid w:val="00903CC3"/>
    <w:rsid w:val="009047DC"/>
    <w:rsid w:val="009050EC"/>
    <w:rsid w:val="00906DD5"/>
    <w:rsid w:val="00907D8B"/>
    <w:rsid w:val="00911462"/>
    <w:rsid w:val="00911716"/>
    <w:rsid w:val="009117B2"/>
    <w:rsid w:val="00911877"/>
    <w:rsid w:val="0091191F"/>
    <w:rsid w:val="00912596"/>
    <w:rsid w:val="00912838"/>
    <w:rsid w:val="009133D0"/>
    <w:rsid w:val="0091358D"/>
    <w:rsid w:val="009138F2"/>
    <w:rsid w:val="00913A44"/>
    <w:rsid w:val="009142B5"/>
    <w:rsid w:val="00914414"/>
    <w:rsid w:val="00914C98"/>
    <w:rsid w:val="00915957"/>
    <w:rsid w:val="0091598F"/>
    <w:rsid w:val="00915BFF"/>
    <w:rsid w:val="00916B7B"/>
    <w:rsid w:val="009174D5"/>
    <w:rsid w:val="00917883"/>
    <w:rsid w:val="00917C03"/>
    <w:rsid w:val="00920631"/>
    <w:rsid w:val="009206A9"/>
    <w:rsid w:val="009209B4"/>
    <w:rsid w:val="00920E30"/>
    <w:rsid w:val="009217EC"/>
    <w:rsid w:val="00921856"/>
    <w:rsid w:val="00921C5D"/>
    <w:rsid w:val="00921FFE"/>
    <w:rsid w:val="00922E4C"/>
    <w:rsid w:val="009231FE"/>
    <w:rsid w:val="009236DB"/>
    <w:rsid w:val="00923B50"/>
    <w:rsid w:val="00924CE5"/>
    <w:rsid w:val="00925482"/>
    <w:rsid w:val="0092630D"/>
    <w:rsid w:val="0092632B"/>
    <w:rsid w:val="00926EE7"/>
    <w:rsid w:val="009270DA"/>
    <w:rsid w:val="0092739B"/>
    <w:rsid w:val="00927629"/>
    <w:rsid w:val="00927B2A"/>
    <w:rsid w:val="0093080B"/>
    <w:rsid w:val="00931E49"/>
    <w:rsid w:val="0093363C"/>
    <w:rsid w:val="009339BE"/>
    <w:rsid w:val="00934AFD"/>
    <w:rsid w:val="00934B9C"/>
    <w:rsid w:val="00934D40"/>
    <w:rsid w:val="009350D8"/>
    <w:rsid w:val="009351DB"/>
    <w:rsid w:val="00935784"/>
    <w:rsid w:val="009358B5"/>
    <w:rsid w:val="00935B86"/>
    <w:rsid w:val="00935D03"/>
    <w:rsid w:val="00935E2B"/>
    <w:rsid w:val="00936456"/>
    <w:rsid w:val="00936568"/>
    <w:rsid w:val="00936B20"/>
    <w:rsid w:val="00936E72"/>
    <w:rsid w:val="00937317"/>
    <w:rsid w:val="00937519"/>
    <w:rsid w:val="0093758C"/>
    <w:rsid w:val="00940339"/>
    <w:rsid w:val="0094053C"/>
    <w:rsid w:val="00940BF1"/>
    <w:rsid w:val="00941464"/>
    <w:rsid w:val="00941B56"/>
    <w:rsid w:val="00941B9A"/>
    <w:rsid w:val="0094230A"/>
    <w:rsid w:val="00942BA0"/>
    <w:rsid w:val="00942D45"/>
    <w:rsid w:val="0094409C"/>
    <w:rsid w:val="0094522A"/>
    <w:rsid w:val="009458A1"/>
    <w:rsid w:val="00945A6E"/>
    <w:rsid w:val="00946581"/>
    <w:rsid w:val="00946E0E"/>
    <w:rsid w:val="00947D90"/>
    <w:rsid w:val="00947EB3"/>
    <w:rsid w:val="00950881"/>
    <w:rsid w:val="009511E2"/>
    <w:rsid w:val="0095200F"/>
    <w:rsid w:val="0095247C"/>
    <w:rsid w:val="00952771"/>
    <w:rsid w:val="0095444A"/>
    <w:rsid w:val="009544F8"/>
    <w:rsid w:val="0095484E"/>
    <w:rsid w:val="00954E4A"/>
    <w:rsid w:val="0095553D"/>
    <w:rsid w:val="00955A80"/>
    <w:rsid w:val="00955DED"/>
    <w:rsid w:val="00956B57"/>
    <w:rsid w:val="00956C21"/>
    <w:rsid w:val="009574E2"/>
    <w:rsid w:val="0095751B"/>
    <w:rsid w:val="00957B3A"/>
    <w:rsid w:val="009607CB"/>
    <w:rsid w:val="00960C1C"/>
    <w:rsid w:val="00960FD4"/>
    <w:rsid w:val="00962036"/>
    <w:rsid w:val="00962AC9"/>
    <w:rsid w:val="00962DB4"/>
    <w:rsid w:val="00962EDA"/>
    <w:rsid w:val="00962F70"/>
    <w:rsid w:val="00963D1A"/>
    <w:rsid w:val="00964115"/>
    <w:rsid w:val="0096487B"/>
    <w:rsid w:val="009659B0"/>
    <w:rsid w:val="00965D1D"/>
    <w:rsid w:val="009671EB"/>
    <w:rsid w:val="00970322"/>
    <w:rsid w:val="0097058D"/>
    <w:rsid w:val="0097265D"/>
    <w:rsid w:val="00972BC4"/>
    <w:rsid w:val="00973136"/>
    <w:rsid w:val="0097326D"/>
    <w:rsid w:val="0097381D"/>
    <w:rsid w:val="00973EAF"/>
    <w:rsid w:val="00974027"/>
    <w:rsid w:val="00975094"/>
    <w:rsid w:val="00975452"/>
    <w:rsid w:val="009759DA"/>
    <w:rsid w:val="0097687D"/>
    <w:rsid w:val="00976D3E"/>
    <w:rsid w:val="00977916"/>
    <w:rsid w:val="00977BE1"/>
    <w:rsid w:val="00977F47"/>
    <w:rsid w:val="00980745"/>
    <w:rsid w:val="009811F1"/>
    <w:rsid w:val="00981348"/>
    <w:rsid w:val="00981CCA"/>
    <w:rsid w:val="00981FCD"/>
    <w:rsid w:val="0098283C"/>
    <w:rsid w:val="0098363C"/>
    <w:rsid w:val="009844B7"/>
    <w:rsid w:val="0098456C"/>
    <w:rsid w:val="00984CC2"/>
    <w:rsid w:val="00985A80"/>
    <w:rsid w:val="00985E07"/>
    <w:rsid w:val="00985F01"/>
    <w:rsid w:val="0098727F"/>
    <w:rsid w:val="00987B16"/>
    <w:rsid w:val="00987C26"/>
    <w:rsid w:val="00987C90"/>
    <w:rsid w:val="0099044F"/>
    <w:rsid w:val="00990853"/>
    <w:rsid w:val="00990F2C"/>
    <w:rsid w:val="00992564"/>
    <w:rsid w:val="009927FB"/>
    <w:rsid w:val="00994D88"/>
    <w:rsid w:val="009958A8"/>
    <w:rsid w:val="009958DE"/>
    <w:rsid w:val="009959A9"/>
    <w:rsid w:val="00995A93"/>
    <w:rsid w:val="00997351"/>
    <w:rsid w:val="009973D2"/>
    <w:rsid w:val="009977F0"/>
    <w:rsid w:val="00997808"/>
    <w:rsid w:val="009A0F2B"/>
    <w:rsid w:val="009A1911"/>
    <w:rsid w:val="009A1EE6"/>
    <w:rsid w:val="009A2228"/>
    <w:rsid w:val="009A2570"/>
    <w:rsid w:val="009A2AD5"/>
    <w:rsid w:val="009A2AD8"/>
    <w:rsid w:val="009A31BD"/>
    <w:rsid w:val="009A3E3B"/>
    <w:rsid w:val="009A4321"/>
    <w:rsid w:val="009A4342"/>
    <w:rsid w:val="009A4551"/>
    <w:rsid w:val="009A49F7"/>
    <w:rsid w:val="009A4B84"/>
    <w:rsid w:val="009A5AEA"/>
    <w:rsid w:val="009A5E7B"/>
    <w:rsid w:val="009A6430"/>
    <w:rsid w:val="009A6F2C"/>
    <w:rsid w:val="009A6FE1"/>
    <w:rsid w:val="009A772B"/>
    <w:rsid w:val="009A7CE4"/>
    <w:rsid w:val="009B0A6E"/>
    <w:rsid w:val="009B0B78"/>
    <w:rsid w:val="009B0E2F"/>
    <w:rsid w:val="009B1423"/>
    <w:rsid w:val="009B15C7"/>
    <w:rsid w:val="009B1A1A"/>
    <w:rsid w:val="009B1F61"/>
    <w:rsid w:val="009B2053"/>
    <w:rsid w:val="009B26C7"/>
    <w:rsid w:val="009B271D"/>
    <w:rsid w:val="009B2855"/>
    <w:rsid w:val="009B300B"/>
    <w:rsid w:val="009B311C"/>
    <w:rsid w:val="009B338D"/>
    <w:rsid w:val="009B3433"/>
    <w:rsid w:val="009B39AE"/>
    <w:rsid w:val="009B3C0D"/>
    <w:rsid w:val="009B47AE"/>
    <w:rsid w:val="009B4BCD"/>
    <w:rsid w:val="009B59E7"/>
    <w:rsid w:val="009B5EF2"/>
    <w:rsid w:val="009B6398"/>
    <w:rsid w:val="009B7A40"/>
    <w:rsid w:val="009C044C"/>
    <w:rsid w:val="009C0462"/>
    <w:rsid w:val="009C097B"/>
    <w:rsid w:val="009C09E7"/>
    <w:rsid w:val="009C0EE9"/>
    <w:rsid w:val="009C1071"/>
    <w:rsid w:val="009C1E1B"/>
    <w:rsid w:val="009C20B9"/>
    <w:rsid w:val="009C260F"/>
    <w:rsid w:val="009C2BFC"/>
    <w:rsid w:val="009C2C58"/>
    <w:rsid w:val="009C358B"/>
    <w:rsid w:val="009C3754"/>
    <w:rsid w:val="009C417F"/>
    <w:rsid w:val="009C456D"/>
    <w:rsid w:val="009C6132"/>
    <w:rsid w:val="009C6B21"/>
    <w:rsid w:val="009C733F"/>
    <w:rsid w:val="009C7680"/>
    <w:rsid w:val="009C7E8F"/>
    <w:rsid w:val="009D0BA8"/>
    <w:rsid w:val="009D11B4"/>
    <w:rsid w:val="009D1496"/>
    <w:rsid w:val="009D23AC"/>
    <w:rsid w:val="009D262F"/>
    <w:rsid w:val="009D3153"/>
    <w:rsid w:val="009D320F"/>
    <w:rsid w:val="009D370E"/>
    <w:rsid w:val="009D3F2F"/>
    <w:rsid w:val="009D4014"/>
    <w:rsid w:val="009D42B2"/>
    <w:rsid w:val="009D4B37"/>
    <w:rsid w:val="009D65AB"/>
    <w:rsid w:val="009D6C1B"/>
    <w:rsid w:val="009D73BE"/>
    <w:rsid w:val="009D76E6"/>
    <w:rsid w:val="009D7C91"/>
    <w:rsid w:val="009E0EB4"/>
    <w:rsid w:val="009E1C23"/>
    <w:rsid w:val="009E2978"/>
    <w:rsid w:val="009E2B36"/>
    <w:rsid w:val="009E3403"/>
    <w:rsid w:val="009E4488"/>
    <w:rsid w:val="009E4F39"/>
    <w:rsid w:val="009E4F90"/>
    <w:rsid w:val="009E562F"/>
    <w:rsid w:val="009E5C8E"/>
    <w:rsid w:val="009E5DA4"/>
    <w:rsid w:val="009E6B58"/>
    <w:rsid w:val="009E6E3C"/>
    <w:rsid w:val="009E72CF"/>
    <w:rsid w:val="009E7522"/>
    <w:rsid w:val="009E7C9E"/>
    <w:rsid w:val="009F02DC"/>
    <w:rsid w:val="009F0A39"/>
    <w:rsid w:val="009F148B"/>
    <w:rsid w:val="009F1B7E"/>
    <w:rsid w:val="009F2273"/>
    <w:rsid w:val="009F3A41"/>
    <w:rsid w:val="009F3ECA"/>
    <w:rsid w:val="009F415D"/>
    <w:rsid w:val="009F441A"/>
    <w:rsid w:val="009F5244"/>
    <w:rsid w:val="009F5BA4"/>
    <w:rsid w:val="009F6631"/>
    <w:rsid w:val="009F7914"/>
    <w:rsid w:val="009F7F8D"/>
    <w:rsid w:val="00A00332"/>
    <w:rsid w:val="00A00BF1"/>
    <w:rsid w:val="00A00E75"/>
    <w:rsid w:val="00A0123B"/>
    <w:rsid w:val="00A01408"/>
    <w:rsid w:val="00A01D9B"/>
    <w:rsid w:val="00A01F8C"/>
    <w:rsid w:val="00A029FE"/>
    <w:rsid w:val="00A03904"/>
    <w:rsid w:val="00A03CC3"/>
    <w:rsid w:val="00A048E5"/>
    <w:rsid w:val="00A05AA8"/>
    <w:rsid w:val="00A05BD4"/>
    <w:rsid w:val="00A05BFF"/>
    <w:rsid w:val="00A05C3A"/>
    <w:rsid w:val="00A05D20"/>
    <w:rsid w:val="00A060CC"/>
    <w:rsid w:val="00A062BD"/>
    <w:rsid w:val="00A06794"/>
    <w:rsid w:val="00A06A5C"/>
    <w:rsid w:val="00A07277"/>
    <w:rsid w:val="00A07CEC"/>
    <w:rsid w:val="00A10389"/>
    <w:rsid w:val="00A1042A"/>
    <w:rsid w:val="00A10BA3"/>
    <w:rsid w:val="00A113F7"/>
    <w:rsid w:val="00A11ABE"/>
    <w:rsid w:val="00A11FE6"/>
    <w:rsid w:val="00A12D30"/>
    <w:rsid w:val="00A13A31"/>
    <w:rsid w:val="00A1405E"/>
    <w:rsid w:val="00A14E2F"/>
    <w:rsid w:val="00A14FC4"/>
    <w:rsid w:val="00A153D9"/>
    <w:rsid w:val="00A1688D"/>
    <w:rsid w:val="00A16912"/>
    <w:rsid w:val="00A16A1B"/>
    <w:rsid w:val="00A177E7"/>
    <w:rsid w:val="00A17890"/>
    <w:rsid w:val="00A17B90"/>
    <w:rsid w:val="00A20111"/>
    <w:rsid w:val="00A21195"/>
    <w:rsid w:val="00A219FF"/>
    <w:rsid w:val="00A22382"/>
    <w:rsid w:val="00A22747"/>
    <w:rsid w:val="00A23A73"/>
    <w:rsid w:val="00A23BE4"/>
    <w:rsid w:val="00A247A8"/>
    <w:rsid w:val="00A24B8B"/>
    <w:rsid w:val="00A257B7"/>
    <w:rsid w:val="00A25E10"/>
    <w:rsid w:val="00A26547"/>
    <w:rsid w:val="00A26649"/>
    <w:rsid w:val="00A27A05"/>
    <w:rsid w:val="00A300B7"/>
    <w:rsid w:val="00A30465"/>
    <w:rsid w:val="00A30D58"/>
    <w:rsid w:val="00A31999"/>
    <w:rsid w:val="00A32EDC"/>
    <w:rsid w:val="00A33B64"/>
    <w:rsid w:val="00A33EB8"/>
    <w:rsid w:val="00A347F3"/>
    <w:rsid w:val="00A3559E"/>
    <w:rsid w:val="00A35A00"/>
    <w:rsid w:val="00A35B6A"/>
    <w:rsid w:val="00A37997"/>
    <w:rsid w:val="00A37BE4"/>
    <w:rsid w:val="00A418EC"/>
    <w:rsid w:val="00A42919"/>
    <w:rsid w:val="00A42BBE"/>
    <w:rsid w:val="00A42C86"/>
    <w:rsid w:val="00A42D6E"/>
    <w:rsid w:val="00A430F5"/>
    <w:rsid w:val="00A4317C"/>
    <w:rsid w:val="00A4329B"/>
    <w:rsid w:val="00A4335F"/>
    <w:rsid w:val="00A435C7"/>
    <w:rsid w:val="00A44074"/>
    <w:rsid w:val="00A441F1"/>
    <w:rsid w:val="00A44C5F"/>
    <w:rsid w:val="00A45B1E"/>
    <w:rsid w:val="00A46F74"/>
    <w:rsid w:val="00A47680"/>
    <w:rsid w:val="00A5052C"/>
    <w:rsid w:val="00A51283"/>
    <w:rsid w:val="00A52B83"/>
    <w:rsid w:val="00A52DB7"/>
    <w:rsid w:val="00A54707"/>
    <w:rsid w:val="00A5470B"/>
    <w:rsid w:val="00A54A43"/>
    <w:rsid w:val="00A54E2E"/>
    <w:rsid w:val="00A56100"/>
    <w:rsid w:val="00A561CF"/>
    <w:rsid w:val="00A56369"/>
    <w:rsid w:val="00A563F6"/>
    <w:rsid w:val="00A57618"/>
    <w:rsid w:val="00A60027"/>
    <w:rsid w:val="00A602DA"/>
    <w:rsid w:val="00A604E0"/>
    <w:rsid w:val="00A6235D"/>
    <w:rsid w:val="00A62D38"/>
    <w:rsid w:val="00A63083"/>
    <w:rsid w:val="00A6364B"/>
    <w:rsid w:val="00A63790"/>
    <w:rsid w:val="00A63D37"/>
    <w:rsid w:val="00A644AA"/>
    <w:rsid w:val="00A659FF"/>
    <w:rsid w:val="00A65E62"/>
    <w:rsid w:val="00A66753"/>
    <w:rsid w:val="00A67058"/>
    <w:rsid w:val="00A671D5"/>
    <w:rsid w:val="00A6725F"/>
    <w:rsid w:val="00A71BE5"/>
    <w:rsid w:val="00A71F3F"/>
    <w:rsid w:val="00A725BE"/>
    <w:rsid w:val="00A7283F"/>
    <w:rsid w:val="00A73588"/>
    <w:rsid w:val="00A73BA1"/>
    <w:rsid w:val="00A73C2F"/>
    <w:rsid w:val="00A73E53"/>
    <w:rsid w:val="00A748B7"/>
    <w:rsid w:val="00A756BB"/>
    <w:rsid w:val="00A75AFA"/>
    <w:rsid w:val="00A75B59"/>
    <w:rsid w:val="00A75E32"/>
    <w:rsid w:val="00A7628C"/>
    <w:rsid w:val="00A77D80"/>
    <w:rsid w:val="00A80436"/>
    <w:rsid w:val="00A80869"/>
    <w:rsid w:val="00A81858"/>
    <w:rsid w:val="00A82401"/>
    <w:rsid w:val="00A8330D"/>
    <w:rsid w:val="00A837E6"/>
    <w:rsid w:val="00A83FED"/>
    <w:rsid w:val="00A8438B"/>
    <w:rsid w:val="00A85903"/>
    <w:rsid w:val="00A85A61"/>
    <w:rsid w:val="00A87729"/>
    <w:rsid w:val="00A87BB3"/>
    <w:rsid w:val="00A904E3"/>
    <w:rsid w:val="00A909DE"/>
    <w:rsid w:val="00A90D81"/>
    <w:rsid w:val="00A91EA1"/>
    <w:rsid w:val="00A922BB"/>
    <w:rsid w:val="00A923D6"/>
    <w:rsid w:val="00A925D6"/>
    <w:rsid w:val="00A93620"/>
    <w:rsid w:val="00A939E6"/>
    <w:rsid w:val="00A93FB4"/>
    <w:rsid w:val="00A943FB"/>
    <w:rsid w:val="00A9742F"/>
    <w:rsid w:val="00AA00BD"/>
    <w:rsid w:val="00AA0400"/>
    <w:rsid w:val="00AA0B6D"/>
    <w:rsid w:val="00AA17B0"/>
    <w:rsid w:val="00AA1AB8"/>
    <w:rsid w:val="00AA1AE4"/>
    <w:rsid w:val="00AA1B18"/>
    <w:rsid w:val="00AA1D58"/>
    <w:rsid w:val="00AA1F53"/>
    <w:rsid w:val="00AA31DF"/>
    <w:rsid w:val="00AA3499"/>
    <w:rsid w:val="00AA36B0"/>
    <w:rsid w:val="00AA3717"/>
    <w:rsid w:val="00AA424B"/>
    <w:rsid w:val="00AA4407"/>
    <w:rsid w:val="00AA4F2F"/>
    <w:rsid w:val="00AA53F7"/>
    <w:rsid w:val="00AA6916"/>
    <w:rsid w:val="00AA6DF3"/>
    <w:rsid w:val="00AA6EF1"/>
    <w:rsid w:val="00AA758B"/>
    <w:rsid w:val="00AA7D5D"/>
    <w:rsid w:val="00AA7FCE"/>
    <w:rsid w:val="00AB0497"/>
    <w:rsid w:val="00AB0B98"/>
    <w:rsid w:val="00AB0D61"/>
    <w:rsid w:val="00AB18AC"/>
    <w:rsid w:val="00AB22D7"/>
    <w:rsid w:val="00AB2622"/>
    <w:rsid w:val="00AB2A46"/>
    <w:rsid w:val="00AB2F61"/>
    <w:rsid w:val="00AB30D2"/>
    <w:rsid w:val="00AB36AF"/>
    <w:rsid w:val="00AB533D"/>
    <w:rsid w:val="00AB6224"/>
    <w:rsid w:val="00AB7650"/>
    <w:rsid w:val="00AB7660"/>
    <w:rsid w:val="00AB775D"/>
    <w:rsid w:val="00AB77B4"/>
    <w:rsid w:val="00AB786F"/>
    <w:rsid w:val="00AB7978"/>
    <w:rsid w:val="00AC0BF7"/>
    <w:rsid w:val="00AC146E"/>
    <w:rsid w:val="00AC1DD3"/>
    <w:rsid w:val="00AC2385"/>
    <w:rsid w:val="00AC337F"/>
    <w:rsid w:val="00AC39CE"/>
    <w:rsid w:val="00AC3D80"/>
    <w:rsid w:val="00AC573B"/>
    <w:rsid w:val="00AC5A00"/>
    <w:rsid w:val="00AC5B5A"/>
    <w:rsid w:val="00AC6140"/>
    <w:rsid w:val="00AC628D"/>
    <w:rsid w:val="00AC63AF"/>
    <w:rsid w:val="00AC660F"/>
    <w:rsid w:val="00AC725D"/>
    <w:rsid w:val="00AC743D"/>
    <w:rsid w:val="00AC785D"/>
    <w:rsid w:val="00AD026B"/>
    <w:rsid w:val="00AD0912"/>
    <w:rsid w:val="00AD095E"/>
    <w:rsid w:val="00AD1041"/>
    <w:rsid w:val="00AD104C"/>
    <w:rsid w:val="00AD1DE4"/>
    <w:rsid w:val="00AD29E7"/>
    <w:rsid w:val="00AD2CF7"/>
    <w:rsid w:val="00AD4659"/>
    <w:rsid w:val="00AD4A49"/>
    <w:rsid w:val="00AD59A9"/>
    <w:rsid w:val="00AD5CB5"/>
    <w:rsid w:val="00AD674A"/>
    <w:rsid w:val="00AD6A92"/>
    <w:rsid w:val="00AD7CF6"/>
    <w:rsid w:val="00AE0602"/>
    <w:rsid w:val="00AE12FE"/>
    <w:rsid w:val="00AE1407"/>
    <w:rsid w:val="00AE1A00"/>
    <w:rsid w:val="00AE29F1"/>
    <w:rsid w:val="00AE2DEE"/>
    <w:rsid w:val="00AE33DD"/>
    <w:rsid w:val="00AE35E9"/>
    <w:rsid w:val="00AE40C8"/>
    <w:rsid w:val="00AE4888"/>
    <w:rsid w:val="00AE4E16"/>
    <w:rsid w:val="00AE5AD5"/>
    <w:rsid w:val="00AE672F"/>
    <w:rsid w:val="00AE68AC"/>
    <w:rsid w:val="00AE6A8F"/>
    <w:rsid w:val="00AE73C4"/>
    <w:rsid w:val="00AF0021"/>
    <w:rsid w:val="00AF0437"/>
    <w:rsid w:val="00AF1217"/>
    <w:rsid w:val="00AF1B1B"/>
    <w:rsid w:val="00AF2056"/>
    <w:rsid w:val="00AF2670"/>
    <w:rsid w:val="00AF2BFD"/>
    <w:rsid w:val="00AF30FF"/>
    <w:rsid w:val="00AF36E7"/>
    <w:rsid w:val="00AF388D"/>
    <w:rsid w:val="00AF3E28"/>
    <w:rsid w:val="00AF46CF"/>
    <w:rsid w:val="00AF59A0"/>
    <w:rsid w:val="00AF5CA0"/>
    <w:rsid w:val="00AF6224"/>
    <w:rsid w:val="00AF6E3B"/>
    <w:rsid w:val="00AF7693"/>
    <w:rsid w:val="00AF778F"/>
    <w:rsid w:val="00AF7C6E"/>
    <w:rsid w:val="00AF7FDE"/>
    <w:rsid w:val="00B00442"/>
    <w:rsid w:val="00B00599"/>
    <w:rsid w:val="00B007B7"/>
    <w:rsid w:val="00B00F54"/>
    <w:rsid w:val="00B015D5"/>
    <w:rsid w:val="00B01700"/>
    <w:rsid w:val="00B01AA9"/>
    <w:rsid w:val="00B01EB9"/>
    <w:rsid w:val="00B03A1C"/>
    <w:rsid w:val="00B04D2C"/>
    <w:rsid w:val="00B05461"/>
    <w:rsid w:val="00B0554E"/>
    <w:rsid w:val="00B05C02"/>
    <w:rsid w:val="00B05C60"/>
    <w:rsid w:val="00B06005"/>
    <w:rsid w:val="00B06CE4"/>
    <w:rsid w:val="00B07476"/>
    <w:rsid w:val="00B07886"/>
    <w:rsid w:val="00B07EC7"/>
    <w:rsid w:val="00B103AE"/>
    <w:rsid w:val="00B10C54"/>
    <w:rsid w:val="00B10EE1"/>
    <w:rsid w:val="00B1127B"/>
    <w:rsid w:val="00B11D89"/>
    <w:rsid w:val="00B124C9"/>
    <w:rsid w:val="00B12C34"/>
    <w:rsid w:val="00B13B2D"/>
    <w:rsid w:val="00B1472F"/>
    <w:rsid w:val="00B149FF"/>
    <w:rsid w:val="00B15638"/>
    <w:rsid w:val="00B16B1C"/>
    <w:rsid w:val="00B17965"/>
    <w:rsid w:val="00B2050B"/>
    <w:rsid w:val="00B20E00"/>
    <w:rsid w:val="00B216A7"/>
    <w:rsid w:val="00B21B06"/>
    <w:rsid w:val="00B21D38"/>
    <w:rsid w:val="00B223DB"/>
    <w:rsid w:val="00B2270B"/>
    <w:rsid w:val="00B22930"/>
    <w:rsid w:val="00B23AE7"/>
    <w:rsid w:val="00B23D20"/>
    <w:rsid w:val="00B24D94"/>
    <w:rsid w:val="00B254BF"/>
    <w:rsid w:val="00B265D8"/>
    <w:rsid w:val="00B26855"/>
    <w:rsid w:val="00B268F0"/>
    <w:rsid w:val="00B27B89"/>
    <w:rsid w:val="00B31639"/>
    <w:rsid w:val="00B3304F"/>
    <w:rsid w:val="00B33C3C"/>
    <w:rsid w:val="00B3483A"/>
    <w:rsid w:val="00B35C05"/>
    <w:rsid w:val="00B36345"/>
    <w:rsid w:val="00B3772F"/>
    <w:rsid w:val="00B37994"/>
    <w:rsid w:val="00B37DB9"/>
    <w:rsid w:val="00B406BF"/>
    <w:rsid w:val="00B414CD"/>
    <w:rsid w:val="00B41917"/>
    <w:rsid w:val="00B41CD5"/>
    <w:rsid w:val="00B43477"/>
    <w:rsid w:val="00B44201"/>
    <w:rsid w:val="00B44249"/>
    <w:rsid w:val="00B4425C"/>
    <w:rsid w:val="00B44A0B"/>
    <w:rsid w:val="00B4562C"/>
    <w:rsid w:val="00B4571B"/>
    <w:rsid w:val="00B457A0"/>
    <w:rsid w:val="00B4587A"/>
    <w:rsid w:val="00B459C8"/>
    <w:rsid w:val="00B46043"/>
    <w:rsid w:val="00B46E7A"/>
    <w:rsid w:val="00B47655"/>
    <w:rsid w:val="00B47A22"/>
    <w:rsid w:val="00B50092"/>
    <w:rsid w:val="00B505A2"/>
    <w:rsid w:val="00B50644"/>
    <w:rsid w:val="00B50A9E"/>
    <w:rsid w:val="00B51BF4"/>
    <w:rsid w:val="00B52D8C"/>
    <w:rsid w:val="00B530DA"/>
    <w:rsid w:val="00B532ED"/>
    <w:rsid w:val="00B534D4"/>
    <w:rsid w:val="00B53CB0"/>
    <w:rsid w:val="00B54246"/>
    <w:rsid w:val="00B545C6"/>
    <w:rsid w:val="00B57020"/>
    <w:rsid w:val="00B5703F"/>
    <w:rsid w:val="00B574B9"/>
    <w:rsid w:val="00B5751A"/>
    <w:rsid w:val="00B57593"/>
    <w:rsid w:val="00B57920"/>
    <w:rsid w:val="00B57AE1"/>
    <w:rsid w:val="00B57E61"/>
    <w:rsid w:val="00B60904"/>
    <w:rsid w:val="00B6099C"/>
    <w:rsid w:val="00B6099E"/>
    <w:rsid w:val="00B60C48"/>
    <w:rsid w:val="00B60F70"/>
    <w:rsid w:val="00B61059"/>
    <w:rsid w:val="00B612E5"/>
    <w:rsid w:val="00B61728"/>
    <w:rsid w:val="00B61A21"/>
    <w:rsid w:val="00B6239D"/>
    <w:rsid w:val="00B6260A"/>
    <w:rsid w:val="00B63105"/>
    <w:rsid w:val="00B644DD"/>
    <w:rsid w:val="00B644FA"/>
    <w:rsid w:val="00B65133"/>
    <w:rsid w:val="00B65DA6"/>
    <w:rsid w:val="00B66611"/>
    <w:rsid w:val="00B6763A"/>
    <w:rsid w:val="00B70223"/>
    <w:rsid w:val="00B702A0"/>
    <w:rsid w:val="00B704EE"/>
    <w:rsid w:val="00B712EC"/>
    <w:rsid w:val="00B7140E"/>
    <w:rsid w:val="00B714B2"/>
    <w:rsid w:val="00B71D93"/>
    <w:rsid w:val="00B721F5"/>
    <w:rsid w:val="00B73111"/>
    <w:rsid w:val="00B739BA"/>
    <w:rsid w:val="00B739CE"/>
    <w:rsid w:val="00B740EB"/>
    <w:rsid w:val="00B7411D"/>
    <w:rsid w:val="00B7493E"/>
    <w:rsid w:val="00B759D2"/>
    <w:rsid w:val="00B75DFC"/>
    <w:rsid w:val="00B75FC6"/>
    <w:rsid w:val="00B7657E"/>
    <w:rsid w:val="00B7697C"/>
    <w:rsid w:val="00B7775A"/>
    <w:rsid w:val="00B77B8A"/>
    <w:rsid w:val="00B8191A"/>
    <w:rsid w:val="00B81F9D"/>
    <w:rsid w:val="00B821D2"/>
    <w:rsid w:val="00B82715"/>
    <w:rsid w:val="00B828C1"/>
    <w:rsid w:val="00B83016"/>
    <w:rsid w:val="00B85100"/>
    <w:rsid w:val="00B8601A"/>
    <w:rsid w:val="00B8678B"/>
    <w:rsid w:val="00B87B4B"/>
    <w:rsid w:val="00B87B5C"/>
    <w:rsid w:val="00B87DD6"/>
    <w:rsid w:val="00B90373"/>
    <w:rsid w:val="00B90395"/>
    <w:rsid w:val="00B904A2"/>
    <w:rsid w:val="00B9180C"/>
    <w:rsid w:val="00B918B3"/>
    <w:rsid w:val="00B919A5"/>
    <w:rsid w:val="00B919E8"/>
    <w:rsid w:val="00B91E93"/>
    <w:rsid w:val="00B926AE"/>
    <w:rsid w:val="00B929B2"/>
    <w:rsid w:val="00B92F5A"/>
    <w:rsid w:val="00B9336D"/>
    <w:rsid w:val="00B93EB2"/>
    <w:rsid w:val="00B9494C"/>
    <w:rsid w:val="00B94DD3"/>
    <w:rsid w:val="00B95032"/>
    <w:rsid w:val="00B95E98"/>
    <w:rsid w:val="00B95EB4"/>
    <w:rsid w:val="00B96018"/>
    <w:rsid w:val="00B9653B"/>
    <w:rsid w:val="00B9680C"/>
    <w:rsid w:val="00B97987"/>
    <w:rsid w:val="00B97E35"/>
    <w:rsid w:val="00BA045C"/>
    <w:rsid w:val="00BA046C"/>
    <w:rsid w:val="00BA0879"/>
    <w:rsid w:val="00BA131E"/>
    <w:rsid w:val="00BA19C0"/>
    <w:rsid w:val="00BA1C4C"/>
    <w:rsid w:val="00BA208C"/>
    <w:rsid w:val="00BA2CB7"/>
    <w:rsid w:val="00BA2CDC"/>
    <w:rsid w:val="00BA3014"/>
    <w:rsid w:val="00BA30B8"/>
    <w:rsid w:val="00BA4B2D"/>
    <w:rsid w:val="00BA531B"/>
    <w:rsid w:val="00BA626A"/>
    <w:rsid w:val="00BA6960"/>
    <w:rsid w:val="00BA6A36"/>
    <w:rsid w:val="00BA6B82"/>
    <w:rsid w:val="00BA6F0E"/>
    <w:rsid w:val="00BA7587"/>
    <w:rsid w:val="00BA7A3F"/>
    <w:rsid w:val="00BA7DC4"/>
    <w:rsid w:val="00BB114F"/>
    <w:rsid w:val="00BB13BD"/>
    <w:rsid w:val="00BB1A36"/>
    <w:rsid w:val="00BB2124"/>
    <w:rsid w:val="00BB231D"/>
    <w:rsid w:val="00BB23F3"/>
    <w:rsid w:val="00BB25EE"/>
    <w:rsid w:val="00BB30C5"/>
    <w:rsid w:val="00BB3647"/>
    <w:rsid w:val="00BB3736"/>
    <w:rsid w:val="00BB4B69"/>
    <w:rsid w:val="00BB4F5A"/>
    <w:rsid w:val="00BB5A0D"/>
    <w:rsid w:val="00BB63BB"/>
    <w:rsid w:val="00BB6441"/>
    <w:rsid w:val="00BB6BE4"/>
    <w:rsid w:val="00BB6C05"/>
    <w:rsid w:val="00BC05A0"/>
    <w:rsid w:val="00BC09CE"/>
    <w:rsid w:val="00BC21DC"/>
    <w:rsid w:val="00BC251D"/>
    <w:rsid w:val="00BC28B9"/>
    <w:rsid w:val="00BC2CA8"/>
    <w:rsid w:val="00BC3080"/>
    <w:rsid w:val="00BC30DC"/>
    <w:rsid w:val="00BC3BD6"/>
    <w:rsid w:val="00BC44C8"/>
    <w:rsid w:val="00BC4DDC"/>
    <w:rsid w:val="00BD06F4"/>
    <w:rsid w:val="00BD131E"/>
    <w:rsid w:val="00BD134C"/>
    <w:rsid w:val="00BD138C"/>
    <w:rsid w:val="00BD19CA"/>
    <w:rsid w:val="00BD2088"/>
    <w:rsid w:val="00BD29C0"/>
    <w:rsid w:val="00BD300C"/>
    <w:rsid w:val="00BD3D90"/>
    <w:rsid w:val="00BD4BD8"/>
    <w:rsid w:val="00BD556F"/>
    <w:rsid w:val="00BD589F"/>
    <w:rsid w:val="00BD5B5F"/>
    <w:rsid w:val="00BD63D9"/>
    <w:rsid w:val="00BD6718"/>
    <w:rsid w:val="00BD6DCB"/>
    <w:rsid w:val="00BD717F"/>
    <w:rsid w:val="00BD7E47"/>
    <w:rsid w:val="00BE06F6"/>
    <w:rsid w:val="00BE1FA4"/>
    <w:rsid w:val="00BE2853"/>
    <w:rsid w:val="00BE2CBD"/>
    <w:rsid w:val="00BE301D"/>
    <w:rsid w:val="00BE3714"/>
    <w:rsid w:val="00BE4CAF"/>
    <w:rsid w:val="00BE4D60"/>
    <w:rsid w:val="00BE4D86"/>
    <w:rsid w:val="00BE4F20"/>
    <w:rsid w:val="00BE54AD"/>
    <w:rsid w:val="00BE5749"/>
    <w:rsid w:val="00BE5ECA"/>
    <w:rsid w:val="00BE5FEA"/>
    <w:rsid w:val="00BE634B"/>
    <w:rsid w:val="00BE6D9E"/>
    <w:rsid w:val="00BE746E"/>
    <w:rsid w:val="00BE77E2"/>
    <w:rsid w:val="00BF0A2F"/>
    <w:rsid w:val="00BF0D29"/>
    <w:rsid w:val="00BF178A"/>
    <w:rsid w:val="00BF25D1"/>
    <w:rsid w:val="00BF26D9"/>
    <w:rsid w:val="00BF3583"/>
    <w:rsid w:val="00BF47D0"/>
    <w:rsid w:val="00BF4AB5"/>
    <w:rsid w:val="00BF61A1"/>
    <w:rsid w:val="00BF7651"/>
    <w:rsid w:val="00BF7672"/>
    <w:rsid w:val="00BF776C"/>
    <w:rsid w:val="00BF79B6"/>
    <w:rsid w:val="00BF7A3B"/>
    <w:rsid w:val="00BF7E24"/>
    <w:rsid w:val="00C00405"/>
    <w:rsid w:val="00C0096A"/>
    <w:rsid w:val="00C0113A"/>
    <w:rsid w:val="00C02F61"/>
    <w:rsid w:val="00C03496"/>
    <w:rsid w:val="00C03DC2"/>
    <w:rsid w:val="00C05BDE"/>
    <w:rsid w:val="00C05C43"/>
    <w:rsid w:val="00C05EA2"/>
    <w:rsid w:val="00C078A1"/>
    <w:rsid w:val="00C0793C"/>
    <w:rsid w:val="00C07969"/>
    <w:rsid w:val="00C108F9"/>
    <w:rsid w:val="00C10F05"/>
    <w:rsid w:val="00C11EBF"/>
    <w:rsid w:val="00C12746"/>
    <w:rsid w:val="00C129B6"/>
    <w:rsid w:val="00C12F41"/>
    <w:rsid w:val="00C13DAB"/>
    <w:rsid w:val="00C1474C"/>
    <w:rsid w:val="00C148F8"/>
    <w:rsid w:val="00C14E37"/>
    <w:rsid w:val="00C15DA5"/>
    <w:rsid w:val="00C15F59"/>
    <w:rsid w:val="00C16148"/>
    <w:rsid w:val="00C165C3"/>
    <w:rsid w:val="00C17565"/>
    <w:rsid w:val="00C17587"/>
    <w:rsid w:val="00C177EA"/>
    <w:rsid w:val="00C1781D"/>
    <w:rsid w:val="00C17F89"/>
    <w:rsid w:val="00C21904"/>
    <w:rsid w:val="00C21C0F"/>
    <w:rsid w:val="00C21F66"/>
    <w:rsid w:val="00C21FE9"/>
    <w:rsid w:val="00C225D3"/>
    <w:rsid w:val="00C22DA9"/>
    <w:rsid w:val="00C22EA1"/>
    <w:rsid w:val="00C23425"/>
    <w:rsid w:val="00C2354D"/>
    <w:rsid w:val="00C242AD"/>
    <w:rsid w:val="00C248D4"/>
    <w:rsid w:val="00C253EC"/>
    <w:rsid w:val="00C260C3"/>
    <w:rsid w:val="00C26C09"/>
    <w:rsid w:val="00C30060"/>
    <w:rsid w:val="00C301A0"/>
    <w:rsid w:val="00C304D4"/>
    <w:rsid w:val="00C313B0"/>
    <w:rsid w:val="00C313C1"/>
    <w:rsid w:val="00C3156F"/>
    <w:rsid w:val="00C3183C"/>
    <w:rsid w:val="00C31D4A"/>
    <w:rsid w:val="00C32AD6"/>
    <w:rsid w:val="00C33488"/>
    <w:rsid w:val="00C33813"/>
    <w:rsid w:val="00C33967"/>
    <w:rsid w:val="00C33F15"/>
    <w:rsid w:val="00C345E5"/>
    <w:rsid w:val="00C34893"/>
    <w:rsid w:val="00C34DC9"/>
    <w:rsid w:val="00C36291"/>
    <w:rsid w:val="00C364F6"/>
    <w:rsid w:val="00C36E86"/>
    <w:rsid w:val="00C378A6"/>
    <w:rsid w:val="00C40A9B"/>
    <w:rsid w:val="00C40B7A"/>
    <w:rsid w:val="00C41520"/>
    <w:rsid w:val="00C41C2C"/>
    <w:rsid w:val="00C41ED8"/>
    <w:rsid w:val="00C41EDD"/>
    <w:rsid w:val="00C4222E"/>
    <w:rsid w:val="00C441AB"/>
    <w:rsid w:val="00C46936"/>
    <w:rsid w:val="00C47D68"/>
    <w:rsid w:val="00C51453"/>
    <w:rsid w:val="00C514A5"/>
    <w:rsid w:val="00C51E67"/>
    <w:rsid w:val="00C5256A"/>
    <w:rsid w:val="00C52F7E"/>
    <w:rsid w:val="00C53D64"/>
    <w:rsid w:val="00C5511A"/>
    <w:rsid w:val="00C555F4"/>
    <w:rsid w:val="00C556C5"/>
    <w:rsid w:val="00C559A5"/>
    <w:rsid w:val="00C56083"/>
    <w:rsid w:val="00C560D5"/>
    <w:rsid w:val="00C56A96"/>
    <w:rsid w:val="00C5708C"/>
    <w:rsid w:val="00C575C4"/>
    <w:rsid w:val="00C576EA"/>
    <w:rsid w:val="00C604F2"/>
    <w:rsid w:val="00C60980"/>
    <w:rsid w:val="00C6189E"/>
    <w:rsid w:val="00C624A4"/>
    <w:rsid w:val="00C629DC"/>
    <w:rsid w:val="00C62F5B"/>
    <w:rsid w:val="00C62FA8"/>
    <w:rsid w:val="00C6370F"/>
    <w:rsid w:val="00C63C2B"/>
    <w:rsid w:val="00C63D45"/>
    <w:rsid w:val="00C640D7"/>
    <w:rsid w:val="00C64329"/>
    <w:rsid w:val="00C644CD"/>
    <w:rsid w:val="00C65D6B"/>
    <w:rsid w:val="00C662F1"/>
    <w:rsid w:val="00C669E7"/>
    <w:rsid w:val="00C66E15"/>
    <w:rsid w:val="00C70BA5"/>
    <w:rsid w:val="00C71037"/>
    <w:rsid w:val="00C71563"/>
    <w:rsid w:val="00C7166D"/>
    <w:rsid w:val="00C7183D"/>
    <w:rsid w:val="00C71FCE"/>
    <w:rsid w:val="00C72109"/>
    <w:rsid w:val="00C7325C"/>
    <w:rsid w:val="00C732E7"/>
    <w:rsid w:val="00C74554"/>
    <w:rsid w:val="00C74A99"/>
    <w:rsid w:val="00C74E6E"/>
    <w:rsid w:val="00C75227"/>
    <w:rsid w:val="00C75335"/>
    <w:rsid w:val="00C759DF"/>
    <w:rsid w:val="00C75CF7"/>
    <w:rsid w:val="00C76A2D"/>
    <w:rsid w:val="00C76E43"/>
    <w:rsid w:val="00C77766"/>
    <w:rsid w:val="00C802B5"/>
    <w:rsid w:val="00C80B04"/>
    <w:rsid w:val="00C80F08"/>
    <w:rsid w:val="00C81646"/>
    <w:rsid w:val="00C821FF"/>
    <w:rsid w:val="00C82588"/>
    <w:rsid w:val="00C8266F"/>
    <w:rsid w:val="00C82FBF"/>
    <w:rsid w:val="00C8354A"/>
    <w:rsid w:val="00C836C2"/>
    <w:rsid w:val="00C83B4D"/>
    <w:rsid w:val="00C8453D"/>
    <w:rsid w:val="00C86310"/>
    <w:rsid w:val="00C865AE"/>
    <w:rsid w:val="00C86AA6"/>
    <w:rsid w:val="00C86ADD"/>
    <w:rsid w:val="00C86D6F"/>
    <w:rsid w:val="00C87040"/>
    <w:rsid w:val="00C87406"/>
    <w:rsid w:val="00C877CA"/>
    <w:rsid w:val="00C90A34"/>
    <w:rsid w:val="00C90B7B"/>
    <w:rsid w:val="00C917C5"/>
    <w:rsid w:val="00C92433"/>
    <w:rsid w:val="00C92B98"/>
    <w:rsid w:val="00C92F79"/>
    <w:rsid w:val="00C9305C"/>
    <w:rsid w:val="00C9312C"/>
    <w:rsid w:val="00C93134"/>
    <w:rsid w:val="00C931B9"/>
    <w:rsid w:val="00C93384"/>
    <w:rsid w:val="00C93A82"/>
    <w:rsid w:val="00C9445F"/>
    <w:rsid w:val="00C96D32"/>
    <w:rsid w:val="00C97405"/>
    <w:rsid w:val="00CA0527"/>
    <w:rsid w:val="00CA1F83"/>
    <w:rsid w:val="00CA250F"/>
    <w:rsid w:val="00CA26C2"/>
    <w:rsid w:val="00CA2816"/>
    <w:rsid w:val="00CA2929"/>
    <w:rsid w:val="00CA2ADD"/>
    <w:rsid w:val="00CA31B1"/>
    <w:rsid w:val="00CA3514"/>
    <w:rsid w:val="00CA3581"/>
    <w:rsid w:val="00CA44A4"/>
    <w:rsid w:val="00CA488F"/>
    <w:rsid w:val="00CA5178"/>
    <w:rsid w:val="00CA717E"/>
    <w:rsid w:val="00CA7BAB"/>
    <w:rsid w:val="00CB0283"/>
    <w:rsid w:val="00CB0385"/>
    <w:rsid w:val="00CB0756"/>
    <w:rsid w:val="00CB0816"/>
    <w:rsid w:val="00CB0C64"/>
    <w:rsid w:val="00CB101E"/>
    <w:rsid w:val="00CB1270"/>
    <w:rsid w:val="00CB255A"/>
    <w:rsid w:val="00CB2FA2"/>
    <w:rsid w:val="00CB32B9"/>
    <w:rsid w:val="00CB39A4"/>
    <w:rsid w:val="00CB3A70"/>
    <w:rsid w:val="00CB4F94"/>
    <w:rsid w:val="00CB5477"/>
    <w:rsid w:val="00CB5659"/>
    <w:rsid w:val="00CB59F0"/>
    <w:rsid w:val="00CB61F2"/>
    <w:rsid w:val="00CB6635"/>
    <w:rsid w:val="00CB66B6"/>
    <w:rsid w:val="00CB6958"/>
    <w:rsid w:val="00CC0C7B"/>
    <w:rsid w:val="00CC0DA7"/>
    <w:rsid w:val="00CC1038"/>
    <w:rsid w:val="00CC3540"/>
    <w:rsid w:val="00CC41DE"/>
    <w:rsid w:val="00CC50F5"/>
    <w:rsid w:val="00CC5418"/>
    <w:rsid w:val="00CC5B94"/>
    <w:rsid w:val="00CC5EC1"/>
    <w:rsid w:val="00CC64E4"/>
    <w:rsid w:val="00CD02C0"/>
    <w:rsid w:val="00CD0803"/>
    <w:rsid w:val="00CD0EBE"/>
    <w:rsid w:val="00CD1243"/>
    <w:rsid w:val="00CD14E2"/>
    <w:rsid w:val="00CD31EF"/>
    <w:rsid w:val="00CD3569"/>
    <w:rsid w:val="00CD3DD6"/>
    <w:rsid w:val="00CD4196"/>
    <w:rsid w:val="00CD5416"/>
    <w:rsid w:val="00CD6710"/>
    <w:rsid w:val="00CD6DB9"/>
    <w:rsid w:val="00CD7E71"/>
    <w:rsid w:val="00CE16D5"/>
    <w:rsid w:val="00CE2EFA"/>
    <w:rsid w:val="00CE35F8"/>
    <w:rsid w:val="00CE460B"/>
    <w:rsid w:val="00CE518D"/>
    <w:rsid w:val="00CE574D"/>
    <w:rsid w:val="00CE59EC"/>
    <w:rsid w:val="00CE5FCB"/>
    <w:rsid w:val="00CE69F2"/>
    <w:rsid w:val="00CE6B29"/>
    <w:rsid w:val="00CE7176"/>
    <w:rsid w:val="00CE797F"/>
    <w:rsid w:val="00CE7B26"/>
    <w:rsid w:val="00CF0702"/>
    <w:rsid w:val="00CF1645"/>
    <w:rsid w:val="00CF2829"/>
    <w:rsid w:val="00CF2938"/>
    <w:rsid w:val="00CF2D5C"/>
    <w:rsid w:val="00CF2FAE"/>
    <w:rsid w:val="00CF3A2C"/>
    <w:rsid w:val="00CF3EC7"/>
    <w:rsid w:val="00CF48B9"/>
    <w:rsid w:val="00CF4B01"/>
    <w:rsid w:val="00CF528B"/>
    <w:rsid w:val="00CF5EDA"/>
    <w:rsid w:val="00CF5FC4"/>
    <w:rsid w:val="00CF5FE6"/>
    <w:rsid w:val="00CF602C"/>
    <w:rsid w:val="00CF689F"/>
    <w:rsid w:val="00CF74A4"/>
    <w:rsid w:val="00CF7562"/>
    <w:rsid w:val="00CF79B8"/>
    <w:rsid w:val="00CF7D45"/>
    <w:rsid w:val="00D00CBF"/>
    <w:rsid w:val="00D016C3"/>
    <w:rsid w:val="00D02A47"/>
    <w:rsid w:val="00D02ACF"/>
    <w:rsid w:val="00D03B4F"/>
    <w:rsid w:val="00D03C02"/>
    <w:rsid w:val="00D04477"/>
    <w:rsid w:val="00D044D5"/>
    <w:rsid w:val="00D04E69"/>
    <w:rsid w:val="00D05957"/>
    <w:rsid w:val="00D07298"/>
    <w:rsid w:val="00D07FE1"/>
    <w:rsid w:val="00D10627"/>
    <w:rsid w:val="00D11BD7"/>
    <w:rsid w:val="00D11E5A"/>
    <w:rsid w:val="00D125E3"/>
    <w:rsid w:val="00D126E0"/>
    <w:rsid w:val="00D130C0"/>
    <w:rsid w:val="00D1327A"/>
    <w:rsid w:val="00D133EE"/>
    <w:rsid w:val="00D13E39"/>
    <w:rsid w:val="00D14323"/>
    <w:rsid w:val="00D1475A"/>
    <w:rsid w:val="00D155FC"/>
    <w:rsid w:val="00D1685D"/>
    <w:rsid w:val="00D1771B"/>
    <w:rsid w:val="00D17ADD"/>
    <w:rsid w:val="00D2103F"/>
    <w:rsid w:val="00D21387"/>
    <w:rsid w:val="00D229F2"/>
    <w:rsid w:val="00D23B55"/>
    <w:rsid w:val="00D240BA"/>
    <w:rsid w:val="00D244E2"/>
    <w:rsid w:val="00D24EE0"/>
    <w:rsid w:val="00D2524E"/>
    <w:rsid w:val="00D25627"/>
    <w:rsid w:val="00D25FC4"/>
    <w:rsid w:val="00D26445"/>
    <w:rsid w:val="00D2655A"/>
    <w:rsid w:val="00D272A9"/>
    <w:rsid w:val="00D27329"/>
    <w:rsid w:val="00D3006E"/>
    <w:rsid w:val="00D303F5"/>
    <w:rsid w:val="00D30B5E"/>
    <w:rsid w:val="00D318DB"/>
    <w:rsid w:val="00D31E3C"/>
    <w:rsid w:val="00D321D6"/>
    <w:rsid w:val="00D3334B"/>
    <w:rsid w:val="00D34324"/>
    <w:rsid w:val="00D34385"/>
    <w:rsid w:val="00D34584"/>
    <w:rsid w:val="00D346BB"/>
    <w:rsid w:val="00D34901"/>
    <w:rsid w:val="00D35416"/>
    <w:rsid w:val="00D3689E"/>
    <w:rsid w:val="00D36E33"/>
    <w:rsid w:val="00D37503"/>
    <w:rsid w:val="00D4006B"/>
    <w:rsid w:val="00D400E3"/>
    <w:rsid w:val="00D40FAA"/>
    <w:rsid w:val="00D41636"/>
    <w:rsid w:val="00D4174A"/>
    <w:rsid w:val="00D41B26"/>
    <w:rsid w:val="00D41B6A"/>
    <w:rsid w:val="00D421E2"/>
    <w:rsid w:val="00D426F4"/>
    <w:rsid w:val="00D428FD"/>
    <w:rsid w:val="00D43B1E"/>
    <w:rsid w:val="00D43BD6"/>
    <w:rsid w:val="00D43F6D"/>
    <w:rsid w:val="00D448BA"/>
    <w:rsid w:val="00D44923"/>
    <w:rsid w:val="00D44BFB"/>
    <w:rsid w:val="00D453C0"/>
    <w:rsid w:val="00D453D8"/>
    <w:rsid w:val="00D459A2"/>
    <w:rsid w:val="00D45AF7"/>
    <w:rsid w:val="00D45B91"/>
    <w:rsid w:val="00D467F9"/>
    <w:rsid w:val="00D46895"/>
    <w:rsid w:val="00D46B53"/>
    <w:rsid w:val="00D46EDD"/>
    <w:rsid w:val="00D4727F"/>
    <w:rsid w:val="00D47534"/>
    <w:rsid w:val="00D47572"/>
    <w:rsid w:val="00D476BF"/>
    <w:rsid w:val="00D4771F"/>
    <w:rsid w:val="00D47B05"/>
    <w:rsid w:val="00D504DF"/>
    <w:rsid w:val="00D50A5C"/>
    <w:rsid w:val="00D516DD"/>
    <w:rsid w:val="00D53196"/>
    <w:rsid w:val="00D53261"/>
    <w:rsid w:val="00D5442C"/>
    <w:rsid w:val="00D544BD"/>
    <w:rsid w:val="00D55A91"/>
    <w:rsid w:val="00D57A06"/>
    <w:rsid w:val="00D57D6B"/>
    <w:rsid w:val="00D6172F"/>
    <w:rsid w:val="00D61E75"/>
    <w:rsid w:val="00D6221B"/>
    <w:rsid w:val="00D626B6"/>
    <w:rsid w:val="00D636D8"/>
    <w:rsid w:val="00D65224"/>
    <w:rsid w:val="00D65C4E"/>
    <w:rsid w:val="00D67412"/>
    <w:rsid w:val="00D677A0"/>
    <w:rsid w:val="00D70A80"/>
    <w:rsid w:val="00D71A0A"/>
    <w:rsid w:val="00D71A8F"/>
    <w:rsid w:val="00D72131"/>
    <w:rsid w:val="00D7387D"/>
    <w:rsid w:val="00D747B6"/>
    <w:rsid w:val="00D74E88"/>
    <w:rsid w:val="00D75269"/>
    <w:rsid w:val="00D7547C"/>
    <w:rsid w:val="00D755E4"/>
    <w:rsid w:val="00D763F9"/>
    <w:rsid w:val="00D7691E"/>
    <w:rsid w:val="00D76A30"/>
    <w:rsid w:val="00D77038"/>
    <w:rsid w:val="00D77A2A"/>
    <w:rsid w:val="00D80982"/>
    <w:rsid w:val="00D80AF5"/>
    <w:rsid w:val="00D8108A"/>
    <w:rsid w:val="00D81261"/>
    <w:rsid w:val="00D81B0A"/>
    <w:rsid w:val="00D81B1A"/>
    <w:rsid w:val="00D81BB0"/>
    <w:rsid w:val="00D8222F"/>
    <w:rsid w:val="00D82D38"/>
    <w:rsid w:val="00D830ED"/>
    <w:rsid w:val="00D83AF5"/>
    <w:rsid w:val="00D83D8B"/>
    <w:rsid w:val="00D8412E"/>
    <w:rsid w:val="00D8456C"/>
    <w:rsid w:val="00D853D2"/>
    <w:rsid w:val="00D8565C"/>
    <w:rsid w:val="00D8629F"/>
    <w:rsid w:val="00D86406"/>
    <w:rsid w:val="00D8688A"/>
    <w:rsid w:val="00D86C95"/>
    <w:rsid w:val="00D8702F"/>
    <w:rsid w:val="00D87E85"/>
    <w:rsid w:val="00D87FB4"/>
    <w:rsid w:val="00D911B4"/>
    <w:rsid w:val="00D91306"/>
    <w:rsid w:val="00D9167E"/>
    <w:rsid w:val="00D92709"/>
    <w:rsid w:val="00D92817"/>
    <w:rsid w:val="00D92CF8"/>
    <w:rsid w:val="00D92FB3"/>
    <w:rsid w:val="00D92FF9"/>
    <w:rsid w:val="00D945EE"/>
    <w:rsid w:val="00D94659"/>
    <w:rsid w:val="00D94932"/>
    <w:rsid w:val="00D94DEF"/>
    <w:rsid w:val="00D954CE"/>
    <w:rsid w:val="00D95573"/>
    <w:rsid w:val="00D956BE"/>
    <w:rsid w:val="00D9586D"/>
    <w:rsid w:val="00D96A85"/>
    <w:rsid w:val="00D96A9F"/>
    <w:rsid w:val="00D96C9F"/>
    <w:rsid w:val="00D9739A"/>
    <w:rsid w:val="00D9747A"/>
    <w:rsid w:val="00D97EF4"/>
    <w:rsid w:val="00DA1026"/>
    <w:rsid w:val="00DA3005"/>
    <w:rsid w:val="00DA457C"/>
    <w:rsid w:val="00DA4EB1"/>
    <w:rsid w:val="00DA53B8"/>
    <w:rsid w:val="00DA704F"/>
    <w:rsid w:val="00DA7789"/>
    <w:rsid w:val="00DA779D"/>
    <w:rsid w:val="00DB012E"/>
    <w:rsid w:val="00DB019B"/>
    <w:rsid w:val="00DB0235"/>
    <w:rsid w:val="00DB0C65"/>
    <w:rsid w:val="00DB0CFE"/>
    <w:rsid w:val="00DB1133"/>
    <w:rsid w:val="00DB13A5"/>
    <w:rsid w:val="00DB19E0"/>
    <w:rsid w:val="00DB1EA3"/>
    <w:rsid w:val="00DB22B9"/>
    <w:rsid w:val="00DB2891"/>
    <w:rsid w:val="00DB2D12"/>
    <w:rsid w:val="00DB2D81"/>
    <w:rsid w:val="00DB3080"/>
    <w:rsid w:val="00DB335D"/>
    <w:rsid w:val="00DB34F1"/>
    <w:rsid w:val="00DB3638"/>
    <w:rsid w:val="00DB4E92"/>
    <w:rsid w:val="00DB57AC"/>
    <w:rsid w:val="00DB693D"/>
    <w:rsid w:val="00DB7712"/>
    <w:rsid w:val="00DB7F72"/>
    <w:rsid w:val="00DC0012"/>
    <w:rsid w:val="00DC06F8"/>
    <w:rsid w:val="00DC0AB5"/>
    <w:rsid w:val="00DC0D89"/>
    <w:rsid w:val="00DC0E6D"/>
    <w:rsid w:val="00DC0EE7"/>
    <w:rsid w:val="00DC1C66"/>
    <w:rsid w:val="00DC2191"/>
    <w:rsid w:val="00DC2CE6"/>
    <w:rsid w:val="00DC2E8C"/>
    <w:rsid w:val="00DC48F6"/>
    <w:rsid w:val="00DC507B"/>
    <w:rsid w:val="00DC6F58"/>
    <w:rsid w:val="00DD0AEA"/>
    <w:rsid w:val="00DD0E04"/>
    <w:rsid w:val="00DD21ED"/>
    <w:rsid w:val="00DD24B2"/>
    <w:rsid w:val="00DD2A4A"/>
    <w:rsid w:val="00DD2DCD"/>
    <w:rsid w:val="00DD30BC"/>
    <w:rsid w:val="00DD3184"/>
    <w:rsid w:val="00DD5453"/>
    <w:rsid w:val="00DD6640"/>
    <w:rsid w:val="00DD67E9"/>
    <w:rsid w:val="00DD6CA8"/>
    <w:rsid w:val="00DD7330"/>
    <w:rsid w:val="00DE0661"/>
    <w:rsid w:val="00DE38DF"/>
    <w:rsid w:val="00DE48EF"/>
    <w:rsid w:val="00DE4BDB"/>
    <w:rsid w:val="00DE4E43"/>
    <w:rsid w:val="00DE61F7"/>
    <w:rsid w:val="00DF15B8"/>
    <w:rsid w:val="00DF176F"/>
    <w:rsid w:val="00DF25E0"/>
    <w:rsid w:val="00DF2B52"/>
    <w:rsid w:val="00DF3200"/>
    <w:rsid w:val="00DF42CD"/>
    <w:rsid w:val="00DF495B"/>
    <w:rsid w:val="00DF4D73"/>
    <w:rsid w:val="00DF5F84"/>
    <w:rsid w:val="00DF77D9"/>
    <w:rsid w:val="00DF799A"/>
    <w:rsid w:val="00DF7AD1"/>
    <w:rsid w:val="00E0103D"/>
    <w:rsid w:val="00E0191A"/>
    <w:rsid w:val="00E01DD0"/>
    <w:rsid w:val="00E03505"/>
    <w:rsid w:val="00E039D3"/>
    <w:rsid w:val="00E040B6"/>
    <w:rsid w:val="00E042DD"/>
    <w:rsid w:val="00E043E8"/>
    <w:rsid w:val="00E0450F"/>
    <w:rsid w:val="00E04527"/>
    <w:rsid w:val="00E04644"/>
    <w:rsid w:val="00E05F2C"/>
    <w:rsid w:val="00E06B27"/>
    <w:rsid w:val="00E0756C"/>
    <w:rsid w:val="00E104E0"/>
    <w:rsid w:val="00E10DB1"/>
    <w:rsid w:val="00E113C1"/>
    <w:rsid w:val="00E1213E"/>
    <w:rsid w:val="00E125A9"/>
    <w:rsid w:val="00E1328A"/>
    <w:rsid w:val="00E149F6"/>
    <w:rsid w:val="00E15EC2"/>
    <w:rsid w:val="00E15F27"/>
    <w:rsid w:val="00E15FFA"/>
    <w:rsid w:val="00E166EA"/>
    <w:rsid w:val="00E16FC1"/>
    <w:rsid w:val="00E1736D"/>
    <w:rsid w:val="00E202A0"/>
    <w:rsid w:val="00E20493"/>
    <w:rsid w:val="00E2067E"/>
    <w:rsid w:val="00E20B8B"/>
    <w:rsid w:val="00E21A02"/>
    <w:rsid w:val="00E21C9E"/>
    <w:rsid w:val="00E2229E"/>
    <w:rsid w:val="00E228B3"/>
    <w:rsid w:val="00E22B3A"/>
    <w:rsid w:val="00E23009"/>
    <w:rsid w:val="00E24E30"/>
    <w:rsid w:val="00E25725"/>
    <w:rsid w:val="00E2589D"/>
    <w:rsid w:val="00E25B8B"/>
    <w:rsid w:val="00E25F75"/>
    <w:rsid w:val="00E26AC6"/>
    <w:rsid w:val="00E26CC3"/>
    <w:rsid w:val="00E2715A"/>
    <w:rsid w:val="00E27DAB"/>
    <w:rsid w:val="00E27F93"/>
    <w:rsid w:val="00E30308"/>
    <w:rsid w:val="00E30E49"/>
    <w:rsid w:val="00E31904"/>
    <w:rsid w:val="00E319A5"/>
    <w:rsid w:val="00E31EF3"/>
    <w:rsid w:val="00E32369"/>
    <w:rsid w:val="00E328B3"/>
    <w:rsid w:val="00E33925"/>
    <w:rsid w:val="00E33EC8"/>
    <w:rsid w:val="00E34502"/>
    <w:rsid w:val="00E3482F"/>
    <w:rsid w:val="00E36615"/>
    <w:rsid w:val="00E36631"/>
    <w:rsid w:val="00E36F25"/>
    <w:rsid w:val="00E3706C"/>
    <w:rsid w:val="00E37E66"/>
    <w:rsid w:val="00E4028E"/>
    <w:rsid w:val="00E40655"/>
    <w:rsid w:val="00E408AA"/>
    <w:rsid w:val="00E40A3D"/>
    <w:rsid w:val="00E4123F"/>
    <w:rsid w:val="00E41294"/>
    <w:rsid w:val="00E4194A"/>
    <w:rsid w:val="00E42005"/>
    <w:rsid w:val="00E420EA"/>
    <w:rsid w:val="00E42330"/>
    <w:rsid w:val="00E42A87"/>
    <w:rsid w:val="00E42DB2"/>
    <w:rsid w:val="00E42E84"/>
    <w:rsid w:val="00E433BB"/>
    <w:rsid w:val="00E4389F"/>
    <w:rsid w:val="00E43BF9"/>
    <w:rsid w:val="00E43F30"/>
    <w:rsid w:val="00E43F44"/>
    <w:rsid w:val="00E44A46"/>
    <w:rsid w:val="00E46277"/>
    <w:rsid w:val="00E46507"/>
    <w:rsid w:val="00E46B0D"/>
    <w:rsid w:val="00E46C99"/>
    <w:rsid w:val="00E4746A"/>
    <w:rsid w:val="00E47AB2"/>
    <w:rsid w:val="00E50591"/>
    <w:rsid w:val="00E50ECC"/>
    <w:rsid w:val="00E50FE0"/>
    <w:rsid w:val="00E51E70"/>
    <w:rsid w:val="00E524E2"/>
    <w:rsid w:val="00E52F2D"/>
    <w:rsid w:val="00E531E6"/>
    <w:rsid w:val="00E532D3"/>
    <w:rsid w:val="00E53361"/>
    <w:rsid w:val="00E53649"/>
    <w:rsid w:val="00E53E88"/>
    <w:rsid w:val="00E5415A"/>
    <w:rsid w:val="00E5486F"/>
    <w:rsid w:val="00E56855"/>
    <w:rsid w:val="00E57188"/>
    <w:rsid w:val="00E57B78"/>
    <w:rsid w:val="00E57D64"/>
    <w:rsid w:val="00E601FB"/>
    <w:rsid w:val="00E61243"/>
    <w:rsid w:val="00E6137F"/>
    <w:rsid w:val="00E6177D"/>
    <w:rsid w:val="00E6190E"/>
    <w:rsid w:val="00E61B3D"/>
    <w:rsid w:val="00E622A1"/>
    <w:rsid w:val="00E62880"/>
    <w:rsid w:val="00E63C75"/>
    <w:rsid w:val="00E64044"/>
    <w:rsid w:val="00E643BD"/>
    <w:rsid w:val="00E644F6"/>
    <w:rsid w:val="00E647D3"/>
    <w:rsid w:val="00E64B8B"/>
    <w:rsid w:val="00E651FF"/>
    <w:rsid w:val="00E65775"/>
    <w:rsid w:val="00E65A18"/>
    <w:rsid w:val="00E6718C"/>
    <w:rsid w:val="00E7075B"/>
    <w:rsid w:val="00E709E1"/>
    <w:rsid w:val="00E70C23"/>
    <w:rsid w:val="00E71322"/>
    <w:rsid w:val="00E719C5"/>
    <w:rsid w:val="00E723CC"/>
    <w:rsid w:val="00E724AE"/>
    <w:rsid w:val="00E73172"/>
    <w:rsid w:val="00E73377"/>
    <w:rsid w:val="00E73ADA"/>
    <w:rsid w:val="00E744D2"/>
    <w:rsid w:val="00E74B9E"/>
    <w:rsid w:val="00E74BCF"/>
    <w:rsid w:val="00E75188"/>
    <w:rsid w:val="00E75260"/>
    <w:rsid w:val="00E75B27"/>
    <w:rsid w:val="00E75CC6"/>
    <w:rsid w:val="00E766F5"/>
    <w:rsid w:val="00E771B9"/>
    <w:rsid w:val="00E773CC"/>
    <w:rsid w:val="00E77BC3"/>
    <w:rsid w:val="00E82ADE"/>
    <w:rsid w:val="00E82ED4"/>
    <w:rsid w:val="00E835BD"/>
    <w:rsid w:val="00E838E3"/>
    <w:rsid w:val="00E84082"/>
    <w:rsid w:val="00E84618"/>
    <w:rsid w:val="00E84ED2"/>
    <w:rsid w:val="00E856E5"/>
    <w:rsid w:val="00E85ACD"/>
    <w:rsid w:val="00E85DE5"/>
    <w:rsid w:val="00E86134"/>
    <w:rsid w:val="00E86239"/>
    <w:rsid w:val="00E8667B"/>
    <w:rsid w:val="00E870B4"/>
    <w:rsid w:val="00E871FB"/>
    <w:rsid w:val="00E875AE"/>
    <w:rsid w:val="00E900E9"/>
    <w:rsid w:val="00E9059F"/>
    <w:rsid w:val="00E90694"/>
    <w:rsid w:val="00E90755"/>
    <w:rsid w:val="00E91CBA"/>
    <w:rsid w:val="00E936B4"/>
    <w:rsid w:val="00E942D8"/>
    <w:rsid w:val="00E946E2"/>
    <w:rsid w:val="00E9473A"/>
    <w:rsid w:val="00E95644"/>
    <w:rsid w:val="00E95DC2"/>
    <w:rsid w:val="00E9615D"/>
    <w:rsid w:val="00E96F02"/>
    <w:rsid w:val="00E977C8"/>
    <w:rsid w:val="00E97F28"/>
    <w:rsid w:val="00EA03FF"/>
    <w:rsid w:val="00EA0698"/>
    <w:rsid w:val="00EA0F79"/>
    <w:rsid w:val="00EA0FA9"/>
    <w:rsid w:val="00EA18E7"/>
    <w:rsid w:val="00EA29F5"/>
    <w:rsid w:val="00EA319A"/>
    <w:rsid w:val="00EA441D"/>
    <w:rsid w:val="00EA53E5"/>
    <w:rsid w:val="00EA5AC0"/>
    <w:rsid w:val="00EA72C6"/>
    <w:rsid w:val="00EB0318"/>
    <w:rsid w:val="00EB03A2"/>
    <w:rsid w:val="00EB1A79"/>
    <w:rsid w:val="00EB1C69"/>
    <w:rsid w:val="00EB2909"/>
    <w:rsid w:val="00EB3977"/>
    <w:rsid w:val="00EB46AC"/>
    <w:rsid w:val="00EB4821"/>
    <w:rsid w:val="00EB5003"/>
    <w:rsid w:val="00EB549A"/>
    <w:rsid w:val="00EB5847"/>
    <w:rsid w:val="00EB5FB3"/>
    <w:rsid w:val="00EB6740"/>
    <w:rsid w:val="00EB69AE"/>
    <w:rsid w:val="00EB6BE4"/>
    <w:rsid w:val="00EC039E"/>
    <w:rsid w:val="00EC158B"/>
    <w:rsid w:val="00EC29CF"/>
    <w:rsid w:val="00EC3FDE"/>
    <w:rsid w:val="00EC4BAC"/>
    <w:rsid w:val="00EC55C5"/>
    <w:rsid w:val="00EC6408"/>
    <w:rsid w:val="00EC64C9"/>
    <w:rsid w:val="00EC653C"/>
    <w:rsid w:val="00EC6A25"/>
    <w:rsid w:val="00EC6B9E"/>
    <w:rsid w:val="00EC7A4E"/>
    <w:rsid w:val="00EC7C9E"/>
    <w:rsid w:val="00ED0484"/>
    <w:rsid w:val="00ED07D9"/>
    <w:rsid w:val="00ED0A0F"/>
    <w:rsid w:val="00ED11C9"/>
    <w:rsid w:val="00ED13B2"/>
    <w:rsid w:val="00ED18CB"/>
    <w:rsid w:val="00ED29B0"/>
    <w:rsid w:val="00ED2BAC"/>
    <w:rsid w:val="00ED2D03"/>
    <w:rsid w:val="00ED2D73"/>
    <w:rsid w:val="00ED2DD7"/>
    <w:rsid w:val="00ED3916"/>
    <w:rsid w:val="00ED3A43"/>
    <w:rsid w:val="00ED4812"/>
    <w:rsid w:val="00ED481E"/>
    <w:rsid w:val="00ED4961"/>
    <w:rsid w:val="00ED4DA3"/>
    <w:rsid w:val="00ED4E3A"/>
    <w:rsid w:val="00ED5205"/>
    <w:rsid w:val="00ED64F9"/>
    <w:rsid w:val="00ED67AD"/>
    <w:rsid w:val="00ED7534"/>
    <w:rsid w:val="00ED7C56"/>
    <w:rsid w:val="00EE0F3C"/>
    <w:rsid w:val="00EE1FBA"/>
    <w:rsid w:val="00EE2E94"/>
    <w:rsid w:val="00EE3C99"/>
    <w:rsid w:val="00EE4730"/>
    <w:rsid w:val="00EE51F9"/>
    <w:rsid w:val="00EE5811"/>
    <w:rsid w:val="00EE5A83"/>
    <w:rsid w:val="00EE5F52"/>
    <w:rsid w:val="00EE6B22"/>
    <w:rsid w:val="00EE7E3A"/>
    <w:rsid w:val="00EF0E98"/>
    <w:rsid w:val="00EF128F"/>
    <w:rsid w:val="00EF21E6"/>
    <w:rsid w:val="00EF2941"/>
    <w:rsid w:val="00EF2A3F"/>
    <w:rsid w:val="00EF2E1C"/>
    <w:rsid w:val="00EF2FD5"/>
    <w:rsid w:val="00EF3425"/>
    <w:rsid w:val="00EF3CFC"/>
    <w:rsid w:val="00EF4C77"/>
    <w:rsid w:val="00EF5611"/>
    <w:rsid w:val="00EF606D"/>
    <w:rsid w:val="00EF6F26"/>
    <w:rsid w:val="00EF748A"/>
    <w:rsid w:val="00F00272"/>
    <w:rsid w:val="00F002B6"/>
    <w:rsid w:val="00F01B9D"/>
    <w:rsid w:val="00F01C68"/>
    <w:rsid w:val="00F01E44"/>
    <w:rsid w:val="00F02577"/>
    <w:rsid w:val="00F02709"/>
    <w:rsid w:val="00F02A69"/>
    <w:rsid w:val="00F03C3D"/>
    <w:rsid w:val="00F0430E"/>
    <w:rsid w:val="00F04627"/>
    <w:rsid w:val="00F04F5A"/>
    <w:rsid w:val="00F057C8"/>
    <w:rsid w:val="00F05833"/>
    <w:rsid w:val="00F05A4A"/>
    <w:rsid w:val="00F06DD4"/>
    <w:rsid w:val="00F07D57"/>
    <w:rsid w:val="00F10D1B"/>
    <w:rsid w:val="00F10FA6"/>
    <w:rsid w:val="00F11485"/>
    <w:rsid w:val="00F11A4A"/>
    <w:rsid w:val="00F11F90"/>
    <w:rsid w:val="00F12295"/>
    <w:rsid w:val="00F1279F"/>
    <w:rsid w:val="00F12991"/>
    <w:rsid w:val="00F12B7D"/>
    <w:rsid w:val="00F13192"/>
    <w:rsid w:val="00F1340D"/>
    <w:rsid w:val="00F13790"/>
    <w:rsid w:val="00F13D43"/>
    <w:rsid w:val="00F14E33"/>
    <w:rsid w:val="00F15180"/>
    <w:rsid w:val="00F15B31"/>
    <w:rsid w:val="00F15B8D"/>
    <w:rsid w:val="00F15B8F"/>
    <w:rsid w:val="00F161EE"/>
    <w:rsid w:val="00F16CF8"/>
    <w:rsid w:val="00F1715F"/>
    <w:rsid w:val="00F17DD1"/>
    <w:rsid w:val="00F21140"/>
    <w:rsid w:val="00F2122E"/>
    <w:rsid w:val="00F22190"/>
    <w:rsid w:val="00F223C8"/>
    <w:rsid w:val="00F227F1"/>
    <w:rsid w:val="00F2309F"/>
    <w:rsid w:val="00F2355E"/>
    <w:rsid w:val="00F242D7"/>
    <w:rsid w:val="00F2508D"/>
    <w:rsid w:val="00F25A4E"/>
    <w:rsid w:val="00F25F88"/>
    <w:rsid w:val="00F26335"/>
    <w:rsid w:val="00F26C02"/>
    <w:rsid w:val="00F26E05"/>
    <w:rsid w:val="00F27129"/>
    <w:rsid w:val="00F27DA5"/>
    <w:rsid w:val="00F27E41"/>
    <w:rsid w:val="00F305BF"/>
    <w:rsid w:val="00F3116F"/>
    <w:rsid w:val="00F3118A"/>
    <w:rsid w:val="00F312AB"/>
    <w:rsid w:val="00F3164C"/>
    <w:rsid w:val="00F31C51"/>
    <w:rsid w:val="00F31CA7"/>
    <w:rsid w:val="00F32C31"/>
    <w:rsid w:val="00F336B0"/>
    <w:rsid w:val="00F346FF"/>
    <w:rsid w:val="00F35134"/>
    <w:rsid w:val="00F35833"/>
    <w:rsid w:val="00F371BF"/>
    <w:rsid w:val="00F371D7"/>
    <w:rsid w:val="00F374C9"/>
    <w:rsid w:val="00F3759E"/>
    <w:rsid w:val="00F4090F"/>
    <w:rsid w:val="00F40A39"/>
    <w:rsid w:val="00F4106C"/>
    <w:rsid w:val="00F4124B"/>
    <w:rsid w:val="00F41A22"/>
    <w:rsid w:val="00F41AE0"/>
    <w:rsid w:val="00F420DF"/>
    <w:rsid w:val="00F4280D"/>
    <w:rsid w:val="00F42B3F"/>
    <w:rsid w:val="00F43529"/>
    <w:rsid w:val="00F4383F"/>
    <w:rsid w:val="00F439C7"/>
    <w:rsid w:val="00F44861"/>
    <w:rsid w:val="00F44E54"/>
    <w:rsid w:val="00F45773"/>
    <w:rsid w:val="00F464A9"/>
    <w:rsid w:val="00F46A1F"/>
    <w:rsid w:val="00F46EA0"/>
    <w:rsid w:val="00F46F59"/>
    <w:rsid w:val="00F4726C"/>
    <w:rsid w:val="00F47739"/>
    <w:rsid w:val="00F47F2A"/>
    <w:rsid w:val="00F50058"/>
    <w:rsid w:val="00F5008F"/>
    <w:rsid w:val="00F51458"/>
    <w:rsid w:val="00F514AB"/>
    <w:rsid w:val="00F51597"/>
    <w:rsid w:val="00F5216D"/>
    <w:rsid w:val="00F52D0D"/>
    <w:rsid w:val="00F5592D"/>
    <w:rsid w:val="00F5596C"/>
    <w:rsid w:val="00F55D67"/>
    <w:rsid w:val="00F564CE"/>
    <w:rsid w:val="00F56660"/>
    <w:rsid w:val="00F56962"/>
    <w:rsid w:val="00F56EE5"/>
    <w:rsid w:val="00F57036"/>
    <w:rsid w:val="00F5775F"/>
    <w:rsid w:val="00F57994"/>
    <w:rsid w:val="00F606BD"/>
    <w:rsid w:val="00F610CD"/>
    <w:rsid w:val="00F615EE"/>
    <w:rsid w:val="00F61801"/>
    <w:rsid w:val="00F62360"/>
    <w:rsid w:val="00F626FC"/>
    <w:rsid w:val="00F62A98"/>
    <w:rsid w:val="00F62CE2"/>
    <w:rsid w:val="00F630EE"/>
    <w:rsid w:val="00F6331B"/>
    <w:rsid w:val="00F63DAA"/>
    <w:rsid w:val="00F642C6"/>
    <w:rsid w:val="00F64848"/>
    <w:rsid w:val="00F65EC5"/>
    <w:rsid w:val="00F6616C"/>
    <w:rsid w:val="00F66F60"/>
    <w:rsid w:val="00F67366"/>
    <w:rsid w:val="00F67470"/>
    <w:rsid w:val="00F675E5"/>
    <w:rsid w:val="00F70EA1"/>
    <w:rsid w:val="00F729C9"/>
    <w:rsid w:val="00F733F3"/>
    <w:rsid w:val="00F7361F"/>
    <w:rsid w:val="00F73734"/>
    <w:rsid w:val="00F73762"/>
    <w:rsid w:val="00F73B8E"/>
    <w:rsid w:val="00F74097"/>
    <w:rsid w:val="00F74B3E"/>
    <w:rsid w:val="00F74CBD"/>
    <w:rsid w:val="00F75139"/>
    <w:rsid w:val="00F7543E"/>
    <w:rsid w:val="00F806A1"/>
    <w:rsid w:val="00F80CF2"/>
    <w:rsid w:val="00F819CA"/>
    <w:rsid w:val="00F81D17"/>
    <w:rsid w:val="00F82113"/>
    <w:rsid w:val="00F82E2E"/>
    <w:rsid w:val="00F82EE5"/>
    <w:rsid w:val="00F83304"/>
    <w:rsid w:val="00F83E06"/>
    <w:rsid w:val="00F84A7D"/>
    <w:rsid w:val="00F84CD8"/>
    <w:rsid w:val="00F851DC"/>
    <w:rsid w:val="00F85BEF"/>
    <w:rsid w:val="00F85F98"/>
    <w:rsid w:val="00F8654F"/>
    <w:rsid w:val="00F86650"/>
    <w:rsid w:val="00F86FCA"/>
    <w:rsid w:val="00F87084"/>
    <w:rsid w:val="00F872DD"/>
    <w:rsid w:val="00F873BE"/>
    <w:rsid w:val="00F87710"/>
    <w:rsid w:val="00F901C7"/>
    <w:rsid w:val="00F90348"/>
    <w:rsid w:val="00F90824"/>
    <w:rsid w:val="00F90C32"/>
    <w:rsid w:val="00F917C7"/>
    <w:rsid w:val="00F91ADB"/>
    <w:rsid w:val="00F9205A"/>
    <w:rsid w:val="00F921DA"/>
    <w:rsid w:val="00F9331D"/>
    <w:rsid w:val="00F93444"/>
    <w:rsid w:val="00F93905"/>
    <w:rsid w:val="00F939B1"/>
    <w:rsid w:val="00F949DC"/>
    <w:rsid w:val="00F95634"/>
    <w:rsid w:val="00F962D0"/>
    <w:rsid w:val="00F963AE"/>
    <w:rsid w:val="00F96AEA"/>
    <w:rsid w:val="00FA0DF4"/>
    <w:rsid w:val="00FA10CD"/>
    <w:rsid w:val="00FA1388"/>
    <w:rsid w:val="00FA227C"/>
    <w:rsid w:val="00FA280C"/>
    <w:rsid w:val="00FA2B50"/>
    <w:rsid w:val="00FA2C17"/>
    <w:rsid w:val="00FA2E6C"/>
    <w:rsid w:val="00FA3D95"/>
    <w:rsid w:val="00FA653E"/>
    <w:rsid w:val="00FA6884"/>
    <w:rsid w:val="00FA7941"/>
    <w:rsid w:val="00FA7C16"/>
    <w:rsid w:val="00FB034C"/>
    <w:rsid w:val="00FB06B6"/>
    <w:rsid w:val="00FB112B"/>
    <w:rsid w:val="00FB169C"/>
    <w:rsid w:val="00FB1B07"/>
    <w:rsid w:val="00FB2904"/>
    <w:rsid w:val="00FB2A4E"/>
    <w:rsid w:val="00FB4BE8"/>
    <w:rsid w:val="00FB56D6"/>
    <w:rsid w:val="00FB585A"/>
    <w:rsid w:val="00FB615A"/>
    <w:rsid w:val="00FB6EC5"/>
    <w:rsid w:val="00FB71AD"/>
    <w:rsid w:val="00FC0072"/>
    <w:rsid w:val="00FC06EC"/>
    <w:rsid w:val="00FC0ED3"/>
    <w:rsid w:val="00FC127E"/>
    <w:rsid w:val="00FC14F9"/>
    <w:rsid w:val="00FC17D1"/>
    <w:rsid w:val="00FC198D"/>
    <w:rsid w:val="00FC199C"/>
    <w:rsid w:val="00FC1D70"/>
    <w:rsid w:val="00FC294E"/>
    <w:rsid w:val="00FC2A81"/>
    <w:rsid w:val="00FC33D4"/>
    <w:rsid w:val="00FC375A"/>
    <w:rsid w:val="00FC3BC5"/>
    <w:rsid w:val="00FC4138"/>
    <w:rsid w:val="00FC5038"/>
    <w:rsid w:val="00FC51D9"/>
    <w:rsid w:val="00FC5A7E"/>
    <w:rsid w:val="00FC6B38"/>
    <w:rsid w:val="00FC6EE6"/>
    <w:rsid w:val="00FC6F4B"/>
    <w:rsid w:val="00FC7258"/>
    <w:rsid w:val="00FC741D"/>
    <w:rsid w:val="00FC772B"/>
    <w:rsid w:val="00FC7B3D"/>
    <w:rsid w:val="00FD00F1"/>
    <w:rsid w:val="00FD0191"/>
    <w:rsid w:val="00FD049F"/>
    <w:rsid w:val="00FD0A59"/>
    <w:rsid w:val="00FD0DC7"/>
    <w:rsid w:val="00FD1EDB"/>
    <w:rsid w:val="00FD28AF"/>
    <w:rsid w:val="00FD2D25"/>
    <w:rsid w:val="00FD397C"/>
    <w:rsid w:val="00FD4A22"/>
    <w:rsid w:val="00FD5013"/>
    <w:rsid w:val="00FD50EA"/>
    <w:rsid w:val="00FD5C9F"/>
    <w:rsid w:val="00FD5E04"/>
    <w:rsid w:val="00FD6E0E"/>
    <w:rsid w:val="00FD6F50"/>
    <w:rsid w:val="00FD7100"/>
    <w:rsid w:val="00FD7EEF"/>
    <w:rsid w:val="00FE0A18"/>
    <w:rsid w:val="00FE1594"/>
    <w:rsid w:val="00FE4190"/>
    <w:rsid w:val="00FE42DA"/>
    <w:rsid w:val="00FE4975"/>
    <w:rsid w:val="00FE4AB7"/>
    <w:rsid w:val="00FE5BCB"/>
    <w:rsid w:val="00FE66D4"/>
    <w:rsid w:val="00FE77F2"/>
    <w:rsid w:val="00FE7815"/>
    <w:rsid w:val="00FF0535"/>
    <w:rsid w:val="00FF05F7"/>
    <w:rsid w:val="00FF0874"/>
    <w:rsid w:val="00FF0BC0"/>
    <w:rsid w:val="00FF25FE"/>
    <w:rsid w:val="00FF2A76"/>
    <w:rsid w:val="00FF3126"/>
    <w:rsid w:val="00FF34C9"/>
    <w:rsid w:val="00FF3A38"/>
    <w:rsid w:val="00FF3F00"/>
    <w:rsid w:val="00FF4CF3"/>
    <w:rsid w:val="00FF4E56"/>
    <w:rsid w:val="00FF4E9C"/>
    <w:rsid w:val="00FF5270"/>
    <w:rsid w:val="00FF5BB7"/>
    <w:rsid w:val="00FF5C0A"/>
    <w:rsid w:val="00FF5FE8"/>
    <w:rsid w:val="00FF6862"/>
    <w:rsid w:val="00FF76B9"/>
    <w:rsid w:val="00FF7F4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FBE3597-BF89-4F5C-AB60-BC9B87C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95"/>
    <w:pPr>
      <w:widowControl w:val="0"/>
      <w:jc w:val="both"/>
    </w:pPr>
    <w:rPr>
      <w:kern w:val="2"/>
      <w:sz w:val="21"/>
      <w:szCs w:val="24"/>
    </w:rPr>
  </w:style>
  <w:style w:type="paragraph" w:styleId="Heading1">
    <w:name w:val="heading 1"/>
    <w:aliases w:val="H1,Heading 0"/>
    <w:basedOn w:val="Normal"/>
    <w:next w:val="Normal"/>
    <w:qFormat/>
    <w:rsid w:val="00A21195"/>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Titr,h2,l2,proj2,proj21,proj210,proj211,proj212,proj22,proj221,proj23,proj231,proj24,proj241,proj25,proj251,proj26,proj261,proj27,proj271,proj28,proj281,proj29,标题 2 Char Char"/>
    <w:basedOn w:val="Normal"/>
    <w:next w:val="Normal"/>
    <w:qFormat/>
    <w:rsid w:val="00A21195"/>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A21195"/>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A21195"/>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A21195"/>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A21195"/>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A21195"/>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A21195"/>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A21195"/>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21195"/>
    <w:pPr>
      <w:spacing w:after="120"/>
    </w:pPr>
    <w:rPr>
      <w:sz w:val="16"/>
      <w:szCs w:val="16"/>
    </w:rPr>
  </w:style>
  <w:style w:type="paragraph" w:styleId="TOC1">
    <w:name w:val="toc 1"/>
    <w:basedOn w:val="Normal"/>
    <w:next w:val="Normal"/>
    <w:autoRedefine/>
    <w:uiPriority w:val="39"/>
    <w:rsid w:val="004D1E64"/>
    <w:pPr>
      <w:tabs>
        <w:tab w:val="left" w:pos="1260"/>
        <w:tab w:val="right" w:leader="dot" w:pos="8296"/>
      </w:tabs>
      <w:jc w:val="left"/>
    </w:pPr>
    <w:rPr>
      <w:rFonts w:ascii="宋体" w:eastAsia="黑体" w:hAnsi="宋体"/>
      <w:caps/>
      <w:noProof/>
      <w:sz w:val="24"/>
      <w:szCs w:val="28"/>
    </w:rPr>
  </w:style>
  <w:style w:type="paragraph" w:styleId="TOC2">
    <w:name w:val="toc 2"/>
    <w:basedOn w:val="Normal"/>
    <w:next w:val="Normal"/>
    <w:autoRedefine/>
    <w:uiPriority w:val="39"/>
    <w:rsid w:val="008E5341"/>
    <w:pPr>
      <w:tabs>
        <w:tab w:val="left" w:pos="2100"/>
        <w:tab w:val="right" w:leader="dot" w:pos="8268"/>
      </w:tabs>
      <w:ind w:left="420" w:firstLine="735" w:leftChars="200" w:firstLineChars="350"/>
      <w:contextualSpacing/>
      <w:jc w:val="left"/>
      <w:textAlignment w:val="top"/>
    </w:pPr>
    <w:rPr>
      <w:rFonts w:eastAsia="仿宋_GB2312"/>
      <w:smallCaps/>
      <w:noProof/>
      <w:szCs w:val="20"/>
    </w:rPr>
  </w:style>
  <w:style w:type="paragraph" w:customStyle="1" w:styleId="1">
    <w:name w:val="样式 标题 1 + 黑体 非加粗"/>
    <w:basedOn w:val="Heading1"/>
    <w:rsid w:val="00A21195"/>
    <w:pPr>
      <w:pageBreakBefore/>
    </w:pPr>
    <w:rPr>
      <w:rFonts w:hAnsi="黑体"/>
      <w:b/>
    </w:rPr>
  </w:style>
  <w:style w:type="paragraph" w:styleId="Header">
    <w:name w:val="header"/>
    <w:basedOn w:val="Normal"/>
    <w:rsid w:val="00A21195"/>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A21195"/>
  </w:style>
  <w:style w:type="paragraph" w:styleId="Footer">
    <w:name w:val="footer"/>
    <w:basedOn w:val="Normal"/>
    <w:link w:val="Char"/>
    <w:uiPriority w:val="99"/>
    <w:rsid w:val="00A21195"/>
    <w:pPr>
      <w:tabs>
        <w:tab w:val="center" w:pos="4153"/>
        <w:tab w:val="right" w:pos="8306"/>
      </w:tabs>
      <w:snapToGrid w:val="0"/>
      <w:ind w:firstLine="200" w:firstLineChars="200"/>
      <w:jc w:val="left"/>
    </w:pPr>
    <w:rPr>
      <w:rFonts w:eastAsia="仿宋_GB2312"/>
      <w:sz w:val="18"/>
      <w:szCs w:val="20"/>
    </w:rPr>
  </w:style>
  <w:style w:type="paragraph" w:styleId="Title">
    <w:name w:val="Title"/>
    <w:basedOn w:val="Normal"/>
    <w:qFormat/>
    <w:rsid w:val="00A21195"/>
    <w:pPr>
      <w:spacing w:before="240" w:after="60"/>
      <w:jc w:val="center"/>
      <w:outlineLvl w:val="0"/>
    </w:pPr>
    <w:rPr>
      <w:rFonts w:ascii="Arial" w:hAnsi="Arial" w:cs="Arial"/>
      <w:b/>
      <w:bCs/>
      <w:sz w:val="32"/>
      <w:szCs w:val="32"/>
    </w:rPr>
  </w:style>
  <w:style w:type="paragraph" w:styleId="Closing">
    <w:name w:val="Closing"/>
    <w:basedOn w:val="Normal"/>
    <w:rsid w:val="00A21195"/>
    <w:pPr>
      <w:ind w:left="100" w:leftChars="2100"/>
    </w:pPr>
  </w:style>
  <w:style w:type="paragraph" w:styleId="ListNumber">
    <w:name w:val="List Number"/>
    <w:basedOn w:val="Normal"/>
    <w:rsid w:val="00A21195"/>
    <w:pPr>
      <w:tabs>
        <w:tab w:val="num" w:pos="360"/>
      </w:tabs>
      <w:ind w:left="360" w:hanging="360" w:hangingChars="200"/>
    </w:pPr>
  </w:style>
  <w:style w:type="paragraph" w:styleId="ListNumber2">
    <w:name w:val="List Number 2"/>
    <w:basedOn w:val="Normal"/>
    <w:rsid w:val="00A21195"/>
    <w:pPr>
      <w:tabs>
        <w:tab w:val="num" w:pos="780"/>
      </w:tabs>
      <w:ind w:left="780" w:hanging="360" w:leftChars="200" w:hangingChars="200"/>
    </w:pPr>
  </w:style>
  <w:style w:type="paragraph" w:styleId="ListNumber3">
    <w:name w:val="List Number 3"/>
    <w:basedOn w:val="Normal"/>
    <w:rsid w:val="00A21195"/>
    <w:pPr>
      <w:tabs>
        <w:tab w:val="num" w:pos="1200"/>
      </w:tabs>
      <w:ind w:left="1200" w:hanging="360" w:leftChars="400" w:hangingChars="200"/>
    </w:pPr>
  </w:style>
  <w:style w:type="paragraph" w:styleId="ListNumber4">
    <w:name w:val="List Number 4"/>
    <w:basedOn w:val="Normal"/>
    <w:rsid w:val="00A21195"/>
    <w:pPr>
      <w:tabs>
        <w:tab w:val="num" w:pos="1620"/>
      </w:tabs>
      <w:ind w:left="1620" w:hanging="360" w:leftChars="600" w:hangingChars="200"/>
    </w:pPr>
  </w:style>
  <w:style w:type="paragraph" w:styleId="ListNumber5">
    <w:name w:val="List Number 5"/>
    <w:basedOn w:val="Normal"/>
    <w:rsid w:val="00A21195"/>
    <w:pPr>
      <w:tabs>
        <w:tab w:val="num" w:pos="2040"/>
      </w:tabs>
      <w:ind w:left="2040" w:hanging="360" w:leftChars="800" w:hangingChars="200"/>
    </w:pPr>
  </w:style>
  <w:style w:type="paragraph" w:styleId="ListBullet">
    <w:name w:val="List Bullet"/>
    <w:basedOn w:val="Normal"/>
    <w:autoRedefine/>
    <w:rsid w:val="00A21195"/>
    <w:pPr>
      <w:tabs>
        <w:tab w:val="num" w:pos="360"/>
      </w:tabs>
      <w:ind w:left="360" w:hanging="360" w:hangingChars="200"/>
    </w:pPr>
  </w:style>
  <w:style w:type="paragraph" w:styleId="ListBullet2">
    <w:name w:val="List Bullet 2"/>
    <w:basedOn w:val="Normal"/>
    <w:autoRedefine/>
    <w:rsid w:val="00A21195"/>
    <w:pPr>
      <w:tabs>
        <w:tab w:val="num" w:pos="780"/>
      </w:tabs>
      <w:ind w:left="780" w:hanging="360" w:leftChars="200" w:hangingChars="200"/>
    </w:pPr>
  </w:style>
  <w:style w:type="paragraph" w:styleId="ListBullet3">
    <w:name w:val="List Bullet 3"/>
    <w:basedOn w:val="Normal"/>
    <w:autoRedefine/>
    <w:rsid w:val="00A21195"/>
    <w:pPr>
      <w:tabs>
        <w:tab w:val="num" w:pos="1200"/>
      </w:tabs>
      <w:ind w:left="1200" w:hanging="360" w:leftChars="400" w:hangingChars="200"/>
    </w:pPr>
  </w:style>
  <w:style w:type="paragraph" w:styleId="ListBullet4">
    <w:name w:val="List Bullet 4"/>
    <w:basedOn w:val="Normal"/>
    <w:autoRedefine/>
    <w:rsid w:val="00A21195"/>
    <w:pPr>
      <w:tabs>
        <w:tab w:val="num" w:pos="1620"/>
      </w:tabs>
      <w:ind w:left="1620" w:hanging="360" w:leftChars="600" w:hangingChars="200"/>
    </w:pPr>
  </w:style>
  <w:style w:type="paragraph" w:styleId="ListBullet5">
    <w:name w:val="List Bullet 5"/>
    <w:basedOn w:val="Normal"/>
    <w:autoRedefine/>
    <w:rsid w:val="00A21195"/>
    <w:pPr>
      <w:tabs>
        <w:tab w:val="num" w:pos="2040"/>
      </w:tabs>
      <w:ind w:left="2040" w:hanging="360" w:leftChars="800" w:hangingChars="200"/>
    </w:pPr>
  </w:style>
  <w:style w:type="paragraph" w:styleId="TableofFigures">
    <w:name w:val="table of figures"/>
    <w:basedOn w:val="Normal"/>
    <w:next w:val="Normal"/>
    <w:semiHidden/>
    <w:rsid w:val="00A21195"/>
    <w:pPr>
      <w:ind w:left="840" w:hanging="420" w:leftChars="200" w:hangingChars="200"/>
    </w:pPr>
  </w:style>
  <w:style w:type="paragraph" w:styleId="BodyText">
    <w:name w:val="Body Text"/>
    <w:basedOn w:val="Normal"/>
    <w:link w:val="Char2"/>
    <w:rsid w:val="00A21195"/>
    <w:pPr>
      <w:spacing w:after="120"/>
    </w:pPr>
  </w:style>
  <w:style w:type="paragraph" w:styleId="BodyTextFirstIndent">
    <w:name w:val="Body Text First Indent"/>
    <w:basedOn w:val="BodyText"/>
    <w:rsid w:val="00A21195"/>
    <w:pPr>
      <w:ind w:firstLine="420" w:firstLineChars="100"/>
    </w:pPr>
  </w:style>
  <w:style w:type="paragraph" w:styleId="BodyTextIndent">
    <w:name w:val="Body Text Indent"/>
    <w:basedOn w:val="Normal"/>
    <w:rsid w:val="00A21195"/>
    <w:pPr>
      <w:spacing w:after="120"/>
      <w:ind w:left="420"/>
    </w:pPr>
  </w:style>
  <w:style w:type="paragraph" w:styleId="NoteHeading">
    <w:name w:val="Note Heading"/>
    <w:basedOn w:val="Normal"/>
    <w:next w:val="Normal"/>
    <w:rsid w:val="00A21195"/>
    <w:pPr>
      <w:jc w:val="center"/>
    </w:pPr>
  </w:style>
  <w:style w:type="character" w:customStyle="1" w:styleId="da">
    <w:name w:val="da"/>
    <w:basedOn w:val="DefaultParagraphFont"/>
    <w:qFormat/>
    <w:rsid w:val="00A21195"/>
  </w:style>
  <w:style w:type="paragraph" w:customStyle="1" w:styleId="a">
    <w:name w:val="特点"/>
    <w:aliases w:val="正文非缩进,段1,表正文"/>
    <w:basedOn w:val="Normal"/>
    <w:next w:val="NormalIndent"/>
    <w:rsid w:val="00A21195"/>
    <w:pPr>
      <w:ind w:firstLine="420"/>
    </w:pPr>
    <w:rPr>
      <w:szCs w:val="20"/>
    </w:rPr>
  </w:style>
  <w:style w:type="paragraph" w:styleId="NormalIndent">
    <w:name w:val="Normal Indent"/>
    <w:aliases w:val="ALT+Z,正文缩进1"/>
    <w:basedOn w:val="Normal"/>
    <w:rsid w:val="00A21195"/>
    <w:pPr>
      <w:ind w:firstLine="420"/>
    </w:pPr>
  </w:style>
  <w:style w:type="paragraph" w:styleId="BodyTextIndent3">
    <w:name w:val="Body Text Indent 3"/>
    <w:basedOn w:val="Normal"/>
    <w:rsid w:val="00A21195"/>
    <w:pPr>
      <w:spacing w:after="120"/>
      <w:ind w:left="420"/>
    </w:pPr>
    <w:rPr>
      <w:sz w:val="16"/>
      <w:szCs w:val="16"/>
    </w:rPr>
  </w:style>
  <w:style w:type="paragraph" w:styleId="PlainText">
    <w:name w:val="Plain Text"/>
    <w:basedOn w:val="Normal"/>
    <w:link w:val="Char3"/>
    <w:rsid w:val="00A21195"/>
    <w:rPr>
      <w:rFonts w:ascii="宋体" w:hAnsi="Courier New" w:cs="Courier New"/>
      <w:szCs w:val="21"/>
    </w:rPr>
  </w:style>
  <w:style w:type="character" w:styleId="Hyperlink">
    <w:name w:val="Hyperlink"/>
    <w:basedOn w:val="DefaultParagraphFont"/>
    <w:uiPriority w:val="99"/>
    <w:rsid w:val="00A21195"/>
    <w:rPr>
      <w:color w:val="0000FF"/>
      <w:u w:val="single"/>
    </w:rPr>
  </w:style>
  <w:style w:type="paragraph" w:styleId="BodyTextIndent2">
    <w:name w:val="Body Text Indent 2"/>
    <w:basedOn w:val="Normal"/>
    <w:rsid w:val="00A21195"/>
    <w:pPr>
      <w:spacing w:after="120" w:line="480" w:lineRule="auto"/>
      <w:ind w:left="420"/>
    </w:pPr>
  </w:style>
  <w:style w:type="paragraph" w:styleId="BodyText2">
    <w:name w:val="Body Text 2"/>
    <w:basedOn w:val="Normal"/>
    <w:rsid w:val="00A21195"/>
    <w:pPr>
      <w:spacing w:after="120" w:line="480" w:lineRule="auto"/>
    </w:pPr>
  </w:style>
  <w:style w:type="character" w:styleId="FollowedHyperlink">
    <w:name w:val="FollowedHyperlink"/>
    <w:basedOn w:val="DefaultParagraphFont"/>
    <w:rsid w:val="00A21195"/>
    <w:rPr>
      <w:color w:val="800080"/>
      <w:u w:val="single"/>
    </w:rPr>
  </w:style>
  <w:style w:type="paragraph" w:styleId="HTMLPreformatted">
    <w:name w:val="HTML Preformatted"/>
    <w:basedOn w:val="Normal"/>
    <w:link w:val="HTMLChar"/>
    <w:uiPriority w:val="99"/>
    <w:rsid w:val="00A21195"/>
    <w:rPr>
      <w:rFonts w:ascii="Courier New" w:hAnsi="Courier New" w:cs="Courier New"/>
      <w:sz w:val="20"/>
      <w:szCs w:val="20"/>
    </w:rPr>
  </w:style>
  <w:style w:type="paragraph" w:styleId="NormalWeb">
    <w:name w:val="Normal (Web)"/>
    <w:basedOn w:val="Normal"/>
    <w:uiPriority w:val="99"/>
    <w:rsid w:val="00A21195"/>
    <w:rPr>
      <w:sz w:val="24"/>
    </w:rPr>
  </w:style>
  <w:style w:type="paragraph" w:styleId="Subtitle">
    <w:name w:val="Subtitle"/>
    <w:basedOn w:val="Normal"/>
    <w:qFormat/>
    <w:rsid w:val="00A21195"/>
    <w:pPr>
      <w:spacing w:before="240" w:after="60" w:line="312" w:lineRule="auto"/>
      <w:jc w:val="center"/>
      <w:outlineLvl w:val="1"/>
    </w:pPr>
    <w:rPr>
      <w:rFonts w:ascii="Arial" w:hAnsi="Arial" w:cs="Arial"/>
      <w:b/>
      <w:bCs/>
      <w:kern w:val="28"/>
      <w:sz w:val="32"/>
      <w:szCs w:val="32"/>
    </w:rPr>
  </w:style>
  <w:style w:type="paragraph" w:styleId="BlockText">
    <w:name w:val="Block Text"/>
    <w:basedOn w:val="Normal"/>
    <w:rsid w:val="00A21195"/>
    <w:pPr>
      <w:spacing w:after="120"/>
      <w:ind w:left="1440" w:right="1440"/>
    </w:pPr>
  </w:style>
  <w:style w:type="character" w:styleId="Strong">
    <w:name w:val="Strong"/>
    <w:basedOn w:val="DefaultParagraphFont"/>
    <w:qFormat/>
    <w:rsid w:val="00A21195"/>
    <w:rPr>
      <w:b/>
      <w:bCs/>
    </w:rPr>
  </w:style>
  <w:style w:type="paragraph" w:styleId="DocumentMap">
    <w:name w:val="Document Map"/>
    <w:basedOn w:val="Normal"/>
    <w:semiHidden/>
    <w:rsid w:val="00A21195"/>
    <w:pPr>
      <w:shd w:val="clear" w:color="auto" w:fill="000080"/>
    </w:pPr>
  </w:style>
  <w:style w:type="character" w:styleId="FootnoteReference">
    <w:name w:val="footnote reference"/>
    <w:basedOn w:val="DefaultParagraphFont"/>
    <w:semiHidden/>
    <w:rsid w:val="00A21195"/>
    <w:rPr>
      <w:vertAlign w:val="superscript"/>
    </w:rPr>
  </w:style>
  <w:style w:type="paragraph" w:styleId="BalloonText">
    <w:name w:val="Balloon Text"/>
    <w:basedOn w:val="Normal"/>
    <w:semiHidden/>
    <w:rsid w:val="00A21195"/>
    <w:rPr>
      <w:sz w:val="18"/>
      <w:szCs w:val="18"/>
    </w:rPr>
  </w:style>
  <w:style w:type="character" w:customStyle="1" w:styleId="read">
    <w:name w:val="read"/>
    <w:basedOn w:val="DefaultParagraphFont"/>
    <w:rsid w:val="00A21195"/>
  </w:style>
  <w:style w:type="paragraph" w:styleId="CommentSubject">
    <w:name w:val="annotation subject"/>
    <w:basedOn w:val="CommentText"/>
    <w:next w:val="CommentText"/>
    <w:semiHidden/>
    <w:rsid w:val="00A21195"/>
    <w:rPr>
      <w:b/>
      <w:bCs/>
    </w:rPr>
  </w:style>
  <w:style w:type="paragraph" w:styleId="CommentText">
    <w:name w:val="annotation text"/>
    <w:basedOn w:val="Normal"/>
    <w:link w:val="Char0"/>
    <w:rsid w:val="00A21195"/>
    <w:pPr>
      <w:jc w:val="left"/>
    </w:pPr>
  </w:style>
  <w:style w:type="character" w:styleId="CommentReference">
    <w:name w:val="annotation reference"/>
    <w:basedOn w:val="DefaultParagraphFont"/>
    <w:rsid w:val="00A21195"/>
    <w:rPr>
      <w:sz w:val="21"/>
      <w:szCs w:val="21"/>
    </w:rPr>
  </w:style>
  <w:style w:type="paragraph" w:styleId="TOC3">
    <w:name w:val="toc 3"/>
    <w:basedOn w:val="Normal"/>
    <w:next w:val="Normal"/>
    <w:autoRedefine/>
    <w:uiPriority w:val="39"/>
    <w:rsid w:val="00AB77B4"/>
    <w:pPr>
      <w:ind w:left="840" w:leftChars="400"/>
    </w:pPr>
  </w:style>
  <w:style w:type="paragraph" w:styleId="TOC4">
    <w:name w:val="toc 4"/>
    <w:basedOn w:val="Normal"/>
    <w:next w:val="Normal"/>
    <w:autoRedefine/>
    <w:uiPriority w:val="39"/>
    <w:rsid w:val="00AB77B4"/>
    <w:pPr>
      <w:ind w:left="1260" w:leftChars="600"/>
    </w:pPr>
  </w:style>
  <w:style w:type="paragraph" w:styleId="TOC5">
    <w:name w:val="toc 5"/>
    <w:basedOn w:val="Normal"/>
    <w:next w:val="Normal"/>
    <w:autoRedefine/>
    <w:uiPriority w:val="39"/>
    <w:rsid w:val="00AB77B4"/>
    <w:pPr>
      <w:ind w:left="1680" w:leftChars="800"/>
    </w:pPr>
  </w:style>
  <w:style w:type="paragraph" w:styleId="TOC6">
    <w:name w:val="toc 6"/>
    <w:basedOn w:val="Normal"/>
    <w:next w:val="Normal"/>
    <w:autoRedefine/>
    <w:uiPriority w:val="39"/>
    <w:rsid w:val="00AB77B4"/>
    <w:pPr>
      <w:ind w:left="2100" w:leftChars="1000"/>
    </w:pPr>
  </w:style>
  <w:style w:type="paragraph" w:styleId="TOC7">
    <w:name w:val="toc 7"/>
    <w:basedOn w:val="Normal"/>
    <w:next w:val="Normal"/>
    <w:autoRedefine/>
    <w:uiPriority w:val="39"/>
    <w:rsid w:val="00AB77B4"/>
    <w:pPr>
      <w:ind w:left="2520" w:leftChars="1200"/>
    </w:pPr>
  </w:style>
  <w:style w:type="paragraph" w:styleId="TOC8">
    <w:name w:val="toc 8"/>
    <w:basedOn w:val="Normal"/>
    <w:next w:val="Normal"/>
    <w:autoRedefine/>
    <w:uiPriority w:val="39"/>
    <w:rsid w:val="00AB77B4"/>
    <w:pPr>
      <w:ind w:left="2940" w:leftChars="1400"/>
    </w:pPr>
  </w:style>
  <w:style w:type="paragraph" w:styleId="TOC9">
    <w:name w:val="toc 9"/>
    <w:basedOn w:val="Normal"/>
    <w:next w:val="Normal"/>
    <w:autoRedefine/>
    <w:uiPriority w:val="39"/>
    <w:rsid w:val="00AB77B4"/>
    <w:pPr>
      <w:ind w:left="3360" w:leftChars="1600"/>
    </w:pPr>
  </w:style>
  <w:style w:type="character" w:styleId="HTMLTypewriter">
    <w:name w:val="HTML Typewriter"/>
    <w:basedOn w:val="DefaultParagraphFont"/>
    <w:rsid w:val="00785666"/>
    <w:rPr>
      <w:rFonts w:ascii="Arial Unicode MS" w:eastAsia="Arial Unicode MS" w:hAnsi="Arial Unicode MS" w:cs="Arial Unicode MS"/>
      <w:kern w:val="2"/>
      <w:sz w:val="20"/>
      <w:szCs w:val="20"/>
      <w:lang w:val="en-US" w:eastAsia="zh-CN" w:bidi="ar-SA"/>
    </w:rPr>
  </w:style>
  <w:style w:type="paragraph" w:customStyle="1" w:styleId="CM59">
    <w:name w:val="CM59"/>
    <w:basedOn w:val="Normal"/>
    <w:next w:val="Normal"/>
    <w:rsid w:val="00180137"/>
    <w:pPr>
      <w:autoSpaceDE w:val="0"/>
      <w:autoSpaceDN w:val="0"/>
      <w:adjustRightInd w:val="0"/>
      <w:spacing w:after="110"/>
      <w:jc w:val="left"/>
    </w:pPr>
    <w:rPr>
      <w:rFonts w:ascii="宋体"/>
      <w:kern w:val="0"/>
      <w:sz w:val="24"/>
    </w:rPr>
  </w:style>
  <w:style w:type="paragraph" w:customStyle="1" w:styleId="Default">
    <w:name w:val="Default"/>
    <w:rsid w:val="007137FA"/>
    <w:pPr>
      <w:widowControl w:val="0"/>
      <w:autoSpaceDE w:val="0"/>
      <w:autoSpaceDN w:val="0"/>
      <w:adjustRightInd w:val="0"/>
    </w:pPr>
    <w:rPr>
      <w:rFonts w:ascii="宋体" w:cs="宋体"/>
      <w:color w:val="000000"/>
      <w:sz w:val="24"/>
      <w:szCs w:val="24"/>
    </w:rPr>
  </w:style>
  <w:style w:type="table" w:styleId="TableGrid">
    <w:name w:val="Table Grid"/>
    <w:basedOn w:val="TableNormal"/>
    <w:uiPriority w:val="59"/>
    <w:rsid w:val="00181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页脚 Char"/>
    <w:basedOn w:val="DefaultParagraphFont"/>
    <w:link w:val="Footer"/>
    <w:uiPriority w:val="99"/>
    <w:rsid w:val="00A63790"/>
    <w:rPr>
      <w:rFonts w:eastAsia="仿宋_GB2312"/>
      <w:kern w:val="2"/>
      <w:sz w:val="18"/>
    </w:rPr>
  </w:style>
  <w:style w:type="character" w:customStyle="1" w:styleId="Char0">
    <w:name w:val="批注文字 Char"/>
    <w:basedOn w:val="DefaultParagraphFont"/>
    <w:link w:val="CommentText"/>
    <w:rsid w:val="009C1E1B"/>
    <w:rPr>
      <w:kern w:val="2"/>
      <w:sz w:val="21"/>
      <w:szCs w:val="24"/>
    </w:rPr>
  </w:style>
  <w:style w:type="paragraph" w:styleId="Revision">
    <w:name w:val="Revision"/>
    <w:hidden/>
    <w:uiPriority w:val="99"/>
    <w:semiHidden/>
    <w:rsid w:val="00F161EE"/>
    <w:rPr>
      <w:kern w:val="2"/>
      <w:sz w:val="21"/>
      <w:szCs w:val="24"/>
    </w:rPr>
  </w:style>
  <w:style w:type="character" w:styleId="Emphasis">
    <w:name w:val="Emphasis"/>
    <w:basedOn w:val="DefaultParagraphFont"/>
    <w:qFormat/>
    <w:rsid w:val="00557861"/>
    <w:rPr>
      <w:i/>
      <w:iCs/>
    </w:rPr>
  </w:style>
  <w:style w:type="paragraph" w:styleId="Date">
    <w:name w:val="Date"/>
    <w:basedOn w:val="Normal"/>
    <w:next w:val="Normal"/>
    <w:link w:val="Char1"/>
    <w:rsid w:val="00294707"/>
    <w:pPr>
      <w:ind w:left="100" w:leftChars="2500"/>
    </w:pPr>
  </w:style>
  <w:style w:type="character" w:customStyle="1" w:styleId="Char1">
    <w:name w:val="日期 Char"/>
    <w:basedOn w:val="DefaultParagraphFont"/>
    <w:link w:val="Date"/>
    <w:rsid w:val="00294707"/>
    <w:rPr>
      <w:kern w:val="2"/>
      <w:sz w:val="21"/>
      <w:szCs w:val="24"/>
    </w:rPr>
  </w:style>
  <w:style w:type="character" w:customStyle="1" w:styleId="Char2">
    <w:name w:val="正文文本 Char"/>
    <w:basedOn w:val="DefaultParagraphFont"/>
    <w:link w:val="BodyText"/>
    <w:rsid w:val="009133D0"/>
    <w:rPr>
      <w:kern w:val="2"/>
      <w:sz w:val="21"/>
      <w:szCs w:val="24"/>
    </w:rPr>
  </w:style>
  <w:style w:type="character" w:customStyle="1" w:styleId="Char3">
    <w:name w:val="纯文本 Char"/>
    <w:link w:val="PlainText"/>
    <w:rsid w:val="001E1053"/>
    <w:rPr>
      <w:rFonts w:ascii="宋体" w:hAnsi="Courier New" w:cs="Courier New"/>
      <w:kern w:val="2"/>
      <w:sz w:val="21"/>
      <w:szCs w:val="21"/>
    </w:rPr>
  </w:style>
  <w:style w:type="character" w:customStyle="1" w:styleId="HTMLChar">
    <w:name w:val="HTML 预设格式 Char"/>
    <w:link w:val="HTMLPreformatted"/>
    <w:uiPriority w:val="99"/>
    <w:rsid w:val="001E1053"/>
    <w:rPr>
      <w:rFonts w:ascii="Courier New" w:hAnsi="Courier New" w:cs="Courier New"/>
      <w:kern w:val="2"/>
    </w:rPr>
  </w:style>
  <w:style w:type="paragraph" w:styleId="ListParagraph">
    <w:name w:val="List Paragraph"/>
    <w:basedOn w:val="Normal"/>
    <w:uiPriority w:val="34"/>
    <w:qFormat/>
    <w:rsid w:val="0042111C"/>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http://www.csindex.com.cn" TargetMode="Externa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yperlink" Target="http://www.hsbc.com" TargetMode="External" /><Relationship Id="rId18" Type="http://schemas.openxmlformats.org/officeDocument/2006/relationships/hyperlink" Target="http://www.efunds.com.cn" TargetMode="External" /><Relationship Id="rId19" Type="http://schemas.openxmlformats.org/officeDocument/2006/relationships/hyperlink" Target="mailto:service@efunds.com.cn" TargetMode="Externa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93FD-3ACA-4CEC-B19D-41B2967C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