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11AD3" w:rsidRPr="00CA0144" w:rsidP="000E7EE2">
      <w:pPr>
        <w:spacing w:line="360" w:lineRule="auto"/>
        <w:jc w:val="center"/>
        <w:rPr>
          <w:b/>
          <w:sz w:val="28"/>
          <w:szCs w:val="28"/>
        </w:rPr>
      </w:pPr>
      <w:bookmarkStart w:id="0" w:name="_GoBack"/>
      <w:bookmarkEnd w:id="0"/>
      <w:r w:rsidRPr="00022F25">
        <w:rPr>
          <w:rFonts w:hint="eastAsia"/>
          <w:b/>
          <w:sz w:val="28"/>
          <w:szCs w:val="28"/>
        </w:rPr>
        <w:t>易方达标普信息科技指数证券投资基金（</w:t>
      </w:r>
      <w:r w:rsidRPr="00022F25">
        <w:rPr>
          <w:rFonts w:hint="eastAsia"/>
          <w:b/>
          <w:sz w:val="28"/>
          <w:szCs w:val="28"/>
        </w:rPr>
        <w:t>LOF</w:t>
      </w:r>
      <w:r w:rsidRPr="00022F25">
        <w:rPr>
          <w:rFonts w:hint="eastAsia"/>
          <w:b/>
          <w:sz w:val="28"/>
          <w:szCs w:val="28"/>
        </w:rPr>
        <w:t>）</w:t>
      </w:r>
      <w:r w:rsidR="00DE1B41">
        <w:rPr>
          <w:rFonts w:hint="eastAsia"/>
          <w:b/>
          <w:sz w:val="28"/>
          <w:szCs w:val="28"/>
        </w:rPr>
        <w:t>溢价风险</w:t>
      </w:r>
      <w:r w:rsidRPr="00CA0144" w:rsidR="00492FF5">
        <w:rPr>
          <w:b/>
          <w:sz w:val="28"/>
          <w:szCs w:val="28"/>
        </w:rPr>
        <w:t>提示公告</w:t>
      </w:r>
    </w:p>
    <w:p w:rsidR="00833068" w:rsidRPr="00DE1B41" w:rsidP="000E7EE2">
      <w:pPr>
        <w:spacing w:line="360" w:lineRule="auto"/>
        <w:rPr>
          <w:sz w:val="24"/>
          <w:szCs w:val="24"/>
        </w:rPr>
      </w:pPr>
    </w:p>
    <w:p w:rsidR="000E7EE2" w:rsidRPr="007B3FD0" w:rsidP="0018524F">
      <w:pPr>
        <w:spacing w:line="360" w:lineRule="auto"/>
        <w:ind w:firstLine="420" w:firstLineChars="200"/>
        <w:rPr>
          <w:rFonts w:asciiTheme="minorEastAsia" w:hAnsiTheme="minorEastAsia"/>
          <w:b/>
          <w:szCs w:val="21"/>
        </w:rPr>
      </w:pPr>
      <w:r w:rsidRPr="00CA0144">
        <w:rPr>
          <w:rFonts w:asciiTheme="minorEastAsia" w:hAnsiTheme="minorEastAsia" w:hint="eastAsia"/>
          <w:szCs w:val="21"/>
        </w:rPr>
        <w:t>近期，易方达基金管理有限公司</w:t>
      </w:r>
      <w:r w:rsidRPr="00CA0144" w:rsidR="00D35E6E">
        <w:rPr>
          <w:rFonts w:asciiTheme="minorEastAsia" w:hAnsiTheme="minorEastAsia" w:hint="eastAsia"/>
          <w:szCs w:val="21"/>
        </w:rPr>
        <w:t>（</w:t>
      </w:r>
      <w:r w:rsidRPr="00CA0144">
        <w:rPr>
          <w:rFonts w:asciiTheme="minorEastAsia" w:hAnsiTheme="minorEastAsia" w:hint="eastAsia"/>
          <w:szCs w:val="21"/>
        </w:rPr>
        <w:t>以下简称“本基金管理人”</w:t>
      </w:r>
      <w:r w:rsidRPr="00CA0144" w:rsidR="00D35E6E">
        <w:rPr>
          <w:rFonts w:asciiTheme="minorEastAsia" w:hAnsiTheme="minorEastAsia" w:hint="eastAsia"/>
          <w:szCs w:val="21"/>
        </w:rPr>
        <w:t>）</w:t>
      </w:r>
      <w:r w:rsidRPr="00CA0144">
        <w:rPr>
          <w:rFonts w:asciiTheme="minorEastAsia" w:hAnsiTheme="minorEastAsia" w:hint="eastAsia"/>
          <w:szCs w:val="21"/>
        </w:rPr>
        <w:t>旗下</w:t>
      </w:r>
      <w:r w:rsidRPr="00022F25" w:rsidR="00780A7C">
        <w:rPr>
          <w:rFonts w:asciiTheme="minorEastAsia" w:hAnsiTheme="minorEastAsia" w:hint="eastAsia"/>
          <w:szCs w:val="21"/>
        </w:rPr>
        <w:t>易方达标普信息科技指数证券投资基金（LOF）</w:t>
      </w:r>
      <w:r w:rsidR="00780A7C">
        <w:rPr>
          <w:rFonts w:asciiTheme="minorEastAsia" w:hAnsiTheme="minorEastAsia" w:hint="eastAsia"/>
          <w:szCs w:val="21"/>
        </w:rPr>
        <w:t>A类人民币份额</w:t>
      </w:r>
      <w:r w:rsidRPr="00CA0144">
        <w:rPr>
          <w:rFonts w:asciiTheme="minorEastAsia" w:hAnsiTheme="minorEastAsia" w:hint="eastAsia"/>
          <w:szCs w:val="21"/>
        </w:rPr>
        <w:t>（基金代码：</w:t>
      </w:r>
      <w:r w:rsidR="00780A7C">
        <w:rPr>
          <w:rFonts w:asciiTheme="minorEastAsia" w:hAnsiTheme="minorEastAsia"/>
          <w:szCs w:val="21"/>
        </w:rPr>
        <w:t>161128</w:t>
      </w:r>
      <w:r w:rsidRPr="00CA0144">
        <w:rPr>
          <w:rFonts w:asciiTheme="minorEastAsia" w:hAnsiTheme="minorEastAsia" w:hint="eastAsia"/>
          <w:szCs w:val="21"/>
        </w:rPr>
        <w:t>，场内简称：</w:t>
      </w:r>
      <w:r w:rsidRPr="00022F25" w:rsidR="00780A7C">
        <w:rPr>
          <w:rFonts w:asciiTheme="minorEastAsia" w:hAnsiTheme="minorEastAsia" w:hint="eastAsia"/>
          <w:szCs w:val="21"/>
        </w:rPr>
        <w:t>标普信息科技LOF</w:t>
      </w:r>
      <w:r w:rsidRPr="00CA0144" w:rsidR="00F01236">
        <w:rPr>
          <w:rFonts w:asciiTheme="minorEastAsia" w:hAnsiTheme="minorEastAsia"/>
          <w:szCs w:val="21"/>
        </w:rPr>
        <w:t>，</w:t>
      </w:r>
      <w:r w:rsidRPr="00CA0144">
        <w:rPr>
          <w:rFonts w:asciiTheme="minorEastAsia" w:hAnsiTheme="minorEastAsia" w:hint="eastAsia"/>
          <w:szCs w:val="21"/>
        </w:rPr>
        <w:t>以下简称“本基金”）二级市场交易价格</w:t>
      </w:r>
      <w:r w:rsidR="009551F2">
        <w:rPr>
          <w:rFonts w:asciiTheme="minorEastAsia" w:hAnsiTheme="minorEastAsia" w:hint="eastAsia"/>
          <w:szCs w:val="21"/>
        </w:rPr>
        <w:t>明显</w:t>
      </w:r>
      <w:r w:rsidR="0018524F">
        <w:rPr>
          <w:rFonts w:asciiTheme="minorEastAsia" w:hAnsiTheme="minorEastAsia" w:hint="eastAsia"/>
          <w:szCs w:val="21"/>
        </w:rPr>
        <w:t>高于基金份额净值。</w:t>
      </w:r>
      <w:r w:rsidR="009E75F5">
        <w:rPr>
          <w:rFonts w:asciiTheme="minorEastAsia" w:hAnsiTheme="minorEastAsia" w:hint="eastAsia"/>
          <w:szCs w:val="21"/>
        </w:rPr>
        <w:t>2</w:t>
      </w:r>
      <w:r w:rsidR="009E75F5">
        <w:rPr>
          <w:rFonts w:asciiTheme="minorEastAsia" w:hAnsiTheme="minorEastAsia"/>
          <w:szCs w:val="21"/>
        </w:rPr>
        <w:t>024</w:t>
      </w:r>
      <w:r w:rsidR="00780A7C">
        <w:rPr>
          <w:rFonts w:asciiTheme="minorEastAsia" w:hAnsiTheme="minorEastAsia"/>
          <w:szCs w:val="21"/>
        </w:rPr>
        <w:t>年</w:t>
      </w:r>
      <w:r w:rsidR="00A61583">
        <w:rPr>
          <w:rFonts w:asciiTheme="minorEastAsia" w:hAnsiTheme="minorEastAsia"/>
          <w:szCs w:val="21"/>
        </w:rPr>
        <w:t>6</w:t>
      </w:r>
      <w:r w:rsidR="00780A7C">
        <w:rPr>
          <w:rFonts w:asciiTheme="minorEastAsia" w:hAnsiTheme="minorEastAsia"/>
          <w:szCs w:val="21"/>
        </w:rPr>
        <w:t>月</w:t>
      </w:r>
      <w:r w:rsidR="00171AD3">
        <w:rPr>
          <w:rFonts w:asciiTheme="minorEastAsia" w:hAnsiTheme="minorEastAsia"/>
          <w:szCs w:val="21"/>
        </w:rPr>
        <w:t>7</w:t>
      </w:r>
      <w:r w:rsidR="00780A7C">
        <w:rPr>
          <w:rFonts w:asciiTheme="minorEastAsia" w:hAnsiTheme="minorEastAsia"/>
          <w:szCs w:val="21"/>
        </w:rPr>
        <w:t>日，</w:t>
      </w:r>
      <w:r w:rsidR="00780A7C">
        <w:rPr>
          <w:rFonts w:ascii="宋体" w:hAnsi="宋体" w:cs="Arial" w:hint="eastAsia"/>
          <w:color w:val="000000"/>
          <w:kern w:val="0"/>
          <w:szCs w:val="21"/>
        </w:rPr>
        <w:t>本基金基金份额净值为</w:t>
      </w:r>
      <w:r w:rsidRPr="00171AD3" w:rsidR="00171AD3">
        <w:rPr>
          <w:rFonts w:ascii="宋体" w:hAnsi="宋体" w:cs="Arial"/>
          <w:color w:val="000000"/>
          <w:kern w:val="0"/>
          <w:szCs w:val="21"/>
        </w:rPr>
        <w:t>4.4293</w:t>
      </w:r>
      <w:r w:rsidRPr="00130D8D" w:rsidR="00780A7C">
        <w:rPr>
          <w:rFonts w:ascii="宋体" w:hAnsi="宋体" w:cs="Arial" w:hint="eastAsia"/>
          <w:color w:val="000000"/>
          <w:kern w:val="0"/>
          <w:szCs w:val="21"/>
        </w:rPr>
        <w:t>元</w:t>
      </w:r>
      <w:r w:rsidR="00780A7C">
        <w:rPr>
          <w:rFonts w:ascii="宋体" w:hAnsi="宋体" w:cs="Arial" w:hint="eastAsia"/>
          <w:color w:val="000000"/>
          <w:kern w:val="0"/>
          <w:szCs w:val="21"/>
        </w:rPr>
        <w:t>，截至</w:t>
      </w:r>
      <w:r w:rsidR="00781B96">
        <w:rPr>
          <w:rFonts w:asciiTheme="minorEastAsia" w:hAnsiTheme="minorEastAsia" w:hint="eastAsia"/>
          <w:szCs w:val="21"/>
        </w:rPr>
        <w:t>202</w:t>
      </w:r>
      <w:r w:rsidR="009E75F5">
        <w:rPr>
          <w:rFonts w:asciiTheme="minorEastAsia" w:hAnsiTheme="minorEastAsia"/>
          <w:szCs w:val="21"/>
        </w:rPr>
        <w:t>4</w:t>
      </w:r>
      <w:r w:rsidR="00DE1B41">
        <w:rPr>
          <w:rFonts w:asciiTheme="minorEastAsia" w:hAnsiTheme="minorEastAsia" w:hint="eastAsia"/>
          <w:szCs w:val="21"/>
        </w:rPr>
        <w:t>年</w:t>
      </w:r>
      <w:r w:rsidR="004A7EE9">
        <w:rPr>
          <w:rFonts w:asciiTheme="minorEastAsia" w:hAnsiTheme="minorEastAsia"/>
          <w:szCs w:val="21"/>
        </w:rPr>
        <w:t>6</w:t>
      </w:r>
      <w:r w:rsidR="00DE1B41">
        <w:rPr>
          <w:rFonts w:asciiTheme="minorEastAsia" w:hAnsiTheme="minorEastAsia" w:hint="eastAsia"/>
          <w:szCs w:val="21"/>
        </w:rPr>
        <w:t>月</w:t>
      </w:r>
      <w:r w:rsidR="00171AD3">
        <w:rPr>
          <w:rFonts w:asciiTheme="minorEastAsia" w:hAnsiTheme="minorEastAsia"/>
          <w:szCs w:val="21"/>
        </w:rPr>
        <w:t>12</w:t>
      </w:r>
      <w:r w:rsidR="00DE1B41">
        <w:rPr>
          <w:rFonts w:asciiTheme="minorEastAsia" w:hAnsiTheme="minorEastAsia" w:hint="eastAsia"/>
          <w:szCs w:val="21"/>
        </w:rPr>
        <w:t>日，</w:t>
      </w:r>
      <w:r w:rsidRPr="00DC225B" w:rsidR="00DE1B41">
        <w:rPr>
          <w:rFonts w:asciiTheme="minorEastAsia" w:hAnsiTheme="minorEastAsia" w:hint="eastAsia"/>
          <w:szCs w:val="21"/>
        </w:rPr>
        <w:t>本基金</w:t>
      </w:r>
      <w:r w:rsidRPr="008D01E9" w:rsidR="00DE1B41">
        <w:rPr>
          <w:rFonts w:asciiTheme="minorEastAsia" w:hAnsiTheme="minorEastAsia" w:hint="eastAsia"/>
          <w:szCs w:val="21"/>
        </w:rPr>
        <w:t>在二级市场的收盘价</w:t>
      </w:r>
      <w:r w:rsidRPr="008C27E6" w:rsidR="00DE1B41">
        <w:rPr>
          <w:rFonts w:asciiTheme="minorEastAsia" w:hAnsiTheme="minorEastAsia" w:hint="eastAsia"/>
          <w:szCs w:val="21"/>
        </w:rPr>
        <w:t>为</w:t>
      </w:r>
      <w:r w:rsidRPr="00A34203" w:rsidR="00330E94">
        <w:rPr>
          <w:rFonts w:asciiTheme="minorEastAsia" w:hAnsiTheme="minorEastAsia"/>
          <w:szCs w:val="21"/>
        </w:rPr>
        <w:t>4.</w:t>
      </w:r>
      <w:r w:rsidRPr="00A34203" w:rsidR="002F3B0D">
        <w:rPr>
          <w:rFonts w:asciiTheme="minorEastAsia" w:hAnsiTheme="minorEastAsia"/>
          <w:szCs w:val="21"/>
        </w:rPr>
        <w:t>9</w:t>
      </w:r>
      <w:r w:rsidR="00A34203">
        <w:rPr>
          <w:rFonts w:asciiTheme="minorEastAsia" w:hAnsiTheme="minorEastAsia"/>
          <w:szCs w:val="21"/>
        </w:rPr>
        <w:t>17</w:t>
      </w:r>
      <w:r w:rsidRPr="00612D34" w:rsidR="00DE1B41">
        <w:rPr>
          <w:rFonts w:asciiTheme="minorEastAsia" w:hAnsiTheme="minorEastAsia" w:hint="eastAsia"/>
          <w:szCs w:val="21"/>
        </w:rPr>
        <w:t>元</w:t>
      </w:r>
      <w:r w:rsidR="0018524F">
        <w:rPr>
          <w:rFonts w:asciiTheme="minorEastAsia" w:hAnsiTheme="minorEastAsia" w:hint="eastAsia"/>
          <w:szCs w:val="21"/>
        </w:rPr>
        <w:t>。</w:t>
      </w:r>
      <w:r w:rsidRPr="00241AEE" w:rsidR="00241AEE">
        <w:rPr>
          <w:rFonts w:asciiTheme="minorEastAsia" w:hAnsiTheme="minorEastAsia" w:hint="eastAsia"/>
          <w:b/>
          <w:szCs w:val="21"/>
        </w:rPr>
        <w:t>特此提示投资者关注二级市场交易价格溢价风险，投资者如果高溢价买入，可能面临较大损失。</w:t>
      </w:r>
    </w:p>
    <w:p w:rsidR="000E7EE2" w:rsidRPr="00CA0144"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为此，本基金管理人声明如下：</w:t>
      </w:r>
    </w:p>
    <w:p w:rsidR="00B25547" w:rsidP="000E7EE2">
      <w:pPr>
        <w:spacing w:line="360" w:lineRule="auto"/>
        <w:ind w:firstLine="420" w:firstLineChars="200"/>
      </w:pPr>
      <w:r w:rsidRPr="00CA0144">
        <w:rPr>
          <w:rFonts w:asciiTheme="minorEastAsia" w:hAnsiTheme="minorEastAsia" w:hint="eastAsia"/>
          <w:szCs w:val="21"/>
        </w:rPr>
        <w:t>1、</w:t>
      </w:r>
      <w: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w:t>
      </w:r>
    </w:p>
    <w:p w:rsidR="00833068" w:rsidRPr="00CA0144"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2、</w:t>
      </w:r>
      <w:r w:rsidRPr="00CA0144" w:rsidR="007B7033">
        <w:rPr>
          <w:rFonts w:asciiTheme="minorEastAsia" w:hAnsiTheme="minorEastAsia" w:hint="eastAsia"/>
          <w:szCs w:val="21"/>
        </w:rPr>
        <w:t>截至</w:t>
      </w:r>
      <w:r w:rsidR="007B7033">
        <w:rPr>
          <w:rFonts w:asciiTheme="minorEastAsia" w:hAnsiTheme="minorEastAsia" w:hint="eastAsia"/>
          <w:szCs w:val="21"/>
        </w:rPr>
        <w:t>目前</w:t>
      </w:r>
      <w:r w:rsidRPr="00CA0144">
        <w:rPr>
          <w:rFonts w:asciiTheme="minorEastAsia" w:hAnsiTheme="minorEastAsia" w:hint="eastAsia"/>
          <w:szCs w:val="21"/>
        </w:rPr>
        <w:t>，本基金运作正常。本基金管理人仍将严格按照法律法规及基金合同的相关规定进行投资运作。</w:t>
      </w:r>
    </w:p>
    <w:p w:rsidR="00833068"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3、截至</w:t>
      </w:r>
      <w:r w:rsidR="007B7033">
        <w:rPr>
          <w:rFonts w:asciiTheme="minorEastAsia" w:hAnsiTheme="minorEastAsia" w:hint="eastAsia"/>
          <w:szCs w:val="21"/>
        </w:rPr>
        <w:t>目前</w:t>
      </w:r>
      <w:r w:rsidRPr="00CA0144">
        <w:rPr>
          <w:rFonts w:asciiTheme="minorEastAsia" w:hAnsiTheme="minorEastAsia" w:hint="eastAsia"/>
          <w:szCs w:val="21"/>
        </w:rPr>
        <w:t>，本基金无其他应披露而未披露的重大信息。本基金管理人仍将严格按照有关规定和要求，及时做好信息披露工作。</w:t>
      </w:r>
    </w:p>
    <w:p w:rsidR="00B25547" w:rsidRPr="00CA0144" w:rsidP="000E7EE2">
      <w:pPr>
        <w:spacing w:line="360" w:lineRule="auto"/>
        <w:ind w:firstLine="420" w:firstLineChars="200"/>
        <w:rPr>
          <w:rFonts w:asciiTheme="minorEastAsia" w:hAnsiTheme="minorEastAsia"/>
          <w:szCs w:val="21"/>
        </w:rPr>
      </w:pPr>
      <w:r>
        <w:rPr>
          <w:rFonts w:asciiTheme="minorEastAsia" w:hAnsiTheme="minorEastAsia" w:hint="eastAsia"/>
          <w:szCs w:val="21"/>
        </w:rPr>
        <w:t>4、</w:t>
      </w:r>
      <w:r w:rsidRPr="00CA0144">
        <w:rPr>
          <w:rFonts w:asciiTheme="minorEastAsia" w:hAnsiTheme="minorEastAsia" w:hint="eastAsia"/>
          <w:szCs w:val="21"/>
        </w:rPr>
        <w:t>本基金二级市场的交易价格，除了有基金份额净值</w:t>
      </w:r>
      <w:r>
        <w:rPr>
          <w:rFonts w:asciiTheme="minorEastAsia" w:hAnsiTheme="minorEastAsia" w:hint="eastAsia"/>
          <w:szCs w:val="21"/>
        </w:rPr>
        <w:t>波动</w:t>
      </w:r>
      <w:r w:rsidRPr="00CA0144">
        <w:rPr>
          <w:rFonts w:asciiTheme="minorEastAsia" w:hAnsiTheme="minorEastAsia" w:hint="eastAsia"/>
          <w:szCs w:val="21"/>
        </w:rPr>
        <w:t>的风险外，还会受到市场供求关系、系统性风险、流动性风险等其他因素的影响，可能使投资者面临损失。</w:t>
      </w:r>
    </w:p>
    <w:p w:rsidR="0065429C" w:rsidRPr="00CA0144" w:rsidP="002B26DA">
      <w:pPr>
        <w:spacing w:line="360" w:lineRule="auto"/>
        <w:ind w:firstLine="420" w:firstLineChars="20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833068" w:rsidRPr="00CA0144" w:rsidP="000E7EE2">
      <w:pPr>
        <w:spacing w:line="360" w:lineRule="auto"/>
        <w:rPr>
          <w:rFonts w:asciiTheme="minorEastAsia" w:hAnsiTheme="minorEastAsia"/>
          <w:szCs w:val="21"/>
        </w:rPr>
      </w:pPr>
      <w:r w:rsidRPr="00CA0144">
        <w:rPr>
          <w:rFonts w:asciiTheme="minorEastAsia" w:hAnsiTheme="minorEastAsia" w:hint="eastAsia"/>
          <w:szCs w:val="21"/>
        </w:rPr>
        <w:t xml:space="preserve">     特此公告。</w:t>
      </w:r>
    </w:p>
    <w:p w:rsidR="00833068" w:rsidRPr="00CA0144" w:rsidP="000E7EE2">
      <w:pPr>
        <w:spacing w:line="360" w:lineRule="auto"/>
        <w:jc w:val="right"/>
        <w:rPr>
          <w:rFonts w:asciiTheme="minorEastAsia" w:hAnsiTheme="minorEastAsia"/>
          <w:szCs w:val="21"/>
        </w:rPr>
      </w:pPr>
      <w:r w:rsidRPr="00CA0144">
        <w:rPr>
          <w:rFonts w:asciiTheme="minorEastAsia" w:hAnsiTheme="minorEastAsia" w:hint="eastAsia"/>
          <w:szCs w:val="21"/>
        </w:rPr>
        <w:t>易方达基金管理有限公司</w:t>
      </w:r>
    </w:p>
    <w:p w:rsidR="00833068" w:rsidRPr="00CA0144" w:rsidP="000E7EE2">
      <w:pPr>
        <w:spacing w:line="360" w:lineRule="auto"/>
        <w:jc w:val="right"/>
        <w:rPr>
          <w:rFonts w:asciiTheme="minorEastAsia" w:hAnsiTheme="minorEastAsia"/>
          <w:szCs w:val="21"/>
        </w:rPr>
      </w:pPr>
      <w:r w:rsidRPr="00CA0144">
        <w:rPr>
          <w:rFonts w:asciiTheme="minorEastAsia" w:hAnsiTheme="minorEastAsia" w:hint="eastAsia"/>
          <w:szCs w:val="21"/>
        </w:rPr>
        <w:t>202</w:t>
      </w:r>
      <w:r w:rsidR="009E75F5">
        <w:rPr>
          <w:rFonts w:asciiTheme="minorEastAsia" w:hAnsiTheme="minorEastAsia"/>
          <w:szCs w:val="21"/>
        </w:rPr>
        <w:t>4</w:t>
      </w:r>
      <w:r w:rsidRPr="00CA0144" w:rsidR="00492FF5">
        <w:rPr>
          <w:rFonts w:asciiTheme="minorEastAsia" w:hAnsiTheme="minorEastAsia" w:hint="eastAsia"/>
          <w:szCs w:val="21"/>
        </w:rPr>
        <w:t>年</w:t>
      </w:r>
      <w:r w:rsidR="00BA7B33">
        <w:rPr>
          <w:rFonts w:asciiTheme="minorEastAsia" w:hAnsiTheme="minorEastAsia"/>
          <w:szCs w:val="21"/>
        </w:rPr>
        <w:t>6</w:t>
      </w:r>
      <w:r w:rsidRPr="00CA0144" w:rsidR="00492FF5">
        <w:rPr>
          <w:rFonts w:asciiTheme="minorEastAsia" w:hAnsiTheme="minorEastAsia" w:hint="eastAsia"/>
          <w:szCs w:val="21"/>
        </w:rPr>
        <w:t>月</w:t>
      </w:r>
      <w:r w:rsidR="00171AD3">
        <w:rPr>
          <w:rFonts w:asciiTheme="minorEastAsia" w:hAnsiTheme="minorEastAsia"/>
          <w:szCs w:val="21"/>
        </w:rPr>
        <w:t>13</w:t>
      </w:r>
      <w:r w:rsidRPr="00CA0144" w:rsidR="00492FF5">
        <w:rPr>
          <w:rFonts w:asciiTheme="minorEastAsia" w:hAnsiTheme="minorEastAsia" w:hint="eastAsia"/>
          <w:szCs w:val="21"/>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68"/>
    <w:rsid w:val="000014CD"/>
    <w:rsid w:val="00022F25"/>
    <w:rsid w:val="00031654"/>
    <w:rsid w:val="000614E1"/>
    <w:rsid w:val="00066220"/>
    <w:rsid w:val="0006705D"/>
    <w:rsid w:val="00073E19"/>
    <w:rsid w:val="00076143"/>
    <w:rsid w:val="00086D9F"/>
    <w:rsid w:val="000956FA"/>
    <w:rsid w:val="000A7C31"/>
    <w:rsid w:val="000B3BC4"/>
    <w:rsid w:val="000C2CE6"/>
    <w:rsid w:val="000D3E08"/>
    <w:rsid w:val="000E7EE2"/>
    <w:rsid w:val="000F65D0"/>
    <w:rsid w:val="001237C8"/>
    <w:rsid w:val="00130D8D"/>
    <w:rsid w:val="001330CC"/>
    <w:rsid w:val="001472CA"/>
    <w:rsid w:val="00151FC8"/>
    <w:rsid w:val="001578D0"/>
    <w:rsid w:val="00171AD3"/>
    <w:rsid w:val="0018524F"/>
    <w:rsid w:val="001A5489"/>
    <w:rsid w:val="002000A5"/>
    <w:rsid w:val="002056B5"/>
    <w:rsid w:val="00241AEE"/>
    <w:rsid w:val="00243315"/>
    <w:rsid w:val="00260E51"/>
    <w:rsid w:val="002768DC"/>
    <w:rsid w:val="00287C36"/>
    <w:rsid w:val="002B26DA"/>
    <w:rsid w:val="002B4F60"/>
    <w:rsid w:val="002D4C4E"/>
    <w:rsid w:val="002E5DB8"/>
    <w:rsid w:val="002F3B0D"/>
    <w:rsid w:val="00311AD3"/>
    <w:rsid w:val="00320F9D"/>
    <w:rsid w:val="00330E94"/>
    <w:rsid w:val="003339A1"/>
    <w:rsid w:val="00361CE0"/>
    <w:rsid w:val="003665C6"/>
    <w:rsid w:val="00374ED0"/>
    <w:rsid w:val="003902B6"/>
    <w:rsid w:val="003B464E"/>
    <w:rsid w:val="003E156E"/>
    <w:rsid w:val="00401A74"/>
    <w:rsid w:val="00402DE5"/>
    <w:rsid w:val="00404C64"/>
    <w:rsid w:val="004151F3"/>
    <w:rsid w:val="0041630E"/>
    <w:rsid w:val="004340AC"/>
    <w:rsid w:val="0049197D"/>
    <w:rsid w:val="00492FF5"/>
    <w:rsid w:val="004A7EE9"/>
    <w:rsid w:val="004C0386"/>
    <w:rsid w:val="004D7C8E"/>
    <w:rsid w:val="004E14C9"/>
    <w:rsid w:val="004E6B01"/>
    <w:rsid w:val="004F08FD"/>
    <w:rsid w:val="004F47FE"/>
    <w:rsid w:val="004F642F"/>
    <w:rsid w:val="00500D69"/>
    <w:rsid w:val="005013E6"/>
    <w:rsid w:val="00523655"/>
    <w:rsid w:val="00546812"/>
    <w:rsid w:val="005819E0"/>
    <w:rsid w:val="005D5987"/>
    <w:rsid w:val="005E7AB6"/>
    <w:rsid w:val="00612D34"/>
    <w:rsid w:val="0065429C"/>
    <w:rsid w:val="00660546"/>
    <w:rsid w:val="00661E8B"/>
    <w:rsid w:val="00663067"/>
    <w:rsid w:val="006656AC"/>
    <w:rsid w:val="00672827"/>
    <w:rsid w:val="00681018"/>
    <w:rsid w:val="00697085"/>
    <w:rsid w:val="006A7340"/>
    <w:rsid w:val="006C49A6"/>
    <w:rsid w:val="006C7E88"/>
    <w:rsid w:val="006F14F0"/>
    <w:rsid w:val="0071645D"/>
    <w:rsid w:val="007303FA"/>
    <w:rsid w:val="0074561D"/>
    <w:rsid w:val="00753659"/>
    <w:rsid w:val="00780A7C"/>
    <w:rsid w:val="00781B96"/>
    <w:rsid w:val="0078526B"/>
    <w:rsid w:val="00792DC7"/>
    <w:rsid w:val="007A0BDF"/>
    <w:rsid w:val="007B3FD0"/>
    <w:rsid w:val="007B7033"/>
    <w:rsid w:val="007C4E45"/>
    <w:rsid w:val="007E45CB"/>
    <w:rsid w:val="007F6BBD"/>
    <w:rsid w:val="007F7D8F"/>
    <w:rsid w:val="008109A3"/>
    <w:rsid w:val="00821B12"/>
    <w:rsid w:val="008271F6"/>
    <w:rsid w:val="00832599"/>
    <w:rsid w:val="00833068"/>
    <w:rsid w:val="00854CA4"/>
    <w:rsid w:val="00877BC0"/>
    <w:rsid w:val="00880A0A"/>
    <w:rsid w:val="00884CCF"/>
    <w:rsid w:val="008854D6"/>
    <w:rsid w:val="008B6C79"/>
    <w:rsid w:val="008C1476"/>
    <w:rsid w:val="008C27E6"/>
    <w:rsid w:val="008D01E9"/>
    <w:rsid w:val="008E0F67"/>
    <w:rsid w:val="008F712F"/>
    <w:rsid w:val="00906C6D"/>
    <w:rsid w:val="00933620"/>
    <w:rsid w:val="009551F2"/>
    <w:rsid w:val="00963997"/>
    <w:rsid w:val="009708A2"/>
    <w:rsid w:val="00977567"/>
    <w:rsid w:val="009A3DEE"/>
    <w:rsid w:val="009A4B36"/>
    <w:rsid w:val="009B187E"/>
    <w:rsid w:val="009E7053"/>
    <w:rsid w:val="009E75F5"/>
    <w:rsid w:val="009F3F1C"/>
    <w:rsid w:val="009F543E"/>
    <w:rsid w:val="00A34203"/>
    <w:rsid w:val="00A61583"/>
    <w:rsid w:val="00A70102"/>
    <w:rsid w:val="00A72212"/>
    <w:rsid w:val="00AA74E2"/>
    <w:rsid w:val="00AB03B7"/>
    <w:rsid w:val="00AC0C70"/>
    <w:rsid w:val="00AC4065"/>
    <w:rsid w:val="00AD16AD"/>
    <w:rsid w:val="00AD6275"/>
    <w:rsid w:val="00AE50C8"/>
    <w:rsid w:val="00B05EFD"/>
    <w:rsid w:val="00B16CDF"/>
    <w:rsid w:val="00B17FE5"/>
    <w:rsid w:val="00B25547"/>
    <w:rsid w:val="00B60061"/>
    <w:rsid w:val="00B86C17"/>
    <w:rsid w:val="00B96144"/>
    <w:rsid w:val="00B97661"/>
    <w:rsid w:val="00BA7B33"/>
    <w:rsid w:val="00BB06C1"/>
    <w:rsid w:val="00BB5132"/>
    <w:rsid w:val="00BB61AB"/>
    <w:rsid w:val="00BC68BB"/>
    <w:rsid w:val="00BD529B"/>
    <w:rsid w:val="00BF3192"/>
    <w:rsid w:val="00C20129"/>
    <w:rsid w:val="00C22E71"/>
    <w:rsid w:val="00C43C6A"/>
    <w:rsid w:val="00C45ACA"/>
    <w:rsid w:val="00C5320B"/>
    <w:rsid w:val="00C5706D"/>
    <w:rsid w:val="00C7607D"/>
    <w:rsid w:val="00C77230"/>
    <w:rsid w:val="00C86B9C"/>
    <w:rsid w:val="00C92832"/>
    <w:rsid w:val="00CA0144"/>
    <w:rsid w:val="00CA02D3"/>
    <w:rsid w:val="00CA3E25"/>
    <w:rsid w:val="00CB36F1"/>
    <w:rsid w:val="00CC1A1B"/>
    <w:rsid w:val="00CE3DA8"/>
    <w:rsid w:val="00D07326"/>
    <w:rsid w:val="00D15889"/>
    <w:rsid w:val="00D22A0A"/>
    <w:rsid w:val="00D2647F"/>
    <w:rsid w:val="00D35E6E"/>
    <w:rsid w:val="00D66957"/>
    <w:rsid w:val="00D66CD5"/>
    <w:rsid w:val="00D70CF4"/>
    <w:rsid w:val="00D716FD"/>
    <w:rsid w:val="00D860B6"/>
    <w:rsid w:val="00DC225B"/>
    <w:rsid w:val="00DE08C9"/>
    <w:rsid w:val="00DE1B41"/>
    <w:rsid w:val="00DE4342"/>
    <w:rsid w:val="00DF15DB"/>
    <w:rsid w:val="00E327E0"/>
    <w:rsid w:val="00E45550"/>
    <w:rsid w:val="00EA508E"/>
    <w:rsid w:val="00EA6C2F"/>
    <w:rsid w:val="00EB1A33"/>
    <w:rsid w:val="00EF0184"/>
    <w:rsid w:val="00EF2DB2"/>
    <w:rsid w:val="00EF4520"/>
    <w:rsid w:val="00EF5374"/>
    <w:rsid w:val="00EF7D1B"/>
    <w:rsid w:val="00F01236"/>
    <w:rsid w:val="00F053D2"/>
    <w:rsid w:val="00F227BB"/>
    <w:rsid w:val="00F54984"/>
    <w:rsid w:val="00F60DEF"/>
    <w:rsid w:val="00F76AA8"/>
    <w:rsid w:val="00F959B0"/>
    <w:rsid w:val="00FB1D6B"/>
    <w:rsid w:val="00FD277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FA29B3AC-5B93-4105-85E6-A6A4678D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681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681018"/>
    <w:rPr>
      <w:sz w:val="18"/>
      <w:szCs w:val="18"/>
    </w:rPr>
  </w:style>
  <w:style w:type="paragraph" w:styleId="Footer">
    <w:name w:val="footer"/>
    <w:basedOn w:val="Normal"/>
    <w:link w:val="Char0"/>
    <w:uiPriority w:val="99"/>
    <w:unhideWhenUsed/>
    <w:rsid w:val="00681018"/>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681018"/>
    <w:rPr>
      <w:sz w:val="18"/>
      <w:szCs w:val="18"/>
    </w:rPr>
  </w:style>
  <w:style w:type="paragraph" w:styleId="BalloonText">
    <w:name w:val="Balloon Text"/>
    <w:basedOn w:val="Normal"/>
    <w:link w:val="Char1"/>
    <w:uiPriority w:val="99"/>
    <w:semiHidden/>
    <w:unhideWhenUsed/>
    <w:rsid w:val="00DE1B41"/>
    <w:rPr>
      <w:sz w:val="18"/>
      <w:szCs w:val="18"/>
    </w:rPr>
  </w:style>
  <w:style w:type="character" w:customStyle="1" w:styleId="Char1">
    <w:name w:val="批注框文本 Char"/>
    <w:basedOn w:val="DefaultParagraphFont"/>
    <w:link w:val="BalloonText"/>
    <w:uiPriority w:val="99"/>
    <w:semiHidden/>
    <w:rsid w:val="00DE1B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158F-895C-49AA-8CF9-FB9D4985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