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ED56" w14:textId="35ECFA3A" w:rsidR="007371E2" w:rsidRPr="002066FC" w:rsidRDefault="00F15110" w:rsidP="007371E2">
      <w:pPr>
        <w:spacing w:line="360" w:lineRule="auto"/>
        <w:jc w:val="center"/>
        <w:rPr>
          <w:rFonts w:asciiTheme="minorEastAsia" w:hAnsiTheme="minorEastAsia" w:cs="方正黑体简体"/>
          <w:b/>
          <w:iCs/>
          <w:sz w:val="28"/>
          <w:szCs w:val="28"/>
        </w:rPr>
      </w:pPr>
      <w:r w:rsidRPr="00F15110">
        <w:rPr>
          <w:rFonts w:asciiTheme="minorEastAsia" w:hAnsiTheme="minorEastAsia" w:cs="方正黑体简体" w:hint="eastAsia"/>
          <w:b/>
          <w:iCs/>
          <w:sz w:val="28"/>
          <w:szCs w:val="28"/>
        </w:rPr>
        <w:t>汇添富中证港股通高股息投资交易型开放式指数证券投资基金联接基金（LOF）</w:t>
      </w:r>
      <w:r w:rsidRPr="002066FC">
        <w:rPr>
          <w:rFonts w:asciiTheme="minorEastAsia" w:hAnsiTheme="minorEastAsia" w:cs="方正黑体简体"/>
          <w:b/>
          <w:iCs/>
          <w:sz w:val="28"/>
          <w:szCs w:val="28"/>
        </w:rPr>
        <w:t>C类份额基金产品资料概要</w:t>
      </w:r>
    </w:p>
    <w:p w14:paraId="01BB183B" w14:textId="3D5C399A" w:rsidR="00F15110" w:rsidRPr="00D775F8" w:rsidRDefault="0010060E" w:rsidP="00F15110">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00F15110" w:rsidRPr="00D775F8">
        <w:rPr>
          <w:rFonts w:asciiTheme="minorEastAsia" w:hAnsiTheme="minorEastAsia" w:cs="方正仿宋简体" w:hint="eastAsia"/>
          <w:bCs/>
          <w:iCs/>
          <w:szCs w:val="21"/>
        </w:rPr>
        <w:t>编制日期：</w:t>
      </w:r>
      <w:r w:rsidR="00F15110" w:rsidRPr="00D775F8">
        <w:rPr>
          <w:rFonts w:asciiTheme="minorEastAsia" w:hAnsiTheme="minorEastAsia" w:cs="Times New Roman"/>
          <w:szCs w:val="21"/>
        </w:rPr>
        <w:t>202</w:t>
      </w:r>
      <w:r w:rsidR="00F15110">
        <w:rPr>
          <w:rFonts w:asciiTheme="minorEastAsia" w:hAnsiTheme="minorEastAsia" w:cs="Times New Roman"/>
          <w:szCs w:val="21"/>
        </w:rPr>
        <w:t>4</w:t>
      </w:r>
      <w:r w:rsidR="00F15110" w:rsidRPr="00D775F8">
        <w:rPr>
          <w:rFonts w:asciiTheme="minorEastAsia" w:hAnsiTheme="minorEastAsia" w:cs="Times New Roman"/>
          <w:szCs w:val="21"/>
        </w:rPr>
        <w:t>年</w:t>
      </w:r>
      <w:r w:rsidR="008B1160">
        <w:rPr>
          <w:rFonts w:asciiTheme="minorEastAsia" w:hAnsiTheme="minorEastAsia" w:cs="Times New Roman"/>
          <w:szCs w:val="21"/>
        </w:rPr>
        <w:t>6</w:t>
      </w:r>
      <w:r w:rsidR="00F15110" w:rsidRPr="00D775F8">
        <w:rPr>
          <w:rFonts w:asciiTheme="minorEastAsia" w:hAnsiTheme="minorEastAsia" w:cs="Times New Roman"/>
          <w:szCs w:val="21"/>
        </w:rPr>
        <w:t>月</w:t>
      </w:r>
      <w:r w:rsidR="008B1160">
        <w:rPr>
          <w:rFonts w:asciiTheme="minorEastAsia" w:hAnsiTheme="minorEastAsia" w:cs="Times New Roman"/>
          <w:szCs w:val="21"/>
        </w:rPr>
        <w:t>11</w:t>
      </w:r>
      <w:r w:rsidR="00F15110" w:rsidRPr="00D775F8">
        <w:rPr>
          <w:rFonts w:asciiTheme="minorEastAsia" w:hAnsiTheme="minorEastAsia" w:cs="Times New Roman"/>
          <w:szCs w:val="21"/>
        </w:rPr>
        <w:t>日</w:t>
      </w:r>
    </w:p>
    <w:p w14:paraId="67B4A5B1" w14:textId="14CD22C0" w:rsidR="00F15110" w:rsidRDefault="00F15110" w:rsidP="00F15110">
      <w:pPr>
        <w:spacing w:line="360" w:lineRule="auto"/>
        <w:jc w:val="center"/>
        <w:rPr>
          <w:rFonts w:asciiTheme="minorEastAsia" w:hAnsiTheme="minorEastAsia" w:cs="方正仿宋简体"/>
          <w:iCs/>
          <w:szCs w:val="21"/>
        </w:rPr>
      </w:pPr>
      <w:r w:rsidRPr="00D775F8">
        <w:rPr>
          <w:rFonts w:asciiTheme="minorEastAsia" w:hAnsiTheme="minorEastAsia" w:cs="Times New Roman" w:hint="eastAsia"/>
          <w:bCs/>
          <w:szCs w:val="21"/>
        </w:rPr>
        <w:t>送出日期：</w:t>
      </w:r>
      <w:r w:rsidRPr="00D775F8">
        <w:rPr>
          <w:rFonts w:asciiTheme="minorEastAsia" w:hAnsiTheme="minorEastAsia" w:cs="Times New Roman"/>
          <w:szCs w:val="21"/>
        </w:rPr>
        <w:t>202</w:t>
      </w:r>
      <w:r>
        <w:rPr>
          <w:rFonts w:asciiTheme="minorEastAsia" w:hAnsiTheme="minorEastAsia" w:cs="Times New Roman"/>
          <w:szCs w:val="21"/>
        </w:rPr>
        <w:t>4</w:t>
      </w:r>
      <w:r w:rsidRPr="00D775F8">
        <w:rPr>
          <w:rFonts w:asciiTheme="minorEastAsia" w:hAnsiTheme="minorEastAsia" w:cs="Times New Roman"/>
          <w:szCs w:val="21"/>
        </w:rPr>
        <w:t>年</w:t>
      </w:r>
      <w:r w:rsidR="008B1160">
        <w:rPr>
          <w:rFonts w:asciiTheme="minorEastAsia" w:hAnsiTheme="minorEastAsia" w:cs="Times New Roman"/>
          <w:szCs w:val="21"/>
        </w:rPr>
        <w:t>6</w:t>
      </w:r>
      <w:r w:rsidRPr="00D775F8">
        <w:rPr>
          <w:rFonts w:asciiTheme="minorEastAsia" w:hAnsiTheme="minorEastAsia" w:cs="Times New Roman"/>
          <w:szCs w:val="21"/>
        </w:rPr>
        <w:t>月</w:t>
      </w:r>
      <w:r w:rsidR="008B1160">
        <w:rPr>
          <w:rFonts w:asciiTheme="minorEastAsia" w:hAnsiTheme="minorEastAsia" w:cs="Times New Roman"/>
          <w:szCs w:val="21"/>
        </w:rPr>
        <w:t>12</w:t>
      </w:r>
      <w:r w:rsidRPr="00D775F8">
        <w:rPr>
          <w:rFonts w:asciiTheme="minorEastAsia" w:hAnsiTheme="minorEastAsia" w:cs="Times New Roman"/>
          <w:szCs w:val="21"/>
        </w:rPr>
        <w:t>日</w:t>
      </w:r>
    </w:p>
    <w:p w14:paraId="246A82A8" w14:textId="184D474A" w:rsidR="00D775F8" w:rsidRPr="00F15110" w:rsidRDefault="0010060E" w:rsidP="00F15110">
      <w:pPr>
        <w:spacing w:line="360" w:lineRule="auto"/>
        <w:jc w:val="center"/>
        <w:rPr>
          <w:rFonts w:asciiTheme="minorEastAsia" w:hAnsiTheme="minorEastAsia" w:cs="方正仿宋简体"/>
          <w:iCs/>
          <w:szCs w:val="21"/>
        </w:rPr>
      </w:pPr>
      <w:r w:rsidRPr="0043717A">
        <w:rPr>
          <w:rFonts w:asciiTheme="minorEastAsia" w:hAnsiTheme="minorEastAsia" w:cs="方正黑体简体" w:hint="eastAsia"/>
          <w:bCs/>
          <w:iCs/>
          <w:szCs w:val="21"/>
        </w:rPr>
        <w:t>本概要提供本基金的重要信息，是招募说明书的一部分。</w:t>
      </w:r>
    </w:p>
    <w:p w14:paraId="252323CD" w14:textId="77777777" w:rsidR="00D775F8" w:rsidRPr="0043717A" w:rsidRDefault="0010060E" w:rsidP="00D775F8">
      <w:pPr>
        <w:spacing w:line="360" w:lineRule="auto"/>
        <w:jc w:val="center"/>
        <w:rPr>
          <w:rFonts w:asciiTheme="minorEastAsia" w:hAnsiTheme="minorEastAsia" w:cs="方正仿宋简体"/>
          <w:iCs/>
          <w:szCs w:val="21"/>
        </w:rPr>
        <w:sectPr w:rsidR="00D775F8" w:rsidRPr="0043717A"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作出投资决定前，请阅读完整的招募说明书等销售文件。</w:t>
      </w:r>
    </w:p>
    <w:p w14:paraId="50212EDD" w14:textId="77777777" w:rsidR="00834E25" w:rsidRDefault="0010060E" w:rsidP="00213261">
      <w:pPr>
        <w:pStyle w:val="a3"/>
        <w:numPr>
          <w:ilvl w:val="0"/>
          <w:numId w:val="1"/>
        </w:numPr>
        <w:spacing w:line="360" w:lineRule="auto"/>
        <w:ind w:left="449" w:hangingChars="213" w:hanging="449"/>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14:paraId="240FA163" w14:textId="77777777" w:rsidR="00DF6E25" w:rsidRPr="0074720D" w:rsidRDefault="00DF6E25" w:rsidP="0074720D">
      <w:pPr>
        <w:rPr>
          <w:rFonts w:ascii="宋体" w:eastAsia="宋体" w:hAnsi="宋体" w:cs="方正仿宋简体"/>
          <w:bCs/>
          <w:i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424"/>
        <w:gridCol w:w="1940"/>
        <w:gridCol w:w="2327"/>
      </w:tblGrid>
      <w:tr w:rsidR="000374FE" w14:paraId="29973A89" w14:textId="77777777" w:rsidTr="00705154">
        <w:tc>
          <w:tcPr>
            <w:tcW w:w="1939" w:type="dxa"/>
            <w:shd w:val="clear" w:color="auto" w:fill="FFFFFF"/>
            <w:vAlign w:val="center"/>
          </w:tcPr>
          <w:p w14:paraId="06AF2949"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基金简称</w:t>
            </w:r>
          </w:p>
        </w:tc>
        <w:tc>
          <w:tcPr>
            <w:tcW w:w="2424" w:type="dxa"/>
            <w:shd w:val="clear" w:color="auto" w:fill="FFFFFF"/>
            <w:vAlign w:val="center"/>
          </w:tcPr>
          <w:p w14:paraId="08CF9297" w14:textId="76E1A87C" w:rsidR="00DF6E25" w:rsidRPr="0074720D" w:rsidRDefault="005B4993" w:rsidP="0074720D">
            <w:pPr>
              <w:jc w:val="left"/>
              <w:rPr>
                <w:rFonts w:ascii="宋体" w:eastAsia="宋体" w:hAnsi="宋体" w:cs="宋体"/>
                <w:bCs/>
                <w:iCs/>
                <w:color w:val="000000"/>
                <w:szCs w:val="21"/>
              </w:rPr>
            </w:pPr>
            <w:r w:rsidRPr="005B4993">
              <w:rPr>
                <w:rFonts w:ascii="宋体" w:eastAsia="宋体" w:hAnsi="宋体" w:cs="宋体" w:hint="eastAsia"/>
                <w:bCs/>
                <w:iCs/>
                <w:color w:val="000000"/>
                <w:szCs w:val="21"/>
              </w:rPr>
              <w:t>汇添富中证港股通高股息投资ETF联接（LOF）</w:t>
            </w:r>
          </w:p>
        </w:tc>
        <w:tc>
          <w:tcPr>
            <w:tcW w:w="1940" w:type="dxa"/>
            <w:shd w:val="clear" w:color="auto" w:fill="FFFFFF"/>
            <w:vAlign w:val="center"/>
          </w:tcPr>
          <w:p w14:paraId="1E375FC2"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基金代码</w:t>
            </w:r>
          </w:p>
        </w:tc>
        <w:tc>
          <w:tcPr>
            <w:tcW w:w="2327" w:type="dxa"/>
            <w:shd w:val="clear" w:color="auto" w:fill="FFFFFF"/>
            <w:vAlign w:val="center"/>
          </w:tcPr>
          <w:p w14:paraId="4D615218"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501305</w:t>
            </w:r>
          </w:p>
        </w:tc>
      </w:tr>
      <w:tr w:rsidR="000374FE" w14:paraId="4443DACA" w14:textId="77777777" w:rsidTr="00705154">
        <w:tc>
          <w:tcPr>
            <w:tcW w:w="1939" w:type="dxa"/>
            <w:shd w:val="clear" w:color="auto" w:fill="FFFFFF"/>
            <w:vAlign w:val="center"/>
          </w:tcPr>
          <w:p w14:paraId="29AD6F1D"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下属基金简称</w:t>
            </w:r>
          </w:p>
        </w:tc>
        <w:tc>
          <w:tcPr>
            <w:tcW w:w="2424" w:type="dxa"/>
            <w:shd w:val="clear" w:color="auto" w:fill="FFFFFF"/>
            <w:vAlign w:val="center"/>
          </w:tcPr>
          <w:p w14:paraId="7D8C811A" w14:textId="0989A650" w:rsidR="00DF6E25" w:rsidRPr="0074720D" w:rsidRDefault="005B4993" w:rsidP="0074720D">
            <w:pPr>
              <w:jc w:val="left"/>
              <w:rPr>
                <w:rFonts w:ascii="宋体" w:eastAsia="宋体" w:hAnsi="宋体" w:cs="宋体"/>
                <w:bCs/>
                <w:iCs/>
                <w:color w:val="000000"/>
                <w:szCs w:val="21"/>
              </w:rPr>
            </w:pPr>
            <w:r w:rsidRPr="005B4993">
              <w:rPr>
                <w:rFonts w:ascii="宋体" w:eastAsia="宋体" w:hAnsi="宋体" w:cs="宋体" w:hint="eastAsia"/>
                <w:bCs/>
                <w:iCs/>
                <w:color w:val="000000"/>
                <w:szCs w:val="21"/>
              </w:rPr>
              <w:t>汇添富中证港股通高股息投资ETF联接（LOF）</w:t>
            </w:r>
            <w:r w:rsidR="00F15110" w:rsidRPr="0074720D">
              <w:rPr>
                <w:rFonts w:ascii="宋体" w:eastAsia="宋体" w:hAnsi="宋体" w:cs="宋体"/>
                <w:bCs/>
                <w:iCs/>
                <w:color w:val="000000"/>
                <w:szCs w:val="21"/>
              </w:rPr>
              <w:t>C</w:t>
            </w:r>
          </w:p>
        </w:tc>
        <w:tc>
          <w:tcPr>
            <w:tcW w:w="1940" w:type="dxa"/>
            <w:shd w:val="clear" w:color="auto" w:fill="FFFFFF"/>
            <w:vAlign w:val="center"/>
          </w:tcPr>
          <w:p w14:paraId="1241ACEC"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下属基金代码</w:t>
            </w:r>
          </w:p>
        </w:tc>
        <w:tc>
          <w:tcPr>
            <w:tcW w:w="2327" w:type="dxa"/>
            <w:shd w:val="clear" w:color="auto" w:fill="FFFFFF"/>
            <w:vAlign w:val="center"/>
          </w:tcPr>
          <w:p w14:paraId="7C93918D"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501306</w:t>
            </w:r>
          </w:p>
        </w:tc>
      </w:tr>
      <w:tr w:rsidR="000374FE" w14:paraId="5D460F42" w14:textId="77777777" w:rsidTr="00705154">
        <w:tc>
          <w:tcPr>
            <w:tcW w:w="1939" w:type="dxa"/>
            <w:shd w:val="clear" w:color="auto" w:fill="FFFFFF"/>
            <w:vAlign w:val="center"/>
          </w:tcPr>
          <w:p w14:paraId="7A2D47ED"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基金管理人</w:t>
            </w:r>
          </w:p>
        </w:tc>
        <w:tc>
          <w:tcPr>
            <w:tcW w:w="2424" w:type="dxa"/>
            <w:shd w:val="clear" w:color="auto" w:fill="FFFFFF"/>
            <w:vAlign w:val="center"/>
          </w:tcPr>
          <w:p w14:paraId="362D596B"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汇添富基金管理股份有限公司</w:t>
            </w:r>
          </w:p>
        </w:tc>
        <w:tc>
          <w:tcPr>
            <w:tcW w:w="1940" w:type="dxa"/>
            <w:shd w:val="clear" w:color="auto" w:fill="FFFFFF"/>
            <w:vAlign w:val="center"/>
          </w:tcPr>
          <w:p w14:paraId="04CC1D57"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基金托管人</w:t>
            </w:r>
          </w:p>
        </w:tc>
        <w:tc>
          <w:tcPr>
            <w:tcW w:w="2327" w:type="dxa"/>
            <w:shd w:val="clear" w:color="auto" w:fill="FFFFFF"/>
            <w:vAlign w:val="center"/>
          </w:tcPr>
          <w:p w14:paraId="258E4050"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中国工商银行股份有限公司</w:t>
            </w:r>
          </w:p>
        </w:tc>
      </w:tr>
      <w:tr w:rsidR="00705154" w14:paraId="0F59E426" w14:textId="77777777" w:rsidTr="00705154">
        <w:tc>
          <w:tcPr>
            <w:tcW w:w="1939" w:type="dxa"/>
            <w:shd w:val="clear" w:color="auto" w:fill="FFFFFF"/>
            <w:vAlign w:val="center"/>
          </w:tcPr>
          <w:p w14:paraId="63C43AC7" w14:textId="3C57BF0A"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基金合同生效日</w:t>
            </w:r>
          </w:p>
        </w:tc>
        <w:tc>
          <w:tcPr>
            <w:tcW w:w="2424" w:type="dxa"/>
            <w:shd w:val="clear" w:color="auto" w:fill="FFFFFF"/>
            <w:vAlign w:val="center"/>
          </w:tcPr>
          <w:p w14:paraId="7A0FE265" w14:textId="408D5F47" w:rsidR="00705154" w:rsidRPr="0074720D" w:rsidRDefault="008B1160" w:rsidP="00705154">
            <w:pPr>
              <w:jc w:val="left"/>
              <w:rPr>
                <w:rFonts w:ascii="宋体" w:eastAsia="宋体" w:hAnsi="宋体" w:cs="宋体"/>
                <w:bCs/>
                <w:iCs/>
                <w:color w:val="000000"/>
                <w:szCs w:val="21"/>
              </w:rPr>
            </w:pPr>
            <w:r w:rsidRPr="008B1160">
              <w:rPr>
                <w:rFonts w:ascii="宋体" w:eastAsia="宋体" w:hAnsi="宋体" w:cs="宋体" w:hint="eastAsia"/>
                <w:bCs/>
                <w:iCs/>
                <w:color w:val="000000"/>
                <w:szCs w:val="21"/>
              </w:rPr>
              <w:t>2024年06月12日</w:t>
            </w:r>
          </w:p>
        </w:tc>
        <w:tc>
          <w:tcPr>
            <w:tcW w:w="1940" w:type="dxa"/>
            <w:shd w:val="clear" w:color="auto" w:fill="FFFFFF"/>
            <w:vAlign w:val="center"/>
          </w:tcPr>
          <w:p w14:paraId="4E6D316E" w14:textId="0E72B30F"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上市交易所</w:t>
            </w:r>
          </w:p>
        </w:tc>
        <w:tc>
          <w:tcPr>
            <w:tcW w:w="2327" w:type="dxa"/>
            <w:shd w:val="clear" w:color="auto" w:fill="FFFFFF"/>
            <w:vAlign w:val="center"/>
          </w:tcPr>
          <w:p w14:paraId="4E0E22CD" w14:textId="7DDB7DC4"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上海证券交易所</w:t>
            </w:r>
          </w:p>
        </w:tc>
      </w:tr>
      <w:tr w:rsidR="00705154" w14:paraId="37FBFE45" w14:textId="77777777" w:rsidTr="00705154">
        <w:tc>
          <w:tcPr>
            <w:tcW w:w="1939" w:type="dxa"/>
            <w:shd w:val="clear" w:color="auto" w:fill="FFFFFF"/>
            <w:vAlign w:val="center"/>
          </w:tcPr>
          <w:p w14:paraId="069238D6" w14:textId="6874D045"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上市日期</w:t>
            </w:r>
          </w:p>
        </w:tc>
        <w:tc>
          <w:tcPr>
            <w:tcW w:w="2424" w:type="dxa"/>
            <w:shd w:val="clear" w:color="auto" w:fill="FFFFFF"/>
            <w:vAlign w:val="center"/>
          </w:tcPr>
          <w:p w14:paraId="329B119B" w14:textId="6466E1DF"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2018年01月18日</w:t>
            </w:r>
          </w:p>
        </w:tc>
        <w:tc>
          <w:tcPr>
            <w:tcW w:w="1940" w:type="dxa"/>
            <w:shd w:val="clear" w:color="auto" w:fill="FFFFFF"/>
            <w:vAlign w:val="center"/>
          </w:tcPr>
          <w:p w14:paraId="01FF3311" w14:textId="59F41D0C"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基金类型</w:t>
            </w:r>
          </w:p>
        </w:tc>
        <w:tc>
          <w:tcPr>
            <w:tcW w:w="2327" w:type="dxa"/>
            <w:shd w:val="clear" w:color="auto" w:fill="FFFFFF"/>
            <w:vAlign w:val="center"/>
          </w:tcPr>
          <w:p w14:paraId="3656B8CA" w14:textId="050B4AED"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股票型</w:t>
            </w:r>
          </w:p>
        </w:tc>
      </w:tr>
      <w:tr w:rsidR="00705154" w14:paraId="455A8843" w14:textId="77777777" w:rsidTr="00705154">
        <w:tc>
          <w:tcPr>
            <w:tcW w:w="1939" w:type="dxa"/>
            <w:shd w:val="clear" w:color="auto" w:fill="FFFFFF"/>
            <w:vAlign w:val="center"/>
          </w:tcPr>
          <w:p w14:paraId="59566239" w14:textId="1D46195A"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交易币种</w:t>
            </w:r>
          </w:p>
        </w:tc>
        <w:tc>
          <w:tcPr>
            <w:tcW w:w="2424" w:type="dxa"/>
            <w:shd w:val="clear" w:color="auto" w:fill="FFFFFF"/>
            <w:vAlign w:val="center"/>
          </w:tcPr>
          <w:p w14:paraId="620317A5" w14:textId="25474E77"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人民币</w:t>
            </w:r>
          </w:p>
        </w:tc>
        <w:tc>
          <w:tcPr>
            <w:tcW w:w="1940" w:type="dxa"/>
            <w:shd w:val="clear" w:color="auto" w:fill="FFFFFF"/>
            <w:vAlign w:val="center"/>
          </w:tcPr>
          <w:p w14:paraId="2BAF0735" w14:textId="3B99EA9F"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运作方式</w:t>
            </w:r>
          </w:p>
        </w:tc>
        <w:tc>
          <w:tcPr>
            <w:tcW w:w="2327" w:type="dxa"/>
            <w:shd w:val="clear" w:color="auto" w:fill="FFFFFF"/>
            <w:vAlign w:val="center"/>
          </w:tcPr>
          <w:p w14:paraId="74B4562A" w14:textId="1ACAA2DE" w:rsidR="00705154" w:rsidRPr="0074720D" w:rsidRDefault="00705154" w:rsidP="00705154">
            <w:pPr>
              <w:jc w:val="left"/>
              <w:rPr>
                <w:rFonts w:ascii="宋体" w:eastAsia="宋体" w:hAnsi="宋体" w:cs="宋体"/>
                <w:bCs/>
                <w:iCs/>
                <w:color w:val="000000"/>
                <w:szCs w:val="21"/>
              </w:rPr>
            </w:pPr>
            <w:r w:rsidRPr="0074720D">
              <w:rPr>
                <w:rFonts w:ascii="宋体" w:eastAsia="宋体" w:hAnsi="宋体" w:cs="宋体"/>
                <w:bCs/>
                <w:iCs/>
                <w:color w:val="000000"/>
                <w:szCs w:val="21"/>
              </w:rPr>
              <w:t>普通开放式</w:t>
            </w:r>
          </w:p>
        </w:tc>
      </w:tr>
      <w:tr w:rsidR="000374FE" w14:paraId="7A19818C" w14:textId="4E04F1E7" w:rsidTr="00705154">
        <w:tc>
          <w:tcPr>
            <w:tcW w:w="1939" w:type="dxa"/>
            <w:shd w:val="clear" w:color="auto" w:fill="FFFFFF"/>
            <w:vAlign w:val="center"/>
          </w:tcPr>
          <w:p w14:paraId="3D2A47AF" w14:textId="7A1A0352"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开放频率</w:t>
            </w:r>
          </w:p>
        </w:tc>
        <w:tc>
          <w:tcPr>
            <w:tcW w:w="6691" w:type="dxa"/>
            <w:gridSpan w:val="3"/>
            <w:shd w:val="clear" w:color="auto" w:fill="FFFFFF"/>
            <w:vAlign w:val="center"/>
          </w:tcPr>
          <w:p w14:paraId="1A0CDA25" w14:textId="03AAE44C"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每个开放日</w:t>
            </w:r>
          </w:p>
        </w:tc>
      </w:tr>
      <w:tr w:rsidR="000374FE" w14:paraId="4943D789" w14:textId="77777777" w:rsidTr="00705154">
        <w:tc>
          <w:tcPr>
            <w:tcW w:w="1939" w:type="dxa"/>
            <w:vMerge w:val="restart"/>
            <w:shd w:val="clear" w:color="auto" w:fill="FFFFFF"/>
            <w:vAlign w:val="center"/>
          </w:tcPr>
          <w:p w14:paraId="3F8BDC55"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基金经理</w:t>
            </w:r>
          </w:p>
        </w:tc>
        <w:tc>
          <w:tcPr>
            <w:tcW w:w="2424" w:type="dxa"/>
            <w:vMerge w:val="restart"/>
            <w:shd w:val="clear" w:color="auto" w:fill="FFFFFF"/>
            <w:vAlign w:val="center"/>
          </w:tcPr>
          <w:p w14:paraId="7390881C"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董瑾</w:t>
            </w:r>
          </w:p>
        </w:tc>
        <w:tc>
          <w:tcPr>
            <w:tcW w:w="1940" w:type="dxa"/>
            <w:shd w:val="clear" w:color="auto" w:fill="FFFFFF"/>
            <w:vAlign w:val="center"/>
          </w:tcPr>
          <w:p w14:paraId="0AC29535"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开始担任本基金基金经理的日期</w:t>
            </w:r>
          </w:p>
        </w:tc>
        <w:tc>
          <w:tcPr>
            <w:tcW w:w="2327" w:type="dxa"/>
            <w:shd w:val="clear" w:color="auto" w:fill="FFFFFF"/>
            <w:vAlign w:val="center"/>
          </w:tcPr>
          <w:p w14:paraId="65E2CF9E" w14:textId="5E558EED" w:rsidR="00DF6E25" w:rsidRPr="0074720D" w:rsidRDefault="008B1160" w:rsidP="0074720D">
            <w:pPr>
              <w:jc w:val="left"/>
              <w:rPr>
                <w:rFonts w:ascii="宋体" w:eastAsia="宋体" w:hAnsi="宋体" w:cs="宋体"/>
                <w:bCs/>
                <w:iCs/>
                <w:color w:val="000000"/>
                <w:szCs w:val="21"/>
              </w:rPr>
            </w:pPr>
            <w:r w:rsidRPr="008B1160">
              <w:rPr>
                <w:rFonts w:ascii="宋体" w:eastAsia="宋体" w:hAnsi="宋体" w:cs="宋体" w:hint="eastAsia"/>
                <w:bCs/>
                <w:iCs/>
                <w:color w:val="000000"/>
                <w:szCs w:val="21"/>
              </w:rPr>
              <w:t>2024年06月12日</w:t>
            </w:r>
          </w:p>
        </w:tc>
      </w:tr>
      <w:tr w:rsidR="000374FE" w14:paraId="147D3BC5" w14:textId="77777777" w:rsidTr="00705154">
        <w:tc>
          <w:tcPr>
            <w:tcW w:w="1939" w:type="dxa"/>
            <w:vMerge/>
            <w:shd w:val="clear" w:color="auto" w:fill="FFFFFF"/>
            <w:vAlign w:val="center"/>
          </w:tcPr>
          <w:p w14:paraId="4AB07544" w14:textId="77777777" w:rsidR="00DF6E25" w:rsidRPr="0074720D" w:rsidRDefault="00DF6E25" w:rsidP="0074720D">
            <w:pPr>
              <w:jc w:val="left"/>
              <w:rPr>
                <w:rFonts w:ascii="宋体" w:eastAsia="宋体" w:hAnsi="宋体" w:cs="宋体"/>
                <w:bCs/>
                <w:iCs/>
                <w:color w:val="000000"/>
                <w:szCs w:val="21"/>
              </w:rPr>
            </w:pPr>
          </w:p>
        </w:tc>
        <w:tc>
          <w:tcPr>
            <w:tcW w:w="2424" w:type="dxa"/>
            <w:vMerge/>
            <w:shd w:val="clear" w:color="auto" w:fill="FFFFFF"/>
            <w:vAlign w:val="center"/>
          </w:tcPr>
          <w:p w14:paraId="6E8F8B04" w14:textId="77777777" w:rsidR="00DF6E25" w:rsidRPr="0074720D" w:rsidRDefault="00DF6E25" w:rsidP="0074720D">
            <w:pPr>
              <w:jc w:val="left"/>
              <w:rPr>
                <w:rFonts w:ascii="宋体" w:eastAsia="宋体" w:hAnsi="宋体" w:cs="宋体"/>
                <w:bCs/>
                <w:iCs/>
                <w:color w:val="000000"/>
                <w:szCs w:val="21"/>
              </w:rPr>
            </w:pPr>
          </w:p>
        </w:tc>
        <w:tc>
          <w:tcPr>
            <w:tcW w:w="1940" w:type="dxa"/>
            <w:shd w:val="clear" w:color="auto" w:fill="FFFFFF"/>
            <w:vAlign w:val="center"/>
          </w:tcPr>
          <w:p w14:paraId="13D50614"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证券从业日期</w:t>
            </w:r>
          </w:p>
        </w:tc>
        <w:tc>
          <w:tcPr>
            <w:tcW w:w="2327" w:type="dxa"/>
            <w:shd w:val="clear" w:color="auto" w:fill="FFFFFF"/>
            <w:vAlign w:val="center"/>
          </w:tcPr>
          <w:p w14:paraId="6E56D6D9"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2010年07月07日</w:t>
            </w:r>
          </w:p>
        </w:tc>
      </w:tr>
      <w:tr w:rsidR="000374FE" w14:paraId="4A2DF526" w14:textId="77777777" w:rsidTr="00705154">
        <w:tc>
          <w:tcPr>
            <w:tcW w:w="1939" w:type="dxa"/>
            <w:vMerge/>
            <w:shd w:val="clear" w:color="auto" w:fill="FFFFFF"/>
            <w:vAlign w:val="center"/>
          </w:tcPr>
          <w:p w14:paraId="236AAEA3" w14:textId="77777777" w:rsidR="00DF6E25" w:rsidRPr="0074720D" w:rsidRDefault="00DF6E25" w:rsidP="0074720D">
            <w:pPr>
              <w:jc w:val="left"/>
              <w:rPr>
                <w:rFonts w:ascii="宋体" w:eastAsia="宋体" w:hAnsi="宋体" w:cs="宋体"/>
                <w:bCs/>
                <w:iCs/>
                <w:color w:val="000000"/>
                <w:szCs w:val="21"/>
              </w:rPr>
            </w:pPr>
          </w:p>
        </w:tc>
        <w:tc>
          <w:tcPr>
            <w:tcW w:w="2424" w:type="dxa"/>
            <w:vMerge w:val="restart"/>
            <w:shd w:val="clear" w:color="auto" w:fill="FFFFFF"/>
            <w:vAlign w:val="center"/>
          </w:tcPr>
          <w:p w14:paraId="4EBA7449"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晏阳</w:t>
            </w:r>
          </w:p>
        </w:tc>
        <w:tc>
          <w:tcPr>
            <w:tcW w:w="1940" w:type="dxa"/>
            <w:shd w:val="clear" w:color="auto" w:fill="FFFFFF"/>
            <w:vAlign w:val="center"/>
          </w:tcPr>
          <w:p w14:paraId="620C02E3"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开始担任本基金基金经理的日期</w:t>
            </w:r>
          </w:p>
        </w:tc>
        <w:tc>
          <w:tcPr>
            <w:tcW w:w="2327" w:type="dxa"/>
            <w:shd w:val="clear" w:color="auto" w:fill="FFFFFF"/>
            <w:vAlign w:val="center"/>
          </w:tcPr>
          <w:p w14:paraId="01D7ADAA" w14:textId="7BD086A1" w:rsidR="00DF6E25" w:rsidRPr="0074720D" w:rsidRDefault="008B1160" w:rsidP="0074720D">
            <w:pPr>
              <w:jc w:val="left"/>
              <w:rPr>
                <w:rFonts w:ascii="宋体" w:eastAsia="宋体" w:hAnsi="宋体" w:cs="宋体"/>
                <w:bCs/>
                <w:iCs/>
                <w:color w:val="000000"/>
                <w:szCs w:val="21"/>
              </w:rPr>
            </w:pPr>
            <w:r w:rsidRPr="008B1160">
              <w:rPr>
                <w:rFonts w:ascii="宋体" w:eastAsia="宋体" w:hAnsi="宋体" w:cs="宋体" w:hint="eastAsia"/>
                <w:bCs/>
                <w:iCs/>
                <w:color w:val="000000"/>
                <w:szCs w:val="21"/>
              </w:rPr>
              <w:t>2024年06月12日</w:t>
            </w:r>
          </w:p>
        </w:tc>
      </w:tr>
      <w:tr w:rsidR="000374FE" w14:paraId="48C46222" w14:textId="77777777" w:rsidTr="00705154">
        <w:tc>
          <w:tcPr>
            <w:tcW w:w="1939" w:type="dxa"/>
            <w:vMerge/>
            <w:shd w:val="clear" w:color="auto" w:fill="FFFFFF"/>
            <w:vAlign w:val="center"/>
          </w:tcPr>
          <w:p w14:paraId="60229AF5" w14:textId="77777777" w:rsidR="00DF6E25" w:rsidRPr="0074720D" w:rsidRDefault="00DF6E25" w:rsidP="0074720D">
            <w:pPr>
              <w:jc w:val="left"/>
              <w:rPr>
                <w:rFonts w:ascii="宋体" w:eastAsia="宋体" w:hAnsi="宋体" w:cs="宋体"/>
                <w:bCs/>
                <w:iCs/>
                <w:color w:val="000000"/>
                <w:szCs w:val="21"/>
              </w:rPr>
            </w:pPr>
          </w:p>
        </w:tc>
        <w:tc>
          <w:tcPr>
            <w:tcW w:w="2424" w:type="dxa"/>
            <w:vMerge/>
            <w:shd w:val="clear" w:color="auto" w:fill="FFFFFF"/>
            <w:vAlign w:val="center"/>
          </w:tcPr>
          <w:p w14:paraId="2A9F85EB" w14:textId="77777777" w:rsidR="00DF6E25" w:rsidRPr="0074720D" w:rsidRDefault="00DF6E25" w:rsidP="0074720D">
            <w:pPr>
              <w:jc w:val="left"/>
              <w:rPr>
                <w:rFonts w:ascii="宋体" w:eastAsia="宋体" w:hAnsi="宋体" w:cs="宋体"/>
                <w:bCs/>
                <w:iCs/>
                <w:color w:val="000000"/>
                <w:szCs w:val="21"/>
              </w:rPr>
            </w:pPr>
          </w:p>
        </w:tc>
        <w:tc>
          <w:tcPr>
            <w:tcW w:w="1940" w:type="dxa"/>
            <w:shd w:val="clear" w:color="auto" w:fill="FFFFFF"/>
            <w:vAlign w:val="center"/>
          </w:tcPr>
          <w:p w14:paraId="44E144D7"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证券从业日期</w:t>
            </w:r>
          </w:p>
        </w:tc>
        <w:tc>
          <w:tcPr>
            <w:tcW w:w="2327" w:type="dxa"/>
            <w:shd w:val="clear" w:color="auto" w:fill="FFFFFF"/>
            <w:vAlign w:val="center"/>
          </w:tcPr>
          <w:p w14:paraId="111AB5FD"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2016年09月01日</w:t>
            </w:r>
          </w:p>
        </w:tc>
      </w:tr>
      <w:tr w:rsidR="000374FE" w14:paraId="404115AC" w14:textId="77777777" w:rsidTr="00705154">
        <w:tc>
          <w:tcPr>
            <w:tcW w:w="1939" w:type="dxa"/>
            <w:shd w:val="clear" w:color="auto" w:fill="FFFFFF"/>
            <w:vAlign w:val="center"/>
          </w:tcPr>
          <w:p w14:paraId="30F5872C" w14:textId="77777777" w:rsidR="00DF6E25" w:rsidRPr="0074720D"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其他</w:t>
            </w:r>
          </w:p>
        </w:tc>
        <w:tc>
          <w:tcPr>
            <w:tcW w:w="6691" w:type="dxa"/>
            <w:gridSpan w:val="3"/>
            <w:shd w:val="clear" w:color="auto" w:fill="FFFFFF"/>
            <w:vAlign w:val="center"/>
          </w:tcPr>
          <w:p w14:paraId="3E86DC5C" w14:textId="77777777" w:rsidR="00DF6E25" w:rsidRDefault="0010060E"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场内简称：港股高C，扩位证券简称：港股高股息LOFC。</w:t>
            </w:r>
          </w:p>
          <w:p w14:paraId="27D305F0" w14:textId="77777777" w:rsidR="008B1160" w:rsidRPr="008B1160" w:rsidRDefault="008B1160" w:rsidP="008B1160">
            <w:pPr>
              <w:jc w:val="left"/>
              <w:rPr>
                <w:rFonts w:ascii="宋体" w:eastAsia="宋体" w:hAnsi="宋体" w:cs="宋体"/>
                <w:bCs/>
                <w:iCs/>
                <w:color w:val="000000"/>
                <w:szCs w:val="21"/>
              </w:rPr>
            </w:pPr>
            <w:r w:rsidRPr="008B1160">
              <w:rPr>
                <w:rFonts w:ascii="宋体" w:eastAsia="宋体" w:hAnsi="宋体" w:cs="宋体" w:hint="eastAsia"/>
                <w:bCs/>
                <w:iCs/>
                <w:color w:val="000000"/>
                <w:szCs w:val="21"/>
              </w:rPr>
              <w:t>本基金由汇添富中证港股通高股息投资指数发起式证券投资基金（LOF）于2024年6月12日转型而来。</w:t>
            </w:r>
          </w:p>
          <w:p w14:paraId="564F6E23" w14:textId="659798E2" w:rsidR="008B1160" w:rsidRPr="0074720D" w:rsidRDefault="008B1160" w:rsidP="008B1160">
            <w:pPr>
              <w:jc w:val="left"/>
              <w:rPr>
                <w:rFonts w:ascii="宋体" w:eastAsia="宋体" w:hAnsi="宋体" w:cs="宋体"/>
                <w:bCs/>
                <w:iCs/>
                <w:color w:val="000000"/>
                <w:szCs w:val="21"/>
              </w:rPr>
            </w:pPr>
            <w:r w:rsidRPr="008B1160">
              <w:rPr>
                <w:rFonts w:ascii="宋体" w:eastAsia="宋体" w:hAnsi="宋体" w:cs="宋体" w:hint="eastAsia"/>
                <w:bCs/>
                <w:iCs/>
                <w:color w:val="000000"/>
                <w:szCs w:val="21"/>
              </w:rPr>
              <w:t>汇添富中证港股通高股息投资指数发起式证券投资基金（LOF）已于2018年1月18日起在上海证券交易所上市。汇添富中证港股通高股息投资指数发起式证券投资基金（LOF）转型为本基金后，基金份额继续在上海证券交易所上市交易。</w:t>
            </w:r>
          </w:p>
        </w:tc>
      </w:tr>
    </w:tbl>
    <w:p w14:paraId="1BE942F9" w14:textId="77777777" w:rsidR="00DF6E25" w:rsidRPr="0074720D" w:rsidRDefault="00DF6E25" w:rsidP="0074720D">
      <w:pPr>
        <w:rPr>
          <w:rFonts w:ascii="宋体" w:eastAsia="宋体" w:hAnsi="宋体" w:cs="方正仿宋简体"/>
          <w:bCs/>
          <w:iCs/>
          <w:szCs w:val="21"/>
        </w:rPr>
      </w:pPr>
    </w:p>
    <w:p w14:paraId="5EBB1BFA" w14:textId="77777777" w:rsidR="00025EAC" w:rsidRPr="0074720D" w:rsidRDefault="00025EAC" w:rsidP="0074720D">
      <w:pPr>
        <w:rPr>
          <w:rFonts w:ascii="宋体" w:eastAsia="宋体" w:hAnsi="宋体" w:cs="方正仿宋简体"/>
          <w:iCs/>
          <w:szCs w:val="21"/>
        </w:rPr>
        <w:sectPr w:rsidR="00025EAC" w:rsidRPr="0074720D" w:rsidSect="00FE250C">
          <w:type w:val="continuous"/>
          <w:pgSz w:w="12240" w:h="15840"/>
          <w:pgMar w:top="1440" w:right="1800" w:bottom="1440" w:left="1800" w:header="720" w:footer="720" w:gutter="0"/>
          <w:cols w:space="720"/>
        </w:sectPr>
      </w:pPr>
    </w:p>
    <w:p w14:paraId="4B2D37A3" w14:textId="77777777" w:rsidR="00834E25" w:rsidRPr="00124F47" w:rsidRDefault="0010060E"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基金投资与净值表现</w:t>
      </w:r>
    </w:p>
    <w:p w14:paraId="20BC3EAF" w14:textId="77777777" w:rsidR="00834E25" w:rsidRPr="00124F47" w:rsidRDefault="00834E25" w:rsidP="00D32707">
      <w:pPr>
        <w:spacing w:line="360" w:lineRule="auto"/>
        <w:rPr>
          <w:rFonts w:ascii="宋体" w:eastAsia="宋体" w:hAnsi="宋体" w:cs="方正仿宋简体"/>
          <w:b/>
          <w:bCs/>
          <w:iCs/>
          <w:szCs w:val="21"/>
        </w:rPr>
        <w:sectPr w:rsidR="00834E25" w:rsidRPr="00124F47" w:rsidSect="00512717">
          <w:type w:val="continuous"/>
          <w:pgSz w:w="12240" w:h="15840"/>
          <w:pgMar w:top="1440" w:right="1800" w:bottom="1440" w:left="1800" w:header="720" w:footer="720" w:gutter="0"/>
          <w:cols w:space="720"/>
        </w:sectPr>
      </w:pPr>
    </w:p>
    <w:p w14:paraId="70BD8A93" w14:textId="77777777" w:rsidR="00EB4244" w:rsidRPr="006E61A9" w:rsidRDefault="0010060E"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946"/>
      </w:tblGrid>
      <w:tr w:rsidR="00F15110" w14:paraId="07140287" w14:textId="77777777" w:rsidTr="00EB4244">
        <w:trPr>
          <w:trHeight w:val="438"/>
        </w:trPr>
        <w:tc>
          <w:tcPr>
            <w:tcW w:w="1843" w:type="dxa"/>
            <w:vAlign w:val="center"/>
          </w:tcPr>
          <w:p w14:paraId="327A22CA" w14:textId="77777777" w:rsidR="00F15110" w:rsidRPr="00EB4244" w:rsidRDefault="00F15110" w:rsidP="00F15110">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14:paraId="12955CC1" w14:textId="60583ACB" w:rsidR="00F15110" w:rsidRPr="00EB4244" w:rsidRDefault="00F15110" w:rsidP="00F15110">
            <w:pPr>
              <w:rPr>
                <w:rFonts w:ascii="宋体" w:eastAsia="宋体" w:hAnsi="宋体" w:cs="方正仿宋简体"/>
                <w:iCs/>
                <w:szCs w:val="21"/>
              </w:rPr>
            </w:pPr>
            <w:r w:rsidRPr="000C1D66">
              <w:rPr>
                <w:rFonts w:ascii="宋体" w:eastAsia="宋体" w:hAnsi="宋体" w:cs="方正仿宋简体" w:hint="eastAsia"/>
                <w:iCs/>
                <w:szCs w:val="21"/>
              </w:rPr>
              <w:t>本基金通过投资于目标ETF，紧密跟踪标的指数，追求跟踪偏离度和跟踪误差的最小化。</w:t>
            </w:r>
          </w:p>
        </w:tc>
      </w:tr>
      <w:tr w:rsidR="00F15110" w14:paraId="3CB5BA54" w14:textId="77777777" w:rsidTr="00EB4244">
        <w:trPr>
          <w:trHeight w:val="416"/>
        </w:trPr>
        <w:tc>
          <w:tcPr>
            <w:tcW w:w="1843" w:type="dxa"/>
            <w:vAlign w:val="center"/>
          </w:tcPr>
          <w:p w14:paraId="25B1A12D" w14:textId="77777777" w:rsidR="00F15110" w:rsidRPr="00EB4244" w:rsidRDefault="00F15110" w:rsidP="00F15110">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14:paraId="75DD33E4" w14:textId="77777777" w:rsidR="00F15110" w:rsidRPr="000C1D66" w:rsidRDefault="00F15110" w:rsidP="00F15110">
            <w:pPr>
              <w:rPr>
                <w:rFonts w:ascii="宋体" w:eastAsia="宋体" w:hAnsi="宋体" w:cs="方正仿宋简体"/>
                <w:iCs/>
                <w:szCs w:val="21"/>
              </w:rPr>
            </w:pPr>
            <w:r w:rsidRPr="000C1D66">
              <w:rPr>
                <w:rFonts w:ascii="宋体" w:eastAsia="宋体" w:hAnsi="宋体" w:cs="方正仿宋简体" w:hint="eastAsia"/>
                <w:iCs/>
                <w:szCs w:val="21"/>
              </w:rPr>
              <w:t>本基金主要投资于目标ETF、标的指数成份股、备选成份股。为更好地实现投资目标，基金还可投资于非成份股（包括港股通标的股票和中国证监会允许上市的股票等）、存托凭证、债券（包括国债、金融债券、企业债券、公司债券、央行票据、中期票据、短期融资券、超短期融资券、次级债券、</w:t>
            </w:r>
            <w:r w:rsidRPr="000C1D66">
              <w:rPr>
                <w:rFonts w:ascii="宋体" w:eastAsia="宋体" w:hAnsi="宋体" w:cs="方正仿宋简体" w:hint="eastAsia"/>
                <w:iCs/>
                <w:szCs w:val="21"/>
              </w:rPr>
              <w:lastRenderedPageBreak/>
              <w:t>政府支持债券、政府支持机构债券、地方政府债券、可交换债券、可转换债券（分离交易可转债）、中小企业私募债券等）、资产支持证券、债券回购、同业存单、银行存款（包括定期存款、协议存款及其他银行存款）、货币市场工具、金融衍生工具（包括股指期货、权证、股票期权等）以及法律法规或中国证监会允许基金投资的其他金融工具（但须符合中国证监会的相关规定）。</w:t>
            </w:r>
          </w:p>
          <w:p w14:paraId="421CB15B" w14:textId="77777777" w:rsidR="00F15110" w:rsidRPr="000C1D66" w:rsidRDefault="00F15110" w:rsidP="00F15110">
            <w:pPr>
              <w:rPr>
                <w:rFonts w:ascii="宋体" w:eastAsia="宋体" w:hAnsi="宋体" w:cs="方正仿宋简体"/>
                <w:iCs/>
                <w:szCs w:val="21"/>
              </w:rPr>
            </w:pPr>
            <w:r w:rsidRPr="000C1D66">
              <w:rPr>
                <w:rFonts w:ascii="宋体" w:eastAsia="宋体" w:hAnsi="宋体" w:cs="方正仿宋简体" w:hint="eastAsia"/>
                <w:iCs/>
                <w:szCs w:val="21"/>
              </w:rPr>
              <w:t>如法律法规或监管机构以后允许基金投资其他品种，基金管理人在履行适当程序后，可以将其纳入投资范围。</w:t>
            </w:r>
          </w:p>
          <w:p w14:paraId="61CCCFE4" w14:textId="77777777" w:rsidR="00F15110" w:rsidRPr="000C1D66" w:rsidRDefault="00F15110" w:rsidP="00F15110">
            <w:pPr>
              <w:rPr>
                <w:rFonts w:ascii="宋体" w:eastAsia="宋体" w:hAnsi="宋体" w:cs="方正仿宋简体"/>
                <w:iCs/>
                <w:szCs w:val="21"/>
              </w:rPr>
            </w:pPr>
            <w:r w:rsidRPr="000C1D66">
              <w:rPr>
                <w:rFonts w:ascii="宋体" w:eastAsia="宋体" w:hAnsi="宋体" w:cs="方正仿宋简体" w:hint="eastAsia"/>
                <w:iCs/>
                <w:szCs w:val="21"/>
              </w:rPr>
              <w:t>本基金可通过港股通投资于标的指数成份股、备选成份股，若未来港股通业务规则发生变化或者出现法律法规或监管部门允许的其他投资模式，基金管理人可在履行适当程序后进行相应调整。</w:t>
            </w:r>
          </w:p>
          <w:p w14:paraId="095043E2" w14:textId="77777777" w:rsidR="00F15110" w:rsidRPr="000C1D66" w:rsidRDefault="00F15110" w:rsidP="00F15110">
            <w:pPr>
              <w:rPr>
                <w:rFonts w:ascii="宋体" w:eastAsia="宋体" w:hAnsi="宋体" w:cs="方正仿宋简体"/>
                <w:iCs/>
                <w:szCs w:val="21"/>
              </w:rPr>
            </w:pPr>
            <w:r w:rsidRPr="000C1D66">
              <w:rPr>
                <w:rFonts w:ascii="宋体" w:eastAsia="宋体" w:hAnsi="宋体" w:cs="方正仿宋简体" w:hint="eastAsia"/>
                <w:iCs/>
                <w:szCs w:val="21"/>
              </w:rPr>
              <w:t>基金的投资组合比例为：本基金投资于目标ETF比例不低于基金资产净值的90%，每个交易日日终在扣除股指期货和股票期权合约需缴纳的交易保证金后，现金或到期日在一年以内的政府债券的投资比例合计不低于基金资产净值的5%，本基金所指的现金类资产范围不包括结算备付金、存出保证金、应收申购款等资金类别。</w:t>
            </w:r>
          </w:p>
          <w:p w14:paraId="35028504" w14:textId="6748F7B6" w:rsidR="00F15110" w:rsidRPr="00EB4244" w:rsidRDefault="00F15110" w:rsidP="00F15110">
            <w:pPr>
              <w:rPr>
                <w:rFonts w:ascii="宋体" w:eastAsia="宋体" w:hAnsi="宋体" w:cs="方正仿宋简体"/>
                <w:iCs/>
                <w:szCs w:val="21"/>
              </w:rPr>
            </w:pPr>
            <w:r w:rsidRPr="000C1D66">
              <w:rPr>
                <w:rFonts w:ascii="宋体" w:eastAsia="宋体" w:hAnsi="宋体" w:cs="方正仿宋简体" w:hint="eastAsia"/>
                <w:iCs/>
                <w:szCs w:val="21"/>
              </w:rPr>
              <w:t>如法律法规或监管机构变更投资品种的投资比例限制，基金管理人在履行适当程序后，可以调整上述投资品种的投资比例。</w:t>
            </w:r>
          </w:p>
        </w:tc>
      </w:tr>
      <w:tr w:rsidR="00F15110" w14:paraId="1E3FFE19" w14:textId="77777777" w:rsidTr="00EB4244">
        <w:trPr>
          <w:trHeight w:val="407"/>
        </w:trPr>
        <w:tc>
          <w:tcPr>
            <w:tcW w:w="1843" w:type="dxa"/>
            <w:vAlign w:val="center"/>
          </w:tcPr>
          <w:p w14:paraId="22B9F41F" w14:textId="77777777" w:rsidR="00F15110" w:rsidRPr="00EB4244" w:rsidRDefault="00F15110" w:rsidP="00F15110">
            <w:pPr>
              <w:rPr>
                <w:rFonts w:ascii="宋体" w:eastAsia="宋体" w:hAnsi="宋体" w:cs="方正仿宋简体"/>
                <w:iCs/>
                <w:szCs w:val="21"/>
              </w:rPr>
            </w:pPr>
            <w:r>
              <w:rPr>
                <w:rFonts w:ascii="宋体" w:eastAsia="宋体" w:hAnsi="宋体" w:cs="方正仿宋简体" w:hint="eastAsia"/>
                <w:iCs/>
                <w:szCs w:val="21"/>
              </w:rPr>
              <w:lastRenderedPageBreak/>
              <w:t>主要投资策略</w:t>
            </w:r>
          </w:p>
        </w:tc>
        <w:tc>
          <w:tcPr>
            <w:tcW w:w="6946" w:type="dxa"/>
            <w:vAlign w:val="center"/>
          </w:tcPr>
          <w:p w14:paraId="52D7074D" w14:textId="425C01AD" w:rsidR="00F15110" w:rsidRPr="00EB4244" w:rsidRDefault="00F15110" w:rsidP="00F15110">
            <w:pPr>
              <w:rPr>
                <w:rFonts w:ascii="宋体" w:eastAsia="宋体" w:hAnsi="宋体" w:cs="方正仿宋简体"/>
                <w:iCs/>
                <w:szCs w:val="21"/>
              </w:rPr>
            </w:pPr>
            <w:r w:rsidRPr="000C1D66">
              <w:rPr>
                <w:rFonts w:ascii="宋体" w:eastAsia="宋体" w:hAnsi="宋体" w:cs="方正仿宋简体" w:hint="eastAsia"/>
                <w:iCs/>
                <w:szCs w:val="21"/>
              </w:rPr>
              <w:t>本基金主要投资于目标ETF，方便特定的客户群通过本基金投资目标ETF。本基金不参与目标ETF的投资管理。为实现投资目标，本基金将以不低于基金资产净值90%的资产投资于目标ETF。在正常市场情况下，本基金日均跟踪偏离度的绝对值不超过0.35%，年跟踪误差不超过4%。如因指数编制规则调整或其他因素导致跟踪偏离度和跟踪误差超过上述范围，基金管理人应采取合理措施避免跟踪偏离度、跟踪误差进一步扩大。本基金运作过程中，当标的指数成份股发生明显负面事件面临退市，且指数编制机构暂未作出调整的，基金管理人应当按照基金份额持有人利益优先的原则，履行内部决策程序后及时对相关成份股进行调整。</w:t>
            </w:r>
            <w:r w:rsidRPr="00EB4244">
              <w:rPr>
                <w:rFonts w:ascii="宋体" w:eastAsia="宋体" w:hAnsi="宋体" w:cs="方正仿宋简体"/>
                <w:iCs/>
                <w:szCs w:val="21"/>
              </w:rPr>
              <w:t>本基金的投资策略主要包括：</w:t>
            </w:r>
            <w:r w:rsidRPr="000C1D66">
              <w:rPr>
                <w:rFonts w:ascii="宋体" w:eastAsia="宋体" w:hAnsi="宋体" w:cs="方正仿宋简体" w:hint="eastAsia"/>
                <w:iCs/>
                <w:szCs w:val="21"/>
              </w:rPr>
              <w:t>资产配置策略</w:t>
            </w:r>
            <w:r>
              <w:rPr>
                <w:rFonts w:ascii="宋体" w:eastAsia="宋体" w:hAnsi="宋体" w:cs="方正仿宋简体" w:hint="eastAsia"/>
                <w:iCs/>
                <w:szCs w:val="21"/>
              </w:rPr>
              <w:t>、</w:t>
            </w:r>
            <w:r w:rsidRPr="000C1D66">
              <w:rPr>
                <w:rFonts w:ascii="宋体" w:eastAsia="宋体" w:hAnsi="宋体" w:cs="方正仿宋简体" w:hint="eastAsia"/>
                <w:iCs/>
                <w:szCs w:val="21"/>
              </w:rPr>
              <w:t>目标ETF的投资策略</w:t>
            </w:r>
            <w:r>
              <w:rPr>
                <w:rFonts w:ascii="宋体" w:eastAsia="宋体" w:hAnsi="宋体" w:cs="方正仿宋简体" w:hint="eastAsia"/>
                <w:iCs/>
                <w:szCs w:val="21"/>
              </w:rPr>
              <w:t>、</w:t>
            </w:r>
            <w:r w:rsidRPr="000C1D66">
              <w:rPr>
                <w:rFonts w:ascii="宋体" w:eastAsia="宋体" w:hAnsi="宋体" w:cs="方正仿宋简体" w:hint="eastAsia"/>
                <w:iCs/>
                <w:szCs w:val="21"/>
              </w:rPr>
              <w:t>成份股</w:t>
            </w:r>
            <w:r>
              <w:rPr>
                <w:rFonts w:ascii="宋体" w:eastAsia="宋体" w:hAnsi="宋体" w:cs="方正仿宋简体" w:hint="eastAsia"/>
                <w:iCs/>
                <w:szCs w:val="21"/>
              </w:rPr>
              <w:t>/</w:t>
            </w:r>
            <w:r w:rsidRPr="000C1D66">
              <w:rPr>
                <w:rFonts w:ascii="宋体" w:eastAsia="宋体" w:hAnsi="宋体" w:cs="方正仿宋简体" w:hint="eastAsia"/>
                <w:iCs/>
                <w:szCs w:val="21"/>
              </w:rPr>
              <w:t>备选成份股投资策略</w:t>
            </w:r>
            <w:r>
              <w:rPr>
                <w:rFonts w:ascii="宋体" w:eastAsia="宋体" w:hAnsi="宋体" w:cs="方正仿宋简体" w:hint="eastAsia"/>
                <w:iCs/>
                <w:szCs w:val="21"/>
              </w:rPr>
              <w:t>、</w:t>
            </w:r>
            <w:r w:rsidRPr="000C1D66">
              <w:rPr>
                <w:rFonts w:ascii="宋体" w:eastAsia="宋体" w:hAnsi="宋体" w:cs="方正仿宋简体" w:hint="eastAsia"/>
                <w:iCs/>
                <w:szCs w:val="21"/>
              </w:rPr>
              <w:t>固定收益类资产投资策略</w:t>
            </w:r>
            <w:r>
              <w:rPr>
                <w:rFonts w:ascii="宋体" w:eastAsia="宋体" w:hAnsi="宋体" w:cs="方正仿宋简体" w:hint="eastAsia"/>
                <w:iCs/>
                <w:szCs w:val="21"/>
              </w:rPr>
              <w:t>、</w:t>
            </w:r>
            <w:r w:rsidRPr="000C1D66">
              <w:rPr>
                <w:rFonts w:ascii="宋体" w:eastAsia="宋体" w:hAnsi="宋体" w:cs="方正仿宋简体" w:hint="eastAsia"/>
                <w:iCs/>
                <w:szCs w:val="21"/>
              </w:rPr>
              <w:t>金融衍生工具投资策略</w:t>
            </w:r>
            <w:r>
              <w:rPr>
                <w:rFonts w:ascii="宋体" w:eastAsia="宋体" w:hAnsi="宋体" w:cs="方正仿宋简体" w:hint="eastAsia"/>
                <w:iCs/>
                <w:szCs w:val="21"/>
              </w:rPr>
              <w:t>、</w:t>
            </w:r>
            <w:r w:rsidRPr="000C1D66">
              <w:rPr>
                <w:rFonts w:ascii="宋体" w:eastAsia="宋体" w:hAnsi="宋体" w:cs="方正仿宋简体" w:hint="eastAsia"/>
                <w:iCs/>
                <w:szCs w:val="21"/>
              </w:rPr>
              <w:t>融资及转融通投资策略</w:t>
            </w:r>
            <w:r>
              <w:rPr>
                <w:rFonts w:ascii="宋体" w:eastAsia="宋体" w:hAnsi="宋体" w:cs="方正仿宋简体" w:hint="eastAsia"/>
                <w:iCs/>
                <w:szCs w:val="21"/>
              </w:rPr>
              <w:t>、</w:t>
            </w:r>
            <w:r w:rsidRPr="000C1D66">
              <w:rPr>
                <w:rFonts w:ascii="宋体" w:eastAsia="宋体" w:hAnsi="宋体" w:cs="方正仿宋简体" w:hint="eastAsia"/>
                <w:iCs/>
                <w:szCs w:val="21"/>
              </w:rPr>
              <w:t>存托凭证的投资策略</w:t>
            </w:r>
            <w:r w:rsidRPr="00EB4244">
              <w:rPr>
                <w:rFonts w:ascii="宋体" w:eastAsia="宋体" w:hAnsi="宋体" w:cs="方正仿宋简体"/>
                <w:iCs/>
                <w:szCs w:val="21"/>
              </w:rPr>
              <w:t>。</w:t>
            </w:r>
          </w:p>
        </w:tc>
      </w:tr>
      <w:tr w:rsidR="00F15110" w14:paraId="163F4F08" w14:textId="77777777" w:rsidTr="00EB4244">
        <w:trPr>
          <w:trHeight w:val="412"/>
        </w:trPr>
        <w:tc>
          <w:tcPr>
            <w:tcW w:w="1843" w:type="dxa"/>
            <w:vAlign w:val="center"/>
          </w:tcPr>
          <w:p w14:paraId="1803D8DB" w14:textId="77777777" w:rsidR="00F15110" w:rsidRPr="00EB4244" w:rsidRDefault="00F15110" w:rsidP="00F15110">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14:paraId="66A2FFE1" w14:textId="7C732CF2" w:rsidR="00F15110" w:rsidRPr="00EB4244" w:rsidRDefault="00F15110" w:rsidP="00F15110">
            <w:pPr>
              <w:rPr>
                <w:rFonts w:ascii="宋体" w:eastAsia="宋体" w:hAnsi="宋体" w:cs="方正仿宋简体"/>
                <w:iCs/>
                <w:szCs w:val="21"/>
              </w:rPr>
            </w:pPr>
            <w:r w:rsidRPr="000C1D66">
              <w:rPr>
                <w:rFonts w:ascii="宋体" w:eastAsia="宋体" w:hAnsi="宋体" w:cs="方正仿宋简体" w:hint="eastAsia"/>
                <w:iCs/>
                <w:szCs w:val="21"/>
              </w:rPr>
              <w:t>中证港股通高股息投资指数收益率×95％（经估值汇率调整后）＋银行活期存款利率（税后）×5%</w:t>
            </w:r>
          </w:p>
        </w:tc>
      </w:tr>
      <w:tr w:rsidR="00F15110" w14:paraId="185EC0C9" w14:textId="77777777" w:rsidTr="00EB4244">
        <w:trPr>
          <w:trHeight w:val="419"/>
        </w:trPr>
        <w:tc>
          <w:tcPr>
            <w:tcW w:w="1843" w:type="dxa"/>
            <w:vAlign w:val="center"/>
          </w:tcPr>
          <w:p w14:paraId="15C795CA" w14:textId="77777777" w:rsidR="00F15110" w:rsidRPr="00EB4244" w:rsidRDefault="00F15110" w:rsidP="00F15110">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14:paraId="78B37A10" w14:textId="5EF8650F" w:rsidR="00F15110" w:rsidRPr="00EB4244" w:rsidRDefault="00F15110" w:rsidP="00F15110">
            <w:pPr>
              <w:rPr>
                <w:rFonts w:ascii="宋体" w:eastAsia="宋体" w:hAnsi="宋体" w:cs="方正仿宋简体"/>
                <w:iCs/>
                <w:szCs w:val="21"/>
              </w:rPr>
            </w:pPr>
            <w:r w:rsidRPr="000C1D66">
              <w:rPr>
                <w:rFonts w:ascii="宋体" w:eastAsia="宋体" w:hAnsi="宋体" w:cs="方正仿宋简体" w:hint="eastAsia"/>
                <w:iCs/>
                <w:szCs w:val="21"/>
              </w:rPr>
              <w:t>本基金为汇添富中证港股通高股息投资ETF的联接基金，其预期的风险与收益高于混合型基金、债券型基金与货币市场基金，为证券投资基金中较高风险、较高预期收益的品种。同时本基金通过投资目标ETF，紧密跟踪标的指数，具有与标的指数相似的风险收益特征。本基金除了投资A股以外，还可以根据法律法规规定投资港股通标的股票，将面临港股通机制下因投资环境、投资标的、市场制度以及交易规则等差异带来的特有风险。</w:t>
            </w:r>
          </w:p>
        </w:tc>
      </w:tr>
    </w:tbl>
    <w:p w14:paraId="061693FF" w14:textId="77777777" w:rsidR="0051145B" w:rsidRPr="00EB4244" w:rsidRDefault="0010060E" w:rsidP="00EB4244">
      <w:pPr>
        <w:rPr>
          <w:rFonts w:ascii="宋体" w:eastAsia="宋体" w:hAnsi="宋体" w:cs="方正仿宋简体"/>
          <w:iCs/>
          <w:szCs w:val="21"/>
        </w:rPr>
        <w:sectPr w:rsidR="0051145B" w:rsidRPr="00EB4244"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14:paraId="78F43B20" w14:textId="77777777" w:rsidR="00CF127E" w:rsidRDefault="00CF127E" w:rsidP="00CF127E">
      <w:pPr>
        <w:rPr>
          <w:rFonts w:ascii="宋体" w:eastAsia="宋体" w:hAnsi="宋体" w:cs="方正仿宋简体"/>
          <w:b/>
          <w:bCs/>
          <w:iCs/>
          <w:kern w:val="0"/>
          <w:szCs w:val="21"/>
        </w:rPr>
      </w:pPr>
      <w:r>
        <w:rPr>
          <w:rFonts w:ascii="宋体" w:eastAsia="宋体" w:hAnsi="宋体" w:cs="方正仿宋简体" w:hint="eastAsia"/>
          <w:b/>
          <w:bCs/>
          <w:iCs/>
          <w:kern w:val="0"/>
          <w:szCs w:val="21"/>
        </w:rPr>
        <w:t>（二）投资组合资产配置图表</w:t>
      </w:r>
    </w:p>
    <w:p w14:paraId="4C8D3AD4" w14:textId="77777777" w:rsidR="00CF127E" w:rsidRPr="007321F6" w:rsidRDefault="00CF127E" w:rsidP="00CF127E">
      <w:pPr>
        <w:rPr>
          <w:rFonts w:ascii="宋体" w:eastAsia="宋体" w:hAnsi="宋体" w:cs="方正仿宋简体"/>
          <w:iCs/>
          <w:szCs w:val="21"/>
        </w:rPr>
      </w:pPr>
      <w:r w:rsidRPr="001009EE">
        <w:rPr>
          <w:rFonts w:ascii="宋体" w:eastAsia="宋体" w:hAnsi="宋体" w:cs="方正仿宋简体" w:hint="eastAsia"/>
          <w:iCs/>
          <w:szCs w:val="21"/>
        </w:rPr>
        <w:t>无</w:t>
      </w:r>
    </w:p>
    <w:p w14:paraId="6116A8C3" w14:textId="77777777" w:rsidR="00CF127E" w:rsidRDefault="00CF127E" w:rsidP="00CF127E">
      <w:pPr>
        <w:rPr>
          <w:rFonts w:ascii="宋体" w:eastAsia="宋体" w:hAnsi="宋体" w:cs="方正仿宋简体"/>
          <w:iCs/>
          <w:szCs w:val="21"/>
        </w:rPr>
      </w:pPr>
    </w:p>
    <w:p w14:paraId="3D552133" w14:textId="77777777" w:rsidR="00CF127E" w:rsidRDefault="00CF127E" w:rsidP="00CF127E">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（三）自基金合同生效以来基金每年的净值增长率及与同期业绩比较基准的比较图</w:t>
      </w:r>
    </w:p>
    <w:p w14:paraId="05E76BA3" w14:textId="77777777" w:rsidR="00CF127E" w:rsidRPr="007321F6" w:rsidRDefault="00CF127E" w:rsidP="00CF127E">
      <w:pPr>
        <w:rPr>
          <w:rFonts w:ascii="宋体" w:eastAsia="宋体" w:hAnsi="宋体" w:cs="方正仿宋简体"/>
          <w:iCs/>
          <w:szCs w:val="21"/>
        </w:rPr>
        <w:sectPr w:rsidR="00CF127E" w:rsidRPr="007321F6" w:rsidSect="00F576B5">
          <w:type w:val="continuous"/>
          <w:pgSz w:w="12240" w:h="15840"/>
          <w:pgMar w:top="1440" w:right="1800" w:bottom="1440" w:left="1800" w:header="720" w:footer="720" w:gutter="0"/>
          <w:cols w:space="720"/>
        </w:sectPr>
      </w:pPr>
      <w:r>
        <w:rPr>
          <w:rFonts w:ascii="宋体" w:eastAsia="宋体" w:hAnsi="宋体" w:cs="方正仿宋简体" w:hint="eastAsia"/>
          <w:iCs/>
          <w:szCs w:val="21"/>
        </w:rPr>
        <w:t>无</w:t>
      </w:r>
    </w:p>
    <w:p w14:paraId="0D2612B6" w14:textId="7E57CE3B" w:rsidR="00CF127E" w:rsidRPr="00CF127E" w:rsidRDefault="00CF127E" w:rsidP="00A02F78">
      <w:pPr>
        <w:spacing w:line="360" w:lineRule="auto"/>
        <w:rPr>
          <w:rFonts w:ascii="宋体" w:eastAsia="宋体" w:hAnsi="宋体" w:cs="宋体"/>
          <w:iCs/>
          <w:sz w:val="24"/>
          <w:szCs w:val="21"/>
        </w:rPr>
        <w:sectPr w:rsidR="00CF127E" w:rsidRPr="00CF127E" w:rsidSect="008D2884">
          <w:type w:val="continuous"/>
          <w:pgSz w:w="12240" w:h="15840"/>
          <w:pgMar w:top="1440" w:right="1800" w:bottom="1440" w:left="1800" w:header="720" w:footer="720" w:gutter="0"/>
          <w:cols w:space="720"/>
        </w:sectPr>
      </w:pPr>
    </w:p>
    <w:p w14:paraId="08A889BE" w14:textId="77777777" w:rsidR="00834E25" w:rsidRPr="00340931" w:rsidRDefault="0010060E" w:rsidP="00340931">
      <w:pPr>
        <w:spacing w:line="360" w:lineRule="auto"/>
        <w:rPr>
          <w:rFonts w:ascii="宋体" w:eastAsia="宋体" w:hAnsi="宋体" w:cs="方正仿宋简体"/>
          <w:b/>
          <w:bCs/>
          <w:iCs/>
          <w:szCs w:val="21"/>
        </w:rPr>
        <w:sectPr w:rsidR="00834E25" w:rsidRPr="00340931"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lastRenderedPageBreak/>
        <w:t>三、投资本基金涉及的费用</w:t>
      </w:r>
    </w:p>
    <w:p w14:paraId="44B8E549" w14:textId="77777777" w:rsidR="00263627" w:rsidRPr="00B4654F" w:rsidRDefault="0010060E" w:rsidP="00263627">
      <w:pPr>
        <w:spacing w:line="360" w:lineRule="auto"/>
        <w:rPr>
          <w:rFonts w:ascii="宋体" w:eastAsia="宋体" w:hAnsi="宋体"/>
          <w:b/>
        </w:rPr>
      </w:pPr>
      <w:r w:rsidRPr="00B4654F">
        <w:rPr>
          <w:rFonts w:ascii="宋体" w:eastAsia="宋体" w:hAnsi="宋体" w:hint="eastAsia"/>
          <w:b/>
        </w:rPr>
        <w:t>（一）基金销售相关费用</w:t>
      </w:r>
    </w:p>
    <w:p w14:paraId="04410242" w14:textId="77777777" w:rsidR="00F66C8F" w:rsidRPr="00263627" w:rsidRDefault="0010060E" w:rsidP="00F66C8F">
      <w:pPr>
        <w:spacing w:line="240" w:lineRule="atLeast"/>
        <w:rPr>
          <w:rFonts w:ascii="宋体" w:eastAsia="宋体" w:hAnsi="宋体"/>
        </w:rPr>
      </w:pPr>
      <w:r w:rsidRPr="00263627">
        <w:rPr>
          <w:rFonts w:ascii="宋体" w:eastAsia="宋体" w:hAnsi="宋体"/>
        </w:rPr>
        <w:t>以下费用在申购/赎回基金过程中收取：</w:t>
      </w:r>
    </w:p>
    <w:p w14:paraId="4D003E32" w14:textId="77777777" w:rsidR="00834E25" w:rsidRPr="00263627" w:rsidRDefault="00834E25" w:rsidP="00BC38BD">
      <w:pPr>
        <w:spacing w:line="240" w:lineRule="atLeast"/>
        <w:rPr>
          <w:rFonts w:ascii="宋体" w:eastAsia="宋体" w:hAns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375"/>
        <w:gridCol w:w="2278"/>
        <w:gridCol w:w="1988"/>
      </w:tblGrid>
      <w:tr w:rsidR="000374FE" w14:paraId="04A76272" w14:textId="77777777">
        <w:tc>
          <w:tcPr>
            <w:tcW w:w="20000" w:type="dxa"/>
            <w:shd w:val="clear" w:color="auto" w:fill="D9D9D9"/>
            <w:vAlign w:val="center"/>
          </w:tcPr>
          <w:p w14:paraId="1D5EE20D" w14:textId="77777777" w:rsidR="00834E25" w:rsidRPr="00263627" w:rsidRDefault="0010060E" w:rsidP="00BC38BD">
            <w:pPr>
              <w:spacing w:line="240" w:lineRule="atLeast"/>
              <w:jc w:val="center"/>
              <w:rPr>
                <w:rFonts w:ascii="宋体" w:eastAsia="宋体" w:hAnsi="宋体" w:cs="宋体"/>
                <w:color w:val="000000"/>
              </w:rPr>
            </w:pPr>
            <w:r w:rsidRPr="00263627">
              <w:rPr>
                <w:rFonts w:ascii="宋体" w:eastAsia="宋体" w:hAnsi="宋体" w:cs="宋体"/>
                <w:color w:val="000000"/>
              </w:rPr>
              <w:t>费用类型</w:t>
            </w:r>
          </w:p>
        </w:tc>
        <w:tc>
          <w:tcPr>
            <w:tcW w:w="20000" w:type="dxa"/>
            <w:shd w:val="clear" w:color="auto" w:fill="D9D9D9"/>
            <w:vAlign w:val="center"/>
          </w:tcPr>
          <w:p w14:paraId="5C12D70D" w14:textId="77777777" w:rsidR="00834E25" w:rsidRPr="00263627" w:rsidRDefault="0010060E" w:rsidP="00BC38BD">
            <w:pPr>
              <w:spacing w:line="240" w:lineRule="atLeast"/>
              <w:jc w:val="center"/>
              <w:rPr>
                <w:rFonts w:ascii="宋体" w:eastAsia="宋体" w:hAnsi="宋体" w:cs="宋体"/>
                <w:color w:val="000000"/>
              </w:rPr>
            </w:pPr>
            <w:r w:rsidRPr="00263627">
              <w:rPr>
                <w:rFonts w:ascii="宋体" w:eastAsia="宋体" w:hAnsi="宋体" w:cs="宋体"/>
                <w:color w:val="000000"/>
              </w:rPr>
              <w:t>份额（S）或金额（M）/持有期限（N）</w:t>
            </w:r>
          </w:p>
        </w:tc>
        <w:tc>
          <w:tcPr>
            <w:tcW w:w="20000" w:type="dxa"/>
            <w:shd w:val="clear" w:color="auto" w:fill="D9D9D9"/>
            <w:vAlign w:val="center"/>
          </w:tcPr>
          <w:p w14:paraId="59D0EEC1" w14:textId="77777777" w:rsidR="00834E25" w:rsidRPr="00263627" w:rsidRDefault="0010060E" w:rsidP="00BC38BD">
            <w:pPr>
              <w:spacing w:line="240" w:lineRule="atLeast"/>
              <w:jc w:val="center"/>
              <w:rPr>
                <w:rFonts w:ascii="宋体" w:eastAsia="宋体" w:hAnsi="宋体" w:cs="宋体"/>
                <w:color w:val="000000"/>
              </w:rPr>
            </w:pPr>
            <w:r w:rsidRPr="00263627">
              <w:rPr>
                <w:rFonts w:ascii="宋体" w:eastAsia="宋体" w:hAnsi="宋体" w:cs="宋体"/>
                <w:color w:val="000000"/>
              </w:rPr>
              <w:t>费率/收费方式</w:t>
            </w:r>
          </w:p>
        </w:tc>
        <w:tc>
          <w:tcPr>
            <w:tcW w:w="20000" w:type="dxa"/>
            <w:shd w:val="clear" w:color="auto" w:fill="D9D9D9"/>
            <w:vAlign w:val="center"/>
          </w:tcPr>
          <w:p w14:paraId="3F644492" w14:textId="77777777" w:rsidR="00834E25" w:rsidRPr="00263627" w:rsidRDefault="0010060E" w:rsidP="00BC38BD">
            <w:pPr>
              <w:spacing w:line="240" w:lineRule="atLeast"/>
              <w:jc w:val="center"/>
              <w:rPr>
                <w:rFonts w:ascii="宋体" w:eastAsia="宋体" w:hAnsi="宋体" w:cs="宋体"/>
                <w:color w:val="000000"/>
              </w:rPr>
            </w:pPr>
            <w:r w:rsidRPr="00263627">
              <w:rPr>
                <w:rFonts w:ascii="宋体" w:eastAsia="宋体" w:hAnsi="宋体" w:cs="宋体"/>
                <w:color w:val="000000"/>
              </w:rPr>
              <w:t>备注</w:t>
            </w:r>
          </w:p>
        </w:tc>
      </w:tr>
      <w:tr w:rsidR="000374FE" w14:paraId="41B41294" w14:textId="77777777">
        <w:tc>
          <w:tcPr>
            <w:tcW w:w="20000" w:type="dxa"/>
            <w:vMerge w:val="restart"/>
            <w:shd w:val="clear" w:color="auto" w:fill="FFFFFF"/>
            <w:vAlign w:val="center"/>
          </w:tcPr>
          <w:p w14:paraId="247854E1"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 xml:space="preserve">赎回费 </w:t>
            </w:r>
          </w:p>
          <w:p w14:paraId="375D0EAF" w14:textId="77777777"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14:paraId="08092C57"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0天≤N&lt;7天</w:t>
            </w:r>
          </w:p>
        </w:tc>
        <w:tc>
          <w:tcPr>
            <w:tcW w:w="20000" w:type="dxa"/>
            <w:shd w:val="clear" w:color="auto" w:fill="FFFFFF"/>
            <w:vAlign w:val="center"/>
          </w:tcPr>
          <w:p w14:paraId="62F6B422"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1.50%</w:t>
            </w:r>
          </w:p>
        </w:tc>
        <w:tc>
          <w:tcPr>
            <w:tcW w:w="20000" w:type="dxa"/>
            <w:shd w:val="clear" w:color="auto" w:fill="FFFFFF"/>
            <w:vAlign w:val="center"/>
          </w:tcPr>
          <w:p w14:paraId="2D6974D6"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场外份额</w:t>
            </w:r>
          </w:p>
        </w:tc>
      </w:tr>
      <w:tr w:rsidR="000374FE" w14:paraId="28C04235" w14:textId="77777777">
        <w:tc>
          <w:tcPr>
            <w:tcW w:w="20000" w:type="dxa"/>
            <w:vMerge/>
            <w:shd w:val="clear" w:color="auto" w:fill="FFFFFF"/>
            <w:vAlign w:val="center"/>
          </w:tcPr>
          <w:p w14:paraId="343993A1" w14:textId="77777777"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14:paraId="1FE1557E"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7天≤N&lt;30天</w:t>
            </w:r>
          </w:p>
        </w:tc>
        <w:tc>
          <w:tcPr>
            <w:tcW w:w="20000" w:type="dxa"/>
            <w:shd w:val="clear" w:color="auto" w:fill="FFFFFF"/>
            <w:vAlign w:val="center"/>
          </w:tcPr>
          <w:p w14:paraId="229979A0"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0.10%</w:t>
            </w:r>
          </w:p>
        </w:tc>
        <w:tc>
          <w:tcPr>
            <w:tcW w:w="20000" w:type="dxa"/>
            <w:shd w:val="clear" w:color="auto" w:fill="FFFFFF"/>
            <w:vAlign w:val="center"/>
          </w:tcPr>
          <w:p w14:paraId="74DBA119"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场外份额</w:t>
            </w:r>
          </w:p>
        </w:tc>
      </w:tr>
      <w:tr w:rsidR="000374FE" w14:paraId="079488B8" w14:textId="77777777">
        <w:tc>
          <w:tcPr>
            <w:tcW w:w="20000" w:type="dxa"/>
            <w:vMerge/>
            <w:shd w:val="clear" w:color="auto" w:fill="FFFFFF"/>
            <w:vAlign w:val="center"/>
          </w:tcPr>
          <w:p w14:paraId="72B8A41F" w14:textId="77777777"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14:paraId="307D344C"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N≥30天</w:t>
            </w:r>
          </w:p>
        </w:tc>
        <w:tc>
          <w:tcPr>
            <w:tcW w:w="20000" w:type="dxa"/>
            <w:shd w:val="clear" w:color="auto" w:fill="FFFFFF"/>
            <w:vAlign w:val="center"/>
          </w:tcPr>
          <w:p w14:paraId="4E4C04FA"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0.00%</w:t>
            </w:r>
          </w:p>
        </w:tc>
        <w:tc>
          <w:tcPr>
            <w:tcW w:w="20000" w:type="dxa"/>
            <w:shd w:val="clear" w:color="auto" w:fill="FFFFFF"/>
            <w:vAlign w:val="center"/>
          </w:tcPr>
          <w:p w14:paraId="5567BB98"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场外份额</w:t>
            </w:r>
          </w:p>
        </w:tc>
      </w:tr>
      <w:tr w:rsidR="000374FE" w14:paraId="39C61006" w14:textId="77777777">
        <w:tc>
          <w:tcPr>
            <w:tcW w:w="20000" w:type="dxa"/>
            <w:shd w:val="clear" w:color="auto" w:fill="FFFFFF"/>
            <w:vAlign w:val="center"/>
          </w:tcPr>
          <w:p w14:paraId="684DADCB"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申购费</w:t>
            </w:r>
          </w:p>
        </w:tc>
        <w:tc>
          <w:tcPr>
            <w:tcW w:w="20000" w:type="dxa"/>
            <w:gridSpan w:val="3"/>
            <w:shd w:val="clear" w:color="auto" w:fill="FFFFFF"/>
            <w:vAlign w:val="center"/>
          </w:tcPr>
          <w:p w14:paraId="0711325F"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本基金C类份额不收取申购费。</w:t>
            </w:r>
          </w:p>
        </w:tc>
      </w:tr>
      <w:tr w:rsidR="000374FE" w14:paraId="4C3ABA93" w14:textId="77777777">
        <w:tc>
          <w:tcPr>
            <w:tcW w:w="20000" w:type="dxa"/>
            <w:shd w:val="clear" w:color="auto" w:fill="FFFFFF"/>
            <w:vAlign w:val="center"/>
          </w:tcPr>
          <w:p w14:paraId="7E6181C7"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赎回费</w:t>
            </w:r>
          </w:p>
        </w:tc>
        <w:tc>
          <w:tcPr>
            <w:tcW w:w="20000" w:type="dxa"/>
            <w:gridSpan w:val="3"/>
            <w:shd w:val="clear" w:color="auto" w:fill="FFFFFF"/>
            <w:vAlign w:val="center"/>
          </w:tcPr>
          <w:p w14:paraId="7DBCBA0F" w14:textId="77777777" w:rsidR="00834E25" w:rsidRPr="00263627" w:rsidRDefault="0010060E" w:rsidP="00BC38BD">
            <w:pPr>
              <w:spacing w:line="240" w:lineRule="atLeast"/>
              <w:jc w:val="left"/>
              <w:rPr>
                <w:rFonts w:ascii="宋体" w:eastAsia="宋体" w:hAnsi="宋体" w:cs="宋体"/>
                <w:color w:val="000000"/>
              </w:rPr>
            </w:pPr>
            <w:r w:rsidRPr="00263627">
              <w:rPr>
                <w:rFonts w:ascii="宋体" w:eastAsia="宋体" w:hAnsi="宋体" w:cs="宋体"/>
                <w:color w:val="000000"/>
              </w:rPr>
              <w:t>本基金C类份额的场内赎回费率参照场外赎回费率执行。</w:t>
            </w:r>
          </w:p>
        </w:tc>
      </w:tr>
    </w:tbl>
    <w:p w14:paraId="04146D40" w14:textId="77777777" w:rsidR="00834E25" w:rsidRPr="00263627" w:rsidRDefault="00834E25" w:rsidP="00BC38BD">
      <w:pPr>
        <w:spacing w:line="240" w:lineRule="atLeast"/>
        <w:rPr>
          <w:rFonts w:ascii="宋体" w:eastAsia="宋体" w:hAnsi="宋体"/>
        </w:rPr>
      </w:pPr>
    </w:p>
    <w:p w14:paraId="1EAFED8B" w14:textId="77777777" w:rsidR="00263627" w:rsidRPr="00263627" w:rsidRDefault="0010060E" w:rsidP="00BC38BD">
      <w:pPr>
        <w:spacing w:line="240" w:lineRule="atLeast"/>
        <w:rPr>
          <w:rFonts w:ascii="宋体" w:eastAsia="宋体" w:hAnsi="宋体"/>
        </w:rPr>
        <w:sectPr w:rsidR="00263627" w:rsidRPr="00263627"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14:paraId="5E38B74D" w14:textId="77777777" w:rsidR="004118E0" w:rsidRPr="004118E0" w:rsidRDefault="0010060E"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14:paraId="40DCDB97" w14:textId="77777777" w:rsidR="004118E0" w:rsidRDefault="0010060E"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460"/>
        <w:gridCol w:w="2016"/>
        <w:gridCol w:w="2077"/>
      </w:tblGrid>
      <w:tr w:rsidR="008B1160" w14:paraId="39E0221D" w14:textId="77777777" w:rsidTr="002D029F">
        <w:trPr>
          <w:jc w:val="center"/>
        </w:trPr>
        <w:tc>
          <w:tcPr>
            <w:tcW w:w="2077" w:type="dxa"/>
            <w:shd w:val="clear" w:color="auto" w:fill="D9D9D9"/>
            <w:vAlign w:val="center"/>
          </w:tcPr>
          <w:p w14:paraId="6B6C0A4C" w14:textId="77777777" w:rsidR="008B1160" w:rsidRPr="004118E0" w:rsidRDefault="008B1160" w:rsidP="002D029F">
            <w:pPr>
              <w:jc w:val="center"/>
              <w:rPr>
                <w:rFonts w:ascii="宋体" w:eastAsia="宋体" w:hAnsi="宋体" w:cs="宋体"/>
                <w:iCs/>
                <w:color w:val="000000"/>
                <w:szCs w:val="21"/>
              </w:rPr>
            </w:pPr>
            <w:r w:rsidRPr="004118E0">
              <w:rPr>
                <w:rFonts w:ascii="宋体" w:eastAsia="宋体" w:hAnsi="宋体" w:cs="宋体"/>
                <w:iCs/>
                <w:color w:val="000000"/>
                <w:szCs w:val="21"/>
              </w:rPr>
              <w:t>费用类别</w:t>
            </w:r>
          </w:p>
        </w:tc>
        <w:tc>
          <w:tcPr>
            <w:tcW w:w="2460" w:type="dxa"/>
            <w:shd w:val="clear" w:color="auto" w:fill="D9D9D9"/>
            <w:vAlign w:val="center"/>
          </w:tcPr>
          <w:p w14:paraId="2AD3F9D3" w14:textId="77777777" w:rsidR="008B1160" w:rsidRPr="004118E0" w:rsidRDefault="008B1160" w:rsidP="002D029F">
            <w:pPr>
              <w:jc w:val="center"/>
              <w:rPr>
                <w:rFonts w:ascii="宋体" w:eastAsia="宋体" w:hAnsi="宋体" w:cs="宋体"/>
                <w:iCs/>
                <w:color w:val="000000"/>
                <w:szCs w:val="21"/>
              </w:rPr>
            </w:pPr>
            <w:r w:rsidRPr="004118E0">
              <w:rPr>
                <w:rFonts w:ascii="宋体" w:eastAsia="宋体" w:hAnsi="宋体" w:cs="宋体"/>
                <w:iCs/>
                <w:color w:val="000000"/>
                <w:szCs w:val="21"/>
              </w:rPr>
              <w:t>年费率</w:t>
            </w:r>
            <w:r>
              <w:rPr>
                <w:rFonts w:ascii="宋体" w:eastAsia="宋体" w:hAnsi="宋体" w:cs="宋体" w:hint="eastAsia"/>
                <w:iCs/>
                <w:color w:val="000000"/>
                <w:szCs w:val="21"/>
              </w:rPr>
              <w:t>或金额</w:t>
            </w:r>
          </w:p>
        </w:tc>
        <w:tc>
          <w:tcPr>
            <w:tcW w:w="2016" w:type="dxa"/>
            <w:shd w:val="clear" w:color="auto" w:fill="D9D9D9"/>
          </w:tcPr>
          <w:p w14:paraId="2123E301" w14:textId="77777777" w:rsidR="008B1160" w:rsidRDefault="008B1160" w:rsidP="002D029F">
            <w:pPr>
              <w:jc w:val="center"/>
              <w:rPr>
                <w:rFonts w:ascii="宋体" w:eastAsia="宋体" w:hAnsi="宋体" w:cs="宋体"/>
                <w:iCs/>
                <w:color w:val="000000"/>
                <w:szCs w:val="21"/>
              </w:rPr>
            </w:pPr>
            <w:r w:rsidRPr="008953BD">
              <w:rPr>
                <w:rFonts w:ascii="宋体" w:eastAsia="宋体" w:hAnsi="宋体" w:cs="宋体" w:hint="eastAsia"/>
                <w:iCs/>
                <w:color w:val="000000"/>
                <w:szCs w:val="21"/>
              </w:rPr>
              <w:t>收费方式</w:t>
            </w:r>
          </w:p>
        </w:tc>
        <w:tc>
          <w:tcPr>
            <w:tcW w:w="2077" w:type="dxa"/>
            <w:shd w:val="clear" w:color="auto" w:fill="D9D9D9"/>
            <w:vAlign w:val="center"/>
          </w:tcPr>
          <w:p w14:paraId="78C85E8C" w14:textId="77777777" w:rsidR="008B1160" w:rsidRPr="004118E0" w:rsidRDefault="008B1160" w:rsidP="002D029F">
            <w:pPr>
              <w:jc w:val="center"/>
              <w:rPr>
                <w:rFonts w:ascii="宋体" w:eastAsia="宋体" w:hAnsi="宋体" w:cs="宋体"/>
                <w:iCs/>
                <w:color w:val="000000"/>
                <w:szCs w:val="21"/>
              </w:rPr>
            </w:pPr>
            <w:r>
              <w:rPr>
                <w:rFonts w:ascii="宋体" w:eastAsia="宋体" w:hAnsi="宋体" w:cs="宋体" w:hint="eastAsia"/>
                <w:iCs/>
                <w:color w:val="000000"/>
                <w:szCs w:val="21"/>
              </w:rPr>
              <w:t>收取方</w:t>
            </w:r>
          </w:p>
        </w:tc>
      </w:tr>
      <w:tr w:rsidR="008B1160" w14:paraId="0F3AD0E1" w14:textId="77777777" w:rsidTr="002D029F">
        <w:trPr>
          <w:jc w:val="center"/>
        </w:trPr>
        <w:tc>
          <w:tcPr>
            <w:tcW w:w="2077" w:type="dxa"/>
            <w:shd w:val="clear" w:color="auto" w:fill="FFFFFF"/>
            <w:vAlign w:val="center"/>
          </w:tcPr>
          <w:p w14:paraId="668972BF" w14:textId="77777777" w:rsidR="008B1160" w:rsidRPr="004118E0" w:rsidRDefault="008B1160" w:rsidP="002D029F">
            <w:pPr>
              <w:jc w:val="left"/>
              <w:rPr>
                <w:rFonts w:ascii="宋体" w:eastAsia="宋体" w:hAnsi="宋体" w:cs="宋体"/>
                <w:iCs/>
                <w:color w:val="000000"/>
                <w:szCs w:val="21"/>
              </w:rPr>
            </w:pPr>
            <w:r w:rsidRPr="004118E0">
              <w:rPr>
                <w:rFonts w:ascii="宋体" w:eastAsia="宋体" w:hAnsi="宋体" w:cs="宋体"/>
                <w:iCs/>
                <w:color w:val="000000"/>
                <w:szCs w:val="21"/>
              </w:rPr>
              <w:t>管理费</w:t>
            </w:r>
          </w:p>
        </w:tc>
        <w:tc>
          <w:tcPr>
            <w:tcW w:w="2460" w:type="dxa"/>
            <w:shd w:val="clear" w:color="auto" w:fill="FFFFFF"/>
            <w:vAlign w:val="center"/>
          </w:tcPr>
          <w:p w14:paraId="4203FCC7" w14:textId="4EC558A5" w:rsidR="008B1160" w:rsidRPr="004118E0" w:rsidRDefault="008B1160" w:rsidP="002D029F">
            <w:pPr>
              <w:jc w:val="right"/>
              <w:rPr>
                <w:rFonts w:ascii="宋体" w:eastAsia="宋体" w:hAnsi="宋体" w:cs="宋体"/>
                <w:iCs/>
                <w:color w:val="000000"/>
                <w:szCs w:val="21"/>
              </w:rPr>
            </w:pPr>
            <w:r w:rsidRPr="004118E0">
              <w:rPr>
                <w:rFonts w:ascii="宋体" w:eastAsia="宋体" w:hAnsi="宋体" w:cs="宋体"/>
                <w:iCs/>
                <w:color w:val="000000"/>
                <w:szCs w:val="21"/>
              </w:rPr>
              <w:t>0.</w:t>
            </w:r>
            <w:r>
              <w:rPr>
                <w:rFonts w:ascii="宋体" w:eastAsia="宋体" w:hAnsi="宋体" w:cs="宋体" w:hint="eastAsia"/>
                <w:iCs/>
                <w:color w:val="000000"/>
                <w:szCs w:val="21"/>
              </w:rPr>
              <w:t>5</w:t>
            </w:r>
            <w:r w:rsidRPr="004118E0">
              <w:rPr>
                <w:rFonts w:ascii="宋体" w:eastAsia="宋体" w:hAnsi="宋体" w:cs="宋体"/>
                <w:iCs/>
                <w:color w:val="000000"/>
                <w:szCs w:val="21"/>
              </w:rPr>
              <w:t>%</w:t>
            </w:r>
          </w:p>
        </w:tc>
        <w:tc>
          <w:tcPr>
            <w:tcW w:w="2016" w:type="dxa"/>
            <w:shd w:val="clear" w:color="auto" w:fill="FFFFFF"/>
            <w:vAlign w:val="center"/>
          </w:tcPr>
          <w:p w14:paraId="2E052DA5" w14:textId="77777777" w:rsidR="008B1160" w:rsidRPr="00672331" w:rsidRDefault="008B1160" w:rsidP="002D029F">
            <w:pPr>
              <w:jc w:val="left"/>
              <w:rPr>
                <w:rFonts w:ascii="宋体" w:eastAsia="宋体" w:hAnsi="宋体" w:cs="宋体"/>
                <w:iCs/>
                <w:color w:val="000000"/>
                <w:szCs w:val="21"/>
              </w:rPr>
            </w:pPr>
            <w:r>
              <w:rPr>
                <w:rFonts w:ascii="宋体" w:eastAsia="宋体" w:hAnsi="宋体" w:cs="宋体" w:hint="eastAsia"/>
                <w:iCs/>
                <w:color w:val="000000"/>
                <w:szCs w:val="21"/>
              </w:rPr>
              <w:t>-</w:t>
            </w:r>
          </w:p>
        </w:tc>
        <w:tc>
          <w:tcPr>
            <w:tcW w:w="2077" w:type="dxa"/>
            <w:shd w:val="clear" w:color="auto" w:fill="FFFFFF"/>
            <w:vAlign w:val="center"/>
          </w:tcPr>
          <w:p w14:paraId="17B4D422" w14:textId="4FFBA32F" w:rsidR="008B1160" w:rsidRPr="004118E0" w:rsidRDefault="008B1160" w:rsidP="002D029F">
            <w:pPr>
              <w:jc w:val="left"/>
              <w:rPr>
                <w:rFonts w:ascii="宋体" w:eastAsia="宋体" w:hAnsi="宋体" w:cs="宋体"/>
                <w:iCs/>
                <w:color w:val="000000"/>
                <w:szCs w:val="21"/>
              </w:rPr>
            </w:pPr>
            <w:r w:rsidRPr="00672331">
              <w:rPr>
                <w:rFonts w:ascii="宋体" w:eastAsia="宋体" w:hAnsi="宋体" w:cs="宋体" w:hint="eastAsia"/>
                <w:iCs/>
                <w:color w:val="000000"/>
                <w:szCs w:val="21"/>
              </w:rPr>
              <w:t>基金管理人</w:t>
            </w:r>
            <w:r w:rsidR="00F225A7">
              <w:rPr>
                <w:rFonts w:ascii="宋体" w:eastAsia="宋体" w:hAnsi="宋体" w:cs="宋体" w:hint="eastAsia"/>
                <w:iCs/>
                <w:color w:val="000000"/>
                <w:szCs w:val="21"/>
              </w:rPr>
              <w:t>、</w:t>
            </w:r>
            <w:r w:rsidRPr="00672331">
              <w:rPr>
                <w:rFonts w:ascii="宋体" w:eastAsia="宋体" w:hAnsi="宋体" w:cs="宋体" w:hint="eastAsia"/>
                <w:iCs/>
                <w:color w:val="000000"/>
                <w:szCs w:val="21"/>
              </w:rPr>
              <w:t>销售机构</w:t>
            </w:r>
          </w:p>
        </w:tc>
      </w:tr>
      <w:tr w:rsidR="008B1160" w14:paraId="332374C7" w14:textId="77777777" w:rsidTr="002D029F">
        <w:trPr>
          <w:jc w:val="center"/>
        </w:trPr>
        <w:tc>
          <w:tcPr>
            <w:tcW w:w="2077" w:type="dxa"/>
            <w:shd w:val="clear" w:color="auto" w:fill="FFFFFF"/>
            <w:vAlign w:val="center"/>
          </w:tcPr>
          <w:p w14:paraId="5E6C07E0" w14:textId="77777777" w:rsidR="008B1160" w:rsidRPr="004118E0" w:rsidRDefault="008B1160" w:rsidP="002D029F">
            <w:pPr>
              <w:jc w:val="left"/>
              <w:rPr>
                <w:rFonts w:ascii="宋体" w:eastAsia="宋体" w:hAnsi="宋体" w:cs="宋体"/>
                <w:iCs/>
                <w:color w:val="000000"/>
                <w:szCs w:val="21"/>
              </w:rPr>
            </w:pPr>
            <w:r w:rsidRPr="004118E0">
              <w:rPr>
                <w:rFonts w:ascii="宋体" w:eastAsia="宋体" w:hAnsi="宋体" w:cs="宋体"/>
                <w:iCs/>
                <w:color w:val="000000"/>
                <w:szCs w:val="21"/>
              </w:rPr>
              <w:t>托管费</w:t>
            </w:r>
          </w:p>
        </w:tc>
        <w:tc>
          <w:tcPr>
            <w:tcW w:w="2460" w:type="dxa"/>
            <w:shd w:val="clear" w:color="auto" w:fill="FFFFFF"/>
            <w:vAlign w:val="center"/>
          </w:tcPr>
          <w:p w14:paraId="717708CB" w14:textId="77777777" w:rsidR="008B1160" w:rsidRPr="004118E0" w:rsidRDefault="008B1160" w:rsidP="002D029F">
            <w:pPr>
              <w:jc w:val="right"/>
              <w:rPr>
                <w:rFonts w:ascii="宋体" w:eastAsia="宋体" w:hAnsi="宋体" w:cs="宋体"/>
                <w:iCs/>
                <w:color w:val="000000"/>
                <w:szCs w:val="21"/>
              </w:rPr>
            </w:pPr>
            <w:r w:rsidRPr="004118E0">
              <w:rPr>
                <w:rFonts w:ascii="宋体" w:eastAsia="宋体" w:hAnsi="宋体" w:cs="宋体"/>
                <w:iCs/>
                <w:color w:val="000000"/>
                <w:szCs w:val="21"/>
              </w:rPr>
              <w:t>0.1%</w:t>
            </w:r>
          </w:p>
        </w:tc>
        <w:tc>
          <w:tcPr>
            <w:tcW w:w="2016" w:type="dxa"/>
            <w:shd w:val="clear" w:color="auto" w:fill="FFFFFF"/>
            <w:vAlign w:val="center"/>
          </w:tcPr>
          <w:p w14:paraId="7E994D93" w14:textId="77777777" w:rsidR="008B1160" w:rsidRPr="00672331" w:rsidRDefault="008B1160" w:rsidP="002D029F">
            <w:pPr>
              <w:jc w:val="left"/>
              <w:rPr>
                <w:rFonts w:ascii="宋体" w:eastAsia="宋体" w:hAnsi="宋体" w:cs="宋体"/>
                <w:iCs/>
                <w:color w:val="000000"/>
                <w:szCs w:val="21"/>
              </w:rPr>
            </w:pPr>
            <w:r>
              <w:rPr>
                <w:rFonts w:ascii="宋体" w:eastAsia="宋体" w:hAnsi="宋体" w:cs="宋体" w:hint="eastAsia"/>
                <w:iCs/>
                <w:color w:val="000000"/>
                <w:szCs w:val="21"/>
              </w:rPr>
              <w:t>-</w:t>
            </w:r>
          </w:p>
        </w:tc>
        <w:tc>
          <w:tcPr>
            <w:tcW w:w="2077" w:type="dxa"/>
            <w:shd w:val="clear" w:color="auto" w:fill="FFFFFF"/>
            <w:vAlign w:val="center"/>
          </w:tcPr>
          <w:p w14:paraId="5A420E17" w14:textId="77777777" w:rsidR="008B1160" w:rsidRPr="004118E0" w:rsidRDefault="008B1160" w:rsidP="002D029F">
            <w:pPr>
              <w:jc w:val="left"/>
              <w:rPr>
                <w:rFonts w:ascii="宋体" w:eastAsia="宋体" w:hAnsi="宋体" w:cs="宋体"/>
                <w:iCs/>
                <w:color w:val="000000"/>
                <w:szCs w:val="21"/>
              </w:rPr>
            </w:pPr>
            <w:r w:rsidRPr="00672331">
              <w:rPr>
                <w:rFonts w:ascii="宋体" w:eastAsia="宋体" w:hAnsi="宋体" w:cs="宋体" w:hint="eastAsia"/>
                <w:iCs/>
                <w:color w:val="000000"/>
                <w:szCs w:val="21"/>
              </w:rPr>
              <w:t>基金托管人</w:t>
            </w:r>
          </w:p>
        </w:tc>
      </w:tr>
      <w:tr w:rsidR="008B1160" w14:paraId="328DCFFC" w14:textId="77777777" w:rsidTr="002D029F">
        <w:trPr>
          <w:jc w:val="center"/>
        </w:trPr>
        <w:tc>
          <w:tcPr>
            <w:tcW w:w="2077" w:type="dxa"/>
            <w:shd w:val="clear" w:color="auto" w:fill="FFFFFF"/>
            <w:vAlign w:val="center"/>
          </w:tcPr>
          <w:p w14:paraId="7243C9C3" w14:textId="77777777" w:rsidR="008B1160" w:rsidRPr="004118E0" w:rsidRDefault="008B1160" w:rsidP="002D029F">
            <w:pPr>
              <w:jc w:val="left"/>
              <w:rPr>
                <w:rFonts w:ascii="宋体" w:eastAsia="宋体" w:hAnsi="宋体" w:cs="宋体"/>
                <w:iCs/>
                <w:color w:val="000000"/>
                <w:szCs w:val="21"/>
              </w:rPr>
            </w:pPr>
            <w:r w:rsidRPr="004118E0">
              <w:rPr>
                <w:rFonts w:ascii="宋体" w:eastAsia="宋体" w:hAnsi="宋体" w:cs="宋体"/>
                <w:iCs/>
                <w:color w:val="000000"/>
                <w:szCs w:val="21"/>
              </w:rPr>
              <w:t>销售服务费</w:t>
            </w:r>
          </w:p>
        </w:tc>
        <w:tc>
          <w:tcPr>
            <w:tcW w:w="2460" w:type="dxa"/>
            <w:shd w:val="clear" w:color="auto" w:fill="FFFFFF"/>
            <w:vAlign w:val="center"/>
          </w:tcPr>
          <w:p w14:paraId="2DA02504" w14:textId="13C763EF" w:rsidR="008B1160" w:rsidRPr="004118E0" w:rsidRDefault="008B1160" w:rsidP="002D029F">
            <w:pPr>
              <w:jc w:val="right"/>
              <w:rPr>
                <w:rFonts w:ascii="宋体" w:eastAsia="宋体" w:hAnsi="宋体" w:cs="宋体"/>
                <w:iCs/>
                <w:color w:val="000000"/>
                <w:szCs w:val="21"/>
              </w:rPr>
            </w:pPr>
            <w:r>
              <w:rPr>
                <w:rFonts w:ascii="宋体" w:eastAsia="宋体" w:hAnsi="宋体" w:cs="宋体"/>
                <w:iCs/>
                <w:color w:val="000000"/>
                <w:szCs w:val="21"/>
              </w:rPr>
              <w:t>0.4%</w:t>
            </w:r>
          </w:p>
        </w:tc>
        <w:tc>
          <w:tcPr>
            <w:tcW w:w="2016" w:type="dxa"/>
            <w:shd w:val="clear" w:color="auto" w:fill="FFFFFF"/>
            <w:vAlign w:val="center"/>
          </w:tcPr>
          <w:p w14:paraId="73B8E8EF" w14:textId="77777777" w:rsidR="008B1160" w:rsidRPr="004118E0" w:rsidRDefault="008B1160" w:rsidP="002D029F">
            <w:pPr>
              <w:jc w:val="left"/>
              <w:rPr>
                <w:rFonts w:ascii="宋体" w:eastAsia="宋体" w:hAnsi="宋体" w:cs="宋体"/>
                <w:iCs/>
                <w:color w:val="000000"/>
                <w:szCs w:val="21"/>
              </w:rPr>
            </w:pPr>
            <w:r>
              <w:rPr>
                <w:rFonts w:ascii="宋体" w:eastAsia="宋体" w:hAnsi="宋体" w:cs="宋体" w:hint="eastAsia"/>
                <w:iCs/>
                <w:color w:val="000000"/>
                <w:szCs w:val="21"/>
              </w:rPr>
              <w:t>-</w:t>
            </w:r>
          </w:p>
        </w:tc>
        <w:tc>
          <w:tcPr>
            <w:tcW w:w="2077" w:type="dxa"/>
            <w:shd w:val="clear" w:color="auto" w:fill="FFFFFF"/>
            <w:vAlign w:val="center"/>
          </w:tcPr>
          <w:p w14:paraId="17CD1AE7" w14:textId="77777777" w:rsidR="008B1160" w:rsidRPr="004118E0" w:rsidRDefault="008B1160" w:rsidP="002D029F">
            <w:pPr>
              <w:jc w:val="left"/>
              <w:rPr>
                <w:rFonts w:ascii="宋体" w:eastAsia="宋体" w:hAnsi="宋体" w:cs="宋体"/>
                <w:iCs/>
                <w:color w:val="000000"/>
                <w:szCs w:val="21"/>
              </w:rPr>
            </w:pPr>
            <w:r w:rsidRPr="008953BD">
              <w:rPr>
                <w:rFonts w:ascii="宋体" w:eastAsia="宋体" w:hAnsi="宋体" w:cs="宋体" w:hint="eastAsia"/>
                <w:iCs/>
                <w:color w:val="000000"/>
                <w:szCs w:val="21"/>
              </w:rPr>
              <w:t>销售机构</w:t>
            </w:r>
          </w:p>
        </w:tc>
      </w:tr>
      <w:tr w:rsidR="008B1160" w14:paraId="3CD9EDCB" w14:textId="77777777" w:rsidTr="002D029F">
        <w:trPr>
          <w:jc w:val="center"/>
        </w:trPr>
        <w:tc>
          <w:tcPr>
            <w:tcW w:w="2077" w:type="dxa"/>
            <w:shd w:val="clear" w:color="auto" w:fill="FFFFFF"/>
            <w:vAlign w:val="center"/>
          </w:tcPr>
          <w:p w14:paraId="0570B5A4" w14:textId="77777777" w:rsidR="008B1160" w:rsidRPr="004118E0" w:rsidRDefault="008B1160" w:rsidP="002D029F">
            <w:pPr>
              <w:jc w:val="left"/>
              <w:rPr>
                <w:rFonts w:ascii="宋体" w:eastAsia="宋体" w:hAnsi="宋体" w:cs="宋体"/>
                <w:iCs/>
                <w:color w:val="000000"/>
                <w:szCs w:val="21"/>
              </w:rPr>
            </w:pPr>
            <w:r w:rsidRPr="00672331">
              <w:rPr>
                <w:rFonts w:ascii="宋体" w:eastAsia="宋体" w:hAnsi="宋体" w:cs="宋体" w:hint="eastAsia"/>
                <w:iCs/>
                <w:color w:val="000000"/>
                <w:szCs w:val="21"/>
              </w:rPr>
              <w:t>审计费用</w:t>
            </w:r>
          </w:p>
        </w:tc>
        <w:tc>
          <w:tcPr>
            <w:tcW w:w="2460" w:type="dxa"/>
            <w:shd w:val="clear" w:color="auto" w:fill="FFFFFF"/>
            <w:vAlign w:val="center"/>
          </w:tcPr>
          <w:p w14:paraId="4FF505CE" w14:textId="77777777" w:rsidR="008B1160" w:rsidRPr="004118E0" w:rsidRDefault="008B1160" w:rsidP="002D029F">
            <w:pPr>
              <w:jc w:val="right"/>
              <w:rPr>
                <w:rFonts w:ascii="宋体" w:eastAsia="宋体" w:hAnsi="宋体" w:cs="宋体"/>
                <w:iCs/>
                <w:color w:val="000000"/>
                <w:szCs w:val="21"/>
              </w:rPr>
            </w:pPr>
            <w:r>
              <w:rPr>
                <w:rFonts w:ascii="宋体" w:eastAsia="宋体" w:hAnsi="宋体" w:cs="宋体" w:hint="eastAsia"/>
                <w:iCs/>
                <w:color w:val="000000"/>
                <w:szCs w:val="21"/>
              </w:rPr>
              <w:t>-</w:t>
            </w:r>
          </w:p>
        </w:tc>
        <w:tc>
          <w:tcPr>
            <w:tcW w:w="2016" w:type="dxa"/>
            <w:shd w:val="clear" w:color="auto" w:fill="FFFFFF"/>
          </w:tcPr>
          <w:p w14:paraId="05EC96A4" w14:textId="77777777" w:rsidR="008B1160" w:rsidRPr="00672331" w:rsidRDefault="008B1160" w:rsidP="002D029F">
            <w:pPr>
              <w:jc w:val="left"/>
              <w:rPr>
                <w:rFonts w:ascii="宋体" w:eastAsia="宋体" w:hAnsi="宋体" w:cs="宋体"/>
                <w:iCs/>
                <w:color w:val="000000"/>
                <w:szCs w:val="21"/>
              </w:rPr>
            </w:pPr>
            <w:r w:rsidRPr="008953BD">
              <w:rPr>
                <w:rFonts w:ascii="宋体" w:eastAsia="宋体" w:hAnsi="宋体" w:cs="宋体"/>
                <w:iCs/>
                <w:color w:val="000000"/>
                <w:szCs w:val="21"/>
              </w:rPr>
              <w:t>45000</w:t>
            </w:r>
            <w:r>
              <w:rPr>
                <w:rFonts w:ascii="宋体" w:eastAsia="宋体" w:hAnsi="宋体" w:cs="宋体"/>
                <w:iCs/>
                <w:color w:val="000000"/>
                <w:szCs w:val="21"/>
              </w:rPr>
              <w:t>.00</w:t>
            </w:r>
            <w:r>
              <w:rPr>
                <w:rFonts w:ascii="宋体" w:eastAsia="宋体" w:hAnsi="宋体" w:cs="宋体" w:hint="eastAsia"/>
                <w:iCs/>
                <w:color w:val="000000"/>
                <w:szCs w:val="21"/>
              </w:rPr>
              <w:t>元/年</w:t>
            </w:r>
          </w:p>
        </w:tc>
        <w:tc>
          <w:tcPr>
            <w:tcW w:w="2077" w:type="dxa"/>
            <w:shd w:val="clear" w:color="auto" w:fill="FFFFFF"/>
            <w:vAlign w:val="center"/>
          </w:tcPr>
          <w:p w14:paraId="605BCD25" w14:textId="77777777" w:rsidR="008B1160" w:rsidRPr="004118E0" w:rsidRDefault="008B1160" w:rsidP="002D029F">
            <w:pPr>
              <w:jc w:val="left"/>
              <w:rPr>
                <w:rFonts w:ascii="宋体" w:eastAsia="宋体" w:hAnsi="宋体" w:cs="宋体"/>
                <w:iCs/>
                <w:color w:val="000000"/>
                <w:szCs w:val="21"/>
              </w:rPr>
            </w:pPr>
            <w:r w:rsidRPr="00672331">
              <w:rPr>
                <w:rFonts w:ascii="宋体" w:eastAsia="宋体" w:hAnsi="宋体" w:cs="宋体" w:hint="eastAsia"/>
                <w:iCs/>
                <w:color w:val="000000"/>
                <w:szCs w:val="21"/>
              </w:rPr>
              <w:t>会计师事务所</w:t>
            </w:r>
          </w:p>
        </w:tc>
      </w:tr>
      <w:tr w:rsidR="008B1160" w14:paraId="19EBB772" w14:textId="77777777" w:rsidTr="002D029F">
        <w:trPr>
          <w:jc w:val="center"/>
        </w:trPr>
        <w:tc>
          <w:tcPr>
            <w:tcW w:w="2077" w:type="dxa"/>
            <w:shd w:val="clear" w:color="auto" w:fill="FFFFFF"/>
            <w:vAlign w:val="center"/>
          </w:tcPr>
          <w:p w14:paraId="0F844710" w14:textId="77777777" w:rsidR="008B1160" w:rsidRPr="00672331" w:rsidRDefault="008B1160" w:rsidP="002D029F">
            <w:pPr>
              <w:jc w:val="left"/>
              <w:rPr>
                <w:rFonts w:ascii="宋体" w:eastAsia="宋体" w:hAnsi="宋体" w:cs="宋体"/>
                <w:iCs/>
                <w:color w:val="000000"/>
                <w:szCs w:val="21"/>
              </w:rPr>
            </w:pPr>
            <w:r w:rsidRPr="00672331">
              <w:rPr>
                <w:rFonts w:ascii="宋体" w:eastAsia="宋体" w:hAnsi="宋体" w:cs="宋体" w:hint="eastAsia"/>
                <w:iCs/>
                <w:color w:val="000000"/>
                <w:szCs w:val="21"/>
              </w:rPr>
              <w:t>信息披露费</w:t>
            </w:r>
          </w:p>
        </w:tc>
        <w:tc>
          <w:tcPr>
            <w:tcW w:w="2460" w:type="dxa"/>
            <w:shd w:val="clear" w:color="auto" w:fill="FFFFFF"/>
            <w:vAlign w:val="center"/>
          </w:tcPr>
          <w:p w14:paraId="60A6DAC5" w14:textId="77777777" w:rsidR="008B1160" w:rsidRPr="004118E0" w:rsidRDefault="008B1160" w:rsidP="002D029F">
            <w:pPr>
              <w:jc w:val="right"/>
              <w:rPr>
                <w:rFonts w:ascii="宋体" w:eastAsia="宋体" w:hAnsi="宋体" w:cs="宋体"/>
                <w:iCs/>
                <w:color w:val="000000"/>
                <w:szCs w:val="21"/>
              </w:rPr>
            </w:pPr>
            <w:r>
              <w:rPr>
                <w:rFonts w:ascii="宋体" w:eastAsia="宋体" w:hAnsi="宋体" w:cs="宋体" w:hint="eastAsia"/>
                <w:iCs/>
                <w:color w:val="000000"/>
                <w:szCs w:val="21"/>
              </w:rPr>
              <w:t>-</w:t>
            </w:r>
          </w:p>
        </w:tc>
        <w:tc>
          <w:tcPr>
            <w:tcW w:w="2016" w:type="dxa"/>
            <w:shd w:val="clear" w:color="auto" w:fill="FFFFFF"/>
          </w:tcPr>
          <w:p w14:paraId="7C23ACFA" w14:textId="77777777" w:rsidR="008B1160" w:rsidRPr="00672331" w:rsidRDefault="008B1160" w:rsidP="002D029F">
            <w:pPr>
              <w:jc w:val="left"/>
              <w:rPr>
                <w:rFonts w:ascii="宋体" w:eastAsia="宋体" w:hAnsi="宋体" w:cs="宋体"/>
                <w:iCs/>
                <w:color w:val="000000"/>
                <w:szCs w:val="21"/>
              </w:rPr>
            </w:pPr>
            <w:r w:rsidRPr="008953BD">
              <w:rPr>
                <w:rFonts w:ascii="宋体" w:eastAsia="宋体" w:hAnsi="宋体" w:cs="宋体"/>
                <w:iCs/>
                <w:color w:val="000000"/>
                <w:szCs w:val="21"/>
              </w:rPr>
              <w:t>120000</w:t>
            </w:r>
            <w:r>
              <w:rPr>
                <w:rFonts w:ascii="宋体" w:eastAsia="宋体" w:hAnsi="宋体" w:cs="宋体"/>
                <w:iCs/>
                <w:color w:val="000000"/>
                <w:szCs w:val="21"/>
              </w:rPr>
              <w:t>.00</w:t>
            </w:r>
            <w:r>
              <w:rPr>
                <w:rFonts w:ascii="宋体" w:eastAsia="宋体" w:hAnsi="宋体" w:cs="宋体" w:hint="eastAsia"/>
                <w:iCs/>
                <w:color w:val="000000"/>
                <w:szCs w:val="21"/>
              </w:rPr>
              <w:t>元/年</w:t>
            </w:r>
          </w:p>
        </w:tc>
        <w:tc>
          <w:tcPr>
            <w:tcW w:w="2077" w:type="dxa"/>
            <w:shd w:val="clear" w:color="auto" w:fill="FFFFFF"/>
            <w:vAlign w:val="center"/>
          </w:tcPr>
          <w:p w14:paraId="7FAFE4DC" w14:textId="77777777" w:rsidR="008B1160" w:rsidRPr="004118E0" w:rsidRDefault="008B1160" w:rsidP="002D029F">
            <w:pPr>
              <w:jc w:val="left"/>
              <w:rPr>
                <w:rFonts w:ascii="宋体" w:eastAsia="宋体" w:hAnsi="宋体" w:cs="宋体"/>
                <w:iCs/>
                <w:color w:val="000000"/>
                <w:szCs w:val="21"/>
              </w:rPr>
            </w:pPr>
            <w:r w:rsidRPr="00672331">
              <w:rPr>
                <w:rFonts w:ascii="宋体" w:eastAsia="宋体" w:hAnsi="宋体" w:cs="宋体" w:hint="eastAsia"/>
                <w:iCs/>
                <w:color w:val="000000"/>
                <w:szCs w:val="21"/>
              </w:rPr>
              <w:t>规定披露报刊</w:t>
            </w:r>
          </w:p>
        </w:tc>
      </w:tr>
      <w:tr w:rsidR="00365FF4" w14:paraId="2DEF19DE" w14:textId="77777777" w:rsidTr="002D029F">
        <w:trPr>
          <w:jc w:val="center"/>
        </w:trPr>
        <w:tc>
          <w:tcPr>
            <w:tcW w:w="2077" w:type="dxa"/>
            <w:shd w:val="clear" w:color="auto" w:fill="FFFFFF"/>
            <w:vAlign w:val="center"/>
          </w:tcPr>
          <w:p w14:paraId="0B30E4C7" w14:textId="58513FA6" w:rsidR="00365FF4" w:rsidRPr="00672331" w:rsidRDefault="00365FF4" w:rsidP="002D029F">
            <w:pPr>
              <w:jc w:val="left"/>
              <w:rPr>
                <w:rFonts w:ascii="宋体" w:eastAsia="宋体" w:hAnsi="宋体" w:cs="宋体"/>
                <w:iCs/>
                <w:color w:val="000000"/>
                <w:szCs w:val="21"/>
              </w:rPr>
            </w:pPr>
            <w:r w:rsidRPr="00365FF4">
              <w:rPr>
                <w:rFonts w:ascii="宋体" w:eastAsia="宋体" w:hAnsi="宋体" w:cs="宋体" w:hint="eastAsia"/>
                <w:iCs/>
                <w:color w:val="000000"/>
                <w:szCs w:val="21"/>
              </w:rPr>
              <w:t>指数许可使用费</w:t>
            </w:r>
          </w:p>
        </w:tc>
        <w:tc>
          <w:tcPr>
            <w:tcW w:w="2460" w:type="dxa"/>
            <w:shd w:val="clear" w:color="auto" w:fill="FFFFFF"/>
            <w:vAlign w:val="center"/>
          </w:tcPr>
          <w:p w14:paraId="6DC54A08" w14:textId="0AF8750D" w:rsidR="00365FF4" w:rsidRDefault="00365FF4" w:rsidP="002D029F">
            <w:pPr>
              <w:jc w:val="right"/>
              <w:rPr>
                <w:rFonts w:ascii="宋体" w:eastAsia="宋体" w:hAnsi="宋体" w:cs="宋体"/>
                <w:iCs/>
                <w:color w:val="000000"/>
                <w:szCs w:val="21"/>
              </w:rPr>
            </w:pPr>
            <w:r w:rsidRPr="00365FF4">
              <w:rPr>
                <w:rFonts w:ascii="宋体" w:eastAsia="宋体" w:hAnsi="宋体" w:cs="宋体"/>
                <w:iCs/>
                <w:color w:val="000000"/>
                <w:szCs w:val="21"/>
              </w:rPr>
              <w:t>-</w:t>
            </w:r>
          </w:p>
        </w:tc>
        <w:tc>
          <w:tcPr>
            <w:tcW w:w="2016" w:type="dxa"/>
            <w:shd w:val="clear" w:color="auto" w:fill="FFFFFF"/>
          </w:tcPr>
          <w:p w14:paraId="44B60766" w14:textId="501DD8B0" w:rsidR="00365FF4" w:rsidRPr="008953BD" w:rsidRDefault="00365FF4" w:rsidP="002D029F">
            <w:pPr>
              <w:jc w:val="left"/>
              <w:rPr>
                <w:rFonts w:ascii="宋体" w:eastAsia="宋体" w:hAnsi="宋体" w:cs="宋体"/>
                <w:iCs/>
                <w:color w:val="000000"/>
                <w:szCs w:val="21"/>
              </w:rPr>
            </w:pPr>
            <w:r w:rsidRPr="00365FF4">
              <w:rPr>
                <w:rFonts w:ascii="宋体" w:eastAsia="宋体" w:hAnsi="宋体" w:cs="宋体"/>
                <w:iCs/>
                <w:color w:val="000000"/>
                <w:szCs w:val="21"/>
              </w:rPr>
              <w:t>-</w:t>
            </w:r>
          </w:p>
        </w:tc>
        <w:tc>
          <w:tcPr>
            <w:tcW w:w="2077" w:type="dxa"/>
            <w:shd w:val="clear" w:color="auto" w:fill="FFFFFF"/>
            <w:vAlign w:val="center"/>
          </w:tcPr>
          <w:p w14:paraId="16469C83" w14:textId="2CA2C330" w:rsidR="00365FF4" w:rsidRPr="00672331" w:rsidRDefault="00365FF4" w:rsidP="002D029F">
            <w:pPr>
              <w:jc w:val="left"/>
              <w:rPr>
                <w:rFonts w:ascii="宋体" w:eastAsia="宋体" w:hAnsi="宋体" w:cs="宋体"/>
                <w:iCs/>
                <w:color w:val="000000"/>
                <w:szCs w:val="21"/>
              </w:rPr>
            </w:pPr>
            <w:r w:rsidRPr="00365FF4">
              <w:rPr>
                <w:rFonts w:ascii="宋体" w:eastAsia="宋体" w:hAnsi="宋体" w:cs="宋体" w:hint="eastAsia"/>
                <w:iCs/>
                <w:color w:val="000000"/>
                <w:szCs w:val="21"/>
              </w:rPr>
              <w:t>指数编制公司</w:t>
            </w:r>
          </w:p>
        </w:tc>
      </w:tr>
      <w:tr w:rsidR="008B1160" w14:paraId="60229C1E" w14:textId="77777777" w:rsidTr="002D029F">
        <w:trPr>
          <w:jc w:val="center"/>
        </w:trPr>
        <w:tc>
          <w:tcPr>
            <w:tcW w:w="2077" w:type="dxa"/>
            <w:shd w:val="clear" w:color="auto" w:fill="FFFFFF"/>
            <w:vAlign w:val="center"/>
          </w:tcPr>
          <w:p w14:paraId="02E95D12" w14:textId="77777777" w:rsidR="008B1160" w:rsidRPr="004118E0" w:rsidRDefault="008B1160" w:rsidP="002D029F">
            <w:pPr>
              <w:jc w:val="left"/>
              <w:rPr>
                <w:rFonts w:ascii="宋体" w:eastAsia="宋体" w:hAnsi="宋体" w:cs="宋体"/>
                <w:iCs/>
                <w:color w:val="000000"/>
                <w:szCs w:val="21"/>
              </w:rPr>
            </w:pPr>
            <w:r w:rsidRPr="004118E0">
              <w:rPr>
                <w:rFonts w:ascii="宋体" w:eastAsia="宋体" w:hAnsi="宋体" w:cs="宋体"/>
                <w:iCs/>
                <w:color w:val="000000"/>
                <w:szCs w:val="21"/>
              </w:rPr>
              <w:t>其他费用</w:t>
            </w:r>
          </w:p>
        </w:tc>
        <w:tc>
          <w:tcPr>
            <w:tcW w:w="6553" w:type="dxa"/>
            <w:gridSpan w:val="3"/>
            <w:shd w:val="clear" w:color="auto" w:fill="FFFFFF"/>
          </w:tcPr>
          <w:p w14:paraId="4DA4280C" w14:textId="77777777" w:rsidR="008B1160" w:rsidRDefault="008B1160" w:rsidP="002D029F">
            <w:pPr>
              <w:jc w:val="left"/>
              <w:rPr>
                <w:rFonts w:ascii="宋体" w:eastAsia="宋体" w:hAnsi="宋体" w:cs="宋体"/>
                <w:iCs/>
                <w:color w:val="000000"/>
                <w:szCs w:val="21"/>
              </w:rPr>
            </w:pPr>
            <w:r>
              <w:rPr>
                <w:rFonts w:ascii="宋体" w:eastAsia="宋体" w:hAnsi="宋体" w:cs="宋体" w:hint="eastAsia"/>
                <w:iCs/>
                <w:color w:val="000000"/>
                <w:szCs w:val="21"/>
              </w:rPr>
              <w:t>1、</w:t>
            </w:r>
            <w:r w:rsidRPr="00890B46">
              <w:rPr>
                <w:rFonts w:ascii="宋体" w:eastAsia="宋体" w:hAnsi="宋体" w:cs="宋体" w:hint="eastAsia"/>
                <w:iCs/>
                <w:color w:val="000000"/>
                <w:szCs w:val="21"/>
              </w:rPr>
              <w:t>《基金合同》生效后与基金相关的律师费和诉讼费；基金份额持有人大会费用；基金的证券、期货交易费用；基金的银行汇划费用；基金的上市费及年费；基金的开户费用、账户维护费用；因投资港股通标的股票而产生的各项费用</w:t>
            </w:r>
            <w:r>
              <w:rPr>
                <w:rFonts w:ascii="宋体" w:eastAsia="宋体" w:hAnsi="宋体" w:cs="宋体" w:hint="eastAsia"/>
                <w:iCs/>
                <w:color w:val="000000"/>
                <w:szCs w:val="21"/>
              </w:rPr>
              <w:t>；</w:t>
            </w:r>
            <w:r w:rsidRPr="00890B46">
              <w:rPr>
                <w:rFonts w:ascii="宋体" w:eastAsia="宋体" w:hAnsi="宋体" w:cs="宋体" w:hint="eastAsia"/>
                <w:iCs/>
                <w:color w:val="000000"/>
                <w:szCs w:val="21"/>
              </w:rPr>
              <w:t>按照国家有关规定和《基金合同》约定，可以在基金财产中列支的其他费用。</w:t>
            </w:r>
          </w:p>
          <w:p w14:paraId="2DA12A28" w14:textId="77777777" w:rsidR="008B1160" w:rsidRDefault="008B1160" w:rsidP="002D029F">
            <w:pPr>
              <w:jc w:val="left"/>
              <w:rPr>
                <w:rFonts w:ascii="宋体" w:eastAsia="宋体" w:hAnsi="宋体" w:cs="宋体"/>
                <w:iCs/>
                <w:color w:val="000000"/>
                <w:szCs w:val="21"/>
              </w:rPr>
            </w:pPr>
            <w:r>
              <w:rPr>
                <w:rFonts w:ascii="宋体" w:eastAsia="宋体" w:hAnsi="宋体" w:cs="宋体" w:hint="eastAsia"/>
                <w:iCs/>
                <w:color w:val="000000"/>
                <w:szCs w:val="21"/>
              </w:rPr>
              <w:t>2、</w:t>
            </w:r>
            <w:r w:rsidRPr="00334062">
              <w:rPr>
                <w:rFonts w:ascii="宋体" w:eastAsia="宋体" w:hAnsi="宋体" w:cs="宋体" w:hint="eastAsia"/>
                <w:iCs/>
                <w:color w:val="000000"/>
                <w:szCs w:val="21"/>
              </w:rPr>
              <w:t>本基金的管理费按前一日基金资产净值扣除所持有目标ETF份额所对应的资产净值后余额（若为负数，则取0）计提。</w:t>
            </w:r>
          </w:p>
          <w:p w14:paraId="1ADB0A30" w14:textId="77777777" w:rsidR="008B1160" w:rsidRPr="004118E0" w:rsidRDefault="008B1160" w:rsidP="002D029F">
            <w:pPr>
              <w:jc w:val="left"/>
              <w:rPr>
                <w:rFonts w:ascii="宋体" w:eastAsia="宋体" w:hAnsi="宋体" w:cs="宋体"/>
                <w:iCs/>
                <w:color w:val="000000"/>
                <w:szCs w:val="21"/>
              </w:rPr>
            </w:pPr>
            <w:r>
              <w:rPr>
                <w:rFonts w:ascii="宋体" w:eastAsia="宋体" w:hAnsi="宋体" w:cs="宋体" w:hint="eastAsia"/>
                <w:iCs/>
                <w:color w:val="000000"/>
                <w:szCs w:val="21"/>
              </w:rPr>
              <w:t>3、</w:t>
            </w:r>
            <w:r w:rsidRPr="00334062">
              <w:rPr>
                <w:rFonts w:ascii="宋体" w:eastAsia="宋体" w:hAnsi="宋体" w:cs="宋体" w:hint="eastAsia"/>
                <w:iCs/>
                <w:color w:val="000000"/>
                <w:szCs w:val="21"/>
              </w:rPr>
              <w:t>本基金的托管费按前一日基金资产净值扣除所持有目标ETF份额所对应的资产净值后余额（若为负数，则取0）计提。</w:t>
            </w:r>
          </w:p>
        </w:tc>
      </w:tr>
    </w:tbl>
    <w:p w14:paraId="73E108CB" w14:textId="77777777" w:rsidR="004118E0" w:rsidRPr="008B1160" w:rsidRDefault="004118E0" w:rsidP="004118E0">
      <w:pPr>
        <w:rPr>
          <w:rFonts w:ascii="宋体" w:eastAsia="宋体" w:hAnsi="宋体" w:cs="方正仿宋简体"/>
          <w:iCs/>
          <w:szCs w:val="21"/>
        </w:rPr>
      </w:pPr>
    </w:p>
    <w:p w14:paraId="4706B7FB" w14:textId="472F8050" w:rsidR="00F15110" w:rsidRDefault="0010060E">
      <w:pPr>
        <w:rPr>
          <w:rFonts w:ascii="宋体" w:eastAsia="宋体" w:hAnsi="宋体" w:cs="方正仿宋简体"/>
          <w:iCs/>
          <w:szCs w:val="21"/>
        </w:r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w:t>
      </w:r>
      <w:r w:rsidR="00116D34" w:rsidRPr="00116D34">
        <w:rPr>
          <w:rFonts w:ascii="宋体" w:eastAsia="宋体" w:hAnsi="宋体" w:cs="方正仿宋简体" w:hint="eastAsia"/>
          <w:iCs/>
          <w:szCs w:val="21"/>
        </w:rPr>
        <w:t>本基金运作相关费用年金额为基金整体承担费用，非单个份额类别费用，且年金额为预估值，最终实际金额以基金定期报告披露为准。</w:t>
      </w:r>
    </w:p>
    <w:p w14:paraId="3634BFA8" w14:textId="77777777" w:rsidR="00F15110" w:rsidRDefault="00F15110" w:rsidP="00F15110">
      <w:pPr>
        <w:spacing w:line="340" w:lineRule="exact"/>
        <w:rPr>
          <w:rFonts w:ascii="宋体" w:eastAsia="宋体" w:hAnsi="宋体" w:cs="方正仿宋简体"/>
          <w:b/>
          <w:bCs/>
          <w:iCs/>
          <w:szCs w:val="21"/>
        </w:rPr>
      </w:pPr>
      <w:r w:rsidRPr="00672331">
        <w:rPr>
          <w:rFonts w:ascii="宋体" w:eastAsia="宋体" w:hAnsi="宋体" w:cs="方正仿宋简体" w:hint="eastAsia"/>
          <w:b/>
          <w:bCs/>
          <w:iCs/>
          <w:szCs w:val="21"/>
        </w:rPr>
        <w:t>（三）基金运作综合费用测算</w:t>
      </w:r>
    </w:p>
    <w:p w14:paraId="2A77FB1F" w14:textId="76A72FCE" w:rsidR="009F3DBE" w:rsidRPr="009F3DBE" w:rsidRDefault="009F3DBE" w:rsidP="00F15110">
      <w:pPr>
        <w:spacing w:line="340" w:lineRule="exact"/>
        <w:rPr>
          <w:rFonts w:ascii="宋体" w:eastAsia="方正仿宋简体" w:hAnsi="宋体"/>
          <w:kern w:val="0"/>
          <w:sz w:val="18"/>
        </w:rPr>
      </w:pPr>
      <w:r w:rsidRPr="002749CF">
        <w:rPr>
          <w:rFonts w:ascii="宋体" w:eastAsia="宋体" w:hAnsi="宋体" w:cs="方正仿宋简体" w:hint="eastAsia"/>
          <w:iCs/>
          <w:szCs w:val="21"/>
        </w:rPr>
        <w:t>无</w:t>
      </w:r>
    </w:p>
    <w:p w14:paraId="30F5E807" w14:textId="7FC9EFCF" w:rsidR="00834E25" w:rsidRPr="004118E0" w:rsidRDefault="00834E25">
      <w:pPr>
        <w:rPr>
          <w:rFonts w:ascii="宋体" w:eastAsia="宋体" w:hAnsi="宋体" w:cs="方正仿宋简体"/>
          <w:iCs/>
          <w:szCs w:val="21"/>
        </w:rPr>
        <w:sectPr w:rsidR="00834E25" w:rsidRPr="004118E0" w:rsidSect="00580B2D">
          <w:type w:val="continuous"/>
          <w:pgSz w:w="12240" w:h="15840"/>
          <w:pgMar w:top="1440" w:right="1800" w:bottom="1440" w:left="1800" w:header="720" w:footer="720" w:gutter="0"/>
          <w:cols w:space="720"/>
        </w:sectPr>
      </w:pPr>
    </w:p>
    <w:p w14:paraId="64D31D26" w14:textId="77777777" w:rsidR="00834E25" w:rsidRPr="00C2264A" w:rsidRDefault="0010060E" w:rsidP="00C2264A">
      <w:pPr>
        <w:spacing w:line="360" w:lineRule="auto"/>
        <w:rPr>
          <w:rFonts w:ascii="宋体" w:eastAsia="宋体" w:hAnsi="宋体" w:cs="方正仿宋简体"/>
          <w:b/>
          <w:bCs/>
          <w:iCs/>
          <w:szCs w:val="21"/>
        </w:rPr>
        <w:sectPr w:rsidR="00834E25" w:rsidRPr="00C2264A"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14:paraId="12121505" w14:textId="77777777" w:rsidR="008C558C" w:rsidRPr="008C558C" w:rsidRDefault="0010060E"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14:paraId="47C3DB16"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本基金不提供任何保证。投资者可能损失本金。投资有风险，投资者购买基金时应认真阅读本基金的《招募说明书》等销售文件。</w:t>
      </w:r>
    </w:p>
    <w:p w14:paraId="3FB8A4B9"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lastRenderedPageBreak/>
        <w:t>本基金的风险包括市场风险、管理风险、流动性风险、特有风险、税负增加风险、操作或技术风险、合规性风险、本基金法律文件风险收益特征表述与销售机构基金风险评价可能不一致的风险、其他风险。其中特有风险包括：</w:t>
      </w:r>
    </w:p>
    <w:p w14:paraId="29941CDC"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1、投资于目标ETF基金带来的风险</w:t>
      </w:r>
    </w:p>
    <w:p w14:paraId="3223DA9F"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2、跟踪偏离风险或导致跟踪误差未达约定目标的风险</w:t>
      </w:r>
    </w:p>
    <w:p w14:paraId="2486D02B"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3、与目标ETF业绩差异的风险</w:t>
      </w:r>
    </w:p>
    <w:p w14:paraId="62ECC342"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4、其他投资于目标ETF的风险</w:t>
      </w:r>
    </w:p>
    <w:p w14:paraId="300B9950"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5、标的指数的风险</w:t>
      </w:r>
    </w:p>
    <w:p w14:paraId="48055FD7"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6、基金投资组合回报与标的指数回报偏离的风险</w:t>
      </w:r>
    </w:p>
    <w:p w14:paraId="113A836A"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7、标的指数波动的风险</w:t>
      </w:r>
    </w:p>
    <w:p w14:paraId="0CD037DA"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8、标的指数回报与股票市场平均回报偏离的风险</w:t>
      </w:r>
    </w:p>
    <w:p w14:paraId="2AFB5E78"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9、标的指数变更的风险以及指数编制机构停止服务的风险</w:t>
      </w:r>
    </w:p>
    <w:p w14:paraId="0863E4E2"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10、成份股停牌的风险</w:t>
      </w:r>
    </w:p>
    <w:p w14:paraId="7B5069EB" w14:textId="77777777"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11、港股通标的股票投资风险</w:t>
      </w:r>
    </w:p>
    <w:p w14:paraId="2C528FBD" w14:textId="60C5B6EA" w:rsidR="00F15110" w:rsidRPr="00F15110" w:rsidRDefault="00F15110" w:rsidP="005A59B4">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12、股指期货投资风险</w:t>
      </w:r>
    </w:p>
    <w:p w14:paraId="76610340" w14:textId="1C070BFF" w:rsidR="00F15110" w:rsidRPr="00F15110" w:rsidRDefault="005A59B4"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w:t>
      </w:r>
      <w:r>
        <w:rPr>
          <w:rFonts w:ascii="宋体" w:eastAsia="宋体" w:hAnsi="宋体" w:cs="方正仿宋简体"/>
          <w:iCs/>
          <w:szCs w:val="21"/>
        </w:rPr>
        <w:t>3</w:t>
      </w:r>
      <w:r w:rsidR="00F15110" w:rsidRPr="00F15110">
        <w:rPr>
          <w:rFonts w:ascii="宋体" w:eastAsia="宋体" w:hAnsi="宋体" w:cs="方正仿宋简体" w:hint="eastAsia"/>
          <w:iCs/>
          <w:szCs w:val="21"/>
        </w:rPr>
        <w:t>、股票期权投资风险</w:t>
      </w:r>
    </w:p>
    <w:p w14:paraId="02C693EF" w14:textId="5563F912"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w:t>
      </w:r>
      <w:r w:rsidR="005A59B4">
        <w:rPr>
          <w:rFonts w:ascii="宋体" w:eastAsia="宋体" w:hAnsi="宋体" w:cs="方正仿宋简体"/>
          <w:iCs/>
          <w:szCs w:val="21"/>
        </w:rPr>
        <w:t>4</w:t>
      </w:r>
      <w:r w:rsidRPr="00F15110">
        <w:rPr>
          <w:rFonts w:ascii="宋体" w:eastAsia="宋体" w:hAnsi="宋体" w:cs="方正仿宋简体" w:hint="eastAsia"/>
          <w:iCs/>
          <w:szCs w:val="21"/>
        </w:rPr>
        <w:t>、资产支持证券投资风险</w:t>
      </w:r>
    </w:p>
    <w:p w14:paraId="1725D7AC" w14:textId="775713A8"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w:t>
      </w:r>
      <w:r w:rsidR="005A59B4">
        <w:rPr>
          <w:rFonts w:ascii="宋体" w:eastAsia="宋体" w:hAnsi="宋体" w:cs="方正仿宋简体"/>
          <w:iCs/>
          <w:szCs w:val="21"/>
        </w:rPr>
        <w:t>5</w:t>
      </w:r>
      <w:r w:rsidRPr="00F15110">
        <w:rPr>
          <w:rFonts w:ascii="宋体" w:eastAsia="宋体" w:hAnsi="宋体" w:cs="方正仿宋简体" w:hint="eastAsia"/>
          <w:iCs/>
          <w:szCs w:val="21"/>
        </w:rPr>
        <w:t>、参与融资交易风险</w:t>
      </w:r>
    </w:p>
    <w:p w14:paraId="21CF9C88" w14:textId="629A185A"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w:t>
      </w:r>
      <w:r w:rsidR="005A59B4">
        <w:rPr>
          <w:rFonts w:ascii="宋体" w:eastAsia="宋体" w:hAnsi="宋体" w:cs="方正仿宋简体"/>
          <w:iCs/>
          <w:szCs w:val="21"/>
        </w:rPr>
        <w:t>6</w:t>
      </w:r>
      <w:r w:rsidRPr="00F15110">
        <w:rPr>
          <w:rFonts w:ascii="宋体" w:eastAsia="宋体" w:hAnsi="宋体" w:cs="方正仿宋简体" w:hint="eastAsia"/>
          <w:iCs/>
          <w:szCs w:val="21"/>
        </w:rPr>
        <w:t>、基金参与转融通证券出借业务的风险</w:t>
      </w:r>
    </w:p>
    <w:p w14:paraId="34B4DCFB" w14:textId="4CA52C81"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w:t>
      </w:r>
      <w:r w:rsidR="005A59B4">
        <w:rPr>
          <w:rFonts w:ascii="宋体" w:eastAsia="宋体" w:hAnsi="宋体" w:cs="方正仿宋简体"/>
          <w:iCs/>
          <w:szCs w:val="21"/>
        </w:rPr>
        <w:t>7</w:t>
      </w:r>
      <w:r w:rsidRPr="00F15110">
        <w:rPr>
          <w:rFonts w:ascii="宋体" w:eastAsia="宋体" w:hAnsi="宋体" w:cs="方正仿宋简体" w:hint="eastAsia"/>
          <w:iCs/>
          <w:szCs w:val="21"/>
        </w:rPr>
        <w:t>、流通受限证券投资风险</w:t>
      </w:r>
    </w:p>
    <w:p w14:paraId="198E5F47" w14:textId="77A93BB5"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1</w:t>
      </w:r>
      <w:r w:rsidR="005A59B4">
        <w:rPr>
          <w:rFonts w:ascii="宋体" w:eastAsia="宋体" w:hAnsi="宋体" w:cs="方正仿宋简体"/>
          <w:iCs/>
          <w:szCs w:val="21"/>
        </w:rPr>
        <w:t>8</w:t>
      </w:r>
      <w:r w:rsidRPr="00F15110">
        <w:rPr>
          <w:rFonts w:ascii="宋体" w:eastAsia="宋体" w:hAnsi="宋体" w:cs="方正仿宋简体" w:hint="eastAsia"/>
          <w:iCs/>
          <w:szCs w:val="21"/>
        </w:rPr>
        <w:t>、存托凭证投资风险</w:t>
      </w:r>
    </w:p>
    <w:p w14:paraId="05E9F552" w14:textId="32648FB5" w:rsidR="00F15110" w:rsidRPr="00F15110" w:rsidRDefault="005A59B4" w:rsidP="00F15110">
      <w:pPr>
        <w:spacing w:line="360" w:lineRule="auto"/>
        <w:ind w:firstLineChars="200" w:firstLine="420"/>
        <w:rPr>
          <w:rFonts w:ascii="宋体" w:eastAsia="宋体" w:hAnsi="宋体" w:cs="方正仿宋简体"/>
          <w:iCs/>
          <w:szCs w:val="21"/>
        </w:rPr>
      </w:pPr>
      <w:r>
        <w:rPr>
          <w:rFonts w:ascii="宋体" w:eastAsia="宋体" w:hAnsi="宋体" w:cs="方正仿宋简体"/>
          <w:iCs/>
          <w:szCs w:val="21"/>
        </w:rPr>
        <w:t>19</w:t>
      </w:r>
      <w:r w:rsidR="00F15110" w:rsidRPr="00F15110">
        <w:rPr>
          <w:rFonts w:ascii="宋体" w:eastAsia="宋体" w:hAnsi="宋体" w:cs="方正仿宋简体" w:hint="eastAsia"/>
          <w:iCs/>
          <w:szCs w:val="21"/>
        </w:rPr>
        <w:t>、中小企业私募债券投资风险</w:t>
      </w:r>
    </w:p>
    <w:p w14:paraId="7B750C0C" w14:textId="56E9DD75" w:rsidR="00F15110" w:rsidRPr="00F15110" w:rsidRDefault="00F15110" w:rsidP="00F15110">
      <w:pPr>
        <w:spacing w:line="360" w:lineRule="auto"/>
        <w:ind w:firstLineChars="200" w:firstLine="420"/>
        <w:rPr>
          <w:rFonts w:ascii="宋体" w:eastAsia="宋体" w:hAnsi="宋体" w:cs="方正仿宋简体"/>
          <w:iCs/>
          <w:szCs w:val="21"/>
        </w:rPr>
      </w:pPr>
      <w:r w:rsidRPr="00F15110">
        <w:rPr>
          <w:rFonts w:ascii="宋体" w:eastAsia="宋体" w:hAnsi="宋体" w:cs="方正仿宋简体" w:hint="eastAsia"/>
          <w:iCs/>
          <w:szCs w:val="21"/>
        </w:rPr>
        <w:t>2</w:t>
      </w:r>
      <w:r w:rsidR="005A59B4">
        <w:rPr>
          <w:rFonts w:ascii="宋体" w:eastAsia="宋体" w:hAnsi="宋体" w:cs="方正仿宋简体" w:hint="eastAsia"/>
          <w:iCs/>
          <w:szCs w:val="21"/>
        </w:rPr>
        <w:t>0</w:t>
      </w:r>
      <w:r w:rsidRPr="00F15110">
        <w:rPr>
          <w:rFonts w:ascii="宋体" w:eastAsia="宋体" w:hAnsi="宋体" w:cs="方正仿宋简体" w:hint="eastAsia"/>
          <w:iCs/>
          <w:szCs w:val="21"/>
        </w:rPr>
        <w:t>、作为上市基金存在的风险</w:t>
      </w:r>
    </w:p>
    <w:p w14:paraId="21251BD7" w14:textId="64E1AF03" w:rsidR="00834E25" w:rsidRPr="008C558C" w:rsidRDefault="00F15110" w:rsidP="00F15110">
      <w:pPr>
        <w:spacing w:line="360" w:lineRule="auto"/>
        <w:ind w:firstLineChars="200" w:firstLine="420"/>
        <w:rPr>
          <w:rFonts w:ascii="宋体" w:eastAsia="宋体" w:hAnsi="宋体" w:cs="方正仿宋简体"/>
          <w:iCs/>
          <w:szCs w:val="21"/>
        </w:rPr>
        <w:sectPr w:rsidR="00834E25" w:rsidRPr="008C558C" w:rsidSect="00730C3D">
          <w:type w:val="continuous"/>
          <w:pgSz w:w="12240" w:h="15840"/>
          <w:pgMar w:top="1440" w:right="1800" w:bottom="1440" w:left="1800" w:header="720" w:footer="720" w:gutter="0"/>
          <w:cols w:space="720"/>
        </w:sectPr>
      </w:pPr>
      <w:r w:rsidRPr="00F15110">
        <w:rPr>
          <w:rFonts w:ascii="宋体" w:eastAsia="宋体" w:hAnsi="宋体" w:cs="方正仿宋简体" w:hint="eastAsia"/>
          <w:iCs/>
          <w:szCs w:val="21"/>
        </w:rPr>
        <w:t>2</w:t>
      </w:r>
      <w:r w:rsidR="005A59B4">
        <w:rPr>
          <w:rFonts w:ascii="宋体" w:eastAsia="宋体" w:hAnsi="宋体" w:cs="方正仿宋简体"/>
          <w:iCs/>
          <w:szCs w:val="21"/>
        </w:rPr>
        <w:t>1</w:t>
      </w:r>
      <w:r w:rsidRPr="00F15110">
        <w:rPr>
          <w:rFonts w:ascii="宋体" w:eastAsia="宋体" w:hAnsi="宋体" w:cs="方正仿宋简体" w:hint="eastAsia"/>
          <w:iCs/>
          <w:szCs w:val="21"/>
        </w:rPr>
        <w:t>、启用侧袋机制的风险</w:t>
      </w:r>
    </w:p>
    <w:p w14:paraId="27A9C140" w14:textId="77777777" w:rsidR="005468DA" w:rsidRPr="005468DA" w:rsidRDefault="0010060E"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14:paraId="06F2C4D8" w14:textId="487D736D" w:rsidR="000F04B8" w:rsidRPr="001E2FEA" w:rsidRDefault="000F04B8" w:rsidP="002749CF">
      <w:pPr>
        <w:spacing w:line="360" w:lineRule="auto"/>
        <w:ind w:firstLineChars="200" w:firstLine="420"/>
        <w:rPr>
          <w:rFonts w:ascii="宋体" w:eastAsia="宋体" w:hAnsi="宋体" w:cs="方正仿宋简体"/>
          <w:iCs/>
          <w:szCs w:val="21"/>
        </w:rPr>
      </w:pPr>
      <w:r w:rsidRPr="000F04B8">
        <w:rPr>
          <w:rFonts w:ascii="宋体" w:eastAsia="宋体" w:hAnsi="宋体" w:cs="方正仿宋简体" w:hint="eastAsia"/>
          <w:iCs/>
          <w:szCs w:val="21"/>
        </w:rPr>
        <w:t>中国证监会对汇添富中证港股通高股息投资指数发起式证券投资基金（LOF）募集的注册及转型为本基金的备案，并不表明其对本基金的价值和收益作出实质性判断或保证，也不表明投资于本基金没有风险。</w:t>
      </w:r>
    </w:p>
    <w:p w14:paraId="3D7DDD22" w14:textId="77777777" w:rsidR="000374FE" w:rsidRPr="001E2FEA" w:rsidRDefault="0010060E" w:rsidP="002749CF">
      <w:pPr>
        <w:spacing w:line="360" w:lineRule="auto"/>
        <w:ind w:firstLineChars="200" w:firstLine="420"/>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14:paraId="20992A8F" w14:textId="77777777" w:rsidR="000374FE" w:rsidRPr="001E2FEA" w:rsidRDefault="0010060E" w:rsidP="002749CF">
      <w:pPr>
        <w:spacing w:line="360" w:lineRule="auto"/>
        <w:ind w:firstLineChars="200" w:firstLine="420"/>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14:paraId="2F02752F" w14:textId="50A6519C" w:rsidR="000374FE" w:rsidRPr="001E2FEA" w:rsidRDefault="0010060E" w:rsidP="002749CF">
      <w:pPr>
        <w:spacing w:line="360" w:lineRule="auto"/>
        <w:ind w:firstLineChars="200" w:firstLine="420"/>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14:paraId="0C565F9F" w14:textId="77777777" w:rsidR="000374FE" w:rsidRPr="001E2FEA" w:rsidRDefault="0010060E" w:rsidP="002749CF">
      <w:pPr>
        <w:spacing w:line="360" w:lineRule="auto"/>
        <w:ind w:firstLineChars="200" w:firstLine="420"/>
        <w:rPr>
          <w:rFonts w:ascii="宋体" w:eastAsia="宋体" w:hAnsi="宋体" w:cs="方正仿宋简体"/>
          <w:iCs/>
          <w:szCs w:val="21"/>
        </w:rPr>
        <w:sectPr w:rsidR="000374FE" w:rsidRPr="001E2FEA"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lastRenderedPageBreak/>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89F1E8A" w14:textId="77777777" w:rsidR="00575F21" w:rsidRPr="00575F21" w:rsidRDefault="0010060E"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14:paraId="3B6394C9" w14:textId="77777777" w:rsidR="00834E25" w:rsidRPr="00575F21" w:rsidRDefault="0010060E"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14:paraId="764FB823" w14:textId="77777777" w:rsidR="00834E25" w:rsidRPr="00575F21" w:rsidRDefault="0010060E"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14:paraId="6B57FDBD" w14:textId="77777777" w:rsidR="00834E25" w:rsidRPr="00575F21" w:rsidRDefault="0010060E"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14:paraId="29AE3293" w14:textId="77777777" w:rsidR="00834E25" w:rsidRPr="00575F21" w:rsidRDefault="0010060E"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3. 基金份额净值</w:t>
      </w:r>
    </w:p>
    <w:p w14:paraId="1AD6EF12" w14:textId="77777777" w:rsidR="00834E25" w:rsidRPr="00575F21" w:rsidRDefault="0010060E"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4. 基金销售机构及联系方式</w:t>
      </w:r>
    </w:p>
    <w:p w14:paraId="429E4BD2" w14:textId="77777777" w:rsidR="00834E25" w:rsidRPr="00575F21" w:rsidRDefault="0010060E" w:rsidP="00575F21">
      <w:pPr>
        <w:spacing w:line="360" w:lineRule="auto"/>
        <w:ind w:firstLineChars="200" w:firstLine="420"/>
        <w:rPr>
          <w:rFonts w:ascii="宋体" w:eastAsia="宋体" w:hAnsi="宋体" w:cs="方正仿宋简体"/>
          <w:iCs/>
          <w:szCs w:val="21"/>
        </w:rPr>
        <w:sectPr w:rsidR="00834E25" w:rsidRPr="00575F21"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14:paraId="4DCF9FAA" w14:textId="77777777" w:rsidR="00834E25" w:rsidRDefault="0010060E"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00575F21" w:rsidRP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14:paraId="312D1792" w14:textId="6A882B41" w:rsidR="00C723AC" w:rsidRPr="00C723AC" w:rsidRDefault="008B1160" w:rsidP="00C723AC">
      <w:pPr>
        <w:spacing w:line="360" w:lineRule="auto"/>
        <w:ind w:firstLineChars="200" w:firstLine="420"/>
        <w:rPr>
          <w:rFonts w:ascii="宋体" w:eastAsia="宋体" w:hAnsi="宋体" w:cs="方正仿宋简体"/>
          <w:iCs/>
          <w:szCs w:val="21"/>
        </w:rPr>
      </w:pPr>
      <w:r>
        <w:rPr>
          <w:rFonts w:ascii="宋体" w:eastAsia="宋体" w:hAnsi="宋体" w:cs="方正仿宋简体" w:hint="eastAsia"/>
          <w:iCs/>
          <w:szCs w:val="21"/>
        </w:rPr>
        <w:t>无</w:t>
      </w:r>
    </w:p>
    <w:sectPr w:rsidR="00C723AC" w:rsidRPr="00C723AC" w:rsidSect="0097619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0F56" w14:textId="77777777" w:rsidR="004C28B4" w:rsidRDefault="004C28B4" w:rsidP="00705154">
      <w:r>
        <w:separator/>
      </w:r>
    </w:p>
  </w:endnote>
  <w:endnote w:type="continuationSeparator" w:id="0">
    <w:p w14:paraId="110D3340" w14:textId="77777777" w:rsidR="004C28B4" w:rsidRDefault="004C28B4" w:rsidP="0070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0F8E" w14:textId="77777777" w:rsidR="004C28B4" w:rsidRDefault="004C28B4" w:rsidP="00705154">
      <w:r>
        <w:separator/>
      </w:r>
    </w:p>
  </w:footnote>
  <w:footnote w:type="continuationSeparator" w:id="0">
    <w:p w14:paraId="6A9C1083" w14:textId="77777777" w:rsidR="004C28B4" w:rsidRDefault="004C28B4" w:rsidP="00705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76CB"/>
    <w:multiLevelType w:val="hybridMultilevel"/>
    <w:tmpl w:val="3AA41978"/>
    <w:lvl w:ilvl="0" w:tplc="A86A9E76">
      <w:start w:val="1"/>
      <w:numFmt w:val="japaneseCounting"/>
      <w:lvlText w:val="%1、"/>
      <w:lvlJc w:val="left"/>
      <w:pPr>
        <w:ind w:left="450" w:hanging="450"/>
      </w:pPr>
      <w:rPr>
        <w:rFonts w:hint="default"/>
      </w:rPr>
    </w:lvl>
    <w:lvl w:ilvl="1" w:tplc="93E43464" w:tentative="1">
      <w:start w:val="1"/>
      <w:numFmt w:val="lowerLetter"/>
      <w:lvlText w:val="%2)"/>
      <w:lvlJc w:val="left"/>
      <w:pPr>
        <w:ind w:left="840" w:hanging="420"/>
      </w:pPr>
    </w:lvl>
    <w:lvl w:ilvl="2" w:tplc="583AFD10" w:tentative="1">
      <w:start w:val="1"/>
      <w:numFmt w:val="lowerRoman"/>
      <w:lvlText w:val="%3."/>
      <w:lvlJc w:val="right"/>
      <w:pPr>
        <w:ind w:left="1260" w:hanging="420"/>
      </w:pPr>
    </w:lvl>
    <w:lvl w:ilvl="3" w:tplc="F6AA78F0" w:tentative="1">
      <w:start w:val="1"/>
      <w:numFmt w:val="decimal"/>
      <w:lvlText w:val="%4."/>
      <w:lvlJc w:val="left"/>
      <w:pPr>
        <w:ind w:left="1680" w:hanging="420"/>
      </w:pPr>
    </w:lvl>
    <w:lvl w:ilvl="4" w:tplc="2BEC4AD0" w:tentative="1">
      <w:start w:val="1"/>
      <w:numFmt w:val="lowerLetter"/>
      <w:lvlText w:val="%5)"/>
      <w:lvlJc w:val="left"/>
      <w:pPr>
        <w:ind w:left="2100" w:hanging="420"/>
      </w:pPr>
    </w:lvl>
    <w:lvl w:ilvl="5" w:tplc="774AD474" w:tentative="1">
      <w:start w:val="1"/>
      <w:numFmt w:val="lowerRoman"/>
      <w:lvlText w:val="%6."/>
      <w:lvlJc w:val="right"/>
      <w:pPr>
        <w:ind w:left="2520" w:hanging="420"/>
      </w:pPr>
    </w:lvl>
    <w:lvl w:ilvl="6" w:tplc="FD52F00A" w:tentative="1">
      <w:start w:val="1"/>
      <w:numFmt w:val="decimal"/>
      <w:lvlText w:val="%7."/>
      <w:lvlJc w:val="left"/>
      <w:pPr>
        <w:ind w:left="2940" w:hanging="420"/>
      </w:pPr>
    </w:lvl>
    <w:lvl w:ilvl="7" w:tplc="74066A0E" w:tentative="1">
      <w:start w:val="1"/>
      <w:numFmt w:val="lowerLetter"/>
      <w:lvlText w:val="%8)"/>
      <w:lvlJc w:val="left"/>
      <w:pPr>
        <w:ind w:left="3360" w:hanging="420"/>
      </w:pPr>
    </w:lvl>
    <w:lvl w:ilvl="8" w:tplc="272AC1F8" w:tentative="1">
      <w:start w:val="1"/>
      <w:numFmt w:val="lowerRoman"/>
      <w:lvlText w:val="%9."/>
      <w:lvlJc w:val="right"/>
      <w:pPr>
        <w:ind w:left="3780" w:hanging="420"/>
      </w:pPr>
    </w:lvl>
  </w:abstractNum>
  <w:num w:numId="1" w16cid:durableId="101207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www.htfreportsit.com/RepTemplateManager//OfficeServer.aspx"/>
  </w:docVars>
  <w:rsids>
    <w:rsidRoot w:val="008C59BE"/>
    <w:rsid w:val="000138FD"/>
    <w:rsid w:val="00017DB5"/>
    <w:rsid w:val="00025EAC"/>
    <w:rsid w:val="0003228F"/>
    <w:rsid w:val="00036BDF"/>
    <w:rsid w:val="000374FE"/>
    <w:rsid w:val="000F04B8"/>
    <w:rsid w:val="0010060E"/>
    <w:rsid w:val="00116D34"/>
    <w:rsid w:val="00124F47"/>
    <w:rsid w:val="00131881"/>
    <w:rsid w:val="00192940"/>
    <w:rsid w:val="001C4BBA"/>
    <w:rsid w:val="001E2FEA"/>
    <w:rsid w:val="002066FC"/>
    <w:rsid w:val="00213261"/>
    <w:rsid w:val="00233040"/>
    <w:rsid w:val="00263627"/>
    <w:rsid w:val="002712C4"/>
    <w:rsid w:val="002749CF"/>
    <w:rsid w:val="00292ED2"/>
    <w:rsid w:val="002948F0"/>
    <w:rsid w:val="00331AA2"/>
    <w:rsid w:val="00340931"/>
    <w:rsid w:val="00365FF4"/>
    <w:rsid w:val="003E0F5A"/>
    <w:rsid w:val="00404C7D"/>
    <w:rsid w:val="004051D1"/>
    <w:rsid w:val="004118E0"/>
    <w:rsid w:val="0043717A"/>
    <w:rsid w:val="00486D7F"/>
    <w:rsid w:val="004C28B4"/>
    <w:rsid w:val="004F0A6C"/>
    <w:rsid w:val="005066F6"/>
    <w:rsid w:val="0051145B"/>
    <w:rsid w:val="005468DA"/>
    <w:rsid w:val="00575F21"/>
    <w:rsid w:val="005870AC"/>
    <w:rsid w:val="005A59B4"/>
    <w:rsid w:val="005B4993"/>
    <w:rsid w:val="006057AD"/>
    <w:rsid w:val="006646F4"/>
    <w:rsid w:val="006E61A9"/>
    <w:rsid w:val="006E6DCF"/>
    <w:rsid w:val="006F6BAE"/>
    <w:rsid w:val="00705154"/>
    <w:rsid w:val="00724EC9"/>
    <w:rsid w:val="00727A53"/>
    <w:rsid w:val="007371E2"/>
    <w:rsid w:val="0074720D"/>
    <w:rsid w:val="00834E25"/>
    <w:rsid w:val="00837612"/>
    <w:rsid w:val="008466B3"/>
    <w:rsid w:val="008A0B11"/>
    <w:rsid w:val="008B1160"/>
    <w:rsid w:val="008C558C"/>
    <w:rsid w:val="008C59BE"/>
    <w:rsid w:val="00913215"/>
    <w:rsid w:val="00942AC5"/>
    <w:rsid w:val="009C4FD7"/>
    <w:rsid w:val="009E1D5A"/>
    <w:rsid w:val="009E564A"/>
    <w:rsid w:val="009F3DBE"/>
    <w:rsid w:val="00A02F78"/>
    <w:rsid w:val="00A5129F"/>
    <w:rsid w:val="00A727C5"/>
    <w:rsid w:val="00AC240E"/>
    <w:rsid w:val="00AF19F0"/>
    <w:rsid w:val="00B4654F"/>
    <w:rsid w:val="00BC38BD"/>
    <w:rsid w:val="00BE665C"/>
    <w:rsid w:val="00C2264A"/>
    <w:rsid w:val="00C50D7E"/>
    <w:rsid w:val="00C723AC"/>
    <w:rsid w:val="00CD7BD4"/>
    <w:rsid w:val="00CF127E"/>
    <w:rsid w:val="00D32707"/>
    <w:rsid w:val="00D76FFC"/>
    <w:rsid w:val="00D775F8"/>
    <w:rsid w:val="00DA3E8D"/>
    <w:rsid w:val="00DF6E25"/>
    <w:rsid w:val="00E01551"/>
    <w:rsid w:val="00E2656A"/>
    <w:rsid w:val="00EA2C49"/>
    <w:rsid w:val="00EA32B3"/>
    <w:rsid w:val="00EB4244"/>
    <w:rsid w:val="00EB659C"/>
    <w:rsid w:val="00F15110"/>
    <w:rsid w:val="00F225A7"/>
    <w:rsid w:val="00F6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14F33"/>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61"/>
    <w:pPr>
      <w:ind w:firstLineChars="200" w:firstLine="420"/>
    </w:pPr>
    <w:rPr>
      <w:rFonts w:cs="Times New Roman"/>
    </w:rPr>
  </w:style>
  <w:style w:type="character" w:styleId="a4">
    <w:name w:val="annotation reference"/>
    <w:basedOn w:val="a0"/>
    <w:uiPriority w:val="99"/>
    <w:semiHidden/>
    <w:unhideWhenUsed/>
    <w:rsid w:val="00F15110"/>
    <w:rPr>
      <w:sz w:val="21"/>
      <w:szCs w:val="21"/>
    </w:rPr>
  </w:style>
  <w:style w:type="paragraph" w:styleId="a5">
    <w:name w:val="annotation text"/>
    <w:basedOn w:val="a"/>
    <w:link w:val="a6"/>
    <w:uiPriority w:val="99"/>
    <w:unhideWhenUsed/>
    <w:rsid w:val="00F15110"/>
    <w:pPr>
      <w:jc w:val="left"/>
    </w:pPr>
  </w:style>
  <w:style w:type="character" w:customStyle="1" w:styleId="a6">
    <w:name w:val="批注文字 字符"/>
    <w:basedOn w:val="a0"/>
    <w:link w:val="a5"/>
    <w:uiPriority w:val="99"/>
    <w:rsid w:val="00F15110"/>
  </w:style>
  <w:style w:type="paragraph" w:styleId="a7">
    <w:name w:val="header"/>
    <w:basedOn w:val="a"/>
    <w:link w:val="a8"/>
    <w:uiPriority w:val="99"/>
    <w:unhideWhenUsed/>
    <w:rsid w:val="0070515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05154"/>
    <w:rPr>
      <w:sz w:val="18"/>
      <w:szCs w:val="18"/>
    </w:rPr>
  </w:style>
  <w:style w:type="paragraph" w:styleId="a9">
    <w:name w:val="footer"/>
    <w:basedOn w:val="a"/>
    <w:link w:val="aa"/>
    <w:uiPriority w:val="99"/>
    <w:unhideWhenUsed/>
    <w:rsid w:val="00705154"/>
    <w:pPr>
      <w:tabs>
        <w:tab w:val="center" w:pos="4153"/>
        <w:tab w:val="right" w:pos="8306"/>
      </w:tabs>
      <w:snapToGrid w:val="0"/>
      <w:jc w:val="left"/>
    </w:pPr>
    <w:rPr>
      <w:sz w:val="18"/>
      <w:szCs w:val="18"/>
    </w:rPr>
  </w:style>
  <w:style w:type="character" w:customStyle="1" w:styleId="aa">
    <w:name w:val="页脚 字符"/>
    <w:basedOn w:val="a0"/>
    <w:link w:val="a9"/>
    <w:uiPriority w:val="99"/>
    <w:rsid w:val="00705154"/>
    <w:rPr>
      <w:sz w:val="18"/>
      <w:szCs w:val="18"/>
    </w:rPr>
  </w:style>
  <w:style w:type="paragraph" w:styleId="ab">
    <w:name w:val="Balloon Text"/>
    <w:basedOn w:val="a"/>
    <w:link w:val="ac"/>
    <w:uiPriority w:val="99"/>
    <w:semiHidden/>
    <w:unhideWhenUsed/>
    <w:rsid w:val="00705154"/>
    <w:rPr>
      <w:sz w:val="18"/>
      <w:szCs w:val="18"/>
    </w:rPr>
  </w:style>
  <w:style w:type="character" w:customStyle="1" w:styleId="ac">
    <w:name w:val="批注框文本 字符"/>
    <w:basedOn w:val="a0"/>
    <w:link w:val="ab"/>
    <w:uiPriority w:val="99"/>
    <w:semiHidden/>
    <w:rsid w:val="00705154"/>
    <w:rPr>
      <w:sz w:val="18"/>
      <w:szCs w:val="18"/>
    </w:rPr>
  </w:style>
  <w:style w:type="paragraph" w:styleId="ad">
    <w:name w:val="Revision"/>
    <w:hidden/>
    <w:uiPriority w:val="99"/>
    <w:semiHidden/>
    <w:rsid w:val="00705154"/>
  </w:style>
  <w:style w:type="paragraph" w:styleId="ae">
    <w:name w:val="annotation subject"/>
    <w:basedOn w:val="a5"/>
    <w:next w:val="a5"/>
    <w:link w:val="af"/>
    <w:uiPriority w:val="99"/>
    <w:semiHidden/>
    <w:unhideWhenUsed/>
    <w:rsid w:val="009C4FD7"/>
    <w:rPr>
      <w:b/>
      <w:bCs/>
    </w:rPr>
  </w:style>
  <w:style w:type="character" w:customStyle="1" w:styleId="af">
    <w:name w:val="批注主题 字符"/>
    <w:basedOn w:val="a6"/>
    <w:link w:val="ae"/>
    <w:uiPriority w:val="99"/>
    <w:semiHidden/>
    <w:rsid w:val="009C4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孙天成</cp:lastModifiedBy>
  <cp:revision>37</cp:revision>
  <dcterms:created xsi:type="dcterms:W3CDTF">2020-08-14T05:50:00Z</dcterms:created>
  <dcterms:modified xsi:type="dcterms:W3CDTF">2024-06-11T08:16:00Z</dcterms:modified>
</cp:coreProperties>
</file>