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F0B40">
      <w:pPr>
        <w:widowControl/>
        <w:jc w:val="center"/>
        <w:rPr>
          <w:rFonts w:eastAsiaTheme="minorEastAsia"/>
          <w:b/>
          <w:kern w:val="0"/>
          <w:sz w:val="30"/>
          <w:szCs w:val="30"/>
        </w:rPr>
      </w:pPr>
      <w:r>
        <w:rPr>
          <w:rFonts w:eastAsiaTheme="minorEastAsia"/>
          <w:b/>
          <w:kern w:val="0"/>
          <w:sz w:val="30"/>
          <w:szCs w:val="30"/>
        </w:rPr>
        <w:t>易方达恒久添利</w:t>
      </w:r>
      <w:r>
        <w:rPr>
          <w:rFonts w:eastAsiaTheme="minorEastAsia"/>
          <w:b/>
          <w:kern w:val="0"/>
          <w:sz w:val="30"/>
          <w:szCs w:val="30"/>
        </w:rPr>
        <w:t>1</w:t>
      </w:r>
      <w:r>
        <w:rPr>
          <w:rFonts w:eastAsiaTheme="minorEastAsia"/>
          <w:b/>
          <w:kern w:val="0"/>
          <w:sz w:val="30"/>
          <w:szCs w:val="30"/>
        </w:rPr>
        <w:t>年定期开放债券型证券投资基金分红公告</w:t>
      </w:r>
    </w:p>
    <w:p w:rsidR="003F0B40">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6</w:t>
      </w:r>
      <w:r>
        <w:rPr>
          <w:rFonts w:eastAsiaTheme="minorEastAsia"/>
          <w:b/>
          <w:color w:val="000000"/>
          <w:sz w:val="24"/>
          <w:szCs w:val="24"/>
        </w:rPr>
        <w:t>月</w:t>
      </w:r>
      <w:r>
        <w:rPr>
          <w:rFonts w:eastAsiaTheme="minorEastAsia"/>
          <w:b/>
          <w:color w:val="000000"/>
          <w:sz w:val="24"/>
          <w:szCs w:val="24"/>
        </w:rPr>
        <w:t>12</w:t>
      </w:r>
      <w:r>
        <w:rPr>
          <w:rFonts w:eastAsiaTheme="minorEastAsia"/>
          <w:b/>
          <w:color w:val="000000"/>
          <w:sz w:val="24"/>
          <w:szCs w:val="24"/>
        </w:rPr>
        <w:t>日</w:t>
      </w:r>
    </w:p>
    <w:p w:rsidR="003F0B40">
      <w:pPr>
        <w:spacing w:line="360" w:lineRule="auto"/>
        <w:jc w:val="center"/>
        <w:rPr>
          <w:rFonts w:eastAsiaTheme="minorEastAsia"/>
          <w:color w:val="000000"/>
          <w:sz w:val="24"/>
        </w:rPr>
      </w:pPr>
    </w:p>
    <w:p w:rsidR="003F0B40">
      <w:pPr>
        <w:pStyle w:val="Heading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基金名称</w:t>
            </w:r>
          </w:p>
        </w:tc>
        <w:tc>
          <w:tcPr>
            <w:tcW w:w="5412" w:type="dxa"/>
            <w:gridSpan w:val="2"/>
            <w:vAlign w:val="center"/>
          </w:tcPr>
          <w:p w:rsidR="003F0B40">
            <w:pPr>
              <w:rPr>
                <w:rFonts w:eastAsiaTheme="minorEastAsia"/>
                <w:sz w:val="24"/>
                <w:szCs w:val="24"/>
              </w:rPr>
            </w:pPr>
            <w:r>
              <w:rPr>
                <w:rFonts w:eastAsiaTheme="minorEastAsia"/>
                <w:sz w:val="24"/>
                <w:szCs w:val="24"/>
              </w:rPr>
              <w:t>易方达恒久添利</w:t>
            </w:r>
            <w:r>
              <w:rPr>
                <w:rFonts w:eastAsiaTheme="minorEastAsia"/>
                <w:sz w:val="24"/>
                <w:szCs w:val="24"/>
              </w:rPr>
              <w:t>1</w:t>
            </w:r>
            <w:r>
              <w:rPr>
                <w:rFonts w:eastAsiaTheme="minorEastAsia"/>
                <w:sz w:val="24"/>
                <w:szCs w:val="24"/>
              </w:rPr>
              <w:t>年定期开放债券型证券投资基金</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基金简称</w:t>
            </w:r>
          </w:p>
        </w:tc>
        <w:tc>
          <w:tcPr>
            <w:tcW w:w="5412" w:type="dxa"/>
            <w:gridSpan w:val="2"/>
            <w:vAlign w:val="center"/>
          </w:tcPr>
          <w:p w:rsidR="003F0B40">
            <w:pPr>
              <w:rPr>
                <w:rFonts w:eastAsiaTheme="minorEastAsia"/>
                <w:sz w:val="24"/>
                <w:szCs w:val="24"/>
              </w:rPr>
            </w:pPr>
            <w:r>
              <w:rPr>
                <w:rFonts w:eastAsiaTheme="minorEastAsia"/>
                <w:sz w:val="24"/>
                <w:szCs w:val="24"/>
              </w:rPr>
              <w:t>易方达恒久</w:t>
            </w:r>
            <w:r>
              <w:rPr>
                <w:rFonts w:eastAsiaTheme="minorEastAsia"/>
                <w:sz w:val="24"/>
                <w:szCs w:val="24"/>
              </w:rPr>
              <w:t>1</w:t>
            </w:r>
            <w:r>
              <w:rPr>
                <w:rFonts w:eastAsiaTheme="minorEastAsia"/>
                <w:sz w:val="24"/>
                <w:szCs w:val="24"/>
              </w:rPr>
              <w:t>年定期债券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基金主代码</w:t>
            </w:r>
          </w:p>
        </w:tc>
        <w:tc>
          <w:tcPr>
            <w:tcW w:w="5412" w:type="dxa"/>
            <w:gridSpan w:val="2"/>
            <w:vAlign w:val="center"/>
          </w:tcPr>
          <w:p w:rsidR="003F0B40">
            <w:pPr>
              <w:rPr>
                <w:rFonts w:eastAsiaTheme="minorEastAsia"/>
                <w:sz w:val="24"/>
                <w:szCs w:val="24"/>
              </w:rPr>
            </w:pPr>
            <w:r>
              <w:rPr>
                <w:rFonts w:eastAsiaTheme="minorEastAsia"/>
                <w:sz w:val="24"/>
                <w:szCs w:val="24"/>
              </w:rPr>
              <w:t>000265</w:t>
            </w:r>
          </w:p>
        </w:tc>
      </w:tr>
      <w:tr>
        <w:tblPrEx>
          <w:tblW w:w="9606" w:type="dxa"/>
          <w:jc w:val="center"/>
          <w:tblLayout w:type="fixed"/>
          <w:tblLook w:val="04A0"/>
        </w:tblPrEx>
        <w:trPr>
          <w:jc w:val="center"/>
        </w:trPr>
        <w:tc>
          <w:tcPr>
            <w:tcW w:w="4194" w:type="dxa"/>
            <w:gridSpan w:val="2"/>
            <w:vAlign w:val="center"/>
          </w:tcPr>
          <w:p w:rsidR="003F0B40">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pPr>
              <w:rPr>
                <w:rFonts w:eastAsiaTheme="minorEastAsia"/>
                <w:sz w:val="24"/>
                <w:szCs w:val="24"/>
              </w:rPr>
            </w:pPr>
            <w:r>
              <w:rPr>
                <w:rFonts w:eastAsiaTheme="minorEastAsia"/>
                <w:sz w:val="24"/>
                <w:szCs w:val="24"/>
              </w:rPr>
              <w:t>2014</w:t>
            </w:r>
            <w:r>
              <w:rPr>
                <w:rFonts w:eastAsiaTheme="minorEastAsia"/>
                <w:sz w:val="24"/>
                <w:szCs w:val="24"/>
              </w:rPr>
              <w:t>年</w:t>
            </w:r>
            <w:r>
              <w:rPr>
                <w:rFonts w:eastAsiaTheme="minorEastAsia"/>
                <w:sz w:val="24"/>
                <w:szCs w:val="24"/>
              </w:rPr>
              <w:t>9</w:t>
            </w:r>
            <w:r>
              <w:rPr>
                <w:rFonts w:eastAsiaTheme="minorEastAsia"/>
                <w:sz w:val="24"/>
                <w:szCs w:val="24"/>
              </w:rPr>
              <w:t>月</w:t>
            </w:r>
            <w:r>
              <w:rPr>
                <w:rFonts w:eastAsiaTheme="minorEastAsia"/>
                <w:sz w:val="24"/>
                <w:szCs w:val="24"/>
              </w:rPr>
              <w:t>10</w:t>
            </w:r>
            <w:r>
              <w:rPr>
                <w:rFonts w:eastAsiaTheme="minorEastAsia"/>
                <w:sz w:val="24"/>
                <w:szCs w:val="24"/>
              </w:rPr>
              <w:t>日</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pPr>
              <w:rPr>
                <w:rFonts w:eastAsiaTheme="minorEastAsia"/>
                <w:sz w:val="24"/>
                <w:szCs w:val="24"/>
              </w:rPr>
            </w:pPr>
            <w:r>
              <w:rPr>
                <w:rFonts w:eastAsiaTheme="minorEastAsia"/>
                <w:sz w:val="24"/>
                <w:szCs w:val="24"/>
              </w:rPr>
              <w:t>易方达基金管理有限公司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pPr>
              <w:rPr>
                <w:rFonts w:eastAsiaTheme="minorEastAsia"/>
                <w:sz w:val="24"/>
                <w:szCs w:val="24"/>
              </w:rPr>
            </w:pPr>
            <w:r>
              <w:rPr>
                <w:rFonts w:eastAsiaTheme="minorEastAsia"/>
                <w:sz w:val="24"/>
                <w:szCs w:val="24"/>
              </w:rPr>
              <w:t>中国工商银行股份有限公司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公告依据</w:t>
            </w:r>
          </w:p>
        </w:tc>
        <w:tc>
          <w:tcPr>
            <w:tcW w:w="5412" w:type="dxa"/>
            <w:gridSpan w:val="2"/>
            <w:vAlign w:val="center"/>
          </w:tcPr>
          <w:p w:rsidR="003F0B40">
            <w:pPr>
              <w:rPr>
                <w:rFonts w:eastAsiaTheme="minorEastAsia"/>
                <w:sz w:val="24"/>
                <w:szCs w:val="24"/>
              </w:rPr>
            </w:pPr>
            <w:r>
              <w:rPr>
                <w:rFonts w:eastAsiaTheme="minorEastAsia"/>
                <w:sz w:val="24"/>
                <w:szCs w:val="24"/>
              </w:rPr>
              <w:t>《公开募集证券投资基金信息披露管理办法》、《易方达恒久添利</w:t>
            </w:r>
            <w:r>
              <w:rPr>
                <w:rFonts w:eastAsiaTheme="minorEastAsia"/>
                <w:sz w:val="24"/>
                <w:szCs w:val="24"/>
              </w:rPr>
              <w:t>1</w:t>
            </w:r>
            <w:r>
              <w:rPr>
                <w:rFonts w:eastAsiaTheme="minorEastAsia"/>
                <w:sz w:val="24"/>
                <w:szCs w:val="24"/>
              </w:rPr>
              <w:t>年定期开放债券型证券投资基金基金合同》、《易方达恒久添利</w:t>
            </w:r>
            <w:r>
              <w:rPr>
                <w:rFonts w:eastAsiaTheme="minorEastAsia"/>
                <w:sz w:val="24"/>
                <w:szCs w:val="24"/>
              </w:rPr>
              <w:t>1</w:t>
            </w:r>
            <w:r>
              <w:rPr>
                <w:rFonts w:eastAsiaTheme="minorEastAsia"/>
                <w:sz w:val="24"/>
                <w:szCs w:val="24"/>
              </w:rPr>
              <w:t>年定期开放债券型证券投资基金更新的招募说明书》</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收益分配基准日</w:t>
            </w:r>
          </w:p>
        </w:tc>
        <w:tc>
          <w:tcPr>
            <w:tcW w:w="5412" w:type="dxa"/>
            <w:gridSpan w:val="2"/>
          </w:tcPr>
          <w:p w:rsidR="003F0B40">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6</w:t>
            </w:r>
            <w:r>
              <w:rPr>
                <w:rFonts w:eastAsiaTheme="minorEastAsia"/>
                <w:sz w:val="24"/>
                <w:szCs w:val="24"/>
              </w:rPr>
              <w:t>月</w:t>
            </w:r>
            <w:r>
              <w:rPr>
                <w:rFonts w:eastAsiaTheme="minorEastAsia"/>
                <w:sz w:val="24"/>
                <w:szCs w:val="24"/>
              </w:rPr>
              <w:t>5</w:t>
            </w:r>
            <w:r>
              <w:rPr>
                <w:rFonts w:eastAsiaTheme="minorEastAsia"/>
                <w:sz w:val="24"/>
                <w:szCs w:val="24"/>
              </w:rPr>
              <w:t>日</w:t>
            </w:r>
          </w:p>
        </w:tc>
      </w:tr>
      <w:tr>
        <w:tblPrEx>
          <w:tblW w:w="9606" w:type="dxa"/>
          <w:jc w:val="center"/>
          <w:tblLayout w:type="fixed"/>
          <w:tblLook w:val="04A0"/>
        </w:tblPrEx>
        <w:trPr>
          <w:jc w:val="center"/>
        </w:trPr>
        <w:tc>
          <w:tcPr>
            <w:tcW w:w="4194" w:type="dxa"/>
            <w:gridSpan w:val="2"/>
            <w:vAlign w:val="center"/>
          </w:tcPr>
          <w:p w:rsidR="003F0B40">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pPr>
              <w:rPr>
                <w:rFonts w:eastAsiaTheme="minorEastAsia"/>
                <w:sz w:val="24"/>
                <w:szCs w:val="24"/>
              </w:rPr>
            </w:pPr>
            <w:r>
              <w:rPr>
                <w:rFonts w:eastAsiaTheme="minorEastAsia"/>
                <w:sz w:val="24"/>
                <w:szCs w:val="24"/>
              </w:rPr>
              <w:t>本次分红为</w:t>
            </w:r>
            <w:r>
              <w:rPr>
                <w:rFonts w:eastAsiaTheme="minorEastAsia"/>
                <w:sz w:val="24"/>
                <w:szCs w:val="24"/>
              </w:rPr>
              <w:t>2024</w:t>
            </w:r>
            <w:r>
              <w:rPr>
                <w:rFonts w:eastAsiaTheme="minorEastAsia"/>
                <w:sz w:val="24"/>
                <w:szCs w:val="24"/>
              </w:rPr>
              <w:t>年度的第</w:t>
            </w:r>
            <w:r>
              <w:rPr>
                <w:rFonts w:eastAsiaTheme="minorEastAsia"/>
                <w:sz w:val="24"/>
                <w:szCs w:val="24"/>
              </w:rPr>
              <w:t>1</w:t>
            </w:r>
            <w:r>
              <w:rPr>
                <w:rFonts w:eastAsiaTheme="minorEastAsia"/>
                <w:sz w:val="24"/>
                <w:szCs w:val="24"/>
              </w:rPr>
              <w:t>次分红</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下属分级基金的基金简称</w:t>
            </w:r>
          </w:p>
        </w:tc>
        <w:tc>
          <w:tcPr>
            <w:tcW w:w="2706" w:type="dxa"/>
          </w:tcPr>
          <w:p w:rsidR="003F0B40">
            <w:pPr>
              <w:rPr>
                <w:rFonts w:eastAsiaTheme="minorEastAsia"/>
                <w:sz w:val="24"/>
                <w:szCs w:val="24"/>
              </w:rPr>
            </w:pPr>
            <w:r>
              <w:rPr>
                <w:rFonts w:eastAsiaTheme="minorEastAsia"/>
                <w:sz w:val="24"/>
                <w:szCs w:val="24"/>
              </w:rPr>
              <w:t>易方达恒久</w:t>
            </w:r>
            <w:r>
              <w:rPr>
                <w:rFonts w:eastAsiaTheme="minorEastAsia"/>
                <w:sz w:val="24"/>
                <w:szCs w:val="24"/>
              </w:rPr>
              <w:t>1</w:t>
            </w:r>
            <w:r>
              <w:rPr>
                <w:rFonts w:eastAsiaTheme="minorEastAsia"/>
                <w:sz w:val="24"/>
                <w:szCs w:val="24"/>
              </w:rPr>
              <w:t>年定期债券</w:t>
            </w:r>
            <w:r>
              <w:rPr>
                <w:rFonts w:eastAsiaTheme="minorEastAsia"/>
                <w:sz w:val="24"/>
                <w:szCs w:val="24"/>
              </w:rPr>
              <w:t>A</w:t>
            </w:r>
          </w:p>
        </w:tc>
        <w:tc>
          <w:tcPr>
            <w:tcW w:w="2706" w:type="dxa"/>
          </w:tcPr>
          <w:p w:rsidR="003F0B40">
            <w:pPr>
              <w:rPr>
                <w:rFonts w:eastAsiaTheme="minorEastAsia"/>
                <w:sz w:val="24"/>
                <w:szCs w:val="24"/>
              </w:rPr>
            </w:pPr>
            <w:r>
              <w:rPr>
                <w:rFonts w:eastAsiaTheme="minorEastAsia"/>
                <w:sz w:val="24"/>
                <w:szCs w:val="24"/>
              </w:rPr>
              <w:t>易方达恒久</w:t>
            </w:r>
            <w:r>
              <w:rPr>
                <w:rFonts w:eastAsiaTheme="minorEastAsia"/>
                <w:sz w:val="24"/>
                <w:szCs w:val="24"/>
              </w:rPr>
              <w:t>1</w:t>
            </w:r>
            <w:r>
              <w:rPr>
                <w:rFonts w:eastAsiaTheme="minorEastAsia"/>
                <w:sz w:val="24"/>
                <w:szCs w:val="24"/>
              </w:rPr>
              <w:t>年定期债券</w:t>
            </w:r>
            <w:r>
              <w:rPr>
                <w:rFonts w:eastAsiaTheme="minorEastAsia"/>
                <w:sz w:val="24"/>
                <w:szCs w:val="24"/>
              </w:rPr>
              <w:t>C</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下属分级基金的交易代码</w:t>
            </w:r>
          </w:p>
        </w:tc>
        <w:tc>
          <w:tcPr>
            <w:tcW w:w="2706" w:type="dxa"/>
          </w:tcPr>
          <w:p w:rsidR="003F0B40">
            <w:pPr>
              <w:rPr>
                <w:rFonts w:eastAsiaTheme="minorEastAsia"/>
                <w:sz w:val="24"/>
                <w:szCs w:val="24"/>
              </w:rPr>
            </w:pPr>
            <w:r>
              <w:rPr>
                <w:rFonts w:eastAsiaTheme="minorEastAsia"/>
                <w:sz w:val="24"/>
                <w:szCs w:val="24"/>
              </w:rPr>
              <w:t>000265</w:t>
            </w:r>
          </w:p>
        </w:tc>
        <w:tc>
          <w:tcPr>
            <w:tcW w:w="2706" w:type="dxa"/>
          </w:tcPr>
          <w:p w:rsidR="003F0B40">
            <w:pPr>
              <w:rPr>
                <w:rFonts w:eastAsiaTheme="minorEastAsia"/>
                <w:sz w:val="24"/>
                <w:szCs w:val="24"/>
              </w:rPr>
            </w:pPr>
            <w:r>
              <w:rPr>
                <w:rFonts w:eastAsiaTheme="minorEastAsia"/>
                <w:sz w:val="24"/>
                <w:szCs w:val="24"/>
              </w:rPr>
              <w:t>000266</w:t>
            </w:r>
          </w:p>
        </w:tc>
      </w:tr>
      <w:tr>
        <w:tblPrEx>
          <w:tblW w:w="9606" w:type="dxa"/>
          <w:jc w:val="center"/>
          <w:tblLayout w:type="fixed"/>
          <w:tblLook w:val="04A0"/>
        </w:tblPrEx>
        <w:trPr>
          <w:jc w:val="center"/>
        </w:trPr>
        <w:tc>
          <w:tcPr>
            <w:tcW w:w="1980" w:type="dxa"/>
            <w:vMerge w:val="restart"/>
            <w:vAlign w:val="center"/>
          </w:tcPr>
          <w:p w:rsidR="003F0B40">
            <w:pPr>
              <w:rPr>
                <w:rFonts w:eastAsiaTheme="minorEastAsia"/>
                <w:sz w:val="24"/>
                <w:szCs w:val="24"/>
              </w:rPr>
            </w:pPr>
            <w:r>
              <w:rPr>
                <w:rFonts w:eastAsiaTheme="minorEastAsia"/>
                <w:sz w:val="24"/>
                <w:szCs w:val="24"/>
              </w:rPr>
              <w:t>截止基准日下属分级基金的相关指标</w:t>
            </w:r>
          </w:p>
        </w:tc>
        <w:tc>
          <w:tcPr>
            <w:tcW w:w="2214" w:type="dxa"/>
          </w:tcPr>
          <w:p w:rsidR="003F0B40">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pPr>
              <w:rPr>
                <w:rFonts w:eastAsiaTheme="minorEastAsia"/>
                <w:sz w:val="24"/>
                <w:szCs w:val="24"/>
              </w:rPr>
            </w:pPr>
            <w:r>
              <w:rPr>
                <w:rFonts w:eastAsiaTheme="minorEastAsia"/>
                <w:sz w:val="24"/>
                <w:szCs w:val="24"/>
              </w:rPr>
              <w:t>1.053</w:t>
            </w:r>
          </w:p>
        </w:tc>
        <w:tc>
          <w:tcPr>
            <w:tcW w:w="2706" w:type="dxa"/>
          </w:tcPr>
          <w:p w:rsidR="003F0B40">
            <w:pPr>
              <w:rPr>
                <w:rFonts w:eastAsiaTheme="minorEastAsia"/>
                <w:sz w:val="24"/>
                <w:szCs w:val="24"/>
              </w:rPr>
            </w:pPr>
            <w:r>
              <w:rPr>
                <w:rFonts w:eastAsiaTheme="minorEastAsia"/>
                <w:sz w:val="24"/>
                <w:szCs w:val="24"/>
              </w:rPr>
              <w:t>1.049</w:t>
            </w:r>
          </w:p>
        </w:tc>
      </w:tr>
      <w:tr>
        <w:tblPrEx>
          <w:tblW w:w="9606" w:type="dxa"/>
          <w:jc w:val="center"/>
          <w:tblLayout w:type="fixed"/>
          <w:tblLook w:val="04A0"/>
        </w:tblPrEx>
        <w:trPr>
          <w:trHeight w:val="405"/>
          <w:jc w:val="center"/>
        </w:trPr>
        <w:tc>
          <w:tcPr>
            <w:tcW w:w="1980" w:type="dxa"/>
            <w:vMerge/>
          </w:tcPr>
          <w:p w:rsidR="003F0B40">
            <w:pPr>
              <w:rPr>
                <w:rFonts w:eastAsiaTheme="minorEastAsia"/>
                <w:sz w:val="24"/>
                <w:szCs w:val="24"/>
              </w:rPr>
            </w:pPr>
          </w:p>
        </w:tc>
        <w:tc>
          <w:tcPr>
            <w:tcW w:w="2214" w:type="dxa"/>
            <w:vAlign w:val="center"/>
          </w:tcPr>
          <w:p w:rsidR="003F0B40">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pPr>
              <w:rPr>
                <w:rFonts w:eastAsiaTheme="minorEastAsia"/>
                <w:sz w:val="24"/>
                <w:szCs w:val="24"/>
              </w:rPr>
            </w:pPr>
            <w:r>
              <w:rPr>
                <w:rFonts w:eastAsiaTheme="minorEastAsia"/>
                <w:sz w:val="24"/>
                <w:szCs w:val="24"/>
              </w:rPr>
              <w:t>86,618,350.26</w:t>
            </w:r>
          </w:p>
        </w:tc>
        <w:tc>
          <w:tcPr>
            <w:tcW w:w="2706" w:type="dxa"/>
          </w:tcPr>
          <w:p w:rsidR="003F0B40">
            <w:pPr>
              <w:rPr>
                <w:rFonts w:eastAsiaTheme="minorEastAsia"/>
                <w:sz w:val="24"/>
                <w:szCs w:val="24"/>
              </w:rPr>
            </w:pPr>
            <w:r>
              <w:rPr>
                <w:rFonts w:eastAsiaTheme="minorEastAsia"/>
                <w:sz w:val="24"/>
                <w:szCs w:val="24"/>
              </w:rPr>
              <w:t>294,573.18</w:t>
            </w:r>
          </w:p>
        </w:tc>
      </w:tr>
      <w:tr>
        <w:tblPrEx>
          <w:tblW w:w="9606" w:type="dxa"/>
          <w:jc w:val="center"/>
          <w:tblLayout w:type="fixed"/>
          <w:tblLook w:val="04A0"/>
        </w:tblPrEx>
        <w:trPr>
          <w:jc w:val="center"/>
        </w:trPr>
        <w:tc>
          <w:tcPr>
            <w:tcW w:w="1980" w:type="dxa"/>
            <w:vMerge/>
          </w:tcPr>
          <w:p w:rsidR="00544464"/>
        </w:tc>
        <w:tc>
          <w:tcPr>
            <w:tcW w:w="2214" w:type="dxa"/>
            <w:vAlign w:val="center"/>
          </w:tcPr>
          <w:p w:rsidR="00544464">
            <w:pPr>
              <w:jc w:val="left"/>
            </w:pPr>
            <w:r>
              <w:rPr>
                <w:rFonts w:eastAsiaTheme="minorEastAsia"/>
                <w:sz w:val="24"/>
                <w:szCs w:val="24"/>
              </w:rPr>
              <w:t>截止基准日按照基金合同约定的分红比例计算的应分配金额（单位：人民币元）</w:t>
            </w:r>
          </w:p>
        </w:tc>
        <w:tc>
          <w:tcPr>
            <w:tcW w:w="2706" w:type="dxa"/>
            <w:vAlign w:val="center"/>
          </w:tcPr>
          <w:p w:rsidR="00544464">
            <w:pPr>
              <w:jc w:val="left"/>
            </w:pPr>
            <w:r>
              <w:rPr>
                <w:rFonts w:eastAsiaTheme="minorEastAsia"/>
                <w:sz w:val="24"/>
                <w:szCs w:val="24"/>
              </w:rPr>
              <w:t>69,294,680.21</w:t>
            </w:r>
          </w:p>
        </w:tc>
        <w:tc>
          <w:tcPr>
            <w:tcW w:w="2706" w:type="dxa"/>
            <w:vAlign w:val="center"/>
          </w:tcPr>
          <w:p w:rsidR="00544464">
            <w:pPr>
              <w:jc w:val="left"/>
            </w:pPr>
            <w:r>
              <w:rPr>
                <w:rFonts w:eastAsiaTheme="minorEastAsia"/>
                <w:sz w:val="24"/>
                <w:szCs w:val="24"/>
              </w:rPr>
              <w:t>235,658.55</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pPr>
              <w:rPr>
                <w:rFonts w:eastAsiaTheme="minorEastAsia"/>
                <w:sz w:val="24"/>
                <w:szCs w:val="24"/>
              </w:rPr>
            </w:pPr>
            <w:r>
              <w:rPr>
                <w:rFonts w:eastAsiaTheme="minorEastAsia"/>
                <w:sz w:val="24"/>
                <w:szCs w:val="24"/>
              </w:rPr>
              <w:t>0.415</w:t>
            </w:r>
          </w:p>
        </w:tc>
        <w:tc>
          <w:tcPr>
            <w:tcW w:w="2706" w:type="dxa"/>
          </w:tcPr>
          <w:p w:rsidR="003F0B40">
            <w:pPr>
              <w:rPr>
                <w:rFonts w:eastAsiaTheme="minorEastAsia"/>
                <w:sz w:val="24"/>
                <w:szCs w:val="24"/>
              </w:rPr>
            </w:pPr>
            <w:r>
              <w:rPr>
                <w:rFonts w:eastAsiaTheme="minorEastAsia"/>
                <w:sz w:val="24"/>
                <w:szCs w:val="24"/>
              </w:rPr>
              <w:t>0.380</w:t>
            </w:r>
          </w:p>
        </w:tc>
      </w:tr>
    </w:tbl>
    <w:p w:rsidR="003F0B40">
      <w:pPr>
        <w:spacing w:line="360" w:lineRule="auto"/>
        <w:ind w:firstLine="480" w:firstLineChars="200"/>
        <w:rPr>
          <w:rFonts w:eastAsiaTheme="minorEastAsia"/>
          <w:color w:val="000000"/>
          <w:sz w:val="24"/>
          <w:szCs w:val="24"/>
        </w:rPr>
      </w:pPr>
      <w:r>
        <w:rPr>
          <w:rFonts w:eastAsiaTheme="minorEastAsia"/>
          <w:color w:val="000000"/>
          <w:sz w:val="24"/>
          <w:szCs w:val="24"/>
        </w:rPr>
        <w:t>注：根据《易方达恒久添利</w:t>
      </w:r>
      <w:r>
        <w:rPr>
          <w:rFonts w:eastAsiaTheme="minorEastAsia"/>
          <w:color w:val="000000"/>
          <w:sz w:val="24"/>
          <w:szCs w:val="24"/>
        </w:rPr>
        <w:t>1</w:t>
      </w:r>
      <w:r>
        <w:rPr>
          <w:rFonts w:eastAsiaTheme="minorEastAsia"/>
          <w:color w:val="000000"/>
          <w:sz w:val="24"/>
          <w:szCs w:val="24"/>
        </w:rPr>
        <w:t>年定期开放债券型证券投资基金基金合同》规定，在符合有关基金分红条件的前提下，本基金每年收益分配次数最多为</w:t>
      </w:r>
      <w:r>
        <w:rPr>
          <w:rFonts w:eastAsiaTheme="minorEastAsia"/>
          <w:color w:val="000000"/>
          <w:sz w:val="24"/>
          <w:szCs w:val="24"/>
        </w:rPr>
        <w:t>12</w:t>
      </w:r>
      <w:r>
        <w:rPr>
          <w:rFonts w:eastAsiaTheme="minorEastAsia"/>
          <w:color w:val="000000"/>
          <w:sz w:val="24"/>
          <w:szCs w:val="24"/>
        </w:rPr>
        <w:t>次，每份基金份额每次分配比例不得低于收益分配基准日每份基金份额可供分配利润的</w:t>
      </w:r>
      <w:r>
        <w:rPr>
          <w:rFonts w:eastAsiaTheme="minorEastAsia"/>
          <w:color w:val="000000"/>
          <w:sz w:val="24"/>
          <w:szCs w:val="24"/>
        </w:rPr>
        <w:t>80%</w:t>
      </w:r>
      <w:r>
        <w:rPr>
          <w:rFonts w:eastAsiaTheme="minorEastAsia"/>
          <w:color w:val="000000"/>
          <w:sz w:val="24"/>
          <w:szCs w:val="24"/>
        </w:rPr>
        <w:t>。</w:t>
      </w:r>
    </w:p>
    <w:p w:rsidR="003F0B40">
      <w:pPr>
        <w:spacing w:line="360" w:lineRule="auto"/>
        <w:rPr>
          <w:rFonts w:eastAsiaTheme="minorEastAsia"/>
          <w:sz w:val="24"/>
          <w:szCs w:val="24"/>
        </w:rPr>
      </w:pPr>
    </w:p>
    <w:p w:rsidR="003F0B40">
      <w:pPr>
        <w:pStyle w:val="Heading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权益登记日</w:t>
            </w:r>
          </w:p>
        </w:tc>
        <w:tc>
          <w:tcPr>
            <w:tcW w:w="5978" w:type="dxa"/>
          </w:tcPr>
          <w:p w:rsidR="003F0B40">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6</w:t>
            </w:r>
            <w:r>
              <w:rPr>
                <w:rFonts w:eastAsiaTheme="minorEastAsia"/>
                <w:sz w:val="24"/>
                <w:szCs w:val="24"/>
              </w:rPr>
              <w:t>月</w:t>
            </w:r>
            <w:r>
              <w:rPr>
                <w:rFonts w:eastAsiaTheme="minorEastAsia"/>
                <w:sz w:val="24"/>
                <w:szCs w:val="24"/>
              </w:rPr>
              <w:t>13</w:t>
            </w:r>
            <w:r>
              <w:rPr>
                <w:rFonts w:eastAsiaTheme="minorEastAsia"/>
                <w:sz w:val="24"/>
                <w:szCs w:val="24"/>
              </w:rPr>
              <w:t>日</w:t>
            </w:r>
          </w:p>
        </w:tc>
      </w:tr>
      <w:tr w:rsidTr="00D9660D">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除息日</w:t>
            </w:r>
          </w:p>
        </w:tc>
        <w:tc>
          <w:tcPr>
            <w:tcW w:w="2989" w:type="dxa"/>
          </w:tcPr>
          <w:p w:rsidR="003F0B40" w:rsidP="00D9660D">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6</w:t>
            </w:r>
            <w:r>
              <w:rPr>
                <w:rFonts w:eastAsiaTheme="minorEastAsia"/>
                <w:sz w:val="24"/>
                <w:szCs w:val="24"/>
              </w:rPr>
              <w:t>月</w:t>
            </w:r>
            <w:r>
              <w:rPr>
                <w:rFonts w:eastAsiaTheme="minorEastAsia"/>
                <w:sz w:val="24"/>
                <w:szCs w:val="24"/>
              </w:rPr>
              <w:t>13</w:t>
            </w:r>
            <w:r>
              <w:rPr>
                <w:rFonts w:eastAsiaTheme="minorEastAsia"/>
                <w:sz w:val="24"/>
                <w:szCs w:val="24"/>
              </w:rPr>
              <w:t>日</w:t>
            </w:r>
            <w:bookmarkStart w:id="2" w:name="_GoBack"/>
            <w:bookmarkEnd w:id="2"/>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现金红利发放日</w:t>
            </w:r>
          </w:p>
        </w:tc>
        <w:tc>
          <w:tcPr>
            <w:tcW w:w="5978" w:type="dxa"/>
          </w:tcPr>
          <w:p w:rsidR="003F0B40">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6</w:t>
            </w:r>
            <w:r>
              <w:rPr>
                <w:rFonts w:eastAsiaTheme="minorEastAsia"/>
                <w:sz w:val="24"/>
                <w:szCs w:val="24"/>
              </w:rPr>
              <w:t>月</w:t>
            </w:r>
            <w:r>
              <w:rPr>
                <w:rFonts w:eastAsiaTheme="minorEastAsia"/>
                <w:sz w:val="24"/>
                <w:szCs w:val="24"/>
              </w:rPr>
              <w:t>14</w:t>
            </w:r>
            <w:r>
              <w:rPr>
                <w:rFonts w:eastAsiaTheme="minorEastAsia"/>
                <w:sz w:val="24"/>
                <w:szCs w:val="24"/>
              </w:rPr>
              <w:t>日</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分红对象</w:t>
            </w:r>
          </w:p>
        </w:tc>
        <w:tc>
          <w:tcPr>
            <w:tcW w:w="5978" w:type="dxa"/>
            <w:shd w:val="clear" w:color="auto" w:fill="auto"/>
          </w:tcPr>
          <w:p w:rsidR="003F0B40">
            <w:pPr>
              <w:rPr>
                <w:rFonts w:eastAsiaTheme="minorEastAsia"/>
                <w:sz w:val="24"/>
                <w:szCs w:val="24"/>
              </w:rPr>
            </w:pPr>
            <w:r>
              <w:rPr>
                <w:rFonts w:eastAsiaTheme="minorEastAsia"/>
                <w:sz w:val="24"/>
                <w:szCs w:val="24"/>
              </w:rPr>
              <w:t>权益登记日在易方达基金管理有限公司登记在册的本基金全体持有人。</w:t>
            </w:r>
          </w:p>
        </w:tc>
      </w:tr>
      <w:tr>
        <w:tblPrEx>
          <w:tblW w:w="9320" w:type="dxa"/>
          <w:jc w:val="center"/>
          <w:tblLayout w:type="fixed"/>
          <w:tblLook w:val="04A0"/>
        </w:tblPrEx>
        <w:trPr>
          <w:jc w:val="center"/>
        </w:trPr>
        <w:tc>
          <w:tcPr>
            <w:tcW w:w="3342" w:type="dxa"/>
            <w:shd w:val="clear" w:color="auto" w:fill="auto"/>
            <w:vAlign w:val="center"/>
          </w:tcPr>
          <w:p w:rsidR="003F0B40">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本次收益分配方式为现金分红。</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根据相关法律法规规定，基金向投资者分配的基金收益，暂不征收所得税。</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本基金本次分红免收分红手续费。</w:t>
            </w:r>
          </w:p>
        </w:tc>
      </w:tr>
    </w:tbl>
    <w:p w:rsidR="00544464">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）本次派发的现金红利于</w:t>
      </w: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14</w:t>
      </w:r>
      <w:r>
        <w:rPr>
          <w:rFonts w:eastAsiaTheme="minorEastAsia"/>
          <w:color w:val="000000"/>
          <w:sz w:val="24"/>
          <w:szCs w:val="24"/>
        </w:rPr>
        <w:t>日自基金托管账户划出。</w:t>
      </w:r>
    </w:p>
    <w:p w:rsidR="003F0B40">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pPr>
        <w:spacing w:line="360" w:lineRule="auto"/>
        <w:rPr>
          <w:rFonts w:eastAsiaTheme="minorEastAsia"/>
          <w:color w:val="000000"/>
          <w:sz w:val="24"/>
          <w:szCs w:val="24"/>
        </w:rPr>
      </w:pPr>
    </w:p>
    <w:p w:rsidR="003F0B40">
      <w:pPr>
        <w:pStyle w:val="Heading3"/>
        <w:keepNext w:val="0"/>
        <w:keepLines w:val="0"/>
        <w:spacing w:before="0" w:after="0" w:line="360" w:lineRule="auto"/>
        <w:rPr>
          <w:rFonts w:eastAsiaTheme="minorEastAsia"/>
          <w:bCs w:val="0"/>
          <w:sz w:val="24"/>
          <w:szCs w:val="24"/>
        </w:rPr>
      </w:pPr>
      <w:bookmarkStart w:id="3" w:name="_Toc275961420"/>
      <w:r>
        <w:rPr>
          <w:rFonts w:eastAsiaTheme="minorEastAsia"/>
          <w:bCs w:val="0"/>
          <w:sz w:val="24"/>
          <w:szCs w:val="24"/>
        </w:rPr>
        <w:t>3.</w:t>
      </w:r>
      <w:r>
        <w:rPr>
          <w:rFonts w:eastAsiaTheme="minorEastAsia"/>
          <w:bCs w:val="0"/>
          <w:sz w:val="24"/>
          <w:szCs w:val="24"/>
        </w:rPr>
        <w:t>其他需要提示的事项</w:t>
      </w:r>
      <w:bookmarkEnd w:id="3"/>
    </w:p>
    <w:p w:rsidR="00544464">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）根据《易方达恒久添利</w:t>
      </w:r>
      <w:r>
        <w:rPr>
          <w:rFonts w:eastAsiaTheme="minorEastAsia"/>
          <w:color w:val="000000"/>
          <w:sz w:val="24"/>
          <w:szCs w:val="24"/>
        </w:rPr>
        <w:t>1</w:t>
      </w:r>
      <w:r>
        <w:rPr>
          <w:rFonts w:eastAsiaTheme="minorEastAsia"/>
          <w:color w:val="000000"/>
          <w:sz w:val="24"/>
          <w:szCs w:val="24"/>
        </w:rPr>
        <w:t>年定期开放债券型证券投资基金基金合同》规定，本基金收益分配采用现金方式。</w:t>
      </w:r>
    </w:p>
    <w:p w:rsidR="00544464">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了解相关情况。投资者也可以前往本基金有关销售机构进行咨询。本基金的销售机构详见基金管理人网站公示。</w:t>
      </w:r>
    </w:p>
    <w:p w:rsidR="003F0B40">
      <w:pPr>
        <w:spacing w:line="360" w:lineRule="auto"/>
        <w:ind w:firstLine="480" w:firstLineChars="200"/>
        <w:rPr>
          <w:rFonts w:eastAsiaTheme="minorEastAsia"/>
          <w:color w:val="000000"/>
          <w:sz w:val="24"/>
          <w:szCs w:val="24"/>
        </w:rPr>
      </w:pPr>
      <w:r>
        <w:rPr>
          <w:rFonts w:eastAsiaTheme="minorEastAsia"/>
          <w:color w:val="000000"/>
          <w:sz w:val="24"/>
          <w:szCs w:val="24"/>
        </w:rPr>
        <w:t>特此公告。</w:t>
      </w:r>
    </w:p>
    <w:p w:rsidR="003F0B40">
      <w:pPr>
        <w:spacing w:line="360" w:lineRule="auto"/>
        <w:ind w:firstLine="480" w:firstLineChars="200"/>
        <w:rPr>
          <w:rFonts w:eastAsiaTheme="minorEastAsia"/>
          <w:color w:val="000000"/>
          <w:sz w:val="24"/>
          <w:szCs w:val="24"/>
        </w:rPr>
      </w:pPr>
    </w:p>
    <w:p w:rsidR="003F0B40">
      <w:pPr>
        <w:spacing w:line="360" w:lineRule="auto"/>
        <w:ind w:firstLine="480" w:firstLineChars="200"/>
        <w:rPr>
          <w:rFonts w:eastAsiaTheme="minorEastAsia"/>
          <w:color w:val="000000"/>
          <w:sz w:val="24"/>
          <w:szCs w:val="24"/>
        </w:rPr>
      </w:pPr>
    </w:p>
    <w:p w:rsidR="003F0B40">
      <w:pPr>
        <w:spacing w:line="360" w:lineRule="auto"/>
        <w:ind w:firstLine="480" w:firstLineChars="200"/>
        <w:rPr>
          <w:rFonts w:eastAsiaTheme="minorEastAsia"/>
          <w:color w:val="000000"/>
          <w:sz w:val="24"/>
          <w:szCs w:val="24"/>
        </w:rPr>
      </w:pPr>
    </w:p>
    <w:p w:rsidR="003F0B40">
      <w:pPr>
        <w:spacing w:line="360" w:lineRule="auto"/>
        <w:ind w:firstLine="480" w:firstLineChars="200"/>
        <w:rPr>
          <w:rFonts w:eastAsiaTheme="minorEastAsia"/>
          <w:color w:val="000000"/>
          <w:sz w:val="24"/>
          <w:szCs w:val="24"/>
        </w:rPr>
      </w:pPr>
    </w:p>
    <w:p w:rsidR="003F0B40">
      <w:pPr>
        <w:spacing w:line="360" w:lineRule="auto"/>
        <w:ind w:firstLine="480" w:firstLineChars="200"/>
        <w:jc w:val="right"/>
        <w:rPr>
          <w:rFonts w:eastAsiaTheme="minorEastAsia"/>
          <w:color w:val="000000"/>
          <w:sz w:val="24"/>
          <w:szCs w:val="24"/>
        </w:rPr>
      </w:pPr>
      <w:r>
        <w:rPr>
          <w:rFonts w:eastAsiaTheme="minorEastAsia"/>
          <w:color w:val="000000"/>
          <w:sz w:val="24"/>
          <w:szCs w:val="24"/>
        </w:rPr>
        <w:t>易方达基金管理有限公司</w:t>
      </w:r>
    </w:p>
    <w:p w:rsidR="003F0B40">
      <w:pPr>
        <w:spacing w:line="360" w:lineRule="auto"/>
        <w:ind w:firstLine="480" w:firstLineChars="200"/>
        <w:jc w:val="right"/>
        <w:rPr>
          <w:rFonts w:eastAsiaTheme="minorEastAsia"/>
          <w:color w:val="000000"/>
          <w:sz w:val="24"/>
          <w:szCs w:val="24"/>
        </w:rPr>
      </w:pP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86934"/>
    <w:rsid w:val="004966BA"/>
    <w:rsid w:val="004E68DA"/>
    <w:rsid w:val="0050279B"/>
    <w:rsid w:val="00506E3A"/>
    <w:rsid w:val="00544464"/>
    <w:rsid w:val="005715B6"/>
    <w:rsid w:val="00582D89"/>
    <w:rsid w:val="005C74A7"/>
    <w:rsid w:val="00602C3F"/>
    <w:rsid w:val="00606D8B"/>
    <w:rsid w:val="0068321B"/>
    <w:rsid w:val="00687863"/>
    <w:rsid w:val="006A2E06"/>
    <w:rsid w:val="00721B55"/>
    <w:rsid w:val="007457E4"/>
    <w:rsid w:val="007C7B20"/>
    <w:rsid w:val="00812228"/>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CD4F08"/>
    <w:rsid w:val="00D15CCB"/>
    <w:rsid w:val="00D20292"/>
    <w:rsid w:val="00D82E8A"/>
    <w:rsid w:val="00D93DD8"/>
    <w:rsid w:val="00D9660D"/>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w:docVars>
    <w:docVar w:name="commondata" w:val="eyJoZGlkIjoiMTJhZTk1MWY4NzMzYjcxOGVmMzMxMmE4MGEzYWZmOT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88BDB604-9272-4A7B-A7CF-2DB838BE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方正仿宋简体" w:hAnsi="Times New Roman" w:cs="Times New Roman"/>
      <w:kern w:val="2"/>
      <w:sz w:val="32"/>
    </w:rPr>
  </w:style>
  <w:style w:type="paragraph" w:styleId="Heading1">
    <w:name w:val="heading 1"/>
    <w:basedOn w:val="Normal"/>
    <w:next w:val="Normal"/>
    <w:link w:val="1"/>
    <w:qFormat/>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
    <w:qFormat/>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
    <w:qFormat/>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a0"/>
    <w:uiPriority w:val="99"/>
    <w:semiHidden/>
    <w:unhideWhenUsed/>
    <w:qFormat/>
    <w:rPr>
      <w:rFonts w:ascii="宋体" w:eastAsia="宋体"/>
      <w:sz w:val="18"/>
      <w:szCs w:val="18"/>
    </w:rPr>
  </w:style>
  <w:style w:type="paragraph" w:styleId="BalloonText">
    <w:name w:val="Balloon Text"/>
    <w:basedOn w:val="Normal"/>
    <w:link w:val="a3"/>
    <w:uiPriority w:val="99"/>
    <w:semiHidden/>
    <w:unhideWhenUsed/>
    <w:qFormat/>
    <w:rPr>
      <w:sz w:val="18"/>
      <w:szCs w:val="18"/>
    </w:rPr>
  </w:style>
  <w:style w:type="paragraph" w:styleId="Footer">
    <w:name w:val="footer"/>
    <w:basedOn w:val="Normal"/>
    <w:link w:val="a2"/>
    <w:uiPriority w:val="99"/>
    <w:unhideWhenUsed/>
    <w:pPr>
      <w:tabs>
        <w:tab w:val="center" w:pos="4153"/>
        <w:tab w:val="right" w:pos="8306"/>
      </w:tabs>
      <w:snapToGrid w:val="0"/>
      <w:jc w:val="left"/>
    </w:pPr>
    <w:rPr>
      <w:sz w:val="18"/>
      <w:szCs w:val="18"/>
    </w:rPr>
  </w:style>
  <w:style w:type="paragraph" w:styleId="Header">
    <w:name w:val="header"/>
    <w:basedOn w:val="Normal"/>
    <w:link w:val="a1"/>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a"/>
    <w:qFormat/>
    <w:pPr>
      <w:snapToGrid w:val="0"/>
      <w:jc w:val="left"/>
    </w:pPr>
    <w:rPr>
      <w:rFonts w:eastAsia="宋体"/>
      <w:sz w:val="18"/>
    </w:rPr>
  </w:style>
  <w:style w:type="character" w:styleId="FootnoteReference">
    <w:name w:val="footnote reference"/>
    <w:basedOn w:val="DefaultParagraphFont"/>
    <w:qFormat/>
    <w:rPr>
      <w:vertAlign w:val="superscript"/>
    </w:rPr>
  </w:style>
  <w:style w:type="character" w:customStyle="1" w:styleId="1">
    <w:name w:val="标题 1 字符"/>
    <w:basedOn w:val="DefaultParagraphFont"/>
    <w:link w:val="Heading1"/>
    <w:qFormat/>
    <w:rPr>
      <w:rFonts w:ascii="Times New Roman" w:eastAsia="宋体" w:hAnsi="Times New Roman" w:cs="Times New Roman"/>
      <w:b/>
      <w:bCs/>
      <w:kern w:val="44"/>
      <w:sz w:val="44"/>
      <w:szCs w:val="44"/>
    </w:rPr>
  </w:style>
  <w:style w:type="character" w:customStyle="1" w:styleId="2">
    <w:name w:val="标题 2 字符"/>
    <w:basedOn w:val="DefaultParagraphFont"/>
    <w:link w:val="Heading2"/>
    <w:qFormat/>
    <w:rPr>
      <w:rFonts w:ascii="Arial" w:eastAsia="黑体" w:hAnsi="Arial" w:cs="Times New Roman"/>
      <w:b/>
      <w:bCs/>
      <w:sz w:val="32"/>
      <w:szCs w:val="32"/>
    </w:rPr>
  </w:style>
  <w:style w:type="character" w:customStyle="1" w:styleId="a">
    <w:name w:val="脚注文本 字符"/>
    <w:basedOn w:val="DefaultParagraphFont"/>
    <w:link w:val="FootnoteText"/>
    <w:rPr>
      <w:rFonts w:ascii="Times New Roman" w:eastAsia="宋体" w:hAnsi="Times New Roman" w:cs="Times New Roman"/>
      <w:sz w:val="18"/>
      <w:szCs w:val="20"/>
    </w:rPr>
  </w:style>
  <w:style w:type="character" w:customStyle="1" w:styleId="a0">
    <w:name w:val="文档结构图 字符"/>
    <w:basedOn w:val="DefaultParagraphFont"/>
    <w:link w:val="DocumentMap"/>
    <w:uiPriority w:val="99"/>
    <w:semiHidden/>
    <w:rPr>
      <w:rFonts w:ascii="宋体" w:eastAsia="宋体" w:hAnsi="Times New Roman" w:cs="Times New Roman"/>
      <w:sz w:val="18"/>
      <w:szCs w:val="18"/>
    </w:rPr>
  </w:style>
  <w:style w:type="character" w:customStyle="1" w:styleId="a1">
    <w:name w:val="页眉 字符"/>
    <w:basedOn w:val="DefaultParagraphFont"/>
    <w:link w:val="Header"/>
    <w:uiPriority w:val="99"/>
    <w:qFormat/>
    <w:rPr>
      <w:rFonts w:ascii="Times New Roman" w:eastAsia="方正仿宋简体" w:hAnsi="Times New Roman" w:cs="Times New Roman"/>
      <w:sz w:val="18"/>
      <w:szCs w:val="18"/>
    </w:rPr>
  </w:style>
  <w:style w:type="character" w:customStyle="1" w:styleId="a2">
    <w:name w:val="页脚 字符"/>
    <w:basedOn w:val="DefaultParagraphFont"/>
    <w:link w:val="Footer"/>
    <w:uiPriority w:val="99"/>
    <w:qFormat/>
    <w:rPr>
      <w:rFonts w:ascii="Times New Roman" w:eastAsia="方正仿宋简体" w:hAnsi="Times New Roman" w:cs="Times New Roman"/>
      <w:sz w:val="18"/>
      <w:szCs w:val="18"/>
    </w:rPr>
  </w:style>
  <w:style w:type="character" w:customStyle="1" w:styleId="a3">
    <w:name w:val="批注框文本 字符"/>
    <w:basedOn w:val="DefaultParagraphFont"/>
    <w:link w:val="BalloonText"/>
    <w:uiPriority w:val="99"/>
    <w:semiHidden/>
    <w:qFormat/>
    <w:rPr>
      <w:rFonts w:ascii="Times New Roman" w:eastAsia="方正仿宋简体" w:hAnsi="Times New Roman" w:cs="Times New Roman"/>
      <w:sz w:val="18"/>
      <w:szCs w:val="18"/>
    </w:rPr>
  </w:style>
  <w:style w:type="character" w:customStyle="1" w:styleId="3">
    <w:name w:val="标题 3 字符"/>
    <w:basedOn w:val="DefaultParagraphFont"/>
    <w:link w:val="Heading3"/>
    <w:qFormat/>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