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6C3B1B"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南方卓元债券型证券投资基金（</w:t>
      </w:r>
      <w:r>
        <w:rPr>
          <w:rFonts w:ascii="宋体" w:hAnsi="方正黑体简体" w:cs="方正黑体简体"/>
          <w:b/>
          <w:bCs/>
          <w:iCs/>
          <w:sz w:val="31"/>
          <w:szCs w:val="36"/>
        </w:rPr>
        <w:t>A类份额）基金产品资料概要（2024年6月更新）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6C3B1B">
        <w:rPr>
          <w:rFonts w:ascii="仿宋" w:hAnsi="仿宋"/>
          <w:color w:val="000000" w:themeColor="text1"/>
          <w:sz w:val="24"/>
          <w:szCs w:val="24"/>
        </w:rPr>
        <w:t>2024年6月11日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6C3B1B">
        <w:rPr>
          <w:rFonts w:ascii="仿宋" w:hAnsi="仿宋"/>
          <w:color w:val="000000" w:themeColor="text1"/>
          <w:sz w:val="24"/>
          <w:szCs w:val="24"/>
        </w:rPr>
        <w:t>2024年6月12日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6C3B1B" w:rsidRDefault="006C3B1B" w:rsidP="006C3B1B">
      <w:pPr>
        <w:pStyle w:val="-1"/>
        <w:spacing w:before="156" w:after="156"/>
        <w:rPr>
          <w:rFonts w:hint="eastAsia"/>
        </w:rPr>
      </w:pPr>
      <w:r>
        <w:rPr>
          <w:rFonts w:hint="eastAsia"/>
        </w:rPr>
        <w:t>一、产品概况</w:t>
      </w:r>
    </w:p>
    <w:tbl>
      <w:tblPr>
        <w:tblStyle w:val="-noheader"/>
        <w:tblW w:w="8506" w:type="dxa"/>
        <w:tblLayout w:type="fixed"/>
        <w:tblLook w:val="04A0" w:firstRow="1" w:lastRow="0" w:firstColumn="1" w:lastColumn="0" w:noHBand="0" w:noVBand="1"/>
      </w:tblPr>
      <w:tblGrid>
        <w:gridCol w:w="1843"/>
        <w:gridCol w:w="2410"/>
        <w:gridCol w:w="1843"/>
        <w:gridCol w:w="2410"/>
      </w:tblGrid>
      <w:tr w:rsidR="006C3B1B" w:rsidTr="006C3B1B">
        <w:tc>
          <w:tcPr>
            <w:tcW w:w="1843" w:type="dxa"/>
          </w:tcPr>
          <w:p w:rsidR="006C3B1B" w:rsidRDefault="006C3B1B" w:rsidP="006C3B1B">
            <w:pPr>
              <w:jc w:val="left"/>
            </w:pPr>
            <w:r>
              <w:rPr>
                <w:rFonts w:hint="eastAsia"/>
              </w:rPr>
              <w:t>基金简称</w:t>
            </w:r>
          </w:p>
        </w:tc>
        <w:tc>
          <w:tcPr>
            <w:tcW w:w="2410" w:type="dxa"/>
          </w:tcPr>
          <w:p w:rsidR="006C3B1B" w:rsidRDefault="006C3B1B" w:rsidP="006C3B1B">
            <w:pPr>
              <w:jc w:val="left"/>
            </w:pPr>
            <w:r>
              <w:rPr>
                <w:rFonts w:hint="eastAsia"/>
              </w:rPr>
              <w:t>南方卓元债券</w:t>
            </w:r>
            <w:r>
              <w:rPr>
                <w:rFonts w:hint="eastAsia"/>
              </w:rPr>
              <w:t>A</w:t>
            </w:r>
          </w:p>
        </w:tc>
        <w:tc>
          <w:tcPr>
            <w:tcW w:w="1843" w:type="dxa"/>
          </w:tcPr>
          <w:p w:rsidR="006C3B1B" w:rsidRDefault="006C3B1B" w:rsidP="006C3B1B">
            <w:pPr>
              <w:jc w:val="left"/>
            </w:pPr>
            <w:r>
              <w:rPr>
                <w:rFonts w:hint="eastAsia"/>
              </w:rPr>
              <w:t>基金代码</w:t>
            </w:r>
          </w:p>
        </w:tc>
        <w:tc>
          <w:tcPr>
            <w:tcW w:w="2410" w:type="dxa"/>
          </w:tcPr>
          <w:p w:rsidR="006C3B1B" w:rsidRDefault="006C3B1B" w:rsidP="006C3B1B">
            <w:pPr>
              <w:jc w:val="left"/>
            </w:pPr>
            <w:r>
              <w:t>003612</w:t>
            </w:r>
          </w:p>
        </w:tc>
      </w:tr>
      <w:tr w:rsidR="006C3B1B" w:rsidTr="006C3B1B">
        <w:tc>
          <w:tcPr>
            <w:tcW w:w="1843" w:type="dxa"/>
          </w:tcPr>
          <w:p w:rsidR="006C3B1B" w:rsidRDefault="006C3B1B" w:rsidP="006C3B1B">
            <w:pPr>
              <w:jc w:val="left"/>
            </w:pPr>
            <w:r>
              <w:rPr>
                <w:rFonts w:hint="eastAsia"/>
              </w:rPr>
              <w:t>基金管理人</w:t>
            </w:r>
          </w:p>
        </w:tc>
        <w:tc>
          <w:tcPr>
            <w:tcW w:w="2410" w:type="dxa"/>
          </w:tcPr>
          <w:p w:rsidR="006C3B1B" w:rsidRDefault="006C3B1B" w:rsidP="006C3B1B">
            <w:pPr>
              <w:jc w:val="left"/>
            </w:pPr>
            <w:r>
              <w:rPr>
                <w:rFonts w:hint="eastAsia"/>
              </w:rPr>
              <w:t>南方基金管理股份有限公司</w:t>
            </w:r>
          </w:p>
        </w:tc>
        <w:tc>
          <w:tcPr>
            <w:tcW w:w="1843" w:type="dxa"/>
          </w:tcPr>
          <w:p w:rsidR="006C3B1B" w:rsidRDefault="006C3B1B" w:rsidP="006C3B1B">
            <w:pPr>
              <w:jc w:val="left"/>
            </w:pPr>
            <w:r>
              <w:rPr>
                <w:rFonts w:hint="eastAsia"/>
              </w:rPr>
              <w:t>基金托管人</w:t>
            </w:r>
          </w:p>
        </w:tc>
        <w:tc>
          <w:tcPr>
            <w:tcW w:w="2410" w:type="dxa"/>
          </w:tcPr>
          <w:p w:rsidR="006C3B1B" w:rsidRDefault="006C3B1B" w:rsidP="006C3B1B">
            <w:pPr>
              <w:jc w:val="left"/>
            </w:pPr>
            <w:r>
              <w:rPr>
                <w:rFonts w:hint="eastAsia"/>
              </w:rPr>
              <w:t>北京银行股份有限公司</w:t>
            </w:r>
          </w:p>
        </w:tc>
      </w:tr>
      <w:tr w:rsidR="006C3B1B" w:rsidTr="004A52B0">
        <w:tc>
          <w:tcPr>
            <w:tcW w:w="1843" w:type="dxa"/>
          </w:tcPr>
          <w:p w:rsidR="006C3B1B" w:rsidRDefault="006C3B1B" w:rsidP="006C3B1B">
            <w:pPr>
              <w:jc w:val="left"/>
            </w:pPr>
            <w:r>
              <w:rPr>
                <w:rFonts w:hint="eastAsia"/>
              </w:rPr>
              <w:t>基金合同生效日</w:t>
            </w:r>
          </w:p>
        </w:tc>
        <w:tc>
          <w:tcPr>
            <w:tcW w:w="6663" w:type="dxa"/>
            <w:gridSpan w:val="3"/>
          </w:tcPr>
          <w:p w:rsidR="006C3B1B" w:rsidRDefault="006C3B1B" w:rsidP="006C3B1B">
            <w:pPr>
              <w:jc w:val="left"/>
            </w:pPr>
            <w:r>
              <w:rPr>
                <w:rFonts w:hint="eastAsia"/>
              </w:rPr>
              <w:t>2016</w:t>
            </w:r>
            <w:r>
              <w:rPr>
                <w:rFonts w:hint="eastAsia"/>
              </w:rPr>
              <w:t>年</w:t>
            </w:r>
            <w:r>
              <w:rPr>
                <w:rFonts w:hint="eastAsia"/>
              </w:rPr>
              <w:t>11</w:t>
            </w:r>
            <w:r>
              <w:rPr>
                <w:rFonts w:hint="eastAsia"/>
              </w:rPr>
              <w:t>月</w:t>
            </w:r>
            <w:r>
              <w:rPr>
                <w:rFonts w:hint="eastAsia"/>
              </w:rPr>
              <w:t>11</w:t>
            </w:r>
            <w:r>
              <w:rPr>
                <w:rFonts w:hint="eastAsia"/>
              </w:rPr>
              <w:t>日</w:t>
            </w:r>
          </w:p>
        </w:tc>
      </w:tr>
      <w:tr w:rsidR="006C3B1B" w:rsidTr="006C3B1B">
        <w:tc>
          <w:tcPr>
            <w:tcW w:w="1843" w:type="dxa"/>
          </w:tcPr>
          <w:p w:rsidR="006C3B1B" w:rsidRDefault="006C3B1B" w:rsidP="006C3B1B">
            <w:pPr>
              <w:jc w:val="left"/>
            </w:pPr>
            <w:r>
              <w:rPr>
                <w:rFonts w:hint="eastAsia"/>
              </w:rPr>
              <w:t>基金类型</w:t>
            </w:r>
          </w:p>
        </w:tc>
        <w:tc>
          <w:tcPr>
            <w:tcW w:w="2410" w:type="dxa"/>
          </w:tcPr>
          <w:p w:rsidR="006C3B1B" w:rsidRDefault="006C3B1B" w:rsidP="006C3B1B">
            <w:pPr>
              <w:jc w:val="left"/>
            </w:pPr>
            <w:r>
              <w:rPr>
                <w:rFonts w:hint="eastAsia"/>
              </w:rPr>
              <w:t>债券型</w:t>
            </w:r>
          </w:p>
        </w:tc>
        <w:tc>
          <w:tcPr>
            <w:tcW w:w="1843" w:type="dxa"/>
          </w:tcPr>
          <w:p w:rsidR="006C3B1B" w:rsidRDefault="006C3B1B" w:rsidP="006C3B1B">
            <w:pPr>
              <w:jc w:val="left"/>
            </w:pPr>
            <w:r>
              <w:rPr>
                <w:rFonts w:hint="eastAsia"/>
              </w:rPr>
              <w:t>交易币种</w:t>
            </w:r>
          </w:p>
        </w:tc>
        <w:tc>
          <w:tcPr>
            <w:tcW w:w="2410" w:type="dxa"/>
          </w:tcPr>
          <w:p w:rsidR="006C3B1B" w:rsidRDefault="006C3B1B" w:rsidP="006C3B1B">
            <w:pPr>
              <w:jc w:val="left"/>
            </w:pPr>
            <w:r>
              <w:rPr>
                <w:rFonts w:hint="eastAsia"/>
              </w:rPr>
              <w:t>人民币</w:t>
            </w:r>
          </w:p>
        </w:tc>
      </w:tr>
      <w:tr w:rsidR="006C3B1B" w:rsidTr="00822448">
        <w:tc>
          <w:tcPr>
            <w:tcW w:w="1843" w:type="dxa"/>
          </w:tcPr>
          <w:p w:rsidR="006C3B1B" w:rsidRDefault="006C3B1B" w:rsidP="006C3B1B">
            <w:pPr>
              <w:jc w:val="left"/>
            </w:pPr>
            <w:r>
              <w:rPr>
                <w:rFonts w:hint="eastAsia"/>
              </w:rPr>
              <w:t>运作方式</w:t>
            </w:r>
          </w:p>
        </w:tc>
        <w:tc>
          <w:tcPr>
            <w:tcW w:w="6663" w:type="dxa"/>
            <w:gridSpan w:val="3"/>
          </w:tcPr>
          <w:p w:rsidR="006C3B1B" w:rsidRDefault="006C3B1B" w:rsidP="006C3B1B">
            <w:pPr>
              <w:jc w:val="left"/>
            </w:pPr>
            <w:r>
              <w:rPr>
                <w:rFonts w:hint="eastAsia"/>
              </w:rPr>
              <w:t>普通开放式</w:t>
            </w:r>
          </w:p>
        </w:tc>
      </w:tr>
      <w:tr w:rsidR="006C3B1B" w:rsidTr="00EE01AD">
        <w:tc>
          <w:tcPr>
            <w:tcW w:w="1843" w:type="dxa"/>
          </w:tcPr>
          <w:p w:rsidR="006C3B1B" w:rsidRDefault="006C3B1B" w:rsidP="006C3B1B">
            <w:pPr>
              <w:jc w:val="left"/>
            </w:pPr>
            <w:r>
              <w:rPr>
                <w:rFonts w:hint="eastAsia"/>
              </w:rPr>
              <w:t>开放频率</w:t>
            </w:r>
          </w:p>
        </w:tc>
        <w:tc>
          <w:tcPr>
            <w:tcW w:w="6663" w:type="dxa"/>
            <w:gridSpan w:val="3"/>
          </w:tcPr>
          <w:p w:rsidR="006C3B1B" w:rsidRDefault="006C3B1B" w:rsidP="006C3B1B">
            <w:pPr>
              <w:jc w:val="left"/>
            </w:pPr>
            <w:r>
              <w:rPr>
                <w:rFonts w:hint="eastAsia"/>
              </w:rPr>
              <w:t>每个开放日</w:t>
            </w:r>
          </w:p>
        </w:tc>
      </w:tr>
      <w:tr w:rsidR="006C3B1B" w:rsidTr="006C3B1B">
        <w:tc>
          <w:tcPr>
            <w:tcW w:w="1843" w:type="dxa"/>
            <w:vMerge w:val="restart"/>
          </w:tcPr>
          <w:p w:rsidR="006C3B1B" w:rsidRDefault="006C3B1B" w:rsidP="006C3B1B">
            <w:pPr>
              <w:jc w:val="left"/>
            </w:pPr>
            <w:r>
              <w:rPr>
                <w:rFonts w:hint="eastAsia"/>
              </w:rPr>
              <w:t>基金经理</w:t>
            </w:r>
          </w:p>
        </w:tc>
        <w:tc>
          <w:tcPr>
            <w:tcW w:w="2410" w:type="dxa"/>
            <w:vMerge w:val="restart"/>
          </w:tcPr>
          <w:p w:rsidR="006C3B1B" w:rsidRDefault="006C3B1B" w:rsidP="006C3B1B">
            <w:pPr>
              <w:jc w:val="left"/>
            </w:pPr>
            <w:r>
              <w:rPr>
                <w:rFonts w:hint="eastAsia"/>
              </w:rPr>
              <w:t>郑迎迎</w:t>
            </w:r>
          </w:p>
        </w:tc>
        <w:tc>
          <w:tcPr>
            <w:tcW w:w="1843" w:type="dxa"/>
          </w:tcPr>
          <w:p w:rsidR="006C3B1B" w:rsidRDefault="006C3B1B" w:rsidP="006C3B1B">
            <w:pPr>
              <w:jc w:val="left"/>
            </w:pPr>
            <w:r>
              <w:rPr>
                <w:rFonts w:hint="eastAsia"/>
              </w:rPr>
              <w:t>开始担任本基金基金经理的日期</w:t>
            </w:r>
          </w:p>
        </w:tc>
        <w:tc>
          <w:tcPr>
            <w:tcW w:w="2410" w:type="dxa"/>
          </w:tcPr>
          <w:p w:rsidR="006C3B1B" w:rsidRDefault="006C3B1B" w:rsidP="006C3B1B">
            <w:pPr>
              <w:jc w:val="left"/>
            </w:pPr>
            <w:r>
              <w:rPr>
                <w:rFonts w:hint="eastAsia"/>
              </w:rPr>
              <w:t>2018</w:t>
            </w:r>
            <w:r>
              <w:rPr>
                <w:rFonts w:hint="eastAsia"/>
              </w:rPr>
              <w:t>年</w:t>
            </w:r>
            <w:r>
              <w:rPr>
                <w:rFonts w:hint="eastAsia"/>
              </w:rPr>
              <w:t>2</w:t>
            </w:r>
            <w:r>
              <w:rPr>
                <w:rFonts w:hint="eastAsia"/>
              </w:rPr>
              <w:t>月</w:t>
            </w:r>
            <w:r>
              <w:rPr>
                <w:rFonts w:hint="eastAsia"/>
              </w:rPr>
              <w:t>9</w:t>
            </w:r>
            <w:r>
              <w:rPr>
                <w:rFonts w:hint="eastAsia"/>
              </w:rPr>
              <w:t>日</w:t>
            </w:r>
          </w:p>
        </w:tc>
      </w:tr>
      <w:tr w:rsidR="006C3B1B" w:rsidTr="006C3B1B">
        <w:tc>
          <w:tcPr>
            <w:tcW w:w="1843" w:type="dxa"/>
            <w:vMerge/>
          </w:tcPr>
          <w:p w:rsidR="006C3B1B" w:rsidRDefault="006C3B1B" w:rsidP="006C3B1B">
            <w:pPr>
              <w:jc w:val="left"/>
            </w:pPr>
          </w:p>
        </w:tc>
        <w:tc>
          <w:tcPr>
            <w:tcW w:w="2410" w:type="dxa"/>
            <w:vMerge/>
          </w:tcPr>
          <w:p w:rsidR="006C3B1B" w:rsidRDefault="006C3B1B" w:rsidP="006C3B1B">
            <w:pPr>
              <w:jc w:val="left"/>
            </w:pPr>
          </w:p>
        </w:tc>
        <w:tc>
          <w:tcPr>
            <w:tcW w:w="1843" w:type="dxa"/>
          </w:tcPr>
          <w:p w:rsidR="006C3B1B" w:rsidRDefault="006C3B1B" w:rsidP="006C3B1B">
            <w:pPr>
              <w:jc w:val="left"/>
            </w:pPr>
            <w:r>
              <w:rPr>
                <w:rFonts w:hint="eastAsia"/>
              </w:rPr>
              <w:t>证券从业日期</w:t>
            </w:r>
          </w:p>
        </w:tc>
        <w:tc>
          <w:tcPr>
            <w:tcW w:w="2410" w:type="dxa"/>
          </w:tcPr>
          <w:p w:rsidR="006C3B1B" w:rsidRDefault="006C3B1B" w:rsidP="006C3B1B">
            <w:pPr>
              <w:jc w:val="left"/>
            </w:pPr>
            <w:r>
              <w:rPr>
                <w:rFonts w:hint="eastAsia"/>
              </w:rPr>
              <w:t>2008</w:t>
            </w:r>
            <w:r>
              <w:rPr>
                <w:rFonts w:hint="eastAsia"/>
              </w:rPr>
              <w:t>年</w:t>
            </w:r>
            <w:r>
              <w:rPr>
                <w:rFonts w:hint="eastAsia"/>
              </w:rPr>
              <w:t>2</w:t>
            </w:r>
            <w:r>
              <w:rPr>
                <w:rFonts w:hint="eastAsia"/>
              </w:rPr>
              <w:t>月</w:t>
            </w:r>
            <w:r>
              <w:rPr>
                <w:rFonts w:hint="eastAsia"/>
              </w:rPr>
              <w:t>11</w:t>
            </w:r>
            <w:r>
              <w:rPr>
                <w:rFonts w:hint="eastAsia"/>
              </w:rPr>
              <w:t>日</w:t>
            </w:r>
          </w:p>
        </w:tc>
      </w:tr>
    </w:tbl>
    <w:p w:rsidR="006C3B1B" w:rsidRDefault="006C3B1B" w:rsidP="006C3B1B">
      <w:pPr>
        <w:pStyle w:val="-1"/>
        <w:spacing w:before="156" w:after="156"/>
        <w:rPr>
          <w:rFonts w:hint="eastAsia"/>
        </w:rPr>
      </w:pPr>
      <w:r>
        <w:rPr>
          <w:rFonts w:hint="eastAsia"/>
        </w:rPr>
        <w:t>二、基金投资与净值表现</w:t>
      </w:r>
    </w:p>
    <w:p w:rsidR="006C3B1B" w:rsidRDefault="006C3B1B" w:rsidP="006C3B1B">
      <w:pPr>
        <w:pStyle w:val="-2"/>
        <w:spacing w:before="156" w:after="156"/>
        <w:rPr>
          <w:rFonts w:hint="eastAsia"/>
        </w:rPr>
      </w:pPr>
      <w:r>
        <w:rPr>
          <w:rFonts w:hint="eastAsia"/>
        </w:rPr>
        <w:t>（一）</w:t>
      </w:r>
      <w:r>
        <w:rPr>
          <w:rFonts w:hint="eastAsia"/>
        </w:rPr>
        <w:t xml:space="preserve"> </w:t>
      </w:r>
      <w:r>
        <w:rPr>
          <w:rFonts w:hint="eastAsia"/>
        </w:rPr>
        <w:t>投资目标与投资策略</w:t>
      </w:r>
    </w:p>
    <w:p w:rsidR="006C3B1B" w:rsidRDefault="006C3B1B" w:rsidP="006C3B1B">
      <w:pPr>
        <w:pStyle w:val="-"/>
        <w:ind w:firstLine="420"/>
        <w:rPr>
          <w:rFonts w:hint="eastAsia"/>
        </w:rPr>
      </w:pPr>
      <w:r>
        <w:rPr>
          <w:rFonts w:hint="eastAsia"/>
        </w:rPr>
        <w:t>详见《南方卓元债券型证券投资基金招募说明书》第九部分“基金的投资”。</w:t>
      </w:r>
    </w:p>
    <w:tbl>
      <w:tblPr>
        <w:tblStyle w:val="-noheader"/>
        <w:tblW w:w="8505" w:type="dxa"/>
        <w:tblLayout w:type="fixed"/>
        <w:tblLook w:val="04A0" w:firstRow="1" w:lastRow="0" w:firstColumn="1" w:lastColumn="0" w:noHBand="0" w:noVBand="1"/>
      </w:tblPr>
      <w:tblGrid>
        <w:gridCol w:w="1701"/>
        <w:gridCol w:w="6804"/>
      </w:tblGrid>
      <w:tr w:rsidR="006C3B1B" w:rsidTr="006C3B1B">
        <w:tc>
          <w:tcPr>
            <w:tcW w:w="1701" w:type="dxa"/>
          </w:tcPr>
          <w:p w:rsidR="006C3B1B" w:rsidRDefault="006C3B1B" w:rsidP="006C3B1B">
            <w:pPr>
              <w:jc w:val="left"/>
            </w:pPr>
            <w:r>
              <w:rPr>
                <w:rFonts w:hint="eastAsia"/>
              </w:rPr>
              <w:t>投资目标</w:t>
            </w:r>
          </w:p>
        </w:tc>
        <w:tc>
          <w:tcPr>
            <w:tcW w:w="6804" w:type="dxa"/>
          </w:tcPr>
          <w:p w:rsidR="006C3B1B" w:rsidRDefault="006C3B1B" w:rsidP="006C3B1B">
            <w:pPr>
              <w:jc w:val="left"/>
            </w:pPr>
            <w:r>
              <w:rPr>
                <w:rFonts w:hint="eastAsia"/>
              </w:rPr>
              <w:t>本基金在严格控制风险的前提下，力争获得长期稳定的投资收益。</w:t>
            </w:r>
          </w:p>
        </w:tc>
      </w:tr>
      <w:tr w:rsidR="006C3B1B" w:rsidTr="006C3B1B">
        <w:tc>
          <w:tcPr>
            <w:tcW w:w="1701" w:type="dxa"/>
          </w:tcPr>
          <w:p w:rsidR="006C3B1B" w:rsidRDefault="006C3B1B" w:rsidP="006C3B1B">
            <w:pPr>
              <w:jc w:val="left"/>
            </w:pPr>
            <w:r>
              <w:rPr>
                <w:rFonts w:hint="eastAsia"/>
              </w:rPr>
              <w:t>投资范围</w:t>
            </w:r>
          </w:p>
        </w:tc>
        <w:tc>
          <w:tcPr>
            <w:tcW w:w="6804" w:type="dxa"/>
          </w:tcPr>
          <w:p w:rsidR="006C3B1B" w:rsidRDefault="006C3B1B" w:rsidP="006C3B1B">
            <w:pPr>
              <w:rPr>
                <w:rFonts w:hint="eastAsia"/>
              </w:rPr>
            </w:pPr>
            <w:r>
              <w:rPr>
                <w:rFonts w:hint="eastAsia"/>
              </w:rPr>
              <w:t>本基金的投资范围包括国内依法发行上市的股票（包括中小板、创业板及其他经中国证监会核准上市的股票以及存托凭证（下同））、债券（包括国债、央行票据、金融债券、企业债券、公司债券、中期票据、短期融资券、超短期融资券、次级债券、政府机构债券、地方政府债券、中小企业私募债券、可转换债券等）、资产支持证券、债券回购、银行存款（包括协议存款、定期存款及其他银行存款）、同业存单、货币市场工具、权证、国债期货以及经中国证监会允许基金投资的其他金融工具，但需符合中国证监会的相关规定。</w:t>
            </w:r>
          </w:p>
          <w:p w:rsidR="006C3B1B" w:rsidRDefault="006C3B1B" w:rsidP="006C3B1B">
            <w:pPr>
              <w:rPr>
                <w:rFonts w:hint="eastAsia"/>
              </w:rPr>
            </w:pPr>
            <w:r>
              <w:rPr>
                <w:rFonts w:hint="eastAsia"/>
              </w:rPr>
              <w:t>本基金投资于债券资产的比例不低于基金资产的</w:t>
            </w:r>
            <w:r>
              <w:rPr>
                <w:rFonts w:hint="eastAsia"/>
              </w:rPr>
              <w:t>80%</w:t>
            </w:r>
            <w:r>
              <w:rPr>
                <w:rFonts w:hint="eastAsia"/>
              </w:rPr>
              <w:t>，股票（含存托凭证）、权证等权益类资产的比例不高于基金资产的</w:t>
            </w:r>
            <w:r>
              <w:rPr>
                <w:rFonts w:hint="eastAsia"/>
              </w:rPr>
              <w:t>20%</w:t>
            </w:r>
            <w:r>
              <w:rPr>
                <w:rFonts w:hint="eastAsia"/>
              </w:rPr>
              <w:t>。本基金每个交易日日终在扣除国债期货合约需缴纳的交易保证金后，应当保持不低于基金资产净值</w:t>
            </w:r>
            <w:r>
              <w:rPr>
                <w:rFonts w:hint="eastAsia"/>
              </w:rPr>
              <w:t>5%</w:t>
            </w:r>
            <w:r>
              <w:rPr>
                <w:rFonts w:hint="eastAsia"/>
              </w:rPr>
              <w:t>的现金或者到期日在一年以内的政府债券。</w:t>
            </w:r>
          </w:p>
          <w:p w:rsidR="006C3B1B" w:rsidRDefault="006C3B1B" w:rsidP="006C3B1B">
            <w:r>
              <w:rPr>
                <w:rFonts w:hint="eastAsia"/>
              </w:rPr>
              <w:t>如法律法规或监管机构以后允许基金投资其他品种，基金管理人在履行适当程序后，可以将其纳入投资范围，并可依据届时有效的法律法规适时合理地调整投资范围。</w:t>
            </w:r>
          </w:p>
        </w:tc>
      </w:tr>
      <w:tr w:rsidR="006C3B1B" w:rsidTr="006C3B1B">
        <w:tc>
          <w:tcPr>
            <w:tcW w:w="1701" w:type="dxa"/>
          </w:tcPr>
          <w:p w:rsidR="006C3B1B" w:rsidRDefault="006C3B1B" w:rsidP="006C3B1B">
            <w:pPr>
              <w:jc w:val="left"/>
            </w:pPr>
            <w:r>
              <w:rPr>
                <w:rFonts w:hint="eastAsia"/>
              </w:rPr>
              <w:t>主要投资策略</w:t>
            </w:r>
          </w:p>
        </w:tc>
        <w:tc>
          <w:tcPr>
            <w:tcW w:w="6804" w:type="dxa"/>
          </w:tcPr>
          <w:p w:rsidR="006C3B1B" w:rsidRDefault="006C3B1B" w:rsidP="006C3B1B">
            <w:pPr>
              <w:rPr>
                <w:rFonts w:hint="eastAsia"/>
              </w:rPr>
            </w:pPr>
            <w:r>
              <w:rPr>
                <w:rFonts w:hint="eastAsia"/>
              </w:rPr>
              <w:t>1</w:t>
            </w:r>
            <w:r>
              <w:rPr>
                <w:rFonts w:hint="eastAsia"/>
              </w:rPr>
              <w:t>、信用债券投资策略</w:t>
            </w:r>
            <w:r>
              <w:rPr>
                <w:rFonts w:hint="eastAsia"/>
              </w:rPr>
              <w:t>:</w:t>
            </w:r>
            <w:r>
              <w:rPr>
                <w:rFonts w:hint="eastAsia"/>
              </w:rPr>
              <w:t>本基金将重点投资信用类债券，以提高组合收益能力。</w:t>
            </w:r>
            <w:r>
              <w:rPr>
                <w:rFonts w:hint="eastAsia"/>
              </w:rPr>
              <w:t>2</w:t>
            </w:r>
            <w:r>
              <w:rPr>
                <w:rFonts w:hint="eastAsia"/>
              </w:rPr>
              <w:t>、收益率曲线策略</w:t>
            </w:r>
            <w:r>
              <w:rPr>
                <w:rFonts w:hint="eastAsia"/>
              </w:rPr>
              <w:t>:</w:t>
            </w:r>
            <w:r>
              <w:rPr>
                <w:rFonts w:hint="eastAsia"/>
              </w:rPr>
              <w:t>收益率曲线形状变化代表长、中、短期债券收益</w:t>
            </w:r>
            <w:r>
              <w:rPr>
                <w:rFonts w:hint="eastAsia"/>
              </w:rPr>
              <w:lastRenderedPageBreak/>
              <w:t>率差异变化，相同久期债券组合在收益率曲线发生变化时差异较大。通过对同一类属下的收益率曲线形态和期限结构变动进行分析，首先可以确定债券组合的目标久期配置区域并确定采取子弹型策略、哑铃型策略或梯形策略；其次，通过不同期限间债券当前利差与历史利差的比较，可以进行增陡、减斜和凸度变化的交易。</w:t>
            </w:r>
            <w:r>
              <w:rPr>
                <w:rFonts w:hint="eastAsia"/>
              </w:rPr>
              <w:t>3</w:t>
            </w:r>
            <w:r>
              <w:rPr>
                <w:rFonts w:hint="eastAsia"/>
              </w:rPr>
              <w:t>、杠杆放大策略</w:t>
            </w:r>
            <w:r>
              <w:rPr>
                <w:rFonts w:hint="eastAsia"/>
              </w:rPr>
              <w:t>:</w:t>
            </w:r>
            <w:r>
              <w:rPr>
                <w:rFonts w:hint="eastAsia"/>
              </w:rPr>
              <w:t>杠杆放大操作即以组合现有债券为基础，利用买断式回购、质押式回购等方式融入低成本资金，并购买剩余年限相对较长并具有较高收益的债券，以期获取超额收益的操作方式。</w:t>
            </w:r>
            <w:r>
              <w:rPr>
                <w:rFonts w:hint="eastAsia"/>
              </w:rPr>
              <w:t>4</w:t>
            </w:r>
            <w:r>
              <w:rPr>
                <w:rFonts w:hint="eastAsia"/>
              </w:rPr>
              <w:t>、资产支持证券投资策略</w:t>
            </w:r>
            <w:r>
              <w:rPr>
                <w:rFonts w:hint="eastAsia"/>
              </w:rPr>
              <w:t>:</w:t>
            </w:r>
            <w:r>
              <w:rPr>
                <w:rFonts w:hint="eastAsia"/>
              </w:rPr>
              <w:t>本基金将严格控制资产支持证券的总体投资规模并进行分散投资，以降低流动性风险。</w:t>
            </w:r>
            <w:r>
              <w:rPr>
                <w:rFonts w:hint="eastAsia"/>
              </w:rPr>
              <w:t>5</w:t>
            </w:r>
            <w:r>
              <w:rPr>
                <w:rFonts w:hint="eastAsia"/>
              </w:rPr>
              <w:t>、中小企业私募债的投资策略</w:t>
            </w:r>
            <w:r>
              <w:rPr>
                <w:rFonts w:hint="eastAsia"/>
              </w:rPr>
              <w:t>:</w:t>
            </w:r>
            <w:r>
              <w:rPr>
                <w:rFonts w:hint="eastAsia"/>
              </w:rPr>
              <w:t>本基金认为，投资该类债券的核心要点是分析和跟踪发债主体的信用基本面，并综合考虑信用基本面、债券收益率和流动性等要素，确定最终的投资决策。</w:t>
            </w:r>
            <w:r>
              <w:rPr>
                <w:rFonts w:hint="eastAsia"/>
              </w:rPr>
              <w:t>6</w:t>
            </w:r>
            <w:r>
              <w:rPr>
                <w:rFonts w:hint="eastAsia"/>
              </w:rPr>
              <w:t>、国债期货投资策略、</w:t>
            </w:r>
            <w:r>
              <w:rPr>
                <w:rFonts w:hint="eastAsia"/>
              </w:rPr>
              <w:t>7</w:t>
            </w:r>
            <w:r>
              <w:rPr>
                <w:rFonts w:hint="eastAsia"/>
              </w:rPr>
              <w:t>、可转换债券投资策略：本基金投资于可转债，本基金还将根据新发可转债的预计中签率、模型定价测算其上市溢价水平，积极参与可转债新券的申购。</w:t>
            </w:r>
            <w:r>
              <w:rPr>
                <w:rFonts w:hint="eastAsia"/>
              </w:rPr>
              <w:t>8</w:t>
            </w:r>
            <w:r>
              <w:rPr>
                <w:rFonts w:hint="eastAsia"/>
              </w:rPr>
              <w:t>、权证投资策略：本基金在进行权证投资时，将通过对权证标的证券基本面的研究，并结合权证定价模型寻求其合理估值水平，并充分考虑权证资产的收益性、流动性、风险性特征，主要考虑运用的策略包括：价值挖掘策略、获利保护策略、杠杆策略、双向权证策略、价差策略、买入保护性的认沽权证策略、卖空保护性的认购权证策略等。</w:t>
            </w:r>
            <w:r>
              <w:rPr>
                <w:rFonts w:hint="eastAsia"/>
              </w:rPr>
              <w:t>9</w:t>
            </w:r>
            <w:r>
              <w:rPr>
                <w:rFonts w:hint="eastAsia"/>
              </w:rPr>
              <w:t>、股票投资策略：本基金依托于基金管理人的投资研究平台，紧密跟踪中国经济结构转型的改革方向，努力探寻在调结构、促改革中具备长期价值增长潜力的上市公司。</w:t>
            </w:r>
          </w:p>
          <w:p w:rsidR="006C3B1B" w:rsidRDefault="006C3B1B" w:rsidP="006C3B1B">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tc>
      </w:tr>
      <w:tr w:rsidR="006C3B1B" w:rsidTr="006C3B1B">
        <w:tc>
          <w:tcPr>
            <w:tcW w:w="1701" w:type="dxa"/>
          </w:tcPr>
          <w:p w:rsidR="006C3B1B" w:rsidRDefault="006C3B1B" w:rsidP="006C3B1B">
            <w:pPr>
              <w:jc w:val="left"/>
            </w:pPr>
            <w:r>
              <w:rPr>
                <w:rFonts w:hint="eastAsia"/>
              </w:rPr>
              <w:lastRenderedPageBreak/>
              <w:t>业绩比较基准</w:t>
            </w:r>
          </w:p>
        </w:tc>
        <w:tc>
          <w:tcPr>
            <w:tcW w:w="6804" w:type="dxa"/>
          </w:tcPr>
          <w:p w:rsidR="006C3B1B" w:rsidRDefault="006C3B1B" w:rsidP="006C3B1B">
            <w:pPr>
              <w:jc w:val="left"/>
            </w:pPr>
            <w:r>
              <w:rPr>
                <w:rFonts w:hint="eastAsia"/>
              </w:rPr>
              <w:t>沪深</w:t>
            </w:r>
            <w:r>
              <w:rPr>
                <w:rFonts w:hint="eastAsia"/>
              </w:rPr>
              <w:t>300</w:t>
            </w:r>
            <w:r>
              <w:rPr>
                <w:rFonts w:hint="eastAsia"/>
              </w:rPr>
              <w:t>指数收益率×</w:t>
            </w:r>
            <w:r>
              <w:rPr>
                <w:rFonts w:hint="eastAsia"/>
              </w:rPr>
              <w:t>10%</w:t>
            </w:r>
            <w:r>
              <w:rPr>
                <w:rFonts w:hint="eastAsia"/>
              </w:rPr>
              <w:t>＋中证全债指数收益率×</w:t>
            </w:r>
            <w:r>
              <w:rPr>
                <w:rFonts w:hint="eastAsia"/>
              </w:rPr>
              <w:t>90%</w:t>
            </w:r>
            <w:r>
              <w:rPr>
                <w:rFonts w:hint="eastAsia"/>
              </w:rPr>
              <w:t xml:space="preserve">　</w:t>
            </w:r>
          </w:p>
        </w:tc>
      </w:tr>
      <w:tr w:rsidR="006C3B1B" w:rsidTr="006C3B1B">
        <w:tc>
          <w:tcPr>
            <w:tcW w:w="1701" w:type="dxa"/>
          </w:tcPr>
          <w:p w:rsidR="006C3B1B" w:rsidRDefault="006C3B1B" w:rsidP="006C3B1B">
            <w:pPr>
              <w:jc w:val="left"/>
            </w:pPr>
            <w:r>
              <w:rPr>
                <w:rFonts w:hint="eastAsia"/>
              </w:rPr>
              <w:t>风险收益特征</w:t>
            </w:r>
          </w:p>
        </w:tc>
        <w:tc>
          <w:tcPr>
            <w:tcW w:w="6804" w:type="dxa"/>
          </w:tcPr>
          <w:p w:rsidR="006C3B1B" w:rsidRDefault="006C3B1B" w:rsidP="006C3B1B">
            <w:pPr>
              <w:jc w:val="left"/>
            </w:pPr>
            <w:r>
              <w:rPr>
                <w:rFonts w:hint="eastAsia"/>
              </w:rPr>
              <w:t>本基金为债券型基金，其长期平均风险和预期收益率低于股票型基金、混合型基金，高于货币市场基金。</w:t>
            </w:r>
          </w:p>
        </w:tc>
      </w:tr>
    </w:tbl>
    <w:p w:rsidR="006C3B1B" w:rsidRDefault="006C3B1B" w:rsidP="006C3B1B">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6C3B1B" w:rsidRDefault="006C3B1B" w:rsidP="006C3B1B">
      <w:r>
        <w:rPr>
          <w:noProof/>
        </w:rPr>
        <w:drawing>
          <wp:inline distT="0" distB="0" distL="0" distR="0">
            <wp:extent cx="5274310" cy="2588260"/>
            <wp:effectExtent l="0" t="0" r="2540" b="254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588260"/>
                    </a:xfrm>
                    <a:prstGeom prst="rect">
                      <a:avLst/>
                    </a:prstGeom>
                  </pic:spPr>
                </pic:pic>
              </a:graphicData>
            </a:graphic>
          </wp:inline>
        </w:drawing>
      </w:r>
    </w:p>
    <w:p w:rsidR="006C3B1B" w:rsidRDefault="006C3B1B" w:rsidP="006C3B1B">
      <w:pPr>
        <w:pStyle w:val="-2"/>
        <w:spacing w:before="156" w:after="156"/>
        <w:rPr>
          <w:rFonts w:hint="eastAsia"/>
        </w:rPr>
      </w:pPr>
      <w:r>
        <w:rPr>
          <w:rFonts w:hint="eastAsia"/>
        </w:rPr>
        <w:lastRenderedPageBreak/>
        <w:t>（三）</w:t>
      </w:r>
      <w:r>
        <w:rPr>
          <w:rFonts w:hint="eastAsia"/>
        </w:rPr>
        <w:t xml:space="preserve"> </w:t>
      </w:r>
      <w:r>
        <w:rPr>
          <w:rFonts w:hint="eastAsia"/>
        </w:rPr>
        <w:t>自基金合同生效以来基金每年的净值增长率及与同期业绩比较基准的比较图</w:t>
      </w:r>
    </w:p>
    <w:p w:rsidR="006C3B1B" w:rsidRDefault="006C3B1B" w:rsidP="006C3B1B">
      <w:r>
        <w:rPr>
          <w:noProof/>
        </w:rPr>
        <w:drawing>
          <wp:inline distT="0" distB="0" distL="0" distR="0">
            <wp:extent cx="5274310" cy="3651250"/>
            <wp:effectExtent l="0" t="0" r="2540" b="635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651250"/>
                    </a:xfrm>
                    <a:prstGeom prst="rect">
                      <a:avLst/>
                    </a:prstGeom>
                  </pic:spPr>
                </pic:pic>
              </a:graphicData>
            </a:graphic>
          </wp:inline>
        </w:drawing>
      </w:r>
    </w:p>
    <w:p w:rsidR="006C3B1B" w:rsidRDefault="006C3B1B" w:rsidP="006C3B1B">
      <w:pPr>
        <w:pStyle w:val="-1"/>
        <w:spacing w:before="156" w:after="156"/>
        <w:rPr>
          <w:rFonts w:hint="eastAsia"/>
        </w:rPr>
      </w:pPr>
      <w:r>
        <w:rPr>
          <w:rFonts w:hint="eastAsia"/>
        </w:rPr>
        <w:t>三、投资本基金涉及的费用</w:t>
      </w:r>
    </w:p>
    <w:p w:rsidR="006C3B1B" w:rsidRDefault="006C3B1B" w:rsidP="006C3B1B">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nil"/>
        <w:tblLayout w:type="fixed"/>
        <w:tblLook w:val="04A0" w:firstRow="1" w:lastRow="0" w:firstColumn="1" w:lastColumn="0" w:noHBand="0" w:noVBand="1"/>
      </w:tblPr>
      <w:tblGrid>
        <w:gridCol w:w="2076"/>
        <w:gridCol w:w="2076"/>
        <w:gridCol w:w="2077"/>
        <w:gridCol w:w="2077"/>
      </w:tblGrid>
      <w:tr w:rsidR="006C3B1B" w:rsidTr="006C3B1B">
        <w:tc>
          <w:p w:rsidR="006C3B1B" w:rsidRDefault="006C3B1B" w:rsidP="006C3B1B">
            <w:pPr>
              <w:jc w:val="center"/>
            </w:pPr>
            <w:r>
              <w:rPr>
                <w:rFonts w:hint="eastAsia"/>
              </w:rPr>
              <w:t>费用类型</w:t>
            </w:r>
          </w:p>
        </w:tc>
        <w:tc>
          <w:p w:rsidR="006C3B1B" w:rsidRDefault="006C3B1B" w:rsidP="006C3B1B">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p w:rsidR="006C3B1B" w:rsidRDefault="006C3B1B" w:rsidP="006C3B1B">
            <w:pPr>
              <w:jc w:val="center"/>
            </w:pPr>
            <w:r>
              <w:rPr>
                <w:rFonts w:hint="eastAsia"/>
              </w:rPr>
              <w:t>收费方式</w:t>
            </w:r>
            <w:r>
              <w:rPr>
                <w:rFonts w:hint="eastAsia"/>
              </w:rPr>
              <w:t>/</w:t>
            </w:r>
            <w:r>
              <w:rPr>
                <w:rFonts w:hint="eastAsia"/>
              </w:rPr>
              <w:t>费率</w:t>
            </w:r>
          </w:p>
        </w:tc>
        <w:tc>
          <w:p w:rsidR="006C3B1B" w:rsidRDefault="006C3B1B" w:rsidP="006C3B1B">
            <w:pPr>
              <w:jc w:val="center"/>
            </w:pPr>
            <w:r>
              <w:rPr>
                <w:rFonts w:hint="eastAsia"/>
              </w:rPr>
              <w:t>备注</w:t>
            </w:r>
          </w:p>
        </w:tc>
      </w:tr>
      <w:tr w:rsidR="006C3B1B" w:rsidTr="006C3B1B">
        <w:tc>
          <w:tcPr>
            <w:vMerge w:val="restart"/>
          </w:tcPr>
          <w:p w:rsidR="006C3B1B" w:rsidRDefault="006C3B1B" w:rsidP="006C3B1B">
            <w:pPr>
              <w:jc w:val="center"/>
            </w:pPr>
            <w:r>
              <w:rPr>
                <w:rFonts w:hint="eastAsia"/>
              </w:rPr>
              <w:t>申购费（前收费）</w:t>
            </w:r>
          </w:p>
        </w:tc>
        <w:tc>
          <w:p w:rsidR="006C3B1B" w:rsidRDefault="006C3B1B" w:rsidP="006C3B1B">
            <w:pPr>
              <w:jc w:val="left"/>
            </w:pPr>
            <w:r>
              <w:rPr>
                <w:rFonts w:hint="eastAsia"/>
              </w:rPr>
              <w:t>M&lt; 100</w:t>
            </w:r>
            <w:r>
              <w:rPr>
                <w:rFonts w:hint="eastAsia"/>
              </w:rPr>
              <w:t>万元</w:t>
            </w:r>
          </w:p>
        </w:tc>
        <w:tc>
          <w:p w:rsidR="006C3B1B" w:rsidRDefault="006C3B1B" w:rsidP="006C3B1B">
            <w:pPr>
              <w:jc w:val="right"/>
            </w:pPr>
            <w:r>
              <w:t>0.8%</w:t>
            </w:r>
          </w:p>
        </w:tc>
        <w:tc>
          <w:p w:rsidR="006C3B1B" w:rsidRDefault="006C3B1B" w:rsidP="006C3B1B">
            <w:pPr>
              <w:jc w:val="right"/>
            </w:pPr>
            <w:r>
              <w:t>-</w:t>
            </w:r>
          </w:p>
        </w:tc>
      </w:tr>
      <w:tr w:rsidR="006C3B1B" w:rsidTr="006C3B1B">
        <w:tc>
          <w:tcPr>
            <w:vMerge/>
          </w:tcPr>
          <w:p w:rsidR="006C3B1B" w:rsidRDefault="006C3B1B" w:rsidP="006C3B1B">
            <w:pPr>
              <w:jc w:val="left"/>
            </w:pPr>
          </w:p>
        </w:tc>
        <w:tc>
          <w:p w:rsidR="006C3B1B" w:rsidRDefault="006C3B1B" w:rsidP="006C3B1B">
            <w:pPr>
              <w:jc w:val="left"/>
            </w:pPr>
            <w:r>
              <w:rPr>
                <w:rFonts w:hint="eastAsia"/>
              </w:rPr>
              <w:t>100</w:t>
            </w:r>
            <w:r>
              <w:rPr>
                <w:rFonts w:hint="eastAsia"/>
              </w:rPr>
              <w:t>万元≤</w:t>
            </w:r>
            <w:r>
              <w:rPr>
                <w:rFonts w:hint="eastAsia"/>
              </w:rPr>
              <w:t>M&lt; 500</w:t>
            </w:r>
            <w:r>
              <w:rPr>
                <w:rFonts w:hint="eastAsia"/>
              </w:rPr>
              <w:t>万元</w:t>
            </w:r>
          </w:p>
        </w:tc>
        <w:tc>
          <w:p w:rsidR="006C3B1B" w:rsidRDefault="006C3B1B" w:rsidP="006C3B1B">
            <w:pPr>
              <w:jc w:val="right"/>
            </w:pPr>
            <w:r>
              <w:t>0.5%</w:t>
            </w:r>
          </w:p>
        </w:tc>
        <w:tc>
          <w:p w:rsidR="006C3B1B" w:rsidRDefault="006C3B1B" w:rsidP="006C3B1B">
            <w:pPr>
              <w:jc w:val="right"/>
            </w:pPr>
            <w:r>
              <w:t>-</w:t>
            </w:r>
          </w:p>
        </w:tc>
      </w:tr>
      <w:tr w:rsidR="006C3B1B" w:rsidTr="006C3B1B">
        <w:tc>
          <w:tcPr>
            <w:vMerge/>
          </w:tcPr>
          <w:p w:rsidR="006C3B1B" w:rsidRDefault="006C3B1B" w:rsidP="006C3B1B">
            <w:pPr>
              <w:jc w:val="left"/>
            </w:pPr>
          </w:p>
        </w:tc>
        <w:tc>
          <w:p w:rsidR="006C3B1B" w:rsidRDefault="006C3B1B" w:rsidP="006C3B1B">
            <w:pPr>
              <w:jc w:val="left"/>
            </w:pPr>
            <w:r>
              <w:rPr>
                <w:rFonts w:hint="eastAsia"/>
              </w:rPr>
              <w:t>500</w:t>
            </w:r>
            <w:r>
              <w:rPr>
                <w:rFonts w:hint="eastAsia"/>
              </w:rPr>
              <w:t>万元≤</w:t>
            </w:r>
            <w:r>
              <w:rPr>
                <w:rFonts w:hint="eastAsia"/>
              </w:rPr>
              <w:t>M&lt; 1000</w:t>
            </w:r>
            <w:r>
              <w:rPr>
                <w:rFonts w:hint="eastAsia"/>
              </w:rPr>
              <w:t>万元</w:t>
            </w:r>
          </w:p>
        </w:tc>
        <w:tc>
          <w:p w:rsidR="006C3B1B" w:rsidRDefault="006C3B1B" w:rsidP="006C3B1B">
            <w:pPr>
              <w:jc w:val="right"/>
            </w:pPr>
            <w:r>
              <w:t>0.3%</w:t>
            </w:r>
          </w:p>
        </w:tc>
        <w:tc>
          <w:p w:rsidR="006C3B1B" w:rsidRDefault="006C3B1B" w:rsidP="006C3B1B">
            <w:pPr>
              <w:jc w:val="right"/>
            </w:pPr>
            <w:r>
              <w:t>-</w:t>
            </w:r>
          </w:p>
        </w:tc>
      </w:tr>
      <w:tr w:rsidR="006C3B1B" w:rsidTr="006C3B1B">
        <w:tc>
          <w:tcPr>
            <w:vMerge/>
          </w:tcPr>
          <w:p w:rsidR="006C3B1B" w:rsidRDefault="006C3B1B" w:rsidP="006C3B1B">
            <w:pPr>
              <w:jc w:val="left"/>
            </w:pPr>
          </w:p>
        </w:tc>
        <w:tc>
          <w:p w:rsidR="006C3B1B" w:rsidRDefault="006C3B1B" w:rsidP="006C3B1B">
            <w:pPr>
              <w:jc w:val="left"/>
            </w:pPr>
            <w:r>
              <w:rPr>
                <w:rFonts w:hint="eastAsia"/>
              </w:rPr>
              <w:t>1000</w:t>
            </w:r>
            <w:r>
              <w:rPr>
                <w:rFonts w:hint="eastAsia"/>
              </w:rPr>
              <w:t>万元≤</w:t>
            </w:r>
            <w:r>
              <w:rPr>
                <w:rFonts w:hint="eastAsia"/>
              </w:rPr>
              <w:t>M</w:t>
            </w:r>
          </w:p>
        </w:tc>
        <w:tc>
          <w:p w:rsidR="006C3B1B" w:rsidRDefault="006C3B1B" w:rsidP="006C3B1B">
            <w:pPr>
              <w:jc w:val="left"/>
            </w:pPr>
            <w:r>
              <w:rPr>
                <w:rFonts w:hint="eastAsia"/>
              </w:rPr>
              <w:t>每笔</w:t>
            </w:r>
            <w:r>
              <w:rPr>
                <w:rFonts w:hint="eastAsia"/>
              </w:rPr>
              <w:t>1000</w:t>
            </w:r>
            <w:r>
              <w:rPr>
                <w:rFonts w:hint="eastAsia"/>
              </w:rPr>
              <w:t>元</w:t>
            </w:r>
          </w:p>
        </w:tc>
        <w:tc>
          <w:p w:rsidR="006C3B1B" w:rsidRDefault="006C3B1B" w:rsidP="006C3B1B">
            <w:pPr>
              <w:jc w:val="right"/>
            </w:pPr>
            <w:r>
              <w:t>-</w:t>
            </w:r>
          </w:p>
        </w:tc>
      </w:tr>
      <w:tr w:rsidR="006C3B1B" w:rsidTr="006C3B1B">
        <w:tc>
          <w:tcPr>
            <w:vMerge w:val="restart"/>
          </w:tcPr>
          <w:p w:rsidR="006C3B1B" w:rsidRDefault="006C3B1B" w:rsidP="006C3B1B">
            <w:pPr>
              <w:jc w:val="center"/>
            </w:pPr>
            <w:r>
              <w:rPr>
                <w:rFonts w:hint="eastAsia"/>
              </w:rPr>
              <w:t>赎回费</w:t>
            </w:r>
          </w:p>
        </w:tc>
        <w:tc>
          <w:p w:rsidR="006C3B1B" w:rsidRDefault="006C3B1B" w:rsidP="006C3B1B">
            <w:pPr>
              <w:jc w:val="left"/>
            </w:pPr>
            <w:r>
              <w:rPr>
                <w:rFonts w:hint="eastAsia"/>
              </w:rPr>
              <w:t>N&lt; 7</w:t>
            </w:r>
            <w:r>
              <w:rPr>
                <w:rFonts w:hint="eastAsia"/>
              </w:rPr>
              <w:t>天</w:t>
            </w:r>
          </w:p>
        </w:tc>
        <w:tc>
          <w:p w:rsidR="006C3B1B" w:rsidRDefault="006C3B1B" w:rsidP="006C3B1B">
            <w:pPr>
              <w:jc w:val="right"/>
            </w:pPr>
            <w:r>
              <w:t>1.5%</w:t>
            </w:r>
          </w:p>
        </w:tc>
        <w:tc>
          <w:p w:rsidR="006C3B1B" w:rsidRDefault="006C3B1B" w:rsidP="006C3B1B">
            <w:pPr>
              <w:jc w:val="right"/>
            </w:pPr>
            <w:r>
              <w:t>-</w:t>
            </w:r>
          </w:p>
        </w:tc>
      </w:tr>
      <w:tr w:rsidR="006C3B1B" w:rsidTr="006C3B1B">
        <w:tc>
          <w:tcPr>
            <w:vMerge/>
          </w:tcPr>
          <w:p w:rsidR="006C3B1B" w:rsidRDefault="006C3B1B" w:rsidP="006C3B1B">
            <w:pPr>
              <w:jc w:val="left"/>
            </w:pPr>
          </w:p>
        </w:tc>
        <w:tc>
          <w:p w:rsidR="006C3B1B" w:rsidRDefault="006C3B1B" w:rsidP="006C3B1B">
            <w:pPr>
              <w:jc w:val="left"/>
            </w:pPr>
            <w:r>
              <w:rPr>
                <w:rFonts w:hint="eastAsia"/>
              </w:rPr>
              <w:t>7</w:t>
            </w:r>
            <w:r>
              <w:rPr>
                <w:rFonts w:hint="eastAsia"/>
              </w:rPr>
              <w:t>天≤</w:t>
            </w:r>
            <w:r>
              <w:rPr>
                <w:rFonts w:hint="eastAsia"/>
              </w:rPr>
              <w:t xml:space="preserve"> N&lt; 365</w:t>
            </w:r>
            <w:r>
              <w:rPr>
                <w:rFonts w:hint="eastAsia"/>
              </w:rPr>
              <w:t>天</w:t>
            </w:r>
          </w:p>
        </w:tc>
        <w:tc>
          <w:p w:rsidR="006C3B1B" w:rsidRDefault="006C3B1B" w:rsidP="006C3B1B">
            <w:pPr>
              <w:jc w:val="right"/>
            </w:pPr>
            <w:r>
              <w:t>0.1%</w:t>
            </w:r>
          </w:p>
        </w:tc>
        <w:tc>
          <w:p w:rsidR="006C3B1B" w:rsidRDefault="006C3B1B" w:rsidP="006C3B1B">
            <w:pPr>
              <w:jc w:val="right"/>
            </w:pPr>
            <w:r>
              <w:t>-</w:t>
            </w:r>
          </w:p>
        </w:tc>
      </w:tr>
      <w:tr w:rsidR="006C3B1B" w:rsidTr="006C3B1B">
        <w:tc>
          <w:tcPr>
            <w:vMerge/>
          </w:tcPr>
          <w:p w:rsidR="006C3B1B" w:rsidRDefault="006C3B1B" w:rsidP="006C3B1B">
            <w:pPr>
              <w:jc w:val="left"/>
            </w:pPr>
          </w:p>
        </w:tc>
        <w:tc>
          <w:p w:rsidR="006C3B1B" w:rsidRDefault="006C3B1B" w:rsidP="006C3B1B">
            <w:pPr>
              <w:jc w:val="left"/>
            </w:pPr>
            <w:r>
              <w:rPr>
                <w:rFonts w:hint="eastAsia"/>
              </w:rPr>
              <w:t>1</w:t>
            </w:r>
            <w:r>
              <w:rPr>
                <w:rFonts w:hint="eastAsia"/>
              </w:rPr>
              <w:t>年≤</w:t>
            </w:r>
            <w:r>
              <w:rPr>
                <w:rFonts w:hint="eastAsia"/>
              </w:rPr>
              <w:t xml:space="preserve"> N&lt; 2</w:t>
            </w:r>
            <w:r>
              <w:rPr>
                <w:rFonts w:hint="eastAsia"/>
              </w:rPr>
              <w:t>年</w:t>
            </w:r>
          </w:p>
        </w:tc>
        <w:tc>
          <w:p w:rsidR="006C3B1B" w:rsidRDefault="006C3B1B" w:rsidP="006C3B1B">
            <w:pPr>
              <w:jc w:val="right"/>
            </w:pPr>
            <w:r>
              <w:t>0.05%</w:t>
            </w:r>
          </w:p>
        </w:tc>
        <w:tc>
          <w:p w:rsidR="006C3B1B" w:rsidRDefault="006C3B1B" w:rsidP="006C3B1B">
            <w:pPr>
              <w:jc w:val="right"/>
            </w:pPr>
            <w:r>
              <w:t>-</w:t>
            </w:r>
          </w:p>
        </w:tc>
      </w:tr>
      <w:tr w:rsidR="006C3B1B" w:rsidTr="006C3B1B">
        <w:tc>
          <w:tcPr>
            <w:vMerge/>
          </w:tcPr>
          <w:p w:rsidR="006C3B1B" w:rsidRDefault="006C3B1B" w:rsidP="006C3B1B">
            <w:pPr>
              <w:jc w:val="left"/>
            </w:pPr>
          </w:p>
        </w:tc>
        <w:tc>
          <w:p w:rsidR="006C3B1B" w:rsidRDefault="006C3B1B" w:rsidP="006C3B1B">
            <w:pPr>
              <w:jc w:val="left"/>
            </w:pPr>
            <w:r>
              <w:rPr>
                <w:rFonts w:hint="eastAsia"/>
              </w:rPr>
              <w:t>2</w:t>
            </w:r>
            <w:r>
              <w:rPr>
                <w:rFonts w:hint="eastAsia"/>
              </w:rPr>
              <w:t>年≤</w:t>
            </w:r>
            <w:r>
              <w:rPr>
                <w:rFonts w:hint="eastAsia"/>
              </w:rPr>
              <w:t xml:space="preserve"> N</w:t>
            </w:r>
          </w:p>
        </w:tc>
        <w:tc>
          <w:p w:rsidR="006C3B1B" w:rsidRDefault="006C3B1B" w:rsidP="006C3B1B">
            <w:pPr>
              <w:jc w:val="right"/>
            </w:pPr>
            <w:r>
              <w:t>0%</w:t>
            </w:r>
          </w:p>
        </w:tc>
        <w:tc>
          <w:p w:rsidR="006C3B1B" w:rsidRDefault="006C3B1B" w:rsidP="006C3B1B">
            <w:pPr>
              <w:jc w:val="right"/>
            </w:pPr>
            <w:r>
              <w:t>-</w:t>
            </w:r>
          </w:p>
        </w:tc>
      </w:tr>
    </w:tbl>
    <w:p w:rsidR="006C3B1B" w:rsidRDefault="006C3B1B" w:rsidP="006C3B1B">
      <w:pPr>
        <w:pStyle w:val="-"/>
        <w:ind w:firstLine="420"/>
        <w:rPr>
          <w:rFonts w:hint="eastAsia"/>
        </w:rPr>
      </w:pPr>
      <w:r>
        <w:rPr>
          <w:rFonts w:hint="eastAsia"/>
        </w:rPr>
        <w:t>1</w:t>
      </w:r>
      <w:r>
        <w:rPr>
          <w:rFonts w:hint="eastAsia"/>
        </w:rPr>
        <w:t>年按</w:t>
      </w:r>
      <w:r>
        <w:rPr>
          <w:rFonts w:hint="eastAsia"/>
        </w:rPr>
        <w:t>365</w:t>
      </w:r>
      <w:r>
        <w:rPr>
          <w:rFonts w:hint="eastAsia"/>
        </w:rPr>
        <w:t>天计算。</w:t>
      </w:r>
    </w:p>
    <w:p w:rsidR="006C3B1B" w:rsidRDefault="006C3B1B" w:rsidP="006C3B1B">
      <w:pPr>
        <w:pStyle w:val="-"/>
        <w:ind w:firstLine="420"/>
        <w:rPr>
          <w:rFonts w:hint="eastAsia"/>
        </w:rPr>
      </w:pPr>
      <w:r>
        <w:rPr>
          <w:rFonts w:hint="eastAsia"/>
        </w:rPr>
        <w:t>投资人重复申购，须按每次申购所对应的费率档次分别计费。</w:t>
      </w:r>
    </w:p>
    <w:p w:rsidR="006C3B1B" w:rsidRDefault="006C3B1B" w:rsidP="006C3B1B">
      <w:pPr>
        <w:pStyle w:val="-"/>
        <w:ind w:firstLine="420"/>
        <w:rPr>
          <w:rFonts w:hint="eastAsia"/>
        </w:rPr>
      </w:pPr>
      <w:r>
        <w:rPr>
          <w:rFonts w:hint="eastAsia"/>
        </w:rPr>
        <w:t>基金申购费用由投资人承担，不列入基金财产，主要用于基金的市场推广、销售、登记等各项费用。</w:t>
      </w:r>
    </w:p>
    <w:p w:rsidR="006C3B1B" w:rsidRDefault="006C3B1B" w:rsidP="006C3B1B">
      <w:pPr>
        <w:pStyle w:val="-"/>
        <w:ind w:firstLine="420"/>
        <w:rPr>
          <w:rFonts w:hint="eastAsia"/>
        </w:rPr>
      </w:pPr>
      <w:r>
        <w:rPr>
          <w:rFonts w:hint="eastAsia"/>
        </w:rPr>
        <w:t>赎回费用由赎回基金份额的基金份额持有人承担，在基金份额持有人赎回基金份额时收取。</w:t>
      </w:r>
    </w:p>
    <w:p w:rsidR="006C3B1B" w:rsidRDefault="006C3B1B" w:rsidP="006C3B1B">
      <w:pPr>
        <w:pStyle w:val="-2"/>
        <w:spacing w:before="156" w:after="156"/>
        <w:rPr>
          <w:rFonts w:hint="eastAsia"/>
        </w:rPr>
      </w:pPr>
      <w:r>
        <w:rPr>
          <w:rFonts w:hint="eastAsia"/>
        </w:rPr>
        <w:t>（二）</w:t>
      </w:r>
      <w:r>
        <w:rPr>
          <w:rFonts w:hint="eastAsia"/>
        </w:rPr>
        <w:t xml:space="preserve"> </w:t>
      </w:r>
      <w:r>
        <w:rPr>
          <w:rFonts w:hint="eastAsia"/>
        </w:rPr>
        <w:t>基金运作相关费用</w:t>
      </w:r>
    </w:p>
    <w:p w:rsidR="006C3B1B" w:rsidRDefault="006C3B1B" w:rsidP="006C3B1B">
      <w:pPr>
        <w:pStyle w:val="-"/>
        <w:ind w:firstLine="420"/>
        <w:rPr>
          <w:rFonts w:hint="eastAsia"/>
        </w:rPr>
      </w:pPr>
      <w:r>
        <w:rPr>
          <w:rFonts w:hint="eastAsia"/>
        </w:rPr>
        <w:lastRenderedPageBreak/>
        <w:t>以下费用将从基金资产中扣除：</w:t>
      </w:r>
    </w:p>
    <w:tbl>
      <w:tblPr>
        <w:tblStyle w:val="-noheader"/>
        <w:tblW w:w="0" w:type="auto"/>
        <w:tblLayout w:type="fixed"/>
        <w:tblLook w:val="04A0" w:firstRow="1" w:lastRow="0" w:firstColumn="1" w:lastColumn="0" w:noHBand="0" w:noVBand="1"/>
      </w:tblPr>
      <w:tblGrid>
        <w:gridCol w:w="2768"/>
        <w:gridCol w:w="2769"/>
        <w:gridCol w:w="2769"/>
      </w:tblGrid>
      <w:tr w:rsidR="006C3B1B" w:rsidTr="006C3B1B">
        <w:tc>
          <w:tcPr>
            <w:tcW w:w="2768" w:type="dxa"/>
          </w:tcPr>
          <w:p w:rsidR="006C3B1B" w:rsidRDefault="006C3B1B" w:rsidP="006C3B1B">
            <w:pPr>
              <w:jc w:val="left"/>
            </w:pPr>
            <w:r>
              <w:rPr>
                <w:rFonts w:hint="eastAsia"/>
              </w:rPr>
              <w:t>费用类别</w:t>
            </w:r>
          </w:p>
        </w:tc>
        <w:tc>
          <w:tcPr>
            <w:tcW w:w="2769" w:type="dxa"/>
          </w:tcPr>
          <w:p w:rsidR="006C3B1B" w:rsidRDefault="006C3B1B" w:rsidP="006C3B1B">
            <w:pPr>
              <w:jc w:val="left"/>
            </w:pPr>
            <w:r>
              <w:rPr>
                <w:rFonts w:hint="eastAsia"/>
              </w:rPr>
              <w:t>收费方式</w:t>
            </w:r>
            <w:r>
              <w:rPr>
                <w:rFonts w:hint="eastAsia"/>
              </w:rPr>
              <w:t>/</w:t>
            </w:r>
            <w:r>
              <w:rPr>
                <w:rFonts w:hint="eastAsia"/>
              </w:rPr>
              <w:t>年费率或金额</w:t>
            </w:r>
          </w:p>
        </w:tc>
        <w:tc>
          <w:tcPr>
            <w:tcW w:w="2769" w:type="dxa"/>
          </w:tcPr>
          <w:p w:rsidR="006C3B1B" w:rsidRDefault="006C3B1B" w:rsidP="006C3B1B">
            <w:pPr>
              <w:jc w:val="left"/>
            </w:pPr>
            <w:r>
              <w:rPr>
                <w:rFonts w:hint="eastAsia"/>
              </w:rPr>
              <w:t>收取方</w:t>
            </w:r>
          </w:p>
        </w:tc>
      </w:tr>
      <w:tr w:rsidR="006C3B1B" w:rsidTr="006C3B1B">
        <w:tc>
          <w:tcPr>
            <w:tcW w:w="2768" w:type="dxa"/>
          </w:tcPr>
          <w:p w:rsidR="006C3B1B" w:rsidRDefault="006C3B1B" w:rsidP="006C3B1B">
            <w:pPr>
              <w:jc w:val="left"/>
            </w:pPr>
            <w:r>
              <w:rPr>
                <w:rFonts w:hint="eastAsia"/>
              </w:rPr>
              <w:t>管理费</w:t>
            </w:r>
          </w:p>
        </w:tc>
        <w:tc>
          <w:tcPr>
            <w:tcW w:w="2769" w:type="dxa"/>
          </w:tcPr>
          <w:p w:rsidR="006C3B1B" w:rsidRDefault="006C3B1B" w:rsidP="006C3B1B">
            <w:pPr>
              <w:jc w:val="left"/>
            </w:pPr>
            <w:r>
              <w:t>0.50%</w:t>
            </w:r>
          </w:p>
        </w:tc>
        <w:tc>
          <w:tcPr>
            <w:tcW w:w="2769" w:type="dxa"/>
          </w:tcPr>
          <w:p w:rsidR="006C3B1B" w:rsidRDefault="006C3B1B" w:rsidP="006C3B1B">
            <w:pPr>
              <w:jc w:val="left"/>
            </w:pPr>
            <w:r>
              <w:rPr>
                <w:rFonts w:hint="eastAsia"/>
              </w:rPr>
              <w:t>基金管理人和销售机构</w:t>
            </w:r>
          </w:p>
        </w:tc>
      </w:tr>
      <w:tr w:rsidR="006C3B1B" w:rsidTr="006C3B1B">
        <w:tc>
          <w:tcPr>
            <w:tcW w:w="2768" w:type="dxa"/>
          </w:tcPr>
          <w:p w:rsidR="006C3B1B" w:rsidRDefault="006C3B1B" w:rsidP="006C3B1B">
            <w:pPr>
              <w:jc w:val="left"/>
            </w:pPr>
            <w:r>
              <w:rPr>
                <w:rFonts w:hint="eastAsia"/>
              </w:rPr>
              <w:t>托管费</w:t>
            </w:r>
          </w:p>
        </w:tc>
        <w:tc>
          <w:tcPr>
            <w:tcW w:w="2769" w:type="dxa"/>
          </w:tcPr>
          <w:p w:rsidR="006C3B1B" w:rsidRDefault="006C3B1B" w:rsidP="006C3B1B">
            <w:pPr>
              <w:jc w:val="left"/>
            </w:pPr>
            <w:r>
              <w:t>0.10%</w:t>
            </w:r>
          </w:p>
        </w:tc>
        <w:tc>
          <w:tcPr>
            <w:tcW w:w="2769" w:type="dxa"/>
          </w:tcPr>
          <w:p w:rsidR="006C3B1B" w:rsidRDefault="006C3B1B" w:rsidP="006C3B1B">
            <w:pPr>
              <w:jc w:val="left"/>
            </w:pPr>
            <w:r>
              <w:rPr>
                <w:rFonts w:hint="eastAsia"/>
              </w:rPr>
              <w:t>基金托管人</w:t>
            </w:r>
          </w:p>
        </w:tc>
      </w:tr>
      <w:tr w:rsidR="006C3B1B" w:rsidTr="006C3B1B">
        <w:tc>
          <w:tcPr>
            <w:tcW w:w="2768" w:type="dxa"/>
          </w:tcPr>
          <w:p w:rsidR="006C3B1B" w:rsidRDefault="006C3B1B" w:rsidP="006C3B1B">
            <w:pPr>
              <w:jc w:val="left"/>
            </w:pPr>
            <w:r>
              <w:rPr>
                <w:rFonts w:hint="eastAsia"/>
              </w:rPr>
              <w:t>销售服务费</w:t>
            </w:r>
          </w:p>
        </w:tc>
        <w:tc>
          <w:tcPr>
            <w:tcW w:w="2769" w:type="dxa"/>
          </w:tcPr>
          <w:p w:rsidR="006C3B1B" w:rsidRDefault="006C3B1B" w:rsidP="006C3B1B">
            <w:pPr>
              <w:jc w:val="left"/>
            </w:pPr>
            <w:r>
              <w:t>-</w:t>
            </w:r>
          </w:p>
        </w:tc>
        <w:tc>
          <w:tcPr>
            <w:tcW w:w="2769" w:type="dxa"/>
          </w:tcPr>
          <w:p w:rsidR="006C3B1B" w:rsidRDefault="006C3B1B" w:rsidP="006C3B1B">
            <w:pPr>
              <w:jc w:val="left"/>
            </w:pPr>
            <w:r>
              <w:rPr>
                <w:rFonts w:hint="eastAsia"/>
              </w:rPr>
              <w:t>销售机构</w:t>
            </w:r>
          </w:p>
        </w:tc>
      </w:tr>
      <w:tr w:rsidR="006C3B1B" w:rsidTr="006C3B1B">
        <w:tc>
          <w:tcPr>
            <w:tcW w:w="2768" w:type="dxa"/>
          </w:tcPr>
          <w:p w:rsidR="006C3B1B" w:rsidRDefault="006C3B1B" w:rsidP="006C3B1B">
            <w:pPr>
              <w:jc w:val="left"/>
            </w:pPr>
            <w:r>
              <w:rPr>
                <w:rFonts w:hint="eastAsia"/>
              </w:rPr>
              <w:t>审计费用</w:t>
            </w:r>
          </w:p>
        </w:tc>
        <w:tc>
          <w:tcPr>
            <w:tcW w:w="2769" w:type="dxa"/>
          </w:tcPr>
          <w:p w:rsidR="006C3B1B" w:rsidRDefault="006C3B1B" w:rsidP="006C3B1B">
            <w:pPr>
              <w:jc w:val="left"/>
            </w:pPr>
            <w:r>
              <w:t>81,000.00</w:t>
            </w:r>
          </w:p>
        </w:tc>
        <w:tc>
          <w:tcPr>
            <w:tcW w:w="2769" w:type="dxa"/>
          </w:tcPr>
          <w:p w:rsidR="006C3B1B" w:rsidRDefault="006C3B1B" w:rsidP="006C3B1B">
            <w:pPr>
              <w:jc w:val="left"/>
            </w:pPr>
            <w:r>
              <w:rPr>
                <w:rFonts w:hint="eastAsia"/>
              </w:rPr>
              <w:t>会计师事务所</w:t>
            </w:r>
          </w:p>
        </w:tc>
      </w:tr>
      <w:tr w:rsidR="006C3B1B" w:rsidTr="006C3B1B">
        <w:tc>
          <w:tcPr>
            <w:tcW w:w="2768" w:type="dxa"/>
          </w:tcPr>
          <w:p w:rsidR="006C3B1B" w:rsidRDefault="006C3B1B" w:rsidP="006C3B1B">
            <w:pPr>
              <w:jc w:val="left"/>
            </w:pPr>
            <w:r>
              <w:rPr>
                <w:rFonts w:hint="eastAsia"/>
              </w:rPr>
              <w:t>信息披露费</w:t>
            </w:r>
          </w:p>
        </w:tc>
        <w:tc>
          <w:tcPr>
            <w:tcW w:w="2769" w:type="dxa"/>
          </w:tcPr>
          <w:p w:rsidR="006C3B1B" w:rsidRDefault="006C3B1B" w:rsidP="006C3B1B">
            <w:pPr>
              <w:jc w:val="left"/>
            </w:pPr>
            <w:r>
              <w:t>120,000.00</w:t>
            </w:r>
          </w:p>
        </w:tc>
        <w:tc>
          <w:tcPr>
            <w:tcW w:w="2769" w:type="dxa"/>
          </w:tcPr>
          <w:p w:rsidR="006C3B1B" w:rsidRDefault="006C3B1B" w:rsidP="006C3B1B">
            <w:pPr>
              <w:jc w:val="left"/>
            </w:pPr>
            <w:r>
              <w:rPr>
                <w:rFonts w:hint="eastAsia"/>
              </w:rPr>
              <w:t>规定披露报刊</w:t>
            </w:r>
          </w:p>
        </w:tc>
      </w:tr>
      <w:tr w:rsidR="006C3B1B" w:rsidTr="006C3B1B">
        <w:tc>
          <w:tcPr>
            <w:tcW w:w="2768" w:type="dxa"/>
          </w:tcPr>
          <w:p w:rsidR="006C3B1B" w:rsidRDefault="006C3B1B" w:rsidP="006C3B1B">
            <w:pPr>
              <w:jc w:val="left"/>
            </w:pPr>
            <w:r>
              <w:rPr>
                <w:rFonts w:hint="eastAsia"/>
              </w:rPr>
              <w:t>其他费用</w:t>
            </w:r>
          </w:p>
        </w:tc>
        <w:tc>
          <w:tcPr>
            <w:tcW w:w="2769" w:type="dxa"/>
          </w:tcPr>
          <w:p w:rsidR="006C3B1B" w:rsidRDefault="006C3B1B" w:rsidP="006C3B1B">
            <w:r>
              <w:rPr>
                <w:rFonts w:hint="eastAsia"/>
              </w:rPr>
              <w:t>《基金合同》生效后与基金相关的信息披露费用、会计师费、律师费、诉讼费和仲裁费、基金份额持有人大会费用、基金的证券</w:t>
            </w:r>
            <w:r>
              <w:rPr>
                <w:rFonts w:hint="eastAsia"/>
              </w:rPr>
              <w:t>/</w:t>
            </w:r>
            <w:r>
              <w:rPr>
                <w:rFonts w:hint="eastAsia"/>
              </w:rPr>
              <w:t>期货交易费用、基金的银行汇划费用、基金相关账户的开户及维护费用、按照国家有关规定和《基金合同》约定，可以在基金财产中列支的其他费用。</w:t>
            </w:r>
          </w:p>
        </w:tc>
        <w:tc>
          <w:tcPr>
            <w:tcW w:w="2769" w:type="dxa"/>
          </w:tcPr>
          <w:p w:rsidR="006C3B1B" w:rsidRDefault="006C3B1B" w:rsidP="006C3B1B">
            <w:pPr>
              <w:jc w:val="right"/>
            </w:pPr>
            <w:r>
              <w:t>-</w:t>
            </w:r>
          </w:p>
        </w:tc>
      </w:tr>
    </w:tbl>
    <w:p w:rsidR="006C3B1B" w:rsidRDefault="006C3B1B" w:rsidP="006C3B1B">
      <w:pPr>
        <w:pStyle w:val="-7"/>
        <w:ind w:firstLine="420"/>
        <w:rPr>
          <w:rFonts w:hint="eastAsia"/>
        </w:rPr>
      </w:pPr>
      <w:r>
        <w:rPr>
          <w:rFonts w:hint="eastAsia"/>
        </w:rPr>
        <w:t>注：本基金交易证券、基金等产生的费用和税负，按实际发生额从基金资产扣除。上表中年费用金额为基金整体承担费用，非单个份额类别费用，且年金额为预估值，最终实际金额以基金定期报告披露为准。</w:t>
      </w:r>
    </w:p>
    <w:p w:rsidR="006C3B1B" w:rsidRDefault="006C3B1B" w:rsidP="006C3B1B">
      <w:pPr>
        <w:pStyle w:val="-2"/>
        <w:spacing w:before="156" w:after="156"/>
        <w:rPr>
          <w:rFonts w:hint="eastAsia"/>
        </w:rPr>
      </w:pPr>
      <w:r>
        <w:rPr>
          <w:rFonts w:hint="eastAsia"/>
        </w:rPr>
        <w:t>（三）</w:t>
      </w:r>
      <w:r>
        <w:rPr>
          <w:rFonts w:hint="eastAsia"/>
        </w:rPr>
        <w:t xml:space="preserve"> </w:t>
      </w:r>
      <w:r>
        <w:rPr>
          <w:rFonts w:hint="eastAsia"/>
        </w:rPr>
        <w:t>基金运作综合费用测算</w:t>
      </w:r>
    </w:p>
    <w:p w:rsidR="006C3B1B" w:rsidRDefault="006C3B1B" w:rsidP="006C3B1B">
      <w:pPr>
        <w:pStyle w:val="-"/>
        <w:ind w:firstLine="420"/>
        <w:rPr>
          <w:rFonts w:hint="eastAsia"/>
        </w:rPr>
      </w:pPr>
      <w:r>
        <w:rPr>
          <w:rFonts w:hint="eastAsia"/>
        </w:rPr>
        <w:t>若投资者认购</w:t>
      </w:r>
      <w:r>
        <w:rPr>
          <w:rFonts w:hint="eastAsia"/>
        </w:rPr>
        <w:t>/</w:t>
      </w:r>
      <w:r>
        <w:rPr>
          <w:rFonts w:hint="eastAsia"/>
        </w:rPr>
        <w:t>申购本基金份额，在持有期间，投资者需支出的运作费率如下表：</w:t>
      </w:r>
    </w:p>
    <w:tbl>
      <w:tblPr>
        <w:tblStyle w:val="-noheader"/>
        <w:tblW w:w="0" w:type="auto"/>
        <w:tblLayout w:type="fixed"/>
        <w:tblLook w:val="04A0" w:firstRow="1" w:lastRow="0" w:firstColumn="1" w:lastColumn="0" w:noHBand="0" w:noVBand="1"/>
      </w:tblPr>
      <w:tblGrid>
        <w:gridCol w:w="4153"/>
        <w:gridCol w:w="4153"/>
      </w:tblGrid>
      <w:tr w:rsidR="006C3B1B" w:rsidTr="006C3B1B">
        <w:tc>
          <w:tcPr>
            <w:tcW w:w="4153" w:type="dxa"/>
          </w:tcPr>
          <w:p w:rsidR="006C3B1B" w:rsidRDefault="006C3B1B" w:rsidP="006C3B1B">
            <w:pPr>
              <w:jc w:val="left"/>
            </w:pPr>
          </w:p>
        </w:tc>
        <w:tc>
          <w:tcPr>
            <w:tcW w:w="4153" w:type="dxa"/>
          </w:tcPr>
          <w:p w:rsidR="006C3B1B" w:rsidRDefault="006C3B1B" w:rsidP="006C3B1B">
            <w:pPr>
              <w:jc w:val="left"/>
            </w:pPr>
            <w:r>
              <w:rPr>
                <w:rFonts w:hint="eastAsia"/>
              </w:rPr>
              <w:t>基金运作综合费率（年化）</w:t>
            </w:r>
          </w:p>
        </w:tc>
      </w:tr>
      <w:tr w:rsidR="006C3B1B" w:rsidTr="006C3B1B">
        <w:tc>
          <w:tcPr>
            <w:tcW w:w="4153" w:type="dxa"/>
          </w:tcPr>
          <w:p w:rsidR="006C3B1B" w:rsidRDefault="006C3B1B" w:rsidP="006C3B1B">
            <w:pPr>
              <w:jc w:val="left"/>
            </w:pPr>
          </w:p>
        </w:tc>
        <w:tc>
          <w:tcPr>
            <w:tcW w:w="4153" w:type="dxa"/>
          </w:tcPr>
          <w:p w:rsidR="006C3B1B" w:rsidRDefault="006C3B1B" w:rsidP="006C3B1B">
            <w:pPr>
              <w:jc w:val="left"/>
            </w:pPr>
            <w:r>
              <w:t>0.61%</w:t>
            </w:r>
          </w:p>
        </w:tc>
      </w:tr>
    </w:tbl>
    <w:p w:rsidR="006C3B1B" w:rsidRDefault="006C3B1B" w:rsidP="006C3B1B">
      <w:pPr>
        <w:pStyle w:val="-"/>
        <w:ind w:firstLine="420"/>
        <w:rPr>
          <w:rFonts w:hint="eastAsia"/>
        </w:rPr>
      </w:pPr>
      <w:r>
        <w:rPr>
          <w:rFonts w:hint="eastAsia"/>
        </w:rPr>
        <w:t>基金管理费率、托管费率、销售服务费率（若有）为基金现行费率，其他运作费用以最近一次基金年报披露的相关数据为基准测算。</w:t>
      </w:r>
    </w:p>
    <w:p w:rsidR="006C3B1B" w:rsidRDefault="006C3B1B" w:rsidP="006C3B1B">
      <w:pPr>
        <w:pStyle w:val="-1"/>
        <w:spacing w:before="156" w:after="156"/>
        <w:rPr>
          <w:rFonts w:hint="eastAsia"/>
        </w:rPr>
      </w:pPr>
      <w:r>
        <w:rPr>
          <w:rFonts w:hint="eastAsia"/>
        </w:rPr>
        <w:t>四、风险揭示与重要提示</w:t>
      </w:r>
    </w:p>
    <w:p w:rsidR="006C3B1B" w:rsidRDefault="006C3B1B" w:rsidP="006C3B1B">
      <w:pPr>
        <w:pStyle w:val="-2"/>
        <w:spacing w:before="156" w:after="156"/>
        <w:rPr>
          <w:rFonts w:hint="eastAsia"/>
        </w:rPr>
      </w:pPr>
      <w:r>
        <w:rPr>
          <w:rFonts w:hint="eastAsia"/>
        </w:rPr>
        <w:t>（一）</w:t>
      </w:r>
      <w:r>
        <w:rPr>
          <w:rFonts w:hint="eastAsia"/>
        </w:rPr>
        <w:t xml:space="preserve"> </w:t>
      </w:r>
      <w:r>
        <w:rPr>
          <w:rFonts w:hint="eastAsia"/>
        </w:rPr>
        <w:t>风险揭示</w:t>
      </w:r>
    </w:p>
    <w:p w:rsidR="006C3B1B" w:rsidRDefault="006C3B1B" w:rsidP="006C3B1B">
      <w:pPr>
        <w:pStyle w:val="-"/>
        <w:ind w:firstLine="420"/>
        <w:rPr>
          <w:rFonts w:hint="eastAsia"/>
        </w:rPr>
      </w:pPr>
      <w:r>
        <w:rPr>
          <w:rFonts w:hint="eastAsia"/>
        </w:rPr>
        <w:t>本基金不提供任何保证。投资者可能损失本金。</w:t>
      </w:r>
    </w:p>
    <w:p w:rsidR="006C3B1B" w:rsidRDefault="006C3B1B" w:rsidP="006C3B1B">
      <w:pPr>
        <w:pStyle w:val="-"/>
        <w:ind w:firstLine="420"/>
        <w:rPr>
          <w:rFonts w:hint="eastAsia"/>
        </w:rPr>
      </w:pPr>
      <w:r>
        <w:rPr>
          <w:rFonts w:hint="eastAsia"/>
        </w:rPr>
        <w:t>投资有风险，投资者购买基金时应认真阅读本基金的《招募说明书》等销售文件。</w:t>
      </w:r>
    </w:p>
    <w:p w:rsidR="006C3B1B" w:rsidRDefault="006C3B1B" w:rsidP="006C3B1B">
      <w:pPr>
        <w:pStyle w:val="-"/>
        <w:ind w:firstLine="420"/>
        <w:rPr>
          <w:rFonts w:hint="eastAsia"/>
        </w:rPr>
      </w:pPr>
      <w:r>
        <w:rPr>
          <w:rFonts w:hint="eastAsia"/>
        </w:rPr>
        <w:t>1</w:t>
      </w:r>
      <w:r>
        <w:rPr>
          <w:rFonts w:hint="eastAsia"/>
        </w:rPr>
        <w:t>、本基金的特有风险</w:t>
      </w:r>
    </w:p>
    <w:p w:rsidR="006C3B1B" w:rsidRDefault="006C3B1B" w:rsidP="006C3B1B">
      <w:pPr>
        <w:pStyle w:val="-"/>
        <w:ind w:firstLine="420"/>
        <w:rPr>
          <w:rFonts w:hint="eastAsia"/>
        </w:rPr>
      </w:pPr>
      <w:r>
        <w:rPr>
          <w:rFonts w:hint="eastAsia"/>
        </w:rPr>
        <w:t>（</w:t>
      </w:r>
      <w:r>
        <w:rPr>
          <w:rFonts w:hint="eastAsia"/>
        </w:rPr>
        <w:t>1</w:t>
      </w:r>
      <w:r>
        <w:rPr>
          <w:rFonts w:hint="eastAsia"/>
        </w:rPr>
        <w:t>）本基金投资于债券资产比例不低于基金资产的</w:t>
      </w:r>
      <w:r>
        <w:rPr>
          <w:rFonts w:hint="eastAsia"/>
        </w:rPr>
        <w:t>80%</w:t>
      </w:r>
      <w:r>
        <w:rPr>
          <w:rFonts w:hint="eastAsia"/>
        </w:rPr>
        <w:t>，因此，本基金除承担由于市场利率波动造成的利率风险外还要承担如企业债、公司债等信用品种的发债主体信用恶化造成的信用风险。</w:t>
      </w:r>
    </w:p>
    <w:p w:rsidR="006C3B1B" w:rsidRDefault="006C3B1B" w:rsidP="006C3B1B">
      <w:pPr>
        <w:pStyle w:val="-"/>
        <w:ind w:firstLine="420"/>
        <w:rPr>
          <w:rFonts w:hint="eastAsia"/>
        </w:rPr>
      </w:pPr>
      <w:r>
        <w:rPr>
          <w:rFonts w:hint="eastAsia"/>
        </w:rPr>
        <w:t>（</w:t>
      </w:r>
      <w:r>
        <w:rPr>
          <w:rFonts w:hint="eastAsia"/>
        </w:rPr>
        <w:t>2</w:t>
      </w:r>
      <w:r>
        <w:rPr>
          <w:rFonts w:hint="eastAsia"/>
        </w:rPr>
        <w:t>）本基金投资中小企业私募债券，中小企业私募债是根据相关法律法规由非上市中小企业采用非公开方式发行的债券。</w:t>
      </w:r>
    </w:p>
    <w:p w:rsidR="006C3B1B" w:rsidRDefault="006C3B1B" w:rsidP="006C3B1B">
      <w:pPr>
        <w:pStyle w:val="-"/>
        <w:ind w:firstLine="420"/>
        <w:rPr>
          <w:rFonts w:hint="eastAsia"/>
        </w:rPr>
      </w:pPr>
      <w:r>
        <w:rPr>
          <w:rFonts w:hint="eastAsia"/>
        </w:rPr>
        <w:t>由于不能公开交易，一般情况下，交易不活跃，潜在较大流动性风险。外部评级机构一般不对这类债券进行外部评级，可能也会降低市场对该类债券的认可度，从而影响该类债券的市场流动性。同时由于债券发行主体的资产规模较小、经营的波动性较大，且各类材料不公开发布，也大大提高了分析并跟踪发债主体信用基本面的难度。</w:t>
      </w:r>
    </w:p>
    <w:p w:rsidR="006C3B1B" w:rsidRDefault="006C3B1B" w:rsidP="006C3B1B">
      <w:pPr>
        <w:pStyle w:val="-"/>
        <w:ind w:firstLine="420"/>
        <w:rPr>
          <w:rFonts w:hint="eastAsia"/>
        </w:rPr>
      </w:pPr>
      <w:r>
        <w:rPr>
          <w:rFonts w:hint="eastAsia"/>
        </w:rPr>
        <w:t>当发债主体信用质量恶化时，受市场流动性所限，本基金可能无法卖出所持有的中小企业私募债券，由此可能给基金净值带来更大的负面影响和损失。</w:t>
      </w:r>
    </w:p>
    <w:p w:rsidR="006C3B1B" w:rsidRDefault="006C3B1B" w:rsidP="006C3B1B">
      <w:pPr>
        <w:pStyle w:val="-"/>
        <w:ind w:firstLine="420"/>
        <w:rPr>
          <w:rFonts w:hint="eastAsia"/>
        </w:rPr>
      </w:pPr>
      <w:r>
        <w:rPr>
          <w:rFonts w:hint="eastAsia"/>
        </w:rPr>
        <w:lastRenderedPageBreak/>
        <w:t>（</w:t>
      </w:r>
      <w:r>
        <w:rPr>
          <w:rFonts w:hint="eastAsia"/>
        </w:rPr>
        <w:t>3</w:t>
      </w:r>
      <w:r>
        <w:rPr>
          <w:rFonts w:hint="eastAsia"/>
        </w:rPr>
        <w:t>）本基金投资国债期货，国债期货的主要风险如下：</w:t>
      </w:r>
      <w:r>
        <w:rPr>
          <w:rFonts w:hint="eastAsia"/>
        </w:rPr>
        <w:t>1</w:t>
      </w:r>
      <w:r>
        <w:rPr>
          <w:rFonts w:hint="eastAsia"/>
        </w:rPr>
        <w:t>）市场风险；</w:t>
      </w:r>
      <w:r>
        <w:rPr>
          <w:rFonts w:hint="eastAsia"/>
        </w:rPr>
        <w:t>2</w:t>
      </w:r>
      <w:r>
        <w:rPr>
          <w:rFonts w:hint="eastAsia"/>
        </w:rPr>
        <w:t>）流动性风险；</w:t>
      </w:r>
      <w:r>
        <w:rPr>
          <w:rFonts w:hint="eastAsia"/>
        </w:rPr>
        <w:t>3</w:t>
      </w:r>
      <w:r>
        <w:rPr>
          <w:rFonts w:hint="eastAsia"/>
        </w:rPr>
        <w:t>）信用风险；</w:t>
      </w:r>
      <w:r>
        <w:rPr>
          <w:rFonts w:hint="eastAsia"/>
        </w:rPr>
        <w:t>4</w:t>
      </w:r>
      <w:r>
        <w:rPr>
          <w:rFonts w:hint="eastAsia"/>
        </w:rPr>
        <w:t>）合规性风险；</w:t>
      </w:r>
      <w:r>
        <w:rPr>
          <w:rFonts w:hint="eastAsia"/>
        </w:rPr>
        <w:t>5</w:t>
      </w:r>
      <w:r>
        <w:rPr>
          <w:rFonts w:hint="eastAsia"/>
        </w:rPr>
        <w:t>）国债期货实物交割风险。</w:t>
      </w:r>
    </w:p>
    <w:p w:rsidR="006C3B1B" w:rsidRDefault="006C3B1B" w:rsidP="006C3B1B">
      <w:pPr>
        <w:pStyle w:val="-"/>
        <w:ind w:firstLine="420"/>
        <w:rPr>
          <w:rFonts w:hint="eastAsia"/>
        </w:rPr>
      </w:pPr>
      <w:r>
        <w:rPr>
          <w:rFonts w:hint="eastAsia"/>
        </w:rPr>
        <w:t>（</w:t>
      </w:r>
      <w:r>
        <w:rPr>
          <w:rFonts w:hint="eastAsia"/>
        </w:rPr>
        <w:t>4</w:t>
      </w:r>
      <w:r>
        <w:rPr>
          <w:rFonts w:hint="eastAsia"/>
        </w:rPr>
        <w:t>）本基金的投资范围包括资产支持证券。资产支持证券存在信用风险、利率风险、流动性风险、提前偿付风险、操作风险和法律风险等。</w:t>
      </w:r>
    </w:p>
    <w:p w:rsidR="006C3B1B" w:rsidRDefault="006C3B1B" w:rsidP="006C3B1B">
      <w:pPr>
        <w:pStyle w:val="-"/>
        <w:ind w:firstLine="420"/>
        <w:rPr>
          <w:rFonts w:hint="eastAsia"/>
        </w:rPr>
      </w:pPr>
      <w:r>
        <w:rPr>
          <w:rFonts w:hint="eastAsia"/>
        </w:rPr>
        <w:t>（</w:t>
      </w:r>
      <w:r>
        <w:rPr>
          <w:rFonts w:hint="eastAsia"/>
        </w:rPr>
        <w:t>5</w:t>
      </w:r>
      <w:r>
        <w:rPr>
          <w:rFonts w:hint="eastAsia"/>
        </w:rPr>
        <w:t>）本基金收益分配方式有现金分红和红利再投资两种，对于选择红利再投资的投资人，其因红利再投资所得的份额自确认之日起开始计算持有时间，并于该份额赎回时按照本基金相关法律文件的约定选择适用的赎回费率并计算赎回费，敬请投资人留意。</w:t>
      </w:r>
    </w:p>
    <w:p w:rsidR="006C3B1B" w:rsidRDefault="006C3B1B" w:rsidP="006C3B1B">
      <w:pPr>
        <w:pStyle w:val="-"/>
        <w:ind w:firstLine="420"/>
        <w:rPr>
          <w:rFonts w:hint="eastAsia"/>
        </w:rPr>
      </w:pPr>
      <w:r>
        <w:rPr>
          <w:rFonts w:hint="eastAsia"/>
        </w:rPr>
        <w:t>（</w:t>
      </w:r>
      <w:r>
        <w:rPr>
          <w:rFonts w:hint="eastAsia"/>
        </w:rPr>
        <w:t>6</w:t>
      </w:r>
      <w:r>
        <w:rPr>
          <w:rFonts w:hint="eastAsia"/>
        </w:rPr>
        <w:t>）投资于存托凭证的风险</w:t>
      </w:r>
    </w:p>
    <w:p w:rsidR="006C3B1B" w:rsidRDefault="006C3B1B" w:rsidP="006C3B1B">
      <w:pPr>
        <w:pStyle w:val="-"/>
        <w:ind w:firstLine="420"/>
        <w:rPr>
          <w:rFonts w:hint="eastAsia"/>
        </w:rPr>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6C3B1B" w:rsidRDefault="006C3B1B" w:rsidP="006C3B1B">
      <w:pPr>
        <w:pStyle w:val="-"/>
        <w:ind w:firstLine="420"/>
        <w:rPr>
          <w:rFonts w:hint="eastAsia"/>
        </w:rPr>
      </w:pPr>
      <w:r>
        <w:rPr>
          <w:rFonts w:hint="eastAsia"/>
        </w:rPr>
        <w:t>2</w:t>
      </w:r>
      <w:r>
        <w:rPr>
          <w:rFonts w:hint="eastAsia"/>
        </w:rPr>
        <w:t>、市场风险</w:t>
      </w:r>
    </w:p>
    <w:p w:rsidR="006C3B1B" w:rsidRDefault="006C3B1B" w:rsidP="006C3B1B">
      <w:pPr>
        <w:pStyle w:val="-"/>
        <w:ind w:firstLine="420"/>
        <w:rPr>
          <w:rFonts w:hint="eastAsia"/>
        </w:rPr>
      </w:pPr>
      <w:r>
        <w:rPr>
          <w:rFonts w:hint="eastAsia"/>
        </w:rPr>
        <w:t>证券市场价格受到经济因素、政治因素、投资心理和交易制度等各种因素的影响，导致基金收益水平变化，产生风险，主要包括：（</w:t>
      </w:r>
      <w:r>
        <w:rPr>
          <w:rFonts w:hint="eastAsia"/>
        </w:rPr>
        <w:t>1</w:t>
      </w:r>
      <w:r>
        <w:rPr>
          <w:rFonts w:hint="eastAsia"/>
        </w:rPr>
        <w:t>）政策风险；（</w:t>
      </w:r>
      <w:r>
        <w:rPr>
          <w:rFonts w:hint="eastAsia"/>
        </w:rPr>
        <w:t>2</w:t>
      </w:r>
      <w:r>
        <w:rPr>
          <w:rFonts w:hint="eastAsia"/>
        </w:rPr>
        <w:t>）经济周期风险；（</w:t>
      </w:r>
      <w:r>
        <w:rPr>
          <w:rFonts w:hint="eastAsia"/>
        </w:rPr>
        <w:t>3</w:t>
      </w:r>
      <w:r>
        <w:rPr>
          <w:rFonts w:hint="eastAsia"/>
        </w:rPr>
        <w:t>）利率风险；（</w:t>
      </w:r>
      <w:r>
        <w:rPr>
          <w:rFonts w:hint="eastAsia"/>
        </w:rPr>
        <w:t>4</w:t>
      </w:r>
      <w:r>
        <w:rPr>
          <w:rFonts w:hint="eastAsia"/>
        </w:rPr>
        <w:t>）上市公司经营风险；（</w:t>
      </w:r>
      <w:r>
        <w:rPr>
          <w:rFonts w:hint="eastAsia"/>
        </w:rPr>
        <w:t>5</w:t>
      </w:r>
      <w:r>
        <w:rPr>
          <w:rFonts w:hint="eastAsia"/>
        </w:rPr>
        <w:t>）购买力风险；（</w:t>
      </w:r>
      <w:r>
        <w:rPr>
          <w:rFonts w:hint="eastAsia"/>
        </w:rPr>
        <w:t>6</w:t>
      </w:r>
      <w:r>
        <w:rPr>
          <w:rFonts w:hint="eastAsia"/>
        </w:rPr>
        <w:t>）信用风险；（</w:t>
      </w:r>
      <w:r>
        <w:rPr>
          <w:rFonts w:hint="eastAsia"/>
        </w:rPr>
        <w:t>7</w:t>
      </w:r>
      <w:r>
        <w:rPr>
          <w:rFonts w:hint="eastAsia"/>
        </w:rPr>
        <w:t>）债券收益率曲线变动风险；（</w:t>
      </w:r>
      <w:r>
        <w:rPr>
          <w:rFonts w:hint="eastAsia"/>
        </w:rPr>
        <w:t>8</w:t>
      </w:r>
      <w:r>
        <w:rPr>
          <w:rFonts w:hint="eastAsia"/>
        </w:rPr>
        <w:t>）再投资风险。</w:t>
      </w:r>
    </w:p>
    <w:p w:rsidR="006C3B1B" w:rsidRDefault="006C3B1B" w:rsidP="006C3B1B">
      <w:pPr>
        <w:pStyle w:val="-"/>
        <w:ind w:firstLine="420"/>
        <w:rPr>
          <w:rFonts w:hint="eastAsia"/>
        </w:rPr>
      </w:pPr>
      <w:r>
        <w:rPr>
          <w:rFonts w:hint="eastAsia"/>
        </w:rPr>
        <w:t>3</w:t>
      </w:r>
      <w:r>
        <w:rPr>
          <w:rFonts w:hint="eastAsia"/>
        </w:rPr>
        <w:t>、开放式基金共有的风险</w:t>
      </w:r>
    </w:p>
    <w:p w:rsidR="006C3B1B" w:rsidRDefault="006C3B1B" w:rsidP="006C3B1B">
      <w:pPr>
        <w:pStyle w:val="-"/>
        <w:ind w:firstLine="420"/>
        <w:rPr>
          <w:rFonts w:hint="eastAsia"/>
        </w:rPr>
      </w:pPr>
      <w:r>
        <w:rPr>
          <w:rFonts w:hint="eastAsia"/>
        </w:rPr>
        <w:t>（</w:t>
      </w:r>
      <w:r>
        <w:rPr>
          <w:rFonts w:hint="eastAsia"/>
        </w:rPr>
        <w:t>1</w:t>
      </w:r>
      <w:r>
        <w:rPr>
          <w:rFonts w:hint="eastAsia"/>
        </w:rPr>
        <w:t>）管理风险</w:t>
      </w:r>
    </w:p>
    <w:p w:rsidR="006C3B1B" w:rsidRDefault="006C3B1B" w:rsidP="006C3B1B">
      <w:pPr>
        <w:pStyle w:val="-"/>
        <w:ind w:firstLine="420"/>
        <w:rPr>
          <w:rFonts w:hint="eastAsia"/>
        </w:rPr>
      </w:pPr>
      <w:r>
        <w:rPr>
          <w:rFonts w:hint="eastAsia"/>
        </w:rPr>
        <w:t>在基金管理运作过程中基金管理人的知识、经验、判断、决策、技能等，会影响其对信息的占有和对经济形势、证券价格走势的判断，从而影响基金收益水平，造成管理风险。</w:t>
      </w:r>
    </w:p>
    <w:p w:rsidR="006C3B1B" w:rsidRDefault="006C3B1B" w:rsidP="006C3B1B">
      <w:pPr>
        <w:pStyle w:val="-"/>
        <w:ind w:firstLine="420"/>
        <w:rPr>
          <w:rFonts w:hint="eastAsia"/>
        </w:rPr>
      </w:pPr>
      <w:r>
        <w:rPr>
          <w:rFonts w:hint="eastAsia"/>
        </w:rPr>
        <w:t>（</w:t>
      </w:r>
      <w:r>
        <w:rPr>
          <w:rFonts w:hint="eastAsia"/>
        </w:rPr>
        <w:t>2</w:t>
      </w:r>
      <w:r>
        <w:rPr>
          <w:rFonts w:hint="eastAsia"/>
        </w:rPr>
        <w:t>）流动性风险</w:t>
      </w:r>
    </w:p>
    <w:p w:rsidR="006C3B1B" w:rsidRDefault="006C3B1B" w:rsidP="006C3B1B">
      <w:pPr>
        <w:pStyle w:val="-"/>
        <w:ind w:firstLine="420"/>
        <w:rPr>
          <w:rFonts w:hint="eastAsia"/>
        </w:rPr>
      </w:pPr>
      <w:r>
        <w:rPr>
          <w:rFonts w:hint="eastAsia"/>
        </w:rPr>
        <w:t>基金投资组合中的投资品种会因各种原因面临流动性风险，使证券交易的执行难度提高，买入成本或变现成本增加。此外，本基金属开放式基金，在所有开放日管理人有义务接受投资人的赎回。如果出现巨额赎回的情形，可能造成基金仓位调整和资产变现困难，加剧流动性风险。</w:t>
      </w:r>
    </w:p>
    <w:p w:rsidR="006C3B1B" w:rsidRDefault="006C3B1B" w:rsidP="006C3B1B">
      <w:pPr>
        <w:pStyle w:val="-"/>
        <w:ind w:firstLine="420"/>
        <w:rPr>
          <w:rFonts w:hint="eastAsia"/>
        </w:rPr>
      </w:pPr>
      <w:r>
        <w:rPr>
          <w:rFonts w:hint="eastAsia"/>
        </w:rPr>
        <w:t>为了克服流动性风险，本基金将在坚持分散化投资和精选个券原则的基础上，通过一系列风险控制指标加强对流动性风险的跟踪、防范和控制，但基金管理人并不保证完全避免此类风险。</w:t>
      </w:r>
    </w:p>
    <w:p w:rsidR="006C3B1B" w:rsidRDefault="006C3B1B" w:rsidP="006C3B1B">
      <w:pPr>
        <w:pStyle w:val="-"/>
        <w:ind w:firstLine="420"/>
        <w:rPr>
          <w:rFonts w:hint="eastAsia"/>
        </w:rPr>
      </w:pPr>
      <w:r>
        <w:rPr>
          <w:rFonts w:hint="eastAsia"/>
        </w:rPr>
        <w:t>1</w:t>
      </w:r>
      <w:r>
        <w:rPr>
          <w:rFonts w:hint="eastAsia"/>
        </w:rPr>
        <w:t>）本基金的申购、赎回安排</w:t>
      </w:r>
    </w:p>
    <w:p w:rsidR="006C3B1B" w:rsidRDefault="006C3B1B" w:rsidP="006C3B1B">
      <w:pPr>
        <w:pStyle w:val="-"/>
        <w:ind w:firstLine="420"/>
        <w:rPr>
          <w:rFonts w:hint="eastAsia"/>
        </w:rPr>
      </w:pPr>
      <w:r>
        <w:rPr>
          <w:rFonts w:hint="eastAsia"/>
        </w:rPr>
        <w:t>2</w:t>
      </w:r>
      <w:r>
        <w:rPr>
          <w:rFonts w:hint="eastAsia"/>
        </w:rPr>
        <w:t>）投资市场、行业及资产的流动性风险评估</w:t>
      </w:r>
    </w:p>
    <w:p w:rsidR="006C3B1B" w:rsidRDefault="006C3B1B" w:rsidP="006C3B1B">
      <w:pPr>
        <w:pStyle w:val="-"/>
        <w:ind w:firstLine="420"/>
        <w:rPr>
          <w:rFonts w:hint="eastAsia"/>
        </w:rPr>
      </w:pPr>
      <w:r>
        <w:rPr>
          <w:rFonts w:hint="eastAsia"/>
        </w:rPr>
        <w:t>3</w:t>
      </w:r>
      <w:r>
        <w:rPr>
          <w:rFonts w:hint="eastAsia"/>
        </w:rPr>
        <w:t>）巨额赎回情形下的流动性风险管理措施</w:t>
      </w:r>
    </w:p>
    <w:p w:rsidR="006C3B1B" w:rsidRDefault="006C3B1B" w:rsidP="006C3B1B">
      <w:pPr>
        <w:pStyle w:val="-"/>
        <w:ind w:firstLine="420"/>
        <w:rPr>
          <w:rFonts w:hint="eastAsia"/>
        </w:rPr>
      </w:pPr>
      <w:r>
        <w:rPr>
          <w:rFonts w:hint="eastAsia"/>
        </w:rPr>
        <w:t>4</w:t>
      </w:r>
      <w:r>
        <w:rPr>
          <w:rFonts w:hint="eastAsia"/>
        </w:rPr>
        <w:t>）实施备用的流动性风险管理工具的情形、程序及对投资者的潜在影响</w:t>
      </w:r>
    </w:p>
    <w:p w:rsidR="006C3B1B" w:rsidRDefault="006C3B1B" w:rsidP="006C3B1B">
      <w:pPr>
        <w:pStyle w:val="-"/>
        <w:ind w:firstLine="420"/>
        <w:rPr>
          <w:rFonts w:hint="eastAsia"/>
        </w:rPr>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w:t>
      </w:r>
      <w:r>
        <w:rPr>
          <w:rFonts w:hint="eastAsia"/>
        </w:rPr>
        <w:lastRenderedPageBreak/>
        <w:t>产生的流动性风险，对流动性风险进行日常监控，保护持有人的利益。当实施备用的流动性风险管理工具时，有可能无法按基金合同约定的时限支付赎回款项。</w:t>
      </w:r>
    </w:p>
    <w:p w:rsidR="006C3B1B" w:rsidRDefault="006C3B1B" w:rsidP="006C3B1B">
      <w:pPr>
        <w:pStyle w:val="-"/>
        <w:ind w:firstLine="420"/>
        <w:rPr>
          <w:rFonts w:hint="eastAsia"/>
        </w:rPr>
      </w:pPr>
      <w:r>
        <w:rPr>
          <w:rFonts w:hint="eastAsia"/>
        </w:rPr>
        <w:t>（</w:t>
      </w:r>
      <w:r>
        <w:rPr>
          <w:rFonts w:hint="eastAsia"/>
        </w:rPr>
        <w:t>3</w:t>
      </w:r>
      <w:r>
        <w:rPr>
          <w:rFonts w:hint="eastAsia"/>
        </w:rPr>
        <w:t>）其他风险</w:t>
      </w:r>
    </w:p>
    <w:p w:rsidR="006C3B1B" w:rsidRDefault="006C3B1B" w:rsidP="006C3B1B">
      <w:pPr>
        <w:pStyle w:val="-"/>
        <w:ind w:firstLine="420"/>
        <w:rPr>
          <w:rFonts w:hint="eastAsia"/>
        </w:rPr>
      </w:pPr>
      <w:r>
        <w:rPr>
          <w:rFonts w:hint="eastAsia"/>
        </w:rPr>
        <w:t>4</w:t>
      </w:r>
      <w:r>
        <w:rPr>
          <w:rFonts w:hint="eastAsia"/>
        </w:rPr>
        <w:t>、本基金法律文件风险收益特征表述与销售机构基金风险评价可能不一致的风险</w:t>
      </w:r>
    </w:p>
    <w:p w:rsidR="006C3B1B" w:rsidRDefault="006C3B1B" w:rsidP="006C3B1B">
      <w:pPr>
        <w:pStyle w:val="-"/>
        <w:ind w:firstLine="420"/>
        <w:rPr>
          <w:rFonts w:hint="eastAsia"/>
        </w:rPr>
      </w:pPr>
      <w:r>
        <w:rPr>
          <w:rFonts w:hint="eastAsia"/>
        </w:rPr>
        <w:t>本基金法律文件投资章节有关风险收益特征的表述是基于投资范围、投资比例、证券市场普遍规律等做出的概述性描述，代表了一般市场情况下本基金的长期风险收益特征。销售机构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包括基金管理人直销机构和其他销售机构</w:t>
      </w:r>
      <w:r>
        <w:rPr>
          <w:rFonts w:hint="eastAsia"/>
        </w:rPr>
        <w:t>)</w:t>
      </w:r>
      <w:r>
        <w:rPr>
          <w:rFonts w:hint="eastAsia"/>
        </w:rPr>
        <w:t>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6C3B1B" w:rsidRDefault="006C3B1B" w:rsidP="006C3B1B">
      <w:pPr>
        <w:pStyle w:val="-"/>
        <w:ind w:firstLine="420"/>
        <w:rPr>
          <w:rFonts w:hint="eastAsia"/>
        </w:rPr>
      </w:pPr>
      <w:r>
        <w:rPr>
          <w:rFonts w:hint="eastAsia"/>
        </w:rPr>
        <w:t>5</w:t>
      </w:r>
      <w:r>
        <w:rPr>
          <w:rFonts w:hint="eastAsia"/>
        </w:rPr>
        <w:t>、实施侧袋机制对投资者的影响</w:t>
      </w:r>
    </w:p>
    <w:p w:rsidR="006C3B1B" w:rsidRDefault="006C3B1B" w:rsidP="006C3B1B">
      <w:pPr>
        <w:pStyle w:val="-"/>
        <w:ind w:firstLine="420"/>
        <w:rPr>
          <w:rFonts w:hint="eastAsia"/>
        </w:rPr>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6C3B1B" w:rsidRDefault="006C3B1B" w:rsidP="006C3B1B">
      <w:pPr>
        <w:pStyle w:val="-"/>
        <w:ind w:firstLine="420"/>
        <w:rPr>
          <w:rFonts w:hint="eastAsia"/>
        </w:rPr>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6C3B1B" w:rsidRDefault="006C3B1B" w:rsidP="006C3B1B">
      <w:pPr>
        <w:pStyle w:val="-"/>
        <w:ind w:firstLine="420"/>
        <w:rPr>
          <w:rFonts w:hint="eastAsia"/>
        </w:rPr>
      </w:pPr>
      <w:r>
        <w:rPr>
          <w:rFonts w:hint="eastAsia"/>
        </w:rPr>
        <w:t>基金管理人将根据主袋账户运作情况合理确定申购政策，因此实施侧袋机制后主袋账户份额存在暂停申购的可能。</w:t>
      </w:r>
    </w:p>
    <w:p w:rsidR="006C3B1B" w:rsidRDefault="006C3B1B" w:rsidP="006C3B1B">
      <w:pPr>
        <w:pStyle w:val="-"/>
        <w:ind w:firstLine="420"/>
        <w:rPr>
          <w:rFonts w:hint="eastAsia"/>
        </w:rPr>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6C3B1B" w:rsidRDefault="006C3B1B" w:rsidP="006C3B1B">
      <w:pPr>
        <w:pStyle w:val="-2"/>
        <w:spacing w:before="156" w:after="156"/>
        <w:rPr>
          <w:rFonts w:hint="eastAsia"/>
        </w:rPr>
      </w:pPr>
      <w:r>
        <w:rPr>
          <w:rFonts w:hint="eastAsia"/>
        </w:rPr>
        <w:t>（二）</w:t>
      </w:r>
      <w:r>
        <w:rPr>
          <w:rFonts w:hint="eastAsia"/>
        </w:rPr>
        <w:t xml:space="preserve"> </w:t>
      </w:r>
      <w:r>
        <w:rPr>
          <w:rFonts w:hint="eastAsia"/>
        </w:rPr>
        <w:t>重要提示</w:t>
      </w:r>
    </w:p>
    <w:p w:rsidR="006C3B1B" w:rsidRDefault="006C3B1B" w:rsidP="006C3B1B">
      <w:pPr>
        <w:pStyle w:val="-"/>
        <w:ind w:firstLine="420"/>
        <w:rPr>
          <w:rFonts w:hint="eastAsia"/>
        </w:rPr>
      </w:pPr>
      <w:r>
        <w:rPr>
          <w:rFonts w:hint="eastAsia"/>
        </w:rPr>
        <w:t>南方卓元债券型证券投资基金（以下简称“本基金”）经中国证监会</w:t>
      </w:r>
      <w:r>
        <w:rPr>
          <w:rFonts w:hint="eastAsia"/>
        </w:rPr>
        <w:t>2016</w:t>
      </w:r>
      <w:r>
        <w:rPr>
          <w:rFonts w:hint="eastAsia"/>
        </w:rPr>
        <w:t>年</w:t>
      </w:r>
      <w:r>
        <w:rPr>
          <w:rFonts w:hint="eastAsia"/>
        </w:rPr>
        <w:t>10</w:t>
      </w:r>
      <w:r>
        <w:rPr>
          <w:rFonts w:hint="eastAsia"/>
        </w:rPr>
        <w:t>月</w:t>
      </w:r>
      <w:r>
        <w:rPr>
          <w:rFonts w:hint="eastAsia"/>
        </w:rPr>
        <w:t>8</w:t>
      </w:r>
      <w:r>
        <w:rPr>
          <w:rFonts w:hint="eastAsia"/>
        </w:rPr>
        <w:t>日证监许可</w:t>
      </w:r>
      <w:r>
        <w:rPr>
          <w:rFonts w:hint="eastAsia"/>
        </w:rPr>
        <w:t>[2016]2271</w:t>
      </w:r>
      <w:r>
        <w:rPr>
          <w:rFonts w:hint="eastAsia"/>
        </w:rPr>
        <w:t>号文注册募集。中国证监会对本基金募集的注册，并不表明其对本基金的价值和收益作出实质性判断或保证，也不表明投资于本基金没有风险。</w:t>
      </w:r>
    </w:p>
    <w:p w:rsidR="006C3B1B" w:rsidRDefault="006C3B1B" w:rsidP="006C3B1B">
      <w:pPr>
        <w:pStyle w:val="-"/>
        <w:ind w:firstLine="420"/>
        <w:rPr>
          <w:rFonts w:hint="eastAsia"/>
        </w:rPr>
      </w:pPr>
      <w:r>
        <w:rPr>
          <w:rFonts w:hint="eastAsia"/>
        </w:rPr>
        <w:t>基金管理人依照恪尽职守、诚实信用、谨慎勤勉的原则管理和运用基金财产</w:t>
      </w:r>
      <w:r>
        <w:rPr>
          <w:rFonts w:hint="eastAsia"/>
        </w:rPr>
        <w:t>,</w:t>
      </w:r>
      <w:r>
        <w:rPr>
          <w:rFonts w:hint="eastAsia"/>
        </w:rPr>
        <w:t>但不保证基金一定盈利，也不保证最低收益。</w:t>
      </w:r>
    </w:p>
    <w:p w:rsidR="006C3B1B" w:rsidRDefault="006C3B1B" w:rsidP="006C3B1B">
      <w:pPr>
        <w:pStyle w:val="-"/>
        <w:ind w:firstLine="420"/>
        <w:rPr>
          <w:rFonts w:hint="eastAsia"/>
        </w:rPr>
      </w:pPr>
      <w:r>
        <w:rPr>
          <w:rFonts w:hint="eastAsia"/>
        </w:rPr>
        <w:t>基金投资者自依基金合同取得基金份额，即成为基金份额持有人和基金合同的当事人。</w:t>
      </w:r>
    </w:p>
    <w:p w:rsidR="006C3B1B" w:rsidRDefault="006C3B1B" w:rsidP="006C3B1B">
      <w:pPr>
        <w:pStyle w:val="-"/>
        <w:ind w:firstLine="420"/>
        <w:rPr>
          <w:rFonts w:hint="eastAsia"/>
        </w:rPr>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基金合同相关的争议解决方式为仲裁。因本基金产生的或与基金合同有关的一切争议，如经友好协商未能解决的，任何一方均有权将争议提交中国国际经济贸易仲裁委员会仲裁，仲裁地点为北京市。</w:t>
      </w:r>
    </w:p>
    <w:p w:rsidR="006C3B1B" w:rsidRDefault="006C3B1B" w:rsidP="006C3B1B">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6C3B1B" w:rsidRDefault="006C3B1B" w:rsidP="006C3B1B">
      <w:pPr>
        <w:pStyle w:val="-"/>
        <w:ind w:firstLine="420"/>
        <w:rPr>
          <w:rFonts w:hint="eastAsia"/>
        </w:rPr>
      </w:pPr>
      <w:r>
        <w:rPr>
          <w:rFonts w:hint="eastAsia"/>
        </w:rPr>
        <w:lastRenderedPageBreak/>
        <w:t>投资人知悉并同意基金管理人可为投资人提供营销信息、资讯与增值服务，并可自主选择退订，具体的服务说明详见招募说明书“基金份额持有人服务”章节。</w:t>
      </w:r>
    </w:p>
    <w:p w:rsidR="006C3B1B" w:rsidRDefault="006C3B1B" w:rsidP="006C3B1B">
      <w:pPr>
        <w:pStyle w:val="-1"/>
        <w:spacing w:before="156" w:after="156"/>
        <w:rPr>
          <w:rFonts w:hint="eastAsia"/>
        </w:rPr>
      </w:pPr>
      <w:r>
        <w:rPr>
          <w:rFonts w:hint="eastAsia"/>
        </w:rPr>
        <w:t>五、其他资料查询方式</w:t>
      </w:r>
    </w:p>
    <w:p w:rsidR="006C3B1B" w:rsidRDefault="006C3B1B" w:rsidP="006C3B1B">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6C3B1B" w:rsidRDefault="006C3B1B" w:rsidP="006C3B1B">
      <w:pPr>
        <w:pStyle w:val="-"/>
        <w:ind w:firstLine="420"/>
        <w:rPr>
          <w:rFonts w:hint="eastAsia"/>
        </w:rPr>
      </w:pPr>
      <w:r>
        <w:rPr>
          <w:rFonts w:hint="eastAsia"/>
        </w:rPr>
        <w:t>●《南方卓元债券型证券投资基金基金合同》、</w:t>
      </w:r>
    </w:p>
    <w:p w:rsidR="006C3B1B" w:rsidRDefault="006C3B1B" w:rsidP="006C3B1B">
      <w:pPr>
        <w:pStyle w:val="-"/>
        <w:ind w:firstLine="420"/>
        <w:rPr>
          <w:rFonts w:hint="eastAsia"/>
        </w:rPr>
      </w:pPr>
      <w:r>
        <w:rPr>
          <w:rFonts w:hint="eastAsia"/>
        </w:rPr>
        <w:t>《南方卓元债券型证券投资基金托管协议》、</w:t>
      </w:r>
    </w:p>
    <w:p w:rsidR="006C3B1B" w:rsidRDefault="006C3B1B" w:rsidP="006C3B1B">
      <w:pPr>
        <w:pStyle w:val="-"/>
        <w:ind w:firstLine="420"/>
        <w:rPr>
          <w:rFonts w:hint="eastAsia"/>
        </w:rPr>
      </w:pPr>
      <w:r>
        <w:rPr>
          <w:rFonts w:hint="eastAsia"/>
        </w:rPr>
        <w:t>《南方卓元债券型证券投资基金招募说明书》</w:t>
      </w:r>
    </w:p>
    <w:p w:rsidR="006C3B1B" w:rsidRDefault="006C3B1B" w:rsidP="006C3B1B">
      <w:pPr>
        <w:pStyle w:val="-"/>
        <w:ind w:firstLine="420"/>
        <w:rPr>
          <w:rFonts w:hint="eastAsia"/>
        </w:rPr>
      </w:pPr>
      <w:r>
        <w:rPr>
          <w:rFonts w:hint="eastAsia"/>
        </w:rPr>
        <w:t>●定期报告、包括基金季度报告、中期报告和年度报告</w:t>
      </w:r>
    </w:p>
    <w:p w:rsidR="006C3B1B" w:rsidRDefault="006C3B1B" w:rsidP="006C3B1B">
      <w:pPr>
        <w:pStyle w:val="-"/>
        <w:ind w:firstLine="420"/>
        <w:rPr>
          <w:rFonts w:hint="eastAsia"/>
        </w:rPr>
      </w:pPr>
      <w:r>
        <w:rPr>
          <w:rFonts w:hint="eastAsia"/>
        </w:rPr>
        <w:t>●基金份额净值</w:t>
      </w:r>
    </w:p>
    <w:p w:rsidR="006C3B1B" w:rsidRDefault="006C3B1B" w:rsidP="006C3B1B">
      <w:pPr>
        <w:pStyle w:val="-"/>
        <w:ind w:firstLine="420"/>
        <w:rPr>
          <w:rFonts w:hint="eastAsia"/>
        </w:rPr>
      </w:pPr>
      <w:r>
        <w:rPr>
          <w:rFonts w:hint="eastAsia"/>
        </w:rPr>
        <w:t>●基金销售机构及联系方式</w:t>
      </w:r>
    </w:p>
    <w:p w:rsidR="006C3B1B" w:rsidRDefault="006C3B1B" w:rsidP="006C3B1B">
      <w:pPr>
        <w:pStyle w:val="-"/>
        <w:ind w:firstLine="420"/>
        <w:rPr>
          <w:rFonts w:hint="eastAsia"/>
        </w:rPr>
      </w:pPr>
      <w:r>
        <w:rPr>
          <w:rFonts w:hint="eastAsia"/>
        </w:rPr>
        <w:t>●其他重要资料</w:t>
      </w:r>
    </w:p>
    <w:p w:rsidR="006C3B1B" w:rsidRDefault="006C3B1B" w:rsidP="006C3B1B">
      <w:pPr>
        <w:pStyle w:val="-1"/>
        <w:spacing w:before="156" w:after="156"/>
        <w:rPr>
          <w:rFonts w:hint="eastAsia"/>
        </w:rPr>
      </w:pPr>
      <w:r>
        <w:rPr>
          <w:rFonts w:hint="eastAsia"/>
        </w:rPr>
        <w:t>六、其他情况说明</w:t>
      </w:r>
    </w:p>
    <w:p w:rsidR="006C3B1B" w:rsidRDefault="006C3B1B" w:rsidP="006C3B1B">
      <w:pPr>
        <w:pStyle w:val="-"/>
        <w:ind w:firstLine="420"/>
        <w:rPr>
          <w:rFonts w:hint="eastAsia"/>
        </w:rPr>
      </w:pPr>
      <w:r>
        <w:rPr>
          <w:rFonts w:hint="eastAsia"/>
        </w:rPr>
        <w:t>暂无。</w:t>
      </w:r>
    </w:p>
    <w:p w:rsidR="00E67375" w:rsidRDefault="006C3B1B" w:rsidP="006C3B1B">
      <w:bookmarkStart w:id="0" w:name="_GoBack"/>
      <w:bookmarkEnd w:id="0"/>
      <w:r w:rsidRPr="00A84177">
        <w:t xml:space="preserve"> </w:t>
      </w:r>
    </w:p>
    <w:p w:rsidR="00CF0D54" w:rsidRPr="00ED7F31" w:rsidRDefault="00CF0D54" w:rsidP="00ED7F31">
      <w:pPr>
        <w:snapToGrid w:val="0"/>
        <w:spacing w:line="360" w:lineRule="auto"/>
        <w:jc w:val="left"/>
      </w:pPr>
    </w:p>
    <w:sectPr w:rsidR="00CF0D54"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B1B" w:rsidRDefault="006C3B1B" w:rsidP="00C06F04">
      <w:r>
        <w:separator/>
      </w:r>
    </w:p>
  </w:endnote>
  <w:endnote w:type="continuationSeparator" w:id="0">
    <w:p w:rsidR="006C3B1B" w:rsidRDefault="006C3B1B"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黑体"/>
    <w:charset w:val="86"/>
    <w:family w:val="auto"/>
    <w:pitch w:val="default"/>
    <w:sig w:usb0="00000000"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B1B" w:rsidRDefault="006C3B1B">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6C3B1B" w:rsidRPr="006C3B1B">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B1B" w:rsidRDefault="006C3B1B">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B1B" w:rsidRDefault="006C3B1B" w:rsidP="00C06F04">
      <w:r>
        <w:separator/>
      </w:r>
    </w:p>
  </w:footnote>
  <w:footnote w:type="continuationSeparator" w:id="0">
    <w:p w:rsidR="006C3B1B" w:rsidRDefault="006C3B1B"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B1B" w:rsidRDefault="006C3B1B">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6C3B1B" w:rsidP="00CE07B7">
    <w:pPr>
      <w:pStyle w:val="a7"/>
      <w:jc w:val="right"/>
    </w:pPr>
    <w:r>
      <w:rPr>
        <w:rFonts w:hint="eastAsia"/>
      </w:rPr>
      <w:t>南方卓元债券型证券投资基金（</w:t>
    </w:r>
    <w:r>
      <w:rPr>
        <w:rFonts w:hint="eastAsia"/>
      </w:rPr>
      <w:t>A</w:t>
    </w:r>
    <w:r>
      <w:rPr>
        <w:rFonts w:hint="eastAsia"/>
      </w:rPr>
      <w:t>类份额）基金产品资料概要（</w:t>
    </w:r>
    <w:r>
      <w:rPr>
        <w:rFonts w:hint="eastAsia"/>
      </w:rPr>
      <w:t>2024</w:t>
    </w:r>
    <w:r>
      <w:rPr>
        <w:rFonts w:hint="eastAsia"/>
      </w:rPr>
      <w:t>年</w:t>
    </w:r>
    <w:r>
      <w:rPr>
        <w:rFonts w:hint="eastAsia"/>
      </w:rPr>
      <w:t>6</w:t>
    </w:r>
    <w:r>
      <w:rPr>
        <w:rFonts w:hint="eastAsia"/>
      </w:rPr>
      <w:t>月更新）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B1B" w:rsidRDefault="006C3B1B">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53A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77498"/>
    <w:rsid w:val="005C29BB"/>
    <w:rsid w:val="006014C5"/>
    <w:rsid w:val="00614557"/>
    <w:rsid w:val="006175A8"/>
    <w:rsid w:val="00624C8B"/>
    <w:rsid w:val="006255DD"/>
    <w:rsid w:val="00665FED"/>
    <w:rsid w:val="00666D53"/>
    <w:rsid w:val="006709BF"/>
    <w:rsid w:val="006B012F"/>
    <w:rsid w:val="006C3B1B"/>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CF0D54"/>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7810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CF0D54"/>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D2C3F-45F8-4963-9065-BC77148F3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909</Words>
  <Characters>5186</Characters>
  <Application>Microsoft Office Word</Application>
  <DocSecurity>0</DocSecurity>
  <Lines>43</Lines>
  <Paragraphs>12</Paragraphs>
  <ScaleCrop>false</ScaleCrop>
  <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2024-06-11T07:12:00Z</dcterms:created>
  <dcterms:modified xsi:type="dcterms:W3CDTF">2024-06-11T07:12:00Z</dcterms:modified>
</cp:coreProperties>
</file>