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8053E8">
      <w:pPr>
        <w:tabs>
          <w:tab w:val="left" w:pos="1890"/>
        </w:tabs>
        <w:spacing w:line="480" w:lineRule="auto"/>
        <w:jc w:val="center"/>
        <w:rPr>
          <w:i/>
          <w:color w:val="000000"/>
          <w:sz w:val="24"/>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color w:val="000000"/>
          <w:sz w:val="28"/>
        </w:rPr>
      </w:pPr>
    </w:p>
    <w:p w:rsidR="008053E8">
      <w:pPr>
        <w:adjustRightInd w:val="0"/>
        <w:snapToGrid w:val="0"/>
        <w:spacing w:line="360" w:lineRule="auto"/>
        <w:jc w:val="center"/>
        <w:rPr>
          <w:b/>
          <w:color w:val="000000"/>
          <w:sz w:val="44"/>
        </w:rPr>
      </w:pPr>
      <w:r>
        <w:rPr>
          <w:rFonts w:hAnsi="宋体" w:hint="eastAsia"/>
          <w:b/>
          <w:color w:val="000000"/>
          <w:sz w:val="44"/>
        </w:rPr>
        <w:t>易方达中债新综合债券指数发起式证券投资基金（</w:t>
      </w:r>
      <w:r>
        <w:rPr>
          <w:rFonts w:hint="eastAsia"/>
          <w:b/>
          <w:color w:val="000000"/>
          <w:sz w:val="44"/>
        </w:rPr>
        <w:t>LOF</w:t>
      </w:r>
      <w:r>
        <w:rPr>
          <w:rFonts w:hAnsi="宋体" w:hint="eastAsia"/>
          <w:b/>
          <w:color w:val="000000"/>
          <w:sz w:val="44"/>
        </w:rPr>
        <w:t>）</w:t>
      </w:r>
      <w:r>
        <w:rPr>
          <w:rFonts w:hAnsi="宋体"/>
          <w:b/>
          <w:color w:val="000000"/>
          <w:sz w:val="44"/>
        </w:rPr>
        <w:t>托管协议</w:t>
      </w:r>
    </w:p>
    <w:p w:rsidR="008053E8">
      <w:pPr>
        <w:adjustRightInd w:val="0"/>
        <w:snapToGrid w:val="0"/>
        <w:spacing w:line="360" w:lineRule="auto"/>
        <w:jc w:val="center"/>
        <w:outlineLvl w:val="0"/>
        <w:rPr>
          <w:color w:val="000000"/>
          <w:sz w:val="44"/>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tabs>
          <w:tab w:val="left" w:pos="3081"/>
        </w:tabs>
        <w:adjustRightInd w:val="0"/>
        <w:snapToGrid w:val="0"/>
        <w:spacing w:line="360" w:lineRule="auto"/>
        <w:jc w:val="center"/>
        <w:outlineLvl w:val="0"/>
        <w:rPr>
          <w:b/>
          <w:color w:val="000000"/>
          <w:sz w:val="28"/>
        </w:rPr>
      </w:pPr>
      <w:r>
        <w:rPr>
          <w:rFonts w:hAnsi="宋体"/>
          <w:b/>
          <w:color w:val="000000"/>
          <w:sz w:val="28"/>
        </w:rPr>
        <w:t>基金管理人：</w:t>
      </w:r>
      <w:r>
        <w:rPr>
          <w:rFonts w:hAnsi="宋体" w:hint="eastAsia"/>
          <w:b/>
          <w:color w:val="000000"/>
          <w:sz w:val="28"/>
        </w:rPr>
        <w:t>易方达</w:t>
      </w:r>
      <w:r>
        <w:rPr>
          <w:rFonts w:hAnsi="宋体"/>
          <w:b/>
          <w:color w:val="000000"/>
          <w:sz w:val="28"/>
        </w:rPr>
        <w:t>基金管理有限公司</w:t>
      </w:r>
    </w:p>
    <w:p w:rsidR="008053E8">
      <w:pPr>
        <w:adjustRightInd w:val="0"/>
        <w:snapToGrid w:val="0"/>
        <w:spacing w:line="360" w:lineRule="auto"/>
        <w:jc w:val="center"/>
        <w:outlineLvl w:val="0"/>
        <w:rPr>
          <w:b/>
          <w:color w:val="000000"/>
          <w:sz w:val="28"/>
        </w:rPr>
      </w:pPr>
      <w:r>
        <w:rPr>
          <w:rFonts w:hAnsi="宋体"/>
          <w:b/>
          <w:color w:val="000000"/>
          <w:sz w:val="28"/>
        </w:rPr>
        <w:t>基金托管人：中国农业银行</w:t>
      </w:r>
      <w:r>
        <w:rPr>
          <w:rFonts w:hAnsi="宋体" w:hint="eastAsia"/>
          <w:b/>
          <w:color w:val="000000"/>
          <w:sz w:val="28"/>
        </w:rPr>
        <w:t>股份有限公司</w:t>
      </w:r>
    </w:p>
    <w:p w:rsidR="008053E8">
      <w:pPr>
        <w:spacing w:line="360" w:lineRule="auto"/>
        <w:jc w:val="center"/>
        <w:rPr>
          <w:b/>
          <w:sz w:val="28"/>
        </w:rPr>
      </w:pPr>
    </w:p>
    <w:p w:rsidR="008053E8">
      <w:pPr>
        <w:adjustRightInd w:val="0"/>
        <w:snapToGrid w:val="0"/>
        <w:spacing w:line="360" w:lineRule="auto"/>
        <w:jc w:val="center"/>
        <w:outlineLvl w:val="0"/>
        <w:rPr>
          <w:color w:val="000000"/>
          <w:sz w:val="28"/>
        </w:rPr>
      </w:pPr>
    </w:p>
    <w:p w:rsidR="008053E8">
      <w:pPr>
        <w:adjustRightInd w:val="0"/>
        <w:snapToGrid w:val="0"/>
        <w:spacing w:line="360" w:lineRule="auto"/>
        <w:jc w:val="center"/>
        <w:outlineLvl w:val="0"/>
        <w:rPr>
          <w:color w:val="000000"/>
          <w:sz w:val="28"/>
        </w:rPr>
      </w:pPr>
    </w:p>
    <w:p w:rsidR="008053E8">
      <w:pPr>
        <w:jc w:val="center"/>
        <w:rPr>
          <w:bCs/>
          <w:sz w:val="28"/>
        </w:rPr>
      </w:pPr>
      <w:r>
        <w:rPr>
          <w:rFonts w:ascii="宋体" w:hint="eastAsia"/>
          <w:b/>
          <w:bCs/>
          <w:sz w:val="30"/>
        </w:rPr>
        <w:t>二○二四年六月</w:t>
      </w:r>
    </w:p>
    <w:p w:rsidR="008053E8">
      <w:pPr>
        <w:adjustRightInd w:val="0"/>
        <w:snapToGrid w:val="0"/>
        <w:spacing w:line="360" w:lineRule="auto"/>
        <w:jc w:val="center"/>
        <w:outlineLvl w:val="0"/>
        <w:rPr>
          <w:color w:val="000000"/>
          <w:sz w:val="28"/>
        </w:rPr>
        <w:sectPr>
          <w:headerReference w:type="even" r:id="rId5"/>
          <w:headerReference w:type="default" r:id="rId6"/>
          <w:footerReference w:type="even" r:id="rId7"/>
          <w:footerReference w:type="default" r:id="rId8"/>
          <w:headerReference w:type="first" r:id="rId9"/>
          <w:footerReference w:type="first" r:id="rId10"/>
          <w:pgSz w:w="13227" w:h="16838"/>
          <w:pgMar w:top="1440" w:right="1797" w:bottom="1440" w:left="1797" w:header="851" w:footer="992" w:gutter="0"/>
          <w:cols w:space="720"/>
          <w:titlePg/>
          <w:docGrid w:type="lines" w:linePitch="312"/>
        </w:sectPr>
      </w:pPr>
    </w:p>
    <w:p w:rsidR="008053E8">
      <w:pPr>
        <w:adjustRightInd w:val="0"/>
        <w:snapToGrid w:val="0"/>
        <w:spacing w:line="360" w:lineRule="auto"/>
        <w:jc w:val="center"/>
        <w:outlineLvl w:val="0"/>
        <w:rPr>
          <w:color w:val="000000"/>
          <w:sz w:val="28"/>
        </w:rPr>
      </w:pPr>
    </w:p>
    <w:p w:rsidR="008053E8">
      <w:pPr>
        <w:spacing w:line="360" w:lineRule="auto"/>
        <w:jc w:val="center"/>
        <w:rPr>
          <w:b/>
          <w:color w:val="000000"/>
          <w:sz w:val="28"/>
        </w:rPr>
      </w:pPr>
      <w:r>
        <w:rPr>
          <w:rFonts w:hAnsi="宋体"/>
          <w:b/>
          <w:color w:val="000000"/>
          <w:sz w:val="28"/>
        </w:rPr>
        <w:t>目</w:t>
      </w:r>
      <w:r>
        <w:rPr>
          <w:b/>
          <w:color w:val="000000"/>
          <w:sz w:val="28"/>
        </w:rPr>
        <w:t xml:space="preserve">    </w:t>
      </w:r>
      <w:r>
        <w:rPr>
          <w:rFonts w:hAnsi="宋体"/>
          <w:b/>
          <w:color w:val="000000"/>
          <w:sz w:val="28"/>
        </w:rPr>
        <w:t>录</w:t>
      </w:r>
    </w:p>
    <w:p w:rsidR="008053E8">
      <w:pPr>
        <w:pStyle w:val="TOC2"/>
        <w:tabs>
          <w:tab w:val="right" w:leader="dot" w:pos="9623"/>
        </w:tabs>
        <w:rPr>
          <w:rFonts w:ascii="Calibri" w:hAnsi="Calibri"/>
          <w:szCs w:val="22"/>
        </w:rPr>
      </w:pPr>
      <w:r>
        <w:rPr>
          <w:color w:val="000000"/>
          <w:sz w:val="28"/>
        </w:rPr>
        <w:fldChar w:fldCharType="begin"/>
      </w:r>
      <w:r>
        <w:rPr>
          <w:color w:val="000000"/>
          <w:sz w:val="28"/>
        </w:rPr>
        <w:instrText xml:space="preserve"> TOC \o "1-2" \h \z </w:instrText>
      </w:r>
      <w:r>
        <w:rPr>
          <w:color w:val="000000"/>
          <w:sz w:val="28"/>
        </w:rPr>
        <w:fldChar w:fldCharType="separate"/>
      </w:r>
      <w:hyperlink w:anchor="_Toc335661634" w:history="1">
        <w:r>
          <w:rPr>
            <w:rStyle w:val="Hyperlink"/>
            <w:rFonts w:hAnsi="宋体" w:hint="eastAsia"/>
          </w:rPr>
          <w:t>一、基金托管协议当事人</w:t>
        </w:r>
        <w:r>
          <w:tab/>
        </w:r>
        <w:r>
          <w:fldChar w:fldCharType="begin"/>
        </w:r>
        <w:r>
          <w:instrText xml:space="preserve"> PAGEREF _Toc335661634 \h </w:instrText>
        </w:r>
        <w:r>
          <w:fldChar w:fldCharType="separate"/>
        </w:r>
        <w:r>
          <w:t>1</w:t>
        </w:r>
        <w:r>
          <w:fldChar w:fldCharType="end"/>
        </w:r>
      </w:hyperlink>
    </w:p>
    <w:p w:rsidR="008053E8">
      <w:pPr>
        <w:pStyle w:val="TOC2"/>
        <w:tabs>
          <w:tab w:val="right" w:leader="dot" w:pos="9623"/>
        </w:tabs>
        <w:rPr>
          <w:rFonts w:ascii="Calibri" w:hAnsi="Calibri"/>
          <w:szCs w:val="22"/>
        </w:rPr>
      </w:pPr>
      <w:hyperlink w:anchor="_Toc335661635" w:history="1">
        <w:r w:rsidR="00DD6562">
          <w:rPr>
            <w:rStyle w:val="Hyperlink"/>
            <w:rFonts w:hAnsi="宋体" w:hint="eastAsia"/>
          </w:rPr>
          <w:t>二、基金托管协议的依据、目的和原则</w:t>
        </w:r>
        <w:r w:rsidR="00DD6562">
          <w:tab/>
        </w:r>
        <w:r w:rsidR="00DD6562">
          <w:fldChar w:fldCharType="begin"/>
        </w:r>
        <w:r w:rsidR="00DD6562">
          <w:instrText xml:space="preserve"> PAGEREF _Toc335661635 \h </w:instrText>
        </w:r>
        <w:r w:rsidR="00DD6562">
          <w:fldChar w:fldCharType="separate"/>
        </w:r>
        <w:r w:rsidR="00DD6562">
          <w:t>3</w:t>
        </w:r>
        <w:r w:rsidR="00DD6562">
          <w:fldChar w:fldCharType="end"/>
        </w:r>
      </w:hyperlink>
    </w:p>
    <w:p w:rsidR="008053E8">
      <w:pPr>
        <w:pStyle w:val="TOC2"/>
        <w:tabs>
          <w:tab w:val="right" w:leader="dot" w:pos="9623"/>
        </w:tabs>
        <w:rPr>
          <w:rFonts w:ascii="Calibri" w:hAnsi="Calibri"/>
          <w:szCs w:val="22"/>
        </w:rPr>
      </w:pPr>
      <w:hyperlink w:anchor="_Toc335661636" w:history="1">
        <w:r w:rsidR="00DD6562">
          <w:rPr>
            <w:rStyle w:val="Hyperlink"/>
            <w:rFonts w:hAnsi="宋体" w:hint="eastAsia"/>
          </w:rPr>
          <w:t>三、基金托管人对基金管理人的业务监督和核查</w:t>
        </w:r>
        <w:r w:rsidR="00DD6562">
          <w:tab/>
        </w:r>
        <w:r w:rsidR="00DD6562">
          <w:fldChar w:fldCharType="begin"/>
        </w:r>
        <w:r w:rsidR="00DD6562">
          <w:instrText xml:space="preserve"> PAGEREF _Toc335661636 \h </w:instrText>
        </w:r>
        <w:r w:rsidR="00DD6562">
          <w:fldChar w:fldCharType="separate"/>
        </w:r>
        <w:r w:rsidR="00DD6562">
          <w:t>3</w:t>
        </w:r>
        <w:r w:rsidR="00DD6562">
          <w:fldChar w:fldCharType="end"/>
        </w:r>
      </w:hyperlink>
    </w:p>
    <w:p w:rsidR="008053E8">
      <w:pPr>
        <w:pStyle w:val="TOC2"/>
        <w:tabs>
          <w:tab w:val="right" w:leader="dot" w:pos="9623"/>
        </w:tabs>
        <w:rPr>
          <w:rFonts w:ascii="Calibri" w:hAnsi="Calibri"/>
          <w:szCs w:val="22"/>
        </w:rPr>
      </w:pPr>
      <w:hyperlink w:anchor="_Toc335661637" w:history="1">
        <w:r w:rsidR="00DD6562">
          <w:rPr>
            <w:rStyle w:val="Hyperlink"/>
            <w:rFonts w:hAnsi="宋体" w:hint="eastAsia"/>
          </w:rPr>
          <w:t>四、基金管理人对基金托管人的业务核查</w:t>
        </w:r>
        <w:r w:rsidR="00DD6562">
          <w:tab/>
        </w:r>
        <w:r w:rsidR="00DD6562">
          <w:fldChar w:fldCharType="begin"/>
        </w:r>
        <w:r w:rsidR="00DD6562">
          <w:instrText xml:space="preserve"> PAGEREF _Toc335661637 \h </w:instrText>
        </w:r>
        <w:r w:rsidR="00DD6562">
          <w:fldChar w:fldCharType="separate"/>
        </w:r>
        <w:r w:rsidR="00DD6562">
          <w:t>10</w:t>
        </w:r>
        <w:r w:rsidR="00DD6562">
          <w:fldChar w:fldCharType="end"/>
        </w:r>
      </w:hyperlink>
    </w:p>
    <w:p w:rsidR="008053E8">
      <w:pPr>
        <w:pStyle w:val="TOC2"/>
        <w:tabs>
          <w:tab w:val="right" w:leader="dot" w:pos="9623"/>
        </w:tabs>
        <w:rPr>
          <w:rFonts w:ascii="Calibri" w:hAnsi="Calibri"/>
          <w:szCs w:val="22"/>
        </w:rPr>
      </w:pPr>
      <w:hyperlink w:anchor="_Toc335661638" w:history="1">
        <w:r w:rsidR="00DD6562">
          <w:rPr>
            <w:rStyle w:val="Hyperlink"/>
            <w:rFonts w:hAnsi="宋体" w:hint="eastAsia"/>
          </w:rPr>
          <w:t>五、基金财产的保管</w:t>
        </w:r>
        <w:r w:rsidR="00DD6562">
          <w:tab/>
        </w:r>
        <w:r w:rsidR="00DD6562">
          <w:fldChar w:fldCharType="begin"/>
        </w:r>
        <w:r w:rsidR="00DD6562">
          <w:instrText xml:space="preserve"> PAGEREF _Toc335661638 \h </w:instrText>
        </w:r>
        <w:r w:rsidR="00DD6562">
          <w:fldChar w:fldCharType="separate"/>
        </w:r>
        <w:r w:rsidR="00DD6562">
          <w:t>11</w:t>
        </w:r>
        <w:r w:rsidR="00DD6562">
          <w:fldChar w:fldCharType="end"/>
        </w:r>
      </w:hyperlink>
    </w:p>
    <w:p w:rsidR="008053E8">
      <w:pPr>
        <w:pStyle w:val="TOC2"/>
        <w:tabs>
          <w:tab w:val="right" w:leader="dot" w:pos="9623"/>
        </w:tabs>
        <w:rPr>
          <w:rFonts w:ascii="Calibri" w:hAnsi="Calibri"/>
          <w:szCs w:val="22"/>
        </w:rPr>
      </w:pPr>
      <w:hyperlink w:anchor="_Toc335661639" w:history="1">
        <w:r w:rsidR="00DD6562">
          <w:rPr>
            <w:rStyle w:val="Hyperlink"/>
            <w:rFonts w:hAnsi="宋体" w:hint="eastAsia"/>
          </w:rPr>
          <w:t>六、指令的发送、确认及执行</w:t>
        </w:r>
        <w:r w:rsidR="00DD6562">
          <w:tab/>
        </w:r>
        <w:r w:rsidR="00DD6562">
          <w:fldChar w:fldCharType="begin"/>
        </w:r>
        <w:r w:rsidR="00DD6562">
          <w:instrText xml:space="preserve"> PAGEREF _Toc335661639 \h </w:instrText>
        </w:r>
        <w:r w:rsidR="00DD6562">
          <w:fldChar w:fldCharType="separate"/>
        </w:r>
        <w:r w:rsidR="00DD6562">
          <w:t>14</w:t>
        </w:r>
        <w:r w:rsidR="00DD6562">
          <w:fldChar w:fldCharType="end"/>
        </w:r>
      </w:hyperlink>
    </w:p>
    <w:p w:rsidR="008053E8">
      <w:pPr>
        <w:pStyle w:val="TOC2"/>
        <w:tabs>
          <w:tab w:val="right" w:leader="dot" w:pos="9623"/>
        </w:tabs>
        <w:rPr>
          <w:rFonts w:ascii="Calibri" w:hAnsi="Calibri"/>
          <w:szCs w:val="22"/>
        </w:rPr>
      </w:pPr>
      <w:hyperlink w:anchor="_Toc335661640" w:history="1">
        <w:r w:rsidR="00DD6562">
          <w:rPr>
            <w:rStyle w:val="Hyperlink"/>
            <w:rFonts w:hAnsi="宋体" w:hint="eastAsia"/>
          </w:rPr>
          <w:t>七、交易及清算交收安排</w:t>
        </w:r>
        <w:r w:rsidR="00DD6562">
          <w:tab/>
        </w:r>
        <w:r w:rsidR="00DD6562">
          <w:fldChar w:fldCharType="begin"/>
        </w:r>
        <w:r w:rsidR="00DD6562">
          <w:instrText xml:space="preserve"> PAGEREF _Toc335661640 \h </w:instrText>
        </w:r>
        <w:r w:rsidR="00DD6562">
          <w:fldChar w:fldCharType="separate"/>
        </w:r>
        <w:r w:rsidR="00DD6562">
          <w:t>18</w:t>
        </w:r>
        <w:r w:rsidR="00DD6562">
          <w:fldChar w:fldCharType="end"/>
        </w:r>
      </w:hyperlink>
    </w:p>
    <w:p w:rsidR="008053E8">
      <w:pPr>
        <w:pStyle w:val="TOC2"/>
        <w:tabs>
          <w:tab w:val="right" w:leader="dot" w:pos="9623"/>
        </w:tabs>
        <w:rPr>
          <w:rFonts w:ascii="Calibri" w:hAnsi="Calibri"/>
          <w:szCs w:val="22"/>
        </w:rPr>
      </w:pPr>
      <w:hyperlink w:anchor="_Toc335661641" w:history="1">
        <w:r w:rsidR="00DD6562">
          <w:rPr>
            <w:rStyle w:val="Hyperlink"/>
            <w:rFonts w:hAnsi="宋体" w:hint="eastAsia"/>
          </w:rPr>
          <w:t>八、基金资产净值计算和会计核算</w:t>
        </w:r>
        <w:r w:rsidR="00DD6562">
          <w:tab/>
        </w:r>
        <w:r w:rsidR="00DD6562">
          <w:fldChar w:fldCharType="begin"/>
        </w:r>
        <w:r w:rsidR="00DD6562">
          <w:instrText xml:space="preserve"> PAGEREF _Toc335661641 \h </w:instrText>
        </w:r>
        <w:r w:rsidR="00DD6562">
          <w:fldChar w:fldCharType="separate"/>
        </w:r>
        <w:r w:rsidR="00DD6562">
          <w:t>21</w:t>
        </w:r>
        <w:r w:rsidR="00DD6562">
          <w:fldChar w:fldCharType="end"/>
        </w:r>
      </w:hyperlink>
    </w:p>
    <w:p w:rsidR="008053E8">
      <w:pPr>
        <w:pStyle w:val="TOC2"/>
        <w:tabs>
          <w:tab w:val="right" w:leader="dot" w:pos="9623"/>
        </w:tabs>
        <w:rPr>
          <w:rFonts w:ascii="Calibri" w:hAnsi="Calibri"/>
          <w:szCs w:val="22"/>
        </w:rPr>
      </w:pPr>
      <w:hyperlink w:anchor="_Toc335661642" w:history="1">
        <w:r w:rsidR="00DD6562">
          <w:rPr>
            <w:rStyle w:val="Hyperlink"/>
            <w:rFonts w:hAnsi="宋体" w:hint="eastAsia"/>
          </w:rPr>
          <w:t>九、基金收益分配</w:t>
        </w:r>
        <w:r w:rsidR="00DD6562">
          <w:tab/>
        </w:r>
        <w:r w:rsidR="00DD6562">
          <w:fldChar w:fldCharType="begin"/>
        </w:r>
        <w:r w:rsidR="00DD6562">
          <w:instrText xml:space="preserve"> PAGEREF _Toc335661642 \h </w:instrText>
        </w:r>
        <w:r w:rsidR="00DD6562">
          <w:fldChar w:fldCharType="separate"/>
        </w:r>
        <w:r w:rsidR="00DD6562">
          <w:t>26</w:t>
        </w:r>
        <w:r w:rsidR="00DD6562">
          <w:fldChar w:fldCharType="end"/>
        </w:r>
      </w:hyperlink>
    </w:p>
    <w:p w:rsidR="008053E8">
      <w:pPr>
        <w:pStyle w:val="TOC2"/>
        <w:tabs>
          <w:tab w:val="right" w:leader="dot" w:pos="9623"/>
        </w:tabs>
        <w:rPr>
          <w:rFonts w:ascii="Calibri" w:hAnsi="Calibri"/>
          <w:szCs w:val="22"/>
        </w:rPr>
      </w:pPr>
      <w:hyperlink w:anchor="_Toc335661643" w:history="1">
        <w:r>
          <w:rPr>
            <w:rStyle w:val="Hyperlink"/>
            <w:rFonts w:hAnsi="宋体" w:hint="eastAsia"/>
          </w:rPr>
          <w:t>十、基金信息披露</w:t>
        </w:r>
        <w:r>
          <w:tab/>
        </w:r>
        <w:r>
          <w:fldChar w:fldCharType="begin"/>
        </w:r>
        <w:r>
          <w:instrText xml:space="preserve"> PAGEREF _Toc335661643 \h </w:instrText>
        </w:r>
        <w:r>
          <w:fldChar w:fldCharType="separate"/>
        </w:r>
        <w:r>
          <w:t>27</w:t>
        </w:r>
        <w:r>
          <w:fldChar w:fldCharType="end"/>
        </w:r>
      </w:hyperlink>
    </w:p>
    <w:p w:rsidR="008053E8">
      <w:pPr>
        <w:pStyle w:val="TOC2"/>
        <w:tabs>
          <w:tab w:val="right" w:leader="dot" w:pos="9623"/>
        </w:tabs>
        <w:rPr>
          <w:rFonts w:ascii="Calibri" w:hAnsi="Calibri"/>
          <w:szCs w:val="22"/>
        </w:rPr>
      </w:pPr>
      <w:hyperlink w:anchor="_Toc335661644" w:history="1">
        <w:r w:rsidR="00DD6562">
          <w:rPr>
            <w:rStyle w:val="Hyperlink"/>
            <w:rFonts w:hAnsi="宋体" w:hint="eastAsia"/>
          </w:rPr>
          <w:t>十一、基金费用</w:t>
        </w:r>
        <w:r w:rsidR="00DD6562">
          <w:tab/>
        </w:r>
        <w:r w:rsidR="00DD6562">
          <w:fldChar w:fldCharType="begin"/>
        </w:r>
        <w:r w:rsidR="00DD6562">
          <w:instrText xml:space="preserve"> PAGEREF _Toc335661644 \h </w:instrText>
        </w:r>
        <w:r w:rsidR="00DD6562">
          <w:fldChar w:fldCharType="separate"/>
        </w:r>
        <w:r w:rsidR="00DD6562">
          <w:t>30</w:t>
        </w:r>
        <w:r w:rsidR="00DD6562">
          <w:fldChar w:fldCharType="end"/>
        </w:r>
      </w:hyperlink>
    </w:p>
    <w:p w:rsidR="008053E8">
      <w:pPr>
        <w:pStyle w:val="TOC2"/>
        <w:tabs>
          <w:tab w:val="right" w:leader="dot" w:pos="9623"/>
        </w:tabs>
        <w:rPr>
          <w:rFonts w:ascii="Calibri" w:hAnsi="Calibri"/>
          <w:szCs w:val="22"/>
        </w:rPr>
      </w:pPr>
      <w:hyperlink w:anchor="_Toc335661645" w:history="1">
        <w:r>
          <w:rPr>
            <w:rStyle w:val="Hyperlink"/>
            <w:rFonts w:hAnsi="宋体" w:hint="eastAsia"/>
          </w:rPr>
          <w:t>十二、基金份额持有人名册的登记与保管</w:t>
        </w:r>
        <w:r>
          <w:tab/>
        </w:r>
        <w:r>
          <w:fldChar w:fldCharType="begin"/>
        </w:r>
        <w:r>
          <w:instrText xml:space="preserve"> PAGEREF _Toc335661645 \h </w:instrText>
        </w:r>
        <w:r>
          <w:fldChar w:fldCharType="separate"/>
        </w:r>
        <w:r>
          <w:t>32</w:t>
        </w:r>
        <w:r>
          <w:fldChar w:fldCharType="end"/>
        </w:r>
      </w:hyperlink>
    </w:p>
    <w:p w:rsidR="008053E8">
      <w:pPr>
        <w:pStyle w:val="TOC2"/>
        <w:tabs>
          <w:tab w:val="right" w:leader="dot" w:pos="9623"/>
        </w:tabs>
        <w:rPr>
          <w:rFonts w:ascii="Calibri" w:hAnsi="Calibri"/>
          <w:szCs w:val="22"/>
        </w:rPr>
      </w:pPr>
      <w:hyperlink w:anchor="_Toc335661646" w:history="1">
        <w:r w:rsidR="00DD6562">
          <w:rPr>
            <w:rStyle w:val="Hyperlink"/>
            <w:rFonts w:hAnsi="宋体" w:hint="eastAsia"/>
          </w:rPr>
          <w:t>十三、基金有关文件档案的保存</w:t>
        </w:r>
        <w:r w:rsidR="00DD6562">
          <w:tab/>
        </w:r>
        <w:r w:rsidR="00DD6562">
          <w:fldChar w:fldCharType="begin"/>
        </w:r>
        <w:r w:rsidR="00DD6562">
          <w:instrText xml:space="preserve"> PAGEREF _Toc335661646 \h </w:instrText>
        </w:r>
        <w:r w:rsidR="00DD6562">
          <w:fldChar w:fldCharType="separate"/>
        </w:r>
        <w:r w:rsidR="00DD6562">
          <w:t>33</w:t>
        </w:r>
        <w:r w:rsidR="00DD6562">
          <w:fldChar w:fldCharType="end"/>
        </w:r>
      </w:hyperlink>
    </w:p>
    <w:p w:rsidR="008053E8">
      <w:pPr>
        <w:pStyle w:val="TOC2"/>
        <w:tabs>
          <w:tab w:val="right" w:leader="dot" w:pos="9623"/>
        </w:tabs>
        <w:rPr>
          <w:rFonts w:ascii="Calibri" w:hAnsi="Calibri"/>
          <w:szCs w:val="22"/>
        </w:rPr>
      </w:pPr>
      <w:hyperlink w:anchor="_Toc335661647" w:history="1">
        <w:r w:rsidR="00DD6562">
          <w:rPr>
            <w:rStyle w:val="Hyperlink"/>
            <w:rFonts w:hAnsi="宋体" w:hint="eastAsia"/>
          </w:rPr>
          <w:t>十四、基金管理人和基金托管人的更换</w:t>
        </w:r>
        <w:r w:rsidR="00DD6562">
          <w:tab/>
        </w:r>
        <w:r w:rsidR="00DD6562">
          <w:fldChar w:fldCharType="begin"/>
        </w:r>
        <w:r w:rsidR="00DD6562">
          <w:instrText xml:space="preserve"> PAGEREF _Toc335661647 \h </w:instrText>
        </w:r>
        <w:r w:rsidR="00DD6562">
          <w:fldChar w:fldCharType="separate"/>
        </w:r>
        <w:r w:rsidR="00DD6562">
          <w:t>34</w:t>
        </w:r>
        <w:r w:rsidR="00DD6562">
          <w:fldChar w:fldCharType="end"/>
        </w:r>
      </w:hyperlink>
    </w:p>
    <w:p w:rsidR="008053E8">
      <w:pPr>
        <w:pStyle w:val="TOC2"/>
        <w:tabs>
          <w:tab w:val="right" w:leader="dot" w:pos="9623"/>
        </w:tabs>
        <w:rPr>
          <w:rFonts w:ascii="Calibri" w:hAnsi="Calibri"/>
          <w:szCs w:val="22"/>
        </w:rPr>
      </w:pPr>
      <w:hyperlink w:anchor="_Toc335661648" w:history="1">
        <w:r w:rsidR="00DD6562">
          <w:rPr>
            <w:rStyle w:val="Hyperlink"/>
            <w:rFonts w:hAnsi="宋体" w:hint="eastAsia"/>
          </w:rPr>
          <w:t>十五、禁止行为</w:t>
        </w:r>
        <w:r w:rsidR="00DD6562">
          <w:tab/>
        </w:r>
        <w:r w:rsidR="00DD6562">
          <w:fldChar w:fldCharType="begin"/>
        </w:r>
        <w:r w:rsidR="00DD6562">
          <w:instrText xml:space="preserve"> PAGEREF _Toc335661648 \h </w:instrText>
        </w:r>
        <w:r w:rsidR="00DD6562">
          <w:fldChar w:fldCharType="separate"/>
        </w:r>
        <w:r w:rsidR="00DD6562">
          <w:t>36</w:t>
        </w:r>
        <w:r w:rsidR="00DD6562">
          <w:fldChar w:fldCharType="end"/>
        </w:r>
      </w:hyperlink>
    </w:p>
    <w:p w:rsidR="008053E8">
      <w:pPr>
        <w:pStyle w:val="TOC2"/>
        <w:tabs>
          <w:tab w:val="right" w:leader="dot" w:pos="9623"/>
        </w:tabs>
        <w:rPr>
          <w:rFonts w:ascii="Calibri" w:hAnsi="Calibri"/>
          <w:szCs w:val="22"/>
        </w:rPr>
      </w:pPr>
      <w:hyperlink w:anchor="_Toc335661649" w:history="1">
        <w:r w:rsidR="00DD6562">
          <w:rPr>
            <w:rStyle w:val="Hyperlink"/>
            <w:rFonts w:hAnsi="宋体" w:hint="eastAsia"/>
          </w:rPr>
          <w:t>十六、托管协议的变更、终止与基金财产的清算</w:t>
        </w:r>
        <w:r w:rsidR="00DD6562">
          <w:tab/>
        </w:r>
        <w:r w:rsidR="00DD6562">
          <w:fldChar w:fldCharType="begin"/>
        </w:r>
        <w:r w:rsidR="00DD6562">
          <w:instrText xml:space="preserve"> PAGEREF _Toc335661649 \h </w:instrText>
        </w:r>
        <w:r w:rsidR="00DD6562">
          <w:fldChar w:fldCharType="separate"/>
        </w:r>
        <w:r w:rsidR="00DD6562">
          <w:t>38</w:t>
        </w:r>
        <w:r w:rsidR="00DD6562">
          <w:fldChar w:fldCharType="end"/>
        </w:r>
      </w:hyperlink>
    </w:p>
    <w:p w:rsidR="008053E8">
      <w:pPr>
        <w:pStyle w:val="TOC2"/>
        <w:tabs>
          <w:tab w:val="right" w:leader="dot" w:pos="9623"/>
        </w:tabs>
        <w:rPr>
          <w:rFonts w:ascii="Calibri" w:hAnsi="Calibri"/>
          <w:szCs w:val="22"/>
        </w:rPr>
      </w:pPr>
      <w:hyperlink w:anchor="_Toc335661650" w:history="1">
        <w:r w:rsidR="00DD6562">
          <w:rPr>
            <w:rStyle w:val="Hyperlink"/>
            <w:rFonts w:hAnsi="宋体" w:hint="eastAsia"/>
          </w:rPr>
          <w:t>十七、违约责任</w:t>
        </w:r>
        <w:r w:rsidR="00DD6562">
          <w:tab/>
        </w:r>
        <w:r w:rsidR="00DD6562">
          <w:fldChar w:fldCharType="begin"/>
        </w:r>
        <w:r w:rsidR="00DD6562">
          <w:instrText xml:space="preserve"> PAGEREF _Toc335661650 \h </w:instrText>
        </w:r>
        <w:r w:rsidR="00DD6562">
          <w:fldChar w:fldCharType="separate"/>
        </w:r>
        <w:r w:rsidR="00DD6562">
          <w:t>40</w:t>
        </w:r>
        <w:r w:rsidR="00DD6562">
          <w:fldChar w:fldCharType="end"/>
        </w:r>
      </w:hyperlink>
    </w:p>
    <w:p w:rsidR="008053E8">
      <w:pPr>
        <w:pStyle w:val="TOC2"/>
        <w:tabs>
          <w:tab w:val="right" w:leader="dot" w:pos="9623"/>
        </w:tabs>
        <w:rPr>
          <w:rFonts w:ascii="Calibri" w:hAnsi="Calibri"/>
          <w:szCs w:val="22"/>
        </w:rPr>
      </w:pPr>
      <w:hyperlink w:anchor="_Toc335661651" w:history="1">
        <w:r w:rsidR="00DD6562">
          <w:rPr>
            <w:rStyle w:val="Hyperlink"/>
            <w:rFonts w:hAnsi="宋体" w:hint="eastAsia"/>
          </w:rPr>
          <w:t>十八、争议解决方式</w:t>
        </w:r>
        <w:r w:rsidR="00DD6562">
          <w:tab/>
        </w:r>
        <w:r w:rsidR="00DD6562">
          <w:fldChar w:fldCharType="begin"/>
        </w:r>
        <w:r w:rsidR="00DD6562">
          <w:instrText xml:space="preserve"> PAGEREF _Toc335661651 \h </w:instrText>
        </w:r>
        <w:r w:rsidR="00DD6562">
          <w:fldChar w:fldCharType="separate"/>
        </w:r>
        <w:r w:rsidR="00DD6562">
          <w:t>41</w:t>
        </w:r>
        <w:r w:rsidR="00DD6562">
          <w:fldChar w:fldCharType="end"/>
        </w:r>
      </w:hyperlink>
    </w:p>
    <w:p w:rsidR="008053E8">
      <w:pPr>
        <w:pStyle w:val="TOC2"/>
        <w:tabs>
          <w:tab w:val="right" w:leader="dot" w:pos="9623"/>
        </w:tabs>
        <w:rPr>
          <w:rFonts w:ascii="Calibri" w:hAnsi="Calibri"/>
          <w:szCs w:val="22"/>
        </w:rPr>
      </w:pPr>
      <w:hyperlink w:anchor="_Toc335661652" w:history="1">
        <w:r>
          <w:rPr>
            <w:rStyle w:val="Hyperlink"/>
            <w:rFonts w:hAnsi="宋体" w:hint="eastAsia"/>
          </w:rPr>
          <w:t>十九、托管协议的效力</w:t>
        </w:r>
        <w:r>
          <w:tab/>
        </w:r>
        <w:r>
          <w:fldChar w:fldCharType="begin"/>
        </w:r>
        <w:r>
          <w:instrText xml:space="preserve"> PAGEREF _Toc335661652 \h </w:instrText>
        </w:r>
        <w:r>
          <w:fldChar w:fldCharType="separate"/>
        </w:r>
        <w:r>
          <w:t>41</w:t>
        </w:r>
        <w:r>
          <w:fldChar w:fldCharType="end"/>
        </w:r>
      </w:hyperlink>
    </w:p>
    <w:p w:rsidR="008053E8">
      <w:pPr>
        <w:pStyle w:val="TOC2"/>
        <w:tabs>
          <w:tab w:val="right" w:leader="dot" w:pos="9623"/>
        </w:tabs>
        <w:rPr>
          <w:rFonts w:ascii="Calibri" w:hAnsi="Calibri"/>
          <w:szCs w:val="22"/>
        </w:rPr>
      </w:pPr>
      <w:hyperlink w:anchor="_Toc335661653" w:history="1">
        <w:r w:rsidR="00DD6562">
          <w:rPr>
            <w:rStyle w:val="Hyperlink"/>
            <w:rFonts w:hAnsi="宋体" w:hint="eastAsia"/>
          </w:rPr>
          <w:t>二十、其他事项</w:t>
        </w:r>
        <w:r w:rsidR="00DD6562">
          <w:tab/>
        </w:r>
        <w:r w:rsidR="00DD6562">
          <w:fldChar w:fldCharType="begin"/>
        </w:r>
        <w:r w:rsidR="00DD6562">
          <w:instrText xml:space="preserve"> PAGEREF _Toc335661653 \h </w:instrText>
        </w:r>
        <w:r w:rsidR="00DD6562">
          <w:fldChar w:fldCharType="separate"/>
        </w:r>
        <w:r w:rsidR="00DD6562">
          <w:t>42</w:t>
        </w:r>
        <w:r w:rsidR="00DD6562">
          <w:fldChar w:fldCharType="end"/>
        </w:r>
      </w:hyperlink>
    </w:p>
    <w:p w:rsidR="008053E8">
      <w:pPr>
        <w:pStyle w:val="TOC2"/>
        <w:tabs>
          <w:tab w:val="right" w:leader="dot" w:pos="9623"/>
        </w:tabs>
        <w:rPr>
          <w:rFonts w:ascii="Calibri" w:hAnsi="Calibri"/>
          <w:szCs w:val="22"/>
        </w:rPr>
      </w:pPr>
      <w:hyperlink w:anchor="_Toc335661654" w:history="1">
        <w:r w:rsidR="00DD6562">
          <w:rPr>
            <w:rStyle w:val="Hyperlink"/>
            <w:rFonts w:hAnsi="宋体" w:hint="eastAsia"/>
          </w:rPr>
          <w:t>二十一、托管协议的签订</w:t>
        </w:r>
        <w:r w:rsidR="00DD6562">
          <w:tab/>
        </w:r>
        <w:r w:rsidR="00DD6562">
          <w:fldChar w:fldCharType="begin"/>
        </w:r>
        <w:r w:rsidR="00DD6562">
          <w:instrText xml:space="preserve"> PAGEREF _Toc335661654 \h </w:instrText>
        </w:r>
        <w:r w:rsidR="00DD6562">
          <w:fldChar w:fldCharType="separate"/>
        </w:r>
        <w:r w:rsidR="00DD6562">
          <w:t>42</w:t>
        </w:r>
        <w:r w:rsidR="00DD6562">
          <w:fldChar w:fldCharType="end"/>
        </w:r>
      </w:hyperlink>
    </w:p>
    <w:p w:rsidR="008053E8">
      <w:pPr>
        <w:spacing w:line="360" w:lineRule="auto"/>
        <w:rPr>
          <w:color w:val="000000"/>
          <w:sz w:val="28"/>
        </w:rPr>
        <w:sectPr>
          <w:headerReference w:type="default" r:id="rId11"/>
          <w:footerReference w:type="default" r:id="rId12"/>
          <w:headerReference w:type="first" r:id="rId13"/>
          <w:footerReference w:type="first" r:id="rId14"/>
          <w:pgSz w:w="13227" w:h="16838"/>
          <w:pgMar w:top="1440" w:right="1797" w:bottom="1440" w:left="1797" w:header="851" w:footer="992" w:gutter="0"/>
          <w:pgNumType w:start="1"/>
          <w:cols w:space="720"/>
          <w:titlePg/>
          <w:docGrid w:type="lines" w:linePitch="312"/>
        </w:sectPr>
      </w:pPr>
      <w:r>
        <w:rPr>
          <w:color w:val="000000"/>
          <w:sz w:val="28"/>
        </w:rPr>
        <w:fldChar w:fldCharType="end"/>
      </w:r>
    </w:p>
    <w:p w:rsidR="008053E8">
      <w:pPr>
        <w:spacing w:line="360" w:lineRule="auto"/>
        <w:ind w:firstLine="560" w:firstLineChars="200"/>
        <w:rPr>
          <w:color w:val="000000"/>
          <w:kern w:val="0"/>
          <w:sz w:val="28"/>
        </w:rPr>
      </w:pPr>
      <w:r>
        <w:rPr>
          <w:rFonts w:hAnsi="宋体"/>
          <w:color w:val="000000"/>
          <w:kern w:val="0"/>
          <w:sz w:val="28"/>
        </w:rPr>
        <w:t>鉴于</w:t>
      </w:r>
      <w:r>
        <w:rPr>
          <w:rFonts w:hAnsi="宋体" w:hint="eastAsia"/>
          <w:color w:val="000000"/>
          <w:kern w:val="0"/>
          <w:sz w:val="28"/>
        </w:rPr>
        <w:t>易方达</w:t>
      </w:r>
      <w:r>
        <w:rPr>
          <w:rFonts w:hAnsi="宋体"/>
          <w:color w:val="000000"/>
          <w:kern w:val="0"/>
          <w:sz w:val="28"/>
        </w:rPr>
        <w:t>基金管理有限公司系一家依照中国法律合法成立并有效存续的有限责任公司，按照相关法律法规的规定具备担任基金</w:t>
      </w:r>
      <w:r>
        <w:rPr>
          <w:rFonts w:hAnsi="宋体" w:hint="eastAsia"/>
          <w:color w:val="000000"/>
          <w:kern w:val="0"/>
          <w:sz w:val="28"/>
        </w:rPr>
        <w:t>管理</w:t>
      </w:r>
      <w:r>
        <w:rPr>
          <w:rFonts w:hAnsi="宋体"/>
          <w:color w:val="000000"/>
          <w:kern w:val="0"/>
          <w:sz w:val="28"/>
        </w:rPr>
        <w:t>人的资格和能力</w:t>
      </w:r>
      <w:r>
        <w:rPr>
          <w:rFonts w:hint="eastAsia"/>
          <w:color w:val="000000"/>
          <w:kern w:val="0"/>
          <w:sz w:val="28"/>
        </w:rPr>
        <w:t>,</w:t>
      </w:r>
      <w:r>
        <w:rPr>
          <w:rFonts w:hAnsi="宋体"/>
          <w:color w:val="000000"/>
          <w:kern w:val="0"/>
          <w:sz w:val="28"/>
        </w:rPr>
        <w:t>拟募集发行</w:t>
      </w:r>
      <w:r>
        <w:rPr>
          <w:rFonts w:hAnsi="宋体" w:hint="eastAsia"/>
          <w:color w:val="000000"/>
          <w:kern w:val="0"/>
          <w:sz w:val="28"/>
        </w:rPr>
        <w:t>易方达中债新综合债券指数发起式证券投资基金（</w:t>
      </w:r>
      <w:r>
        <w:rPr>
          <w:rFonts w:hint="eastAsia"/>
          <w:color w:val="000000"/>
          <w:kern w:val="0"/>
          <w:sz w:val="28"/>
        </w:rPr>
        <w:t>LOF</w:t>
      </w:r>
      <w:r>
        <w:rPr>
          <w:rFonts w:hAnsi="宋体" w:hint="eastAsia"/>
          <w:color w:val="000000"/>
          <w:kern w:val="0"/>
          <w:sz w:val="28"/>
        </w:rPr>
        <w:t>）</w:t>
      </w:r>
      <w:r>
        <w:rPr>
          <w:rFonts w:hAnsi="宋体"/>
          <w:color w:val="000000"/>
          <w:kern w:val="0"/>
          <w:sz w:val="28"/>
        </w:rPr>
        <w:t>；</w:t>
      </w:r>
    </w:p>
    <w:p w:rsidR="008053E8">
      <w:pPr>
        <w:widowControl/>
        <w:adjustRightInd w:val="0"/>
        <w:snapToGrid w:val="0"/>
        <w:spacing w:line="360" w:lineRule="auto"/>
        <w:ind w:firstLine="560" w:firstLineChars="200"/>
        <w:rPr>
          <w:color w:val="000000"/>
          <w:kern w:val="0"/>
          <w:sz w:val="28"/>
        </w:rPr>
      </w:pPr>
      <w:r>
        <w:rPr>
          <w:rFonts w:hAnsi="宋体"/>
          <w:color w:val="000000"/>
          <w:kern w:val="0"/>
          <w:sz w:val="28"/>
        </w:rPr>
        <w:t>鉴于中国农业银行</w:t>
      </w:r>
      <w:r>
        <w:rPr>
          <w:rFonts w:hAnsi="宋体" w:hint="eastAsia"/>
          <w:color w:val="000000"/>
          <w:kern w:val="0"/>
          <w:sz w:val="28"/>
        </w:rPr>
        <w:t>股份有限公司</w:t>
      </w:r>
      <w:r>
        <w:rPr>
          <w:rFonts w:hAnsi="宋体"/>
          <w:color w:val="000000"/>
          <w:kern w:val="0"/>
          <w:sz w:val="28"/>
        </w:rPr>
        <w:t>系一家依照中国法律合法成立并有效存续的银行，按照相关法律法规的规定具备担任基金托管人的资格和能力；</w:t>
      </w:r>
    </w:p>
    <w:p w:rsidR="008053E8">
      <w:pPr>
        <w:widowControl/>
        <w:adjustRightInd w:val="0"/>
        <w:snapToGrid w:val="0"/>
        <w:spacing w:line="360" w:lineRule="auto"/>
        <w:ind w:firstLine="560" w:firstLineChars="200"/>
        <w:rPr>
          <w:color w:val="000000"/>
          <w:kern w:val="0"/>
          <w:sz w:val="28"/>
        </w:rPr>
      </w:pPr>
      <w:r>
        <w:rPr>
          <w:rFonts w:hAnsi="宋体"/>
          <w:color w:val="000000"/>
          <w:kern w:val="0"/>
          <w:sz w:val="28"/>
        </w:rPr>
        <w:t>鉴于</w:t>
      </w:r>
      <w:r>
        <w:rPr>
          <w:rFonts w:hAnsi="宋体" w:hint="eastAsia"/>
          <w:color w:val="000000"/>
          <w:kern w:val="0"/>
          <w:sz w:val="28"/>
        </w:rPr>
        <w:t>易方达基金</w:t>
      </w:r>
      <w:r>
        <w:rPr>
          <w:rFonts w:hAnsi="宋体"/>
          <w:color w:val="000000"/>
          <w:kern w:val="0"/>
          <w:sz w:val="28"/>
        </w:rPr>
        <w:t>管理有限公司拟担任</w:t>
      </w:r>
      <w:bookmarkStart w:id="0" w:name="_GoBack"/>
      <w:bookmarkEnd w:id="0"/>
      <w:r>
        <w:rPr>
          <w:rFonts w:hAnsi="宋体" w:hint="eastAsia"/>
          <w:color w:val="000000"/>
          <w:kern w:val="0"/>
          <w:sz w:val="28"/>
        </w:rPr>
        <w:t>易方达中债新综合债券指数发起式证券投资基金（</w:t>
      </w:r>
      <w:r>
        <w:rPr>
          <w:rFonts w:hint="eastAsia"/>
          <w:color w:val="000000"/>
          <w:kern w:val="0"/>
          <w:sz w:val="28"/>
        </w:rPr>
        <w:t>LOF</w:t>
      </w:r>
      <w:r>
        <w:rPr>
          <w:rFonts w:hAnsi="宋体" w:hint="eastAsia"/>
          <w:color w:val="000000"/>
          <w:kern w:val="0"/>
          <w:sz w:val="28"/>
        </w:rPr>
        <w:t>）</w:t>
      </w:r>
      <w:r>
        <w:rPr>
          <w:rFonts w:hAnsi="宋体"/>
          <w:color w:val="000000"/>
          <w:kern w:val="0"/>
          <w:sz w:val="28"/>
        </w:rPr>
        <w:t>的基金管理人，中国农业银行</w:t>
      </w:r>
      <w:r>
        <w:rPr>
          <w:rFonts w:hAnsi="宋体" w:hint="eastAsia"/>
          <w:color w:val="000000"/>
          <w:kern w:val="0"/>
          <w:sz w:val="28"/>
        </w:rPr>
        <w:t>股份有限公司</w:t>
      </w:r>
      <w:r>
        <w:rPr>
          <w:rFonts w:hAnsi="宋体"/>
          <w:color w:val="000000"/>
          <w:kern w:val="0"/>
          <w:sz w:val="28"/>
        </w:rPr>
        <w:t>拟担任</w:t>
      </w:r>
      <w:r>
        <w:rPr>
          <w:rFonts w:hAnsi="宋体" w:hint="eastAsia"/>
          <w:color w:val="000000"/>
          <w:kern w:val="0"/>
          <w:sz w:val="28"/>
        </w:rPr>
        <w:t>易方达中债新综合债券指数发起式证券投资基金（</w:t>
      </w:r>
      <w:r>
        <w:rPr>
          <w:rFonts w:hint="eastAsia"/>
          <w:color w:val="000000"/>
          <w:kern w:val="0"/>
          <w:sz w:val="28"/>
        </w:rPr>
        <w:t>LOF</w:t>
      </w:r>
      <w:r>
        <w:rPr>
          <w:rFonts w:hAnsi="宋体" w:hint="eastAsia"/>
          <w:color w:val="000000"/>
          <w:kern w:val="0"/>
          <w:sz w:val="28"/>
        </w:rPr>
        <w:t>）</w:t>
      </w:r>
      <w:r>
        <w:rPr>
          <w:rFonts w:hAnsi="宋体"/>
          <w:color w:val="000000"/>
          <w:kern w:val="0"/>
          <w:sz w:val="28"/>
        </w:rPr>
        <w:t>的基金托管人；</w:t>
      </w:r>
    </w:p>
    <w:p w:rsidR="008053E8">
      <w:pPr>
        <w:widowControl/>
        <w:adjustRightInd w:val="0"/>
        <w:snapToGrid w:val="0"/>
        <w:spacing w:line="360" w:lineRule="auto"/>
        <w:ind w:firstLine="560" w:firstLineChars="200"/>
        <w:rPr>
          <w:color w:val="000000"/>
          <w:kern w:val="0"/>
          <w:sz w:val="28"/>
        </w:rPr>
      </w:pPr>
      <w:r>
        <w:rPr>
          <w:rFonts w:hAnsi="宋体"/>
          <w:color w:val="000000"/>
          <w:kern w:val="0"/>
          <w:sz w:val="28"/>
        </w:rPr>
        <w:t>为明确</w:t>
      </w:r>
      <w:r>
        <w:rPr>
          <w:rFonts w:hAnsi="宋体" w:hint="eastAsia"/>
          <w:color w:val="000000"/>
          <w:kern w:val="0"/>
          <w:sz w:val="28"/>
        </w:rPr>
        <w:t>易方达中债新综合债券指数发起式证券投资基金（</w:t>
      </w:r>
      <w:r>
        <w:rPr>
          <w:rFonts w:hint="eastAsia"/>
          <w:color w:val="000000"/>
          <w:kern w:val="0"/>
          <w:sz w:val="28"/>
        </w:rPr>
        <w:t>LOF</w:t>
      </w:r>
      <w:r>
        <w:rPr>
          <w:rFonts w:hAnsi="宋体" w:hint="eastAsia"/>
          <w:color w:val="000000"/>
          <w:kern w:val="0"/>
          <w:sz w:val="28"/>
        </w:rPr>
        <w:t>）</w:t>
      </w:r>
      <w:r>
        <w:rPr>
          <w:rFonts w:hAnsi="宋体"/>
          <w:color w:val="000000"/>
          <w:kern w:val="0"/>
          <w:sz w:val="28"/>
        </w:rPr>
        <w:t>的基金管理人和基金托管人之间的权利义务关系，特制订本托管协议；</w:t>
      </w:r>
    </w:p>
    <w:p w:rsidR="008053E8">
      <w:pPr>
        <w:widowControl/>
        <w:adjustRightInd w:val="0"/>
        <w:snapToGrid w:val="0"/>
        <w:spacing w:line="360" w:lineRule="auto"/>
        <w:ind w:firstLine="560" w:firstLineChars="200"/>
        <w:rPr>
          <w:color w:val="000000"/>
          <w:sz w:val="28"/>
          <w:lang w:val="en-GB"/>
        </w:rPr>
      </w:pPr>
      <w:r>
        <w:rPr>
          <w:rFonts w:hAnsi="宋体"/>
          <w:color w:val="000000"/>
          <w:kern w:val="0"/>
          <w:sz w:val="28"/>
          <w:lang w:val="en-GB"/>
        </w:rPr>
        <w:t>除非另有约定，《</w:t>
      </w:r>
      <w:r>
        <w:rPr>
          <w:rFonts w:hAnsi="宋体" w:hint="eastAsia"/>
          <w:color w:val="000000"/>
          <w:kern w:val="0"/>
          <w:sz w:val="28"/>
        </w:rPr>
        <w:t>易方达中债新综合债券指数发起式证券投资基金（</w:t>
      </w:r>
      <w:r>
        <w:rPr>
          <w:rFonts w:hint="eastAsia"/>
          <w:color w:val="000000"/>
          <w:kern w:val="0"/>
          <w:sz w:val="28"/>
        </w:rPr>
        <w:t>LOF</w:t>
      </w:r>
      <w:r>
        <w:rPr>
          <w:rFonts w:hAnsi="宋体" w:hint="eastAsia"/>
          <w:color w:val="000000"/>
          <w:kern w:val="0"/>
          <w:sz w:val="28"/>
        </w:rPr>
        <w:t>）</w:t>
      </w:r>
      <w:r>
        <w:rPr>
          <w:rFonts w:hAnsi="宋体"/>
          <w:color w:val="000000"/>
          <w:kern w:val="0"/>
          <w:sz w:val="28"/>
          <w:lang w:val="en-GB"/>
        </w:rPr>
        <w:t>基金合同》</w:t>
      </w:r>
      <w:r>
        <w:rPr>
          <w:color w:val="000000"/>
          <w:kern w:val="0"/>
          <w:sz w:val="28"/>
          <w:lang w:val="en-GB"/>
        </w:rPr>
        <w:t>(</w:t>
      </w:r>
      <w:r>
        <w:rPr>
          <w:rFonts w:hAnsi="宋体"/>
          <w:color w:val="000000"/>
          <w:kern w:val="0"/>
          <w:sz w:val="28"/>
          <w:lang w:val="en-GB"/>
        </w:rPr>
        <w:t>以下简称</w:t>
      </w:r>
      <w:r>
        <w:rPr>
          <w:color w:val="000000"/>
          <w:kern w:val="0"/>
          <w:sz w:val="28"/>
          <w:lang w:val="en-GB"/>
        </w:rPr>
        <w:t>“</w:t>
      </w:r>
      <w:r>
        <w:rPr>
          <w:rFonts w:hAnsi="宋体"/>
          <w:color w:val="000000"/>
          <w:kern w:val="0"/>
          <w:sz w:val="28"/>
          <w:lang w:val="en-GB"/>
        </w:rPr>
        <w:t>基金合同</w:t>
      </w:r>
      <w:r>
        <w:rPr>
          <w:color w:val="000000"/>
          <w:kern w:val="0"/>
          <w:sz w:val="28"/>
          <w:lang w:val="en-GB"/>
        </w:rPr>
        <w:t>”)</w:t>
      </w:r>
      <w:r>
        <w:rPr>
          <w:rFonts w:hAnsi="宋体"/>
          <w:color w:val="000000"/>
          <w:kern w:val="0"/>
          <w:sz w:val="28"/>
          <w:lang w:val="en-GB"/>
        </w:rPr>
        <w:t>中定义的术语在用于本托管协议时应具有相同的含义；若有抵触应以基金合同为准，并依其</w:t>
      </w:r>
      <w:r>
        <w:rPr>
          <w:rFonts w:hAnsi="宋体"/>
          <w:color w:val="000000"/>
          <w:kern w:val="0"/>
          <w:sz w:val="28"/>
        </w:rPr>
        <w:t>条款</w:t>
      </w:r>
      <w:r>
        <w:rPr>
          <w:rFonts w:hAnsi="宋体"/>
          <w:color w:val="000000"/>
          <w:kern w:val="0"/>
          <w:sz w:val="28"/>
          <w:lang w:val="en-GB"/>
        </w:rPr>
        <w:t>解释。</w:t>
      </w:r>
    </w:p>
    <w:p w:rsidR="008053E8">
      <w:pPr>
        <w:pStyle w:val="Heading2"/>
        <w:spacing w:line="360" w:lineRule="auto"/>
        <w:jc w:val="center"/>
        <w:rPr>
          <w:rFonts w:ascii="Times New Roman" w:eastAsia="宋体" w:hAnsi="Times New Roman"/>
          <w:color w:val="000000"/>
          <w:sz w:val="28"/>
        </w:rPr>
      </w:pPr>
      <w:bookmarkStart w:id="1" w:name="_Toc335661634"/>
      <w:r>
        <w:rPr>
          <w:rFonts w:ascii="Times New Roman" w:eastAsia="宋体" w:hAnsi="宋体"/>
          <w:color w:val="000000"/>
          <w:sz w:val="28"/>
        </w:rPr>
        <w:t>一、基金托管协议当事人</w:t>
      </w:r>
      <w:bookmarkEnd w:id="1"/>
    </w:p>
    <w:p w:rsidR="008053E8">
      <w:pPr>
        <w:adjustRightInd w:val="0"/>
        <w:snapToGrid w:val="0"/>
        <w:spacing w:line="360" w:lineRule="auto"/>
        <w:ind w:firstLine="560" w:firstLineChars="200"/>
        <w:outlineLvl w:val="0"/>
        <w:rPr>
          <w:color w:val="000000"/>
          <w:sz w:val="28"/>
        </w:rPr>
      </w:pPr>
      <w:r>
        <w:rPr>
          <w:rFonts w:hAnsi="宋体"/>
          <w:color w:val="000000"/>
          <w:sz w:val="28"/>
        </w:rPr>
        <w:t>（一）基金管理人</w:t>
      </w:r>
    </w:p>
    <w:p w:rsidR="008053E8">
      <w:pPr>
        <w:adjustRightInd w:val="0"/>
        <w:snapToGrid w:val="0"/>
        <w:spacing w:line="360" w:lineRule="auto"/>
        <w:ind w:firstLine="560" w:firstLineChars="200"/>
        <w:rPr>
          <w:color w:val="000000"/>
          <w:sz w:val="28"/>
        </w:rPr>
      </w:pPr>
      <w:r>
        <w:rPr>
          <w:rFonts w:hAnsi="宋体"/>
          <w:color w:val="000000"/>
          <w:sz w:val="28"/>
        </w:rPr>
        <w:t>名称：</w:t>
      </w:r>
      <w:r>
        <w:rPr>
          <w:rFonts w:hAnsi="宋体" w:hint="eastAsia"/>
          <w:color w:val="000000"/>
          <w:sz w:val="28"/>
        </w:rPr>
        <w:t>易方达基金管理有限公司</w:t>
      </w:r>
    </w:p>
    <w:p w:rsidR="008053E8">
      <w:pPr>
        <w:adjustRightInd w:val="0"/>
        <w:snapToGrid w:val="0"/>
        <w:spacing w:line="360" w:lineRule="auto"/>
        <w:ind w:firstLine="560" w:firstLineChars="200"/>
        <w:rPr>
          <w:color w:val="0000FF"/>
          <w:sz w:val="28"/>
        </w:rPr>
      </w:pPr>
      <w:r>
        <w:rPr>
          <w:rFonts w:hAnsi="宋体"/>
          <w:color w:val="000000"/>
          <w:sz w:val="28"/>
        </w:rPr>
        <w:t>注册地址：</w:t>
      </w:r>
      <w:r>
        <w:rPr>
          <w:rFonts w:hAnsi="宋体" w:hint="eastAsia"/>
          <w:color w:val="000000"/>
          <w:sz w:val="28"/>
        </w:rPr>
        <w:t>广东省珠海市横琴新区荣粤道</w:t>
      </w:r>
      <w:r>
        <w:rPr>
          <w:rFonts w:hAnsi="宋体" w:hint="eastAsia"/>
          <w:color w:val="000000"/>
          <w:sz w:val="28"/>
        </w:rPr>
        <w:t>188</w:t>
      </w:r>
      <w:r>
        <w:rPr>
          <w:rFonts w:hAnsi="宋体" w:hint="eastAsia"/>
          <w:color w:val="000000"/>
          <w:sz w:val="28"/>
        </w:rPr>
        <w:t>号</w:t>
      </w:r>
      <w:r>
        <w:rPr>
          <w:rFonts w:hAnsi="宋体" w:hint="eastAsia"/>
          <w:color w:val="000000"/>
          <w:sz w:val="28"/>
        </w:rPr>
        <w:t>6</w:t>
      </w:r>
      <w:r>
        <w:rPr>
          <w:rFonts w:hAnsi="宋体" w:hint="eastAsia"/>
          <w:color w:val="000000"/>
          <w:sz w:val="28"/>
        </w:rPr>
        <w:t>层</w:t>
      </w:r>
    </w:p>
    <w:p w:rsidR="008053E8">
      <w:pPr>
        <w:adjustRightInd w:val="0"/>
        <w:snapToGrid w:val="0"/>
        <w:spacing w:line="360" w:lineRule="auto"/>
        <w:ind w:firstLine="560" w:firstLineChars="200"/>
        <w:rPr>
          <w:color w:val="000000"/>
          <w:sz w:val="28"/>
        </w:rPr>
      </w:pPr>
      <w:r>
        <w:rPr>
          <w:rFonts w:hAnsi="宋体"/>
          <w:color w:val="000000"/>
          <w:sz w:val="28"/>
        </w:rPr>
        <w:t>法定代表人</w:t>
      </w:r>
      <w:r>
        <w:rPr>
          <w:rFonts w:hAnsi="宋体" w:hint="eastAsia"/>
          <w:color w:val="000000"/>
          <w:sz w:val="28"/>
        </w:rPr>
        <w:t>：刘晓艳</w:t>
      </w:r>
    </w:p>
    <w:p w:rsidR="008053E8">
      <w:pPr>
        <w:adjustRightInd w:val="0"/>
        <w:snapToGrid w:val="0"/>
        <w:spacing w:line="360" w:lineRule="auto"/>
        <w:ind w:firstLine="560" w:firstLineChars="200"/>
        <w:rPr>
          <w:color w:val="000000"/>
          <w:sz w:val="28"/>
        </w:rPr>
      </w:pPr>
      <w:r>
        <w:rPr>
          <w:rFonts w:hAnsi="宋体"/>
          <w:color w:val="000000"/>
          <w:sz w:val="28"/>
        </w:rPr>
        <w:t>成立日期：</w:t>
      </w:r>
      <w:r>
        <w:rPr>
          <w:rFonts w:hint="eastAsia"/>
          <w:color w:val="000000"/>
          <w:sz w:val="28"/>
        </w:rPr>
        <w:t>2001</w:t>
      </w:r>
      <w:r>
        <w:rPr>
          <w:rFonts w:hAnsi="宋体" w:hint="eastAsia"/>
          <w:color w:val="000000"/>
          <w:sz w:val="28"/>
        </w:rPr>
        <w:t>年</w:t>
      </w:r>
      <w:r>
        <w:rPr>
          <w:rFonts w:hint="eastAsia"/>
          <w:color w:val="000000"/>
          <w:sz w:val="28"/>
        </w:rPr>
        <w:t>4</w:t>
      </w:r>
      <w:r>
        <w:rPr>
          <w:rFonts w:hAnsi="宋体" w:hint="eastAsia"/>
          <w:color w:val="000000"/>
          <w:sz w:val="28"/>
        </w:rPr>
        <w:t>月</w:t>
      </w:r>
      <w:r>
        <w:rPr>
          <w:rFonts w:hint="eastAsia"/>
          <w:color w:val="000000"/>
          <w:sz w:val="28"/>
        </w:rPr>
        <w:t>17</w:t>
      </w:r>
      <w:r>
        <w:rPr>
          <w:rFonts w:hAnsi="宋体" w:hint="eastAsia"/>
          <w:color w:val="000000"/>
          <w:sz w:val="28"/>
        </w:rPr>
        <w:t>日</w:t>
      </w:r>
    </w:p>
    <w:p w:rsidR="008053E8">
      <w:pPr>
        <w:adjustRightInd w:val="0"/>
        <w:snapToGrid w:val="0"/>
        <w:spacing w:line="360" w:lineRule="auto"/>
        <w:ind w:firstLine="560" w:firstLineChars="200"/>
        <w:rPr>
          <w:color w:val="000000"/>
          <w:sz w:val="28"/>
        </w:rPr>
      </w:pPr>
      <w:r>
        <w:rPr>
          <w:rFonts w:hAnsi="宋体"/>
          <w:color w:val="000000"/>
          <w:sz w:val="28"/>
        </w:rPr>
        <w:t>批准设立机关及批准设立文号：</w:t>
      </w:r>
      <w:r>
        <w:rPr>
          <w:rFonts w:hAnsi="宋体" w:hint="eastAsia"/>
          <w:color w:val="000000"/>
          <w:sz w:val="28"/>
        </w:rPr>
        <w:t>中国证券监督管理委员会，</w:t>
      </w:r>
      <w:r>
        <w:rPr>
          <w:rFonts w:hAnsi="宋体"/>
          <w:color w:val="000000"/>
          <w:sz w:val="28"/>
        </w:rPr>
        <w:t>证监基</w:t>
      </w:r>
      <w:r>
        <w:rPr>
          <w:rFonts w:hAnsi="宋体" w:hint="eastAsia"/>
          <w:color w:val="000000"/>
          <w:sz w:val="28"/>
        </w:rPr>
        <w:t>金</w:t>
      </w:r>
      <w:r>
        <w:rPr>
          <w:rFonts w:hAnsi="宋体"/>
          <w:color w:val="000000"/>
          <w:sz w:val="28"/>
        </w:rPr>
        <w:t>字</w:t>
      </w:r>
      <w:r>
        <w:rPr>
          <w:rStyle w:val="read"/>
          <w:color w:val="000000"/>
          <w:sz w:val="28"/>
        </w:rPr>
        <w:t>[2001]4</w:t>
      </w:r>
      <w:r>
        <w:rPr>
          <w:rFonts w:hAnsi="宋体"/>
          <w:color w:val="000000"/>
          <w:sz w:val="28"/>
        </w:rPr>
        <w:t>号</w:t>
      </w:r>
    </w:p>
    <w:p w:rsidR="008053E8">
      <w:pPr>
        <w:adjustRightInd w:val="0"/>
        <w:snapToGrid w:val="0"/>
        <w:spacing w:line="360" w:lineRule="auto"/>
        <w:ind w:firstLine="560" w:firstLineChars="200"/>
        <w:rPr>
          <w:color w:val="000000"/>
          <w:sz w:val="28"/>
        </w:rPr>
      </w:pPr>
      <w:r>
        <w:rPr>
          <w:rFonts w:hAnsi="宋体"/>
          <w:color w:val="000000"/>
          <w:sz w:val="28"/>
        </w:rPr>
        <w:t>组织形式：有限责任公司</w:t>
      </w:r>
    </w:p>
    <w:p w:rsidR="008053E8">
      <w:pPr>
        <w:adjustRightInd w:val="0"/>
        <w:snapToGrid w:val="0"/>
        <w:spacing w:line="360" w:lineRule="auto"/>
        <w:ind w:firstLine="560" w:firstLineChars="200"/>
        <w:rPr>
          <w:sz w:val="28"/>
        </w:rPr>
      </w:pPr>
      <w:r>
        <w:rPr>
          <w:rFonts w:hAnsi="宋体"/>
          <w:color w:val="000000"/>
          <w:sz w:val="28"/>
        </w:rPr>
        <w:t>注册</w:t>
      </w:r>
      <w:r>
        <w:rPr>
          <w:rFonts w:hAnsi="宋体"/>
          <w:sz w:val="28"/>
        </w:rPr>
        <w:t>资本：</w:t>
      </w:r>
      <w:r>
        <w:rPr>
          <w:rFonts w:hAnsi="宋体" w:hint="eastAsia"/>
          <w:sz w:val="28"/>
        </w:rPr>
        <w:t xml:space="preserve">13,244.2 </w:t>
      </w:r>
      <w:r>
        <w:rPr>
          <w:rFonts w:hAnsi="宋体" w:hint="eastAsia"/>
          <w:sz w:val="28"/>
        </w:rPr>
        <w:t>万元人民币</w:t>
      </w:r>
    </w:p>
    <w:p w:rsidR="008053E8">
      <w:pPr>
        <w:adjustRightInd w:val="0"/>
        <w:snapToGrid w:val="0"/>
        <w:spacing w:line="360" w:lineRule="auto"/>
        <w:ind w:firstLine="560" w:firstLineChars="200"/>
        <w:rPr>
          <w:color w:val="000000"/>
          <w:sz w:val="28"/>
        </w:rPr>
      </w:pPr>
      <w:r>
        <w:rPr>
          <w:rFonts w:hAnsi="宋体"/>
          <w:color w:val="000000"/>
          <w:sz w:val="28"/>
        </w:rPr>
        <w:t>存续期间：</w:t>
      </w:r>
      <w:r>
        <w:rPr>
          <w:rFonts w:hAnsi="宋体" w:hint="eastAsia"/>
          <w:color w:val="000000"/>
          <w:sz w:val="28"/>
        </w:rPr>
        <w:t>持续经营</w:t>
      </w:r>
    </w:p>
    <w:p w:rsidR="008053E8">
      <w:pPr>
        <w:adjustRightInd w:val="0"/>
        <w:snapToGrid w:val="0"/>
        <w:spacing w:line="360" w:lineRule="auto"/>
        <w:ind w:firstLine="560" w:firstLineChars="200"/>
        <w:rPr>
          <w:sz w:val="28"/>
        </w:rPr>
      </w:pPr>
      <w:r>
        <w:rPr>
          <w:rFonts w:hAnsi="宋体"/>
          <w:color w:val="000000"/>
          <w:sz w:val="28"/>
        </w:rPr>
        <w:t>经营范围：</w:t>
      </w:r>
      <w:r>
        <w:rPr>
          <w:rFonts w:hAnsi="宋体" w:hint="eastAsia"/>
          <w:sz w:val="28"/>
        </w:rPr>
        <w:t>公开募集证券投资基金管理、基金销售、特定客户资产管理</w:t>
      </w:r>
    </w:p>
    <w:p w:rsidR="008053E8">
      <w:pPr>
        <w:adjustRightInd w:val="0"/>
        <w:snapToGrid w:val="0"/>
        <w:spacing w:line="360" w:lineRule="auto"/>
        <w:ind w:firstLine="560" w:firstLineChars="200"/>
        <w:outlineLvl w:val="0"/>
        <w:rPr>
          <w:color w:val="000000"/>
          <w:sz w:val="28"/>
        </w:rPr>
      </w:pPr>
      <w:r>
        <w:rPr>
          <w:rFonts w:hAnsi="宋体"/>
          <w:color w:val="000000"/>
          <w:sz w:val="28"/>
        </w:rPr>
        <w:t>（二）基金托管人</w:t>
      </w:r>
    </w:p>
    <w:p w:rsidR="008053E8">
      <w:pPr>
        <w:adjustRightInd w:val="0"/>
        <w:snapToGrid w:val="0"/>
        <w:spacing w:line="360" w:lineRule="auto"/>
        <w:ind w:firstLine="560" w:firstLineChars="200"/>
        <w:rPr>
          <w:color w:val="000000"/>
          <w:sz w:val="28"/>
        </w:rPr>
      </w:pPr>
      <w:r>
        <w:rPr>
          <w:rFonts w:hAnsi="宋体"/>
          <w:color w:val="000000"/>
          <w:sz w:val="28"/>
        </w:rPr>
        <w:t>名称：中国农业银行</w:t>
      </w:r>
      <w:r>
        <w:rPr>
          <w:rFonts w:hAnsi="宋体" w:hint="eastAsia"/>
          <w:color w:val="000000"/>
          <w:sz w:val="28"/>
        </w:rPr>
        <w:t>股份有限公司</w:t>
      </w:r>
    </w:p>
    <w:p w:rsidR="008053E8">
      <w:pPr>
        <w:adjustRightInd w:val="0"/>
        <w:snapToGrid w:val="0"/>
        <w:spacing w:line="360" w:lineRule="auto"/>
        <w:ind w:firstLine="560" w:firstLineChars="200"/>
        <w:rPr>
          <w:color w:val="000000"/>
          <w:sz w:val="28"/>
        </w:rPr>
      </w:pPr>
      <w:r>
        <w:rPr>
          <w:rFonts w:hAnsi="宋体"/>
          <w:color w:val="000000"/>
          <w:sz w:val="28"/>
        </w:rPr>
        <w:t>注册地址：</w:t>
      </w:r>
      <w:r>
        <w:rPr>
          <w:rFonts w:hAnsi="宋体" w:hint="eastAsia"/>
          <w:color w:val="000000"/>
          <w:sz w:val="28"/>
        </w:rPr>
        <w:t>北京市东城区建国门内大街</w:t>
      </w:r>
      <w:r>
        <w:rPr>
          <w:rFonts w:hint="eastAsia"/>
          <w:color w:val="000000"/>
          <w:sz w:val="28"/>
        </w:rPr>
        <w:t>69</w:t>
      </w:r>
      <w:r>
        <w:rPr>
          <w:rFonts w:hAnsi="宋体" w:hint="eastAsia"/>
          <w:color w:val="000000"/>
          <w:sz w:val="28"/>
        </w:rPr>
        <w:t>号</w:t>
      </w:r>
    </w:p>
    <w:p w:rsidR="008053E8">
      <w:pPr>
        <w:spacing w:line="360" w:lineRule="auto"/>
        <w:ind w:firstLine="560" w:firstLineChars="200"/>
        <w:rPr>
          <w:color w:val="000000"/>
          <w:sz w:val="28"/>
        </w:rPr>
      </w:pPr>
      <w:r>
        <w:rPr>
          <w:rFonts w:hAnsi="宋体"/>
          <w:color w:val="000000"/>
          <w:sz w:val="28"/>
        </w:rPr>
        <w:t>办公地址：</w:t>
      </w:r>
      <w:r>
        <w:rPr>
          <w:rFonts w:hAnsi="宋体" w:hint="eastAsia"/>
          <w:color w:val="000000"/>
          <w:sz w:val="28"/>
        </w:rPr>
        <w:t>北京市西城区复兴门内大街</w:t>
      </w:r>
      <w:r>
        <w:rPr>
          <w:rFonts w:hint="eastAsia"/>
          <w:color w:val="000000"/>
          <w:sz w:val="28"/>
        </w:rPr>
        <w:t>28</w:t>
      </w:r>
      <w:r>
        <w:rPr>
          <w:rFonts w:hAnsi="宋体" w:hint="eastAsia"/>
          <w:color w:val="000000"/>
          <w:sz w:val="28"/>
        </w:rPr>
        <w:t>号凯晨世贸中心东座九层</w:t>
      </w:r>
    </w:p>
    <w:p w:rsidR="008053E8">
      <w:pPr>
        <w:adjustRightInd w:val="0"/>
        <w:snapToGrid w:val="0"/>
        <w:spacing w:line="360" w:lineRule="auto"/>
        <w:ind w:firstLine="560" w:firstLineChars="200"/>
        <w:rPr>
          <w:color w:val="000000"/>
          <w:sz w:val="28"/>
        </w:rPr>
      </w:pPr>
      <w:r>
        <w:rPr>
          <w:rFonts w:hAnsi="宋体"/>
          <w:color w:val="000000"/>
          <w:sz w:val="28"/>
        </w:rPr>
        <w:t>邮政编码：</w:t>
      </w:r>
      <w:r>
        <w:rPr>
          <w:color w:val="000000"/>
          <w:sz w:val="28"/>
        </w:rPr>
        <w:t>1000</w:t>
      </w:r>
      <w:r>
        <w:rPr>
          <w:rFonts w:hint="eastAsia"/>
          <w:color w:val="000000"/>
          <w:sz w:val="28"/>
        </w:rPr>
        <w:t>31</w:t>
      </w:r>
    </w:p>
    <w:p w:rsidR="008053E8">
      <w:pPr>
        <w:adjustRightInd w:val="0"/>
        <w:snapToGrid w:val="0"/>
        <w:spacing w:line="360" w:lineRule="auto"/>
        <w:ind w:firstLine="560" w:firstLineChars="200"/>
        <w:rPr>
          <w:color w:val="000000"/>
          <w:sz w:val="28"/>
        </w:rPr>
      </w:pPr>
      <w:r>
        <w:rPr>
          <w:rFonts w:hAnsi="宋体"/>
          <w:color w:val="000000"/>
          <w:sz w:val="28"/>
        </w:rPr>
        <w:t>法定代表人：</w:t>
      </w:r>
      <w:r>
        <w:rPr>
          <w:rFonts w:hAnsi="宋体" w:hint="eastAsia"/>
          <w:color w:val="000000"/>
          <w:sz w:val="28"/>
        </w:rPr>
        <w:t>谷澍</w:t>
      </w:r>
    </w:p>
    <w:p w:rsidR="008053E8">
      <w:pPr>
        <w:adjustRightInd w:val="0"/>
        <w:snapToGrid w:val="0"/>
        <w:spacing w:line="360" w:lineRule="auto"/>
        <w:ind w:firstLine="560" w:firstLineChars="200"/>
        <w:rPr>
          <w:color w:val="000000"/>
          <w:sz w:val="28"/>
        </w:rPr>
      </w:pPr>
      <w:r>
        <w:rPr>
          <w:rFonts w:hAnsi="宋体"/>
          <w:color w:val="000000"/>
          <w:sz w:val="28"/>
        </w:rPr>
        <w:t>成立</w:t>
      </w:r>
      <w:r>
        <w:rPr>
          <w:rFonts w:hAnsi="宋体" w:hint="eastAsia"/>
          <w:color w:val="000000"/>
          <w:sz w:val="28"/>
        </w:rPr>
        <w:t>时间</w:t>
      </w:r>
      <w:r>
        <w:rPr>
          <w:rFonts w:hAnsi="宋体"/>
          <w:color w:val="000000"/>
          <w:sz w:val="28"/>
        </w:rPr>
        <w:t>：</w:t>
      </w:r>
      <w:r>
        <w:rPr>
          <w:rFonts w:hint="eastAsia"/>
          <w:color w:val="000000"/>
          <w:sz w:val="28"/>
        </w:rPr>
        <w:t>2009</w:t>
      </w:r>
      <w:r>
        <w:rPr>
          <w:rFonts w:hAnsi="宋体"/>
          <w:color w:val="000000"/>
          <w:sz w:val="28"/>
        </w:rPr>
        <w:t>年</w:t>
      </w:r>
      <w:r>
        <w:rPr>
          <w:rFonts w:hint="eastAsia"/>
          <w:color w:val="000000"/>
          <w:sz w:val="28"/>
        </w:rPr>
        <w:t>1</w:t>
      </w:r>
      <w:r>
        <w:rPr>
          <w:rFonts w:hAnsi="宋体"/>
          <w:color w:val="000000"/>
          <w:sz w:val="28"/>
        </w:rPr>
        <w:t>月</w:t>
      </w:r>
      <w:r>
        <w:rPr>
          <w:rFonts w:hint="eastAsia"/>
          <w:color w:val="000000"/>
          <w:sz w:val="28"/>
        </w:rPr>
        <w:t>15</w:t>
      </w:r>
      <w:r>
        <w:rPr>
          <w:rFonts w:hAnsi="宋体"/>
          <w:color w:val="000000"/>
          <w:sz w:val="28"/>
        </w:rPr>
        <w:t>日</w:t>
      </w:r>
    </w:p>
    <w:p w:rsidR="008053E8">
      <w:pPr>
        <w:adjustRightInd w:val="0"/>
        <w:snapToGrid w:val="0"/>
        <w:spacing w:line="360" w:lineRule="auto"/>
        <w:ind w:firstLine="560" w:firstLineChars="200"/>
        <w:rPr>
          <w:color w:val="000000"/>
          <w:sz w:val="28"/>
        </w:rPr>
      </w:pPr>
      <w:r>
        <w:rPr>
          <w:rFonts w:hAnsi="宋体" w:hint="eastAsia"/>
          <w:color w:val="000000"/>
          <w:sz w:val="28"/>
        </w:rPr>
        <w:t>基金托管资格批文及文号：中国证监会证监基字</w:t>
      </w:r>
      <w:r>
        <w:rPr>
          <w:rFonts w:hint="eastAsia"/>
          <w:color w:val="000000"/>
          <w:sz w:val="28"/>
        </w:rPr>
        <w:t>[1998]23</w:t>
      </w:r>
      <w:r>
        <w:rPr>
          <w:rFonts w:hAnsi="宋体" w:hint="eastAsia"/>
          <w:color w:val="000000"/>
          <w:sz w:val="28"/>
        </w:rPr>
        <w:t>号</w:t>
      </w:r>
    </w:p>
    <w:p w:rsidR="008053E8">
      <w:pPr>
        <w:adjustRightInd w:val="0"/>
        <w:snapToGrid w:val="0"/>
        <w:spacing w:line="360" w:lineRule="auto"/>
        <w:ind w:firstLine="560" w:firstLineChars="200"/>
        <w:rPr>
          <w:color w:val="000000"/>
          <w:sz w:val="28"/>
        </w:rPr>
      </w:pPr>
      <w:r>
        <w:rPr>
          <w:rFonts w:hAnsi="宋体"/>
          <w:color w:val="000000"/>
          <w:sz w:val="28"/>
        </w:rPr>
        <w:t>注册</w:t>
      </w:r>
      <w:r>
        <w:rPr>
          <w:rFonts w:hAnsi="宋体" w:hint="eastAsia"/>
          <w:sz w:val="28"/>
        </w:rPr>
        <w:t>资本</w:t>
      </w:r>
      <w:r>
        <w:rPr>
          <w:rFonts w:hAnsi="宋体"/>
          <w:color w:val="000000"/>
          <w:sz w:val="28"/>
        </w:rPr>
        <w:t>：</w:t>
      </w:r>
      <w:r>
        <w:rPr>
          <w:rFonts w:hAnsi="宋体" w:hint="eastAsia"/>
          <w:color w:val="000000"/>
          <w:sz w:val="28"/>
        </w:rPr>
        <w:t>34,998,303.4</w:t>
      </w:r>
      <w:r>
        <w:rPr>
          <w:rFonts w:hAnsi="宋体" w:hint="eastAsia"/>
          <w:color w:val="000000"/>
          <w:sz w:val="28"/>
        </w:rPr>
        <w:t>万元人民币</w:t>
      </w:r>
    </w:p>
    <w:p w:rsidR="008053E8">
      <w:pPr>
        <w:adjustRightInd w:val="0"/>
        <w:snapToGrid w:val="0"/>
        <w:spacing w:line="360" w:lineRule="auto"/>
        <w:ind w:firstLine="560" w:firstLineChars="200"/>
        <w:rPr>
          <w:color w:val="000000"/>
          <w:sz w:val="28"/>
        </w:rPr>
      </w:pPr>
      <w:r>
        <w:rPr>
          <w:rFonts w:hAnsi="宋体"/>
          <w:color w:val="000000"/>
          <w:sz w:val="28"/>
        </w:rPr>
        <w:t>存续期间：持续经营</w:t>
      </w:r>
    </w:p>
    <w:p w:rsidR="008053E8">
      <w:pPr>
        <w:tabs>
          <w:tab w:val="left" w:pos="540"/>
        </w:tabs>
        <w:adjustRightInd w:val="0"/>
        <w:snapToGrid w:val="0"/>
        <w:spacing w:line="360" w:lineRule="auto"/>
        <w:ind w:firstLine="560" w:firstLineChars="200"/>
        <w:rPr>
          <w:color w:val="000000"/>
          <w:sz w:val="28"/>
        </w:rPr>
      </w:pPr>
      <w:r>
        <w:rPr>
          <w:rFonts w:hAnsi="宋体"/>
          <w:color w:val="000000"/>
          <w:sz w:val="28"/>
        </w:rPr>
        <w:t>经营范围：</w:t>
      </w:r>
      <w:r>
        <w:rPr>
          <w:rFonts w:hAnsi="宋体" w:hint="eastAsia"/>
          <w:color w:val="000000"/>
          <w:sz w:val="28"/>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币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保险兼业代理业务。</w:t>
      </w:r>
    </w:p>
    <w:p w:rsidR="008053E8">
      <w:pPr>
        <w:tabs>
          <w:tab w:val="left" w:pos="540"/>
        </w:tabs>
        <w:adjustRightInd w:val="0"/>
        <w:snapToGrid w:val="0"/>
        <w:spacing w:line="360" w:lineRule="auto"/>
        <w:ind w:firstLine="560" w:firstLineChars="200"/>
        <w:rPr>
          <w:color w:val="000000"/>
          <w:sz w:val="28"/>
        </w:rPr>
      </w:pPr>
    </w:p>
    <w:p w:rsidR="008053E8">
      <w:pPr>
        <w:pStyle w:val="Heading2"/>
        <w:spacing w:line="360" w:lineRule="auto"/>
        <w:jc w:val="center"/>
        <w:rPr>
          <w:rFonts w:ascii="Times New Roman" w:eastAsia="宋体" w:hAnsi="Times New Roman"/>
          <w:color w:val="000000"/>
          <w:sz w:val="28"/>
        </w:rPr>
      </w:pPr>
      <w:bookmarkStart w:id="2" w:name="_Toc335661635"/>
      <w:r>
        <w:rPr>
          <w:rFonts w:ascii="Times New Roman" w:eastAsia="宋体" w:hAnsi="宋体"/>
          <w:color w:val="000000"/>
          <w:sz w:val="28"/>
        </w:rPr>
        <w:t>二、基金托管协议的依据、目的和原则</w:t>
      </w:r>
      <w:bookmarkEnd w:id="2"/>
    </w:p>
    <w:p w:rsidR="008053E8">
      <w:pPr>
        <w:adjustRightInd w:val="0"/>
        <w:snapToGrid w:val="0"/>
        <w:spacing w:line="360" w:lineRule="auto"/>
        <w:ind w:firstLine="560" w:firstLineChars="200"/>
        <w:rPr>
          <w:color w:val="000000"/>
          <w:sz w:val="28"/>
        </w:rPr>
      </w:pPr>
      <w:r>
        <w:rPr>
          <w:rFonts w:hAnsi="宋体"/>
          <w:color w:val="000000"/>
          <w:sz w:val="28"/>
        </w:rPr>
        <w:t>（一）订立托管协议的依据</w:t>
      </w:r>
    </w:p>
    <w:p w:rsidR="008053E8">
      <w:pPr>
        <w:adjustRightInd w:val="0"/>
        <w:snapToGrid w:val="0"/>
        <w:spacing w:line="360" w:lineRule="auto"/>
        <w:ind w:firstLine="560" w:firstLineChars="200"/>
        <w:rPr>
          <w:color w:val="000000"/>
          <w:sz w:val="28"/>
        </w:rPr>
      </w:pPr>
      <w:r>
        <w:rPr>
          <w:rFonts w:hAnsi="宋体"/>
          <w:color w:val="000000"/>
          <w:sz w:val="28"/>
        </w:rPr>
        <w:t>本协议依据《中华人民共和国证券投资基金法》</w:t>
      </w:r>
      <w:r>
        <w:rPr>
          <w:color w:val="000000"/>
          <w:sz w:val="28"/>
        </w:rPr>
        <w:t>(</w:t>
      </w:r>
      <w:r>
        <w:rPr>
          <w:rFonts w:hAnsi="宋体"/>
          <w:color w:val="000000"/>
          <w:sz w:val="28"/>
        </w:rPr>
        <w:t>以下简称</w:t>
      </w:r>
      <w:r>
        <w:rPr>
          <w:color w:val="000000"/>
          <w:sz w:val="28"/>
        </w:rPr>
        <w:t>“</w:t>
      </w:r>
      <w:r>
        <w:rPr>
          <w:rFonts w:hAnsi="宋体"/>
          <w:color w:val="000000"/>
          <w:sz w:val="28"/>
        </w:rPr>
        <w:t>《基金法》</w:t>
      </w:r>
      <w:r>
        <w:rPr>
          <w:color w:val="000000"/>
          <w:sz w:val="28"/>
        </w:rPr>
        <w:t>”)</w:t>
      </w:r>
      <w:r>
        <w:rPr>
          <w:rFonts w:hAnsi="宋体"/>
          <w:color w:val="000000"/>
          <w:sz w:val="28"/>
        </w:rPr>
        <w:t>等有关法律、法规</w:t>
      </w:r>
      <w:r>
        <w:rPr>
          <w:color w:val="000000"/>
          <w:sz w:val="28"/>
        </w:rPr>
        <w:t>(</w:t>
      </w:r>
      <w:r>
        <w:rPr>
          <w:rFonts w:hAnsi="宋体"/>
          <w:color w:val="000000"/>
          <w:sz w:val="28"/>
        </w:rPr>
        <w:t>以下简称</w:t>
      </w:r>
      <w:r>
        <w:rPr>
          <w:color w:val="000000"/>
          <w:sz w:val="28"/>
        </w:rPr>
        <w:t>“</w:t>
      </w:r>
      <w:r>
        <w:rPr>
          <w:rFonts w:hAnsi="宋体"/>
          <w:color w:val="000000"/>
          <w:sz w:val="28"/>
        </w:rPr>
        <w:t>法律法规</w:t>
      </w:r>
      <w:r>
        <w:rPr>
          <w:color w:val="000000"/>
          <w:sz w:val="28"/>
        </w:rPr>
        <w:t>”)</w:t>
      </w:r>
      <w:r>
        <w:rPr>
          <w:rFonts w:hAnsi="宋体"/>
          <w:color w:val="000000"/>
          <w:sz w:val="28"/>
        </w:rPr>
        <w:t>、基金合同及其他有关规定制订。</w:t>
      </w:r>
    </w:p>
    <w:p w:rsidR="008053E8">
      <w:pPr>
        <w:adjustRightInd w:val="0"/>
        <w:snapToGrid w:val="0"/>
        <w:spacing w:line="360" w:lineRule="auto"/>
        <w:ind w:firstLine="560" w:firstLineChars="200"/>
        <w:rPr>
          <w:color w:val="000000"/>
          <w:sz w:val="28"/>
        </w:rPr>
      </w:pPr>
      <w:r>
        <w:rPr>
          <w:rFonts w:hAnsi="宋体"/>
          <w:color w:val="000000"/>
          <w:sz w:val="28"/>
        </w:rPr>
        <w:t>（二）订立托管协议的目的</w:t>
      </w:r>
    </w:p>
    <w:p w:rsidR="008053E8">
      <w:pPr>
        <w:adjustRightInd w:val="0"/>
        <w:snapToGrid w:val="0"/>
        <w:spacing w:line="360" w:lineRule="auto"/>
        <w:ind w:firstLine="560" w:firstLineChars="200"/>
        <w:rPr>
          <w:color w:val="000000"/>
          <w:sz w:val="28"/>
        </w:rPr>
      </w:pPr>
      <w:r>
        <w:rPr>
          <w:rFonts w:hAnsi="宋体"/>
          <w:color w:val="000000"/>
          <w:sz w:val="28"/>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8053E8">
      <w:pPr>
        <w:adjustRightInd w:val="0"/>
        <w:snapToGrid w:val="0"/>
        <w:spacing w:line="360" w:lineRule="auto"/>
        <w:ind w:firstLine="560" w:firstLineChars="200"/>
        <w:rPr>
          <w:color w:val="000000"/>
          <w:sz w:val="28"/>
        </w:rPr>
      </w:pPr>
      <w:r>
        <w:rPr>
          <w:rFonts w:hAnsi="宋体"/>
          <w:color w:val="000000"/>
          <w:sz w:val="28"/>
        </w:rPr>
        <w:t>（三）订立托管协议的原则</w:t>
      </w:r>
    </w:p>
    <w:p w:rsidR="008053E8">
      <w:pPr>
        <w:pStyle w:val="Style6"/>
        <w:spacing w:line="360" w:lineRule="auto"/>
        <w:ind w:firstLine="560"/>
        <w:rPr>
          <w:rFonts w:ascii="Times New Roman" w:eastAsia="宋体" w:hAnsi="Times New Roman"/>
          <w:sz w:val="28"/>
        </w:rPr>
      </w:pPr>
      <w:r>
        <w:rPr>
          <w:rFonts w:ascii="Times New Roman" w:eastAsia="宋体"/>
          <w:sz w:val="28"/>
        </w:rPr>
        <w:t>基金管理人和基金托管人本着平等自愿、诚实信用、充分保护基金投资者合法权益的原则，经协商一致，签订本协议。</w:t>
      </w:r>
    </w:p>
    <w:p w:rsidR="008053E8">
      <w:pPr>
        <w:pStyle w:val="Style6"/>
        <w:spacing w:line="360" w:lineRule="auto"/>
        <w:ind w:firstLine="560"/>
        <w:rPr>
          <w:rFonts w:ascii="Times New Roman" w:eastAsia="宋体" w:hAnsi="Times New Roman"/>
          <w:sz w:val="28"/>
        </w:rPr>
      </w:pPr>
      <w:r>
        <w:rPr>
          <w:rFonts w:ascii="Times New Roman" w:eastAsia="宋体" w:hint="eastAsia"/>
          <w:sz w:val="28"/>
        </w:rPr>
        <w:t>（四）解释</w:t>
      </w:r>
    </w:p>
    <w:p w:rsidR="008053E8">
      <w:pPr>
        <w:pStyle w:val="BodyTextIndent"/>
        <w:spacing w:after="0" w:line="360" w:lineRule="auto"/>
        <w:ind w:left="0" w:firstLine="560" w:leftChars="0" w:firstLineChars="200"/>
        <w:rPr>
          <w:sz w:val="28"/>
        </w:rPr>
      </w:pPr>
      <w:r>
        <w:rPr>
          <w:rFonts w:hint="eastAsia"/>
          <w:sz w:val="28"/>
        </w:rPr>
        <w:t>除非文义另有所指，</w:t>
      </w:r>
      <w:r>
        <w:rPr>
          <w:rFonts w:hint="eastAsia"/>
          <w:kern w:val="0"/>
          <w:sz w:val="28"/>
        </w:rPr>
        <w:t>本协议所使用的</w:t>
      </w:r>
      <w:r>
        <w:rPr>
          <w:rFonts w:hAnsi="宋体" w:hint="eastAsia"/>
          <w:kern w:val="0"/>
          <w:sz w:val="28"/>
        </w:rPr>
        <w:t>所有术语与基金合同的相应术语具有相</w:t>
      </w:r>
      <w:r>
        <w:rPr>
          <w:rFonts w:hint="eastAsia"/>
          <w:kern w:val="0"/>
          <w:sz w:val="28"/>
        </w:rPr>
        <w:t>同含义。</w:t>
      </w:r>
    </w:p>
    <w:p w:rsidR="008053E8">
      <w:pPr>
        <w:pStyle w:val="Heading2"/>
        <w:spacing w:line="360" w:lineRule="auto"/>
        <w:jc w:val="center"/>
        <w:rPr>
          <w:rFonts w:ascii="Times New Roman" w:eastAsia="宋体" w:hAnsi="Times New Roman"/>
          <w:color w:val="000000"/>
          <w:sz w:val="28"/>
        </w:rPr>
      </w:pPr>
      <w:bookmarkStart w:id="3" w:name="_Toc335661636"/>
      <w:r>
        <w:rPr>
          <w:rFonts w:ascii="Times New Roman" w:eastAsia="宋体" w:hAnsi="宋体"/>
          <w:color w:val="000000"/>
          <w:sz w:val="28"/>
        </w:rPr>
        <w:t>三、基金托管人对基金管理人的业务监督和核查</w:t>
      </w:r>
      <w:bookmarkEnd w:id="3"/>
    </w:p>
    <w:p w:rsidR="008053E8">
      <w:pPr>
        <w:adjustRightInd w:val="0"/>
        <w:snapToGrid w:val="0"/>
        <w:spacing w:line="360" w:lineRule="auto"/>
        <w:ind w:firstLine="560" w:firstLineChars="200"/>
        <w:rPr>
          <w:color w:val="000000"/>
          <w:sz w:val="28"/>
        </w:rPr>
      </w:pPr>
      <w:r>
        <w:rPr>
          <w:rFonts w:hAnsi="宋体"/>
          <w:color w:val="000000"/>
          <w:sz w:val="28"/>
        </w:rPr>
        <w:t>（一）基金托管人根据有关法律法规的规定及基金合同的约定，对基金投资范围、投资对象进行监督。</w:t>
      </w:r>
      <w:r>
        <w:rPr>
          <w:rFonts w:hAnsi="宋体" w:hint="eastAsia"/>
          <w:color w:val="000000"/>
          <w:sz w:val="28"/>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053E8">
      <w:pPr>
        <w:adjustRightInd w:val="0"/>
        <w:snapToGrid w:val="0"/>
        <w:spacing w:line="360" w:lineRule="auto"/>
        <w:ind w:firstLine="560" w:firstLineChars="200"/>
        <w:rPr>
          <w:color w:val="000000"/>
          <w:sz w:val="28"/>
        </w:rPr>
      </w:pPr>
      <w:r>
        <w:rPr>
          <w:rFonts w:hAnsi="宋体" w:hint="eastAsia"/>
          <w:color w:val="000000"/>
          <w:sz w:val="28"/>
        </w:rPr>
        <w:t>本基金的投资范围为具有良好流动性的金融工具，包括国债、央行票据、地方政府债、金融债、企业债、短期融资券、中期票据、公司债、资产支持证券、债券逆回购、银行存款等固定收益类资产以及法律法规或中国证监会允许</w:t>
      </w:r>
      <w:r>
        <w:rPr>
          <w:rFonts w:hAnsi="宋体" w:hint="eastAsia"/>
          <w:color w:val="000000"/>
          <w:sz w:val="28"/>
        </w:rPr>
        <w:t>基金投资的其他金融工具，但须符合中国证监会相关规定。</w:t>
      </w:r>
    </w:p>
    <w:p w:rsidR="008053E8">
      <w:pPr>
        <w:adjustRightInd w:val="0"/>
        <w:snapToGrid w:val="0"/>
        <w:spacing w:line="360" w:lineRule="auto"/>
        <w:ind w:firstLine="560" w:firstLineChars="200"/>
        <w:rPr>
          <w:color w:val="000000"/>
          <w:sz w:val="28"/>
        </w:rPr>
      </w:pPr>
      <w:r>
        <w:rPr>
          <w:rFonts w:hAnsi="宋体" w:hint="eastAsia"/>
          <w:color w:val="000000"/>
          <w:sz w:val="28"/>
        </w:rPr>
        <w:t>本基金不直接在二级市场买入股票、可转换债券、权证等资产，也不参与一级市场新股申购、新股增发、新可转换债券申购。</w:t>
      </w:r>
    </w:p>
    <w:p w:rsidR="008053E8">
      <w:pPr>
        <w:adjustRightInd w:val="0"/>
        <w:snapToGrid w:val="0"/>
        <w:spacing w:line="360" w:lineRule="auto"/>
        <w:ind w:firstLine="560" w:firstLineChars="200"/>
        <w:rPr>
          <w:color w:val="000000"/>
          <w:sz w:val="28"/>
        </w:rPr>
      </w:pPr>
      <w:r>
        <w:rPr>
          <w:rFonts w:hAnsi="宋体" w:hint="eastAsia"/>
          <w:color w:val="000000"/>
          <w:sz w:val="28"/>
        </w:rPr>
        <w:t>如法律法规或监管机构以后允许基金投资其他品种，基金管理人履行适当程序后，可以将其纳入投资范围。</w:t>
      </w:r>
    </w:p>
    <w:p w:rsidR="008053E8">
      <w:pPr>
        <w:adjustRightInd w:val="0"/>
        <w:snapToGrid w:val="0"/>
        <w:spacing w:line="360" w:lineRule="auto"/>
        <w:ind w:firstLine="560" w:firstLineChars="200"/>
        <w:rPr>
          <w:color w:val="000000"/>
          <w:sz w:val="28"/>
        </w:rPr>
      </w:pPr>
      <w:r>
        <w:rPr>
          <w:rFonts w:hAnsi="宋体" w:hint="eastAsia"/>
          <w:color w:val="000000"/>
          <w:sz w:val="28"/>
        </w:rPr>
        <w:t>本基金各类资产的投资比例范围为：中债</w:t>
      </w:r>
      <w:r>
        <w:rPr>
          <w:rFonts w:hint="eastAsia"/>
          <w:color w:val="000000"/>
          <w:sz w:val="28"/>
        </w:rPr>
        <w:t>-</w:t>
      </w:r>
      <w:r>
        <w:rPr>
          <w:rFonts w:hAnsi="宋体" w:hint="eastAsia"/>
          <w:color w:val="000000"/>
          <w:sz w:val="28"/>
        </w:rPr>
        <w:t>新综合指数成份券的投资比例不低于基金资产净值的</w:t>
      </w:r>
      <w:r>
        <w:rPr>
          <w:rFonts w:hint="eastAsia"/>
          <w:color w:val="000000"/>
          <w:sz w:val="28"/>
        </w:rPr>
        <w:t>90%</w:t>
      </w:r>
      <w:r>
        <w:rPr>
          <w:rFonts w:hAnsi="宋体" w:hint="eastAsia"/>
          <w:color w:val="000000"/>
          <w:sz w:val="28"/>
        </w:rPr>
        <w:t>，现金或者到期日在一年以内的政府债券不低于基金资产净值的</w:t>
      </w:r>
      <w:r>
        <w:rPr>
          <w:rFonts w:hAnsi="宋体" w:hint="eastAsia"/>
          <w:color w:val="000000"/>
          <w:sz w:val="28"/>
        </w:rPr>
        <w:t>5%</w:t>
      </w:r>
      <w:r>
        <w:rPr>
          <w:rFonts w:hAnsi="宋体" w:hint="eastAsia"/>
          <w:color w:val="000000"/>
          <w:sz w:val="28"/>
        </w:rPr>
        <w:t>，现金不包括结算备付金、存出保证金、应收申购款等。</w:t>
      </w:r>
    </w:p>
    <w:p w:rsidR="008053E8">
      <w:pPr>
        <w:adjustRightInd w:val="0"/>
        <w:snapToGrid w:val="0"/>
        <w:spacing w:line="360" w:lineRule="auto"/>
        <w:ind w:firstLine="560" w:firstLineChars="200"/>
        <w:rPr>
          <w:color w:val="000000"/>
          <w:sz w:val="28"/>
        </w:rPr>
      </w:pPr>
      <w:r>
        <w:rPr>
          <w:rFonts w:hAnsi="宋体"/>
          <w:color w:val="000000"/>
          <w:sz w:val="28"/>
        </w:rPr>
        <w:t>（二）基金托管人根据有关法律法规的规定及基金合同的约定，对基金投资、融资</w:t>
      </w:r>
      <w:r>
        <w:rPr>
          <w:rFonts w:hAnsi="宋体" w:hint="eastAsia"/>
          <w:color w:val="000000"/>
          <w:sz w:val="28"/>
        </w:rPr>
        <w:t>、融券</w:t>
      </w:r>
      <w:r>
        <w:rPr>
          <w:rFonts w:hAnsi="宋体"/>
          <w:color w:val="000000"/>
          <w:sz w:val="28"/>
        </w:rPr>
        <w:t>比例进行监督。基金托管人按下述比例和调整期限进行监督：</w:t>
      </w:r>
    </w:p>
    <w:p w:rsidR="008053E8">
      <w:pPr>
        <w:adjustRightInd w:val="0"/>
        <w:snapToGrid w:val="0"/>
        <w:spacing w:line="360" w:lineRule="auto"/>
        <w:ind w:firstLine="560" w:firstLineChars="200"/>
        <w:rPr>
          <w:rFonts w:hAnsi="宋体"/>
          <w:color w:val="000000"/>
          <w:sz w:val="28"/>
        </w:rPr>
      </w:pPr>
      <w:r>
        <w:rPr>
          <w:rFonts w:hint="eastAsia"/>
          <w:color w:val="000000"/>
          <w:sz w:val="28"/>
        </w:rPr>
        <w:t>1</w:t>
      </w:r>
      <w:r>
        <w:rPr>
          <w:rFonts w:hAnsi="宋体" w:hint="eastAsia"/>
          <w:color w:val="000000"/>
          <w:sz w:val="28"/>
        </w:rPr>
        <w:t>、中债</w:t>
      </w:r>
      <w:r>
        <w:rPr>
          <w:rFonts w:hint="eastAsia"/>
          <w:color w:val="000000"/>
          <w:sz w:val="28"/>
        </w:rPr>
        <w:t>-</w:t>
      </w:r>
      <w:r>
        <w:rPr>
          <w:rFonts w:hAnsi="宋体" w:hint="eastAsia"/>
          <w:color w:val="000000"/>
          <w:sz w:val="28"/>
        </w:rPr>
        <w:t>新综合指数成份券的投资比例不低于基金资产净值的</w:t>
      </w:r>
      <w:r>
        <w:rPr>
          <w:rFonts w:hint="eastAsia"/>
          <w:color w:val="000000"/>
          <w:sz w:val="28"/>
        </w:rPr>
        <w:t>90%</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2</w:t>
      </w:r>
      <w:r>
        <w:rPr>
          <w:rFonts w:hAnsi="宋体"/>
          <w:color w:val="000000"/>
          <w:sz w:val="28"/>
        </w:rPr>
        <w:t>、</w:t>
      </w:r>
      <w:r>
        <w:rPr>
          <w:rFonts w:hAnsi="宋体" w:hint="eastAsia"/>
          <w:color w:val="000000"/>
          <w:sz w:val="28"/>
        </w:rPr>
        <w:t>现金或者到期日在一年以内的政府债券不低于基金资产净值的</w:t>
      </w:r>
      <w:r>
        <w:rPr>
          <w:rFonts w:hAnsi="宋体" w:hint="eastAsia"/>
          <w:color w:val="000000"/>
          <w:sz w:val="28"/>
        </w:rPr>
        <w:t>5%</w:t>
      </w:r>
      <w:r>
        <w:rPr>
          <w:rFonts w:hAnsi="宋体" w:hint="eastAsia"/>
          <w:color w:val="000000"/>
          <w:sz w:val="28"/>
        </w:rPr>
        <w:t>，现金不包括结算备付金、存出保证金、应收申购款等；</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、本基金管理人管理的且由本基金托管人托管的全部基金持有一家公司发行的证券，不超过该证券的</w:t>
      </w:r>
      <w:r>
        <w:rPr>
          <w:rFonts w:hint="eastAsia"/>
          <w:color w:val="000000"/>
          <w:sz w:val="28"/>
        </w:rPr>
        <w:t>10%</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color w:val="000000"/>
          <w:sz w:val="28"/>
        </w:rPr>
        <w:t>4</w:t>
      </w:r>
      <w:r>
        <w:rPr>
          <w:rFonts w:hAnsi="宋体" w:hint="eastAsia"/>
          <w:color w:val="000000"/>
          <w:sz w:val="28"/>
        </w:rPr>
        <w:t>、中期票据属于固定收益类证券，基金投资中期票据应符合法律、法规及《基金合同》中关于该基金投资固定收益类证券的相关比例及期限限制；</w:t>
      </w:r>
    </w:p>
    <w:p w:rsidR="008053E8">
      <w:pPr>
        <w:adjustRightInd w:val="0"/>
        <w:snapToGrid w:val="0"/>
        <w:spacing w:line="360" w:lineRule="auto"/>
        <w:ind w:firstLine="560" w:firstLineChars="200"/>
        <w:rPr>
          <w:color w:val="000000"/>
          <w:sz w:val="28"/>
        </w:rPr>
      </w:pPr>
      <w:r>
        <w:rPr>
          <w:color w:val="000000"/>
          <w:sz w:val="28"/>
        </w:rPr>
        <w:t>5</w:t>
      </w:r>
      <w:r>
        <w:rPr>
          <w:rFonts w:hAnsi="宋体" w:hint="eastAsia"/>
          <w:color w:val="000000"/>
          <w:sz w:val="28"/>
        </w:rPr>
        <w:t>、基金管理人管理的且由本基金托管人托管的全部公募基金投资于一家企业发行的单期中期票据合计不超过该期证券的</w:t>
      </w:r>
      <w:r>
        <w:rPr>
          <w:rFonts w:hint="eastAsia"/>
          <w:color w:val="000000"/>
          <w:sz w:val="28"/>
        </w:rPr>
        <w:t>10%</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color w:val="000000"/>
          <w:sz w:val="28"/>
        </w:rPr>
        <w:t>6</w:t>
      </w:r>
      <w:r>
        <w:rPr>
          <w:rFonts w:hAnsi="宋体" w:hint="eastAsia"/>
          <w:color w:val="000000"/>
          <w:sz w:val="28"/>
        </w:rPr>
        <w:t>、本基金进入全国银行间同业市场进行债券回购的资金余额不得超过基金资产净值的</w:t>
      </w:r>
      <w:r>
        <w:rPr>
          <w:rFonts w:hint="eastAsia"/>
          <w:color w:val="000000"/>
          <w:sz w:val="28"/>
        </w:rPr>
        <w:t>40%</w:t>
      </w:r>
      <w:r>
        <w:rPr>
          <w:rFonts w:hAnsi="宋体" w:hint="eastAsia"/>
          <w:color w:val="000000"/>
          <w:sz w:val="28"/>
        </w:rPr>
        <w:t>；债券回购最长期限为</w:t>
      </w:r>
      <w:r>
        <w:rPr>
          <w:rFonts w:hint="eastAsia"/>
          <w:color w:val="000000"/>
          <w:sz w:val="28"/>
        </w:rPr>
        <w:t>1</w:t>
      </w:r>
      <w:r>
        <w:rPr>
          <w:rFonts w:hAnsi="宋体" w:hint="eastAsia"/>
          <w:color w:val="000000"/>
          <w:sz w:val="28"/>
        </w:rPr>
        <w:t>年，债券回购到期后不得展期；</w:t>
      </w:r>
    </w:p>
    <w:p w:rsidR="008053E8">
      <w:pPr>
        <w:adjustRightInd w:val="0"/>
        <w:snapToGrid w:val="0"/>
        <w:spacing w:line="360" w:lineRule="auto"/>
        <w:ind w:firstLine="560" w:firstLineChars="200"/>
        <w:rPr>
          <w:color w:val="000000"/>
          <w:sz w:val="28"/>
        </w:rPr>
      </w:pPr>
      <w:r>
        <w:rPr>
          <w:color w:val="000000"/>
          <w:sz w:val="28"/>
        </w:rPr>
        <w:t>7</w:t>
      </w:r>
      <w:r>
        <w:rPr>
          <w:rFonts w:hAnsi="宋体" w:hint="eastAsia"/>
          <w:color w:val="000000"/>
          <w:sz w:val="28"/>
        </w:rPr>
        <w:t>、本基金投资于同一原始权益人的各类资产支持证券的比例，不得超过基金资产净值的</w:t>
      </w:r>
      <w:r>
        <w:rPr>
          <w:rFonts w:hint="eastAsia"/>
          <w:color w:val="000000"/>
          <w:sz w:val="28"/>
        </w:rPr>
        <w:t>10%</w:t>
      </w:r>
      <w:r>
        <w:rPr>
          <w:rFonts w:hAnsi="宋体" w:hint="eastAsia"/>
          <w:color w:val="000000"/>
          <w:sz w:val="28"/>
        </w:rPr>
        <w:t>；本基金持有的全部资产支持证券，其市值不得超过基金资产净值的</w:t>
      </w:r>
      <w:r>
        <w:rPr>
          <w:rFonts w:hint="eastAsia"/>
          <w:color w:val="000000"/>
          <w:sz w:val="28"/>
        </w:rPr>
        <w:t>20%</w:t>
      </w:r>
      <w:r>
        <w:rPr>
          <w:rFonts w:hAnsi="宋体" w:hint="eastAsia"/>
          <w:color w:val="000000"/>
          <w:sz w:val="28"/>
        </w:rPr>
        <w:t>；本基金持有的同一（指同一信用级别）资产支持证券的比例，不得超过该资产支持证券规模的</w:t>
      </w:r>
      <w:r>
        <w:rPr>
          <w:rFonts w:hint="eastAsia"/>
          <w:color w:val="000000"/>
          <w:sz w:val="28"/>
        </w:rPr>
        <w:t>10%</w:t>
      </w:r>
      <w:r>
        <w:rPr>
          <w:rFonts w:hAnsi="宋体" w:hint="eastAsia"/>
          <w:color w:val="000000"/>
          <w:sz w:val="28"/>
        </w:rPr>
        <w:t>；</w:t>
      </w:r>
    </w:p>
    <w:p w:rsidR="008053E8">
      <w:pPr>
        <w:adjustRightInd w:val="0"/>
        <w:snapToGrid w:val="0"/>
        <w:spacing w:line="360" w:lineRule="auto"/>
        <w:ind w:firstLine="560" w:firstLineChars="200"/>
        <w:rPr>
          <w:rFonts w:hAnsi="宋体"/>
          <w:color w:val="000000"/>
          <w:sz w:val="28"/>
        </w:rPr>
      </w:pPr>
      <w:r>
        <w:rPr>
          <w:color w:val="000000"/>
          <w:sz w:val="28"/>
        </w:rPr>
        <w:t>8</w:t>
      </w:r>
      <w:r>
        <w:rPr>
          <w:rFonts w:hAnsi="宋体" w:hint="eastAsia"/>
          <w:color w:val="000000"/>
          <w:sz w:val="28"/>
        </w:rPr>
        <w:t>、本基金管理人管理的且由本基金托管人托管的全部基金投资于同一原始权益人的各类资产支持证券，不得超过其各类资产支持证券合计规模的</w:t>
      </w:r>
      <w:r>
        <w:rPr>
          <w:rFonts w:hint="eastAsia"/>
          <w:color w:val="000000"/>
          <w:sz w:val="28"/>
        </w:rPr>
        <w:t>10%</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9</w:t>
      </w:r>
      <w:r>
        <w:rPr>
          <w:rFonts w:hAnsi="宋体"/>
          <w:color w:val="000000"/>
          <w:sz w:val="28"/>
        </w:rPr>
        <w:t>、</w:t>
      </w:r>
      <w:r>
        <w:rPr>
          <w:rFonts w:hAnsi="宋体" w:hint="eastAsia"/>
          <w:color w:val="000000"/>
          <w:sz w:val="28"/>
        </w:rPr>
        <w:t>本基金应投资于信用级别评级为</w:t>
      </w:r>
      <w:r>
        <w:rPr>
          <w:rFonts w:hint="eastAsia"/>
          <w:color w:val="000000"/>
          <w:sz w:val="28"/>
        </w:rPr>
        <w:t>BBB</w:t>
      </w:r>
      <w:r>
        <w:rPr>
          <w:rFonts w:hAnsi="宋体" w:hint="eastAsia"/>
          <w:color w:val="000000"/>
          <w:sz w:val="28"/>
        </w:rPr>
        <w:t>以上</w:t>
      </w:r>
      <w:r>
        <w:rPr>
          <w:rFonts w:hint="eastAsia"/>
          <w:color w:val="000000"/>
          <w:sz w:val="28"/>
        </w:rPr>
        <w:t>(</w:t>
      </w:r>
      <w:r>
        <w:rPr>
          <w:rFonts w:hAnsi="宋体" w:hint="eastAsia"/>
          <w:color w:val="000000"/>
          <w:sz w:val="28"/>
        </w:rPr>
        <w:t>含</w:t>
      </w:r>
      <w:r>
        <w:rPr>
          <w:rFonts w:hint="eastAsia"/>
          <w:color w:val="000000"/>
          <w:sz w:val="28"/>
        </w:rPr>
        <w:t>BBB)</w:t>
      </w:r>
      <w:r>
        <w:rPr>
          <w:rFonts w:hAnsi="宋体" w:hint="eastAsia"/>
          <w:color w:val="000000"/>
          <w:sz w:val="28"/>
        </w:rPr>
        <w:t>的资产支持证券，本基金持有资产支持证券期间，如果其信用等级下降、不再符合投资标准，应在评级报告发布之日起</w:t>
      </w:r>
      <w:r>
        <w:rPr>
          <w:rFonts w:hint="eastAsia"/>
          <w:color w:val="000000"/>
          <w:sz w:val="28"/>
        </w:rPr>
        <w:t>3</w:t>
      </w:r>
      <w:r>
        <w:rPr>
          <w:rFonts w:hAnsi="宋体" w:hint="eastAsia"/>
          <w:color w:val="000000"/>
          <w:sz w:val="28"/>
        </w:rPr>
        <w:t>个月内予以全部卖出；</w:t>
      </w:r>
    </w:p>
    <w:p w:rsidR="008053E8">
      <w:pPr>
        <w:adjustRightInd w:val="0"/>
        <w:snapToGrid w:val="0"/>
        <w:spacing w:line="360" w:lineRule="auto"/>
        <w:ind w:firstLine="560" w:firstLineChars="200"/>
        <w:rPr>
          <w:rFonts w:hAnsi="宋体"/>
          <w:color w:val="000000"/>
          <w:sz w:val="28"/>
        </w:rPr>
      </w:pPr>
      <w:r>
        <w:rPr>
          <w:color w:val="000000"/>
          <w:sz w:val="28"/>
        </w:rPr>
        <w:t>10</w:t>
      </w:r>
      <w:r>
        <w:rPr>
          <w:rFonts w:hAnsi="宋体" w:hint="eastAsia"/>
          <w:color w:val="000000"/>
          <w:sz w:val="28"/>
        </w:rPr>
        <w:t>、本基金主动投资于流动性受限资产的市值合计不得超过该基金资产净值的</w:t>
      </w:r>
      <w:r>
        <w:rPr>
          <w:rFonts w:hAnsi="宋体" w:hint="eastAsia"/>
          <w:color w:val="000000"/>
          <w:sz w:val="28"/>
        </w:rPr>
        <w:t>15%</w:t>
      </w:r>
      <w:r>
        <w:rPr>
          <w:rFonts w:hAnsi="宋体" w:hint="eastAsia"/>
          <w:color w:val="000000"/>
          <w:sz w:val="28"/>
        </w:rPr>
        <w:t>。</w:t>
      </w:r>
    </w:p>
    <w:p w:rsidR="008053E8">
      <w:pPr>
        <w:adjustRightInd w:val="0"/>
        <w:snapToGrid w:val="0"/>
        <w:spacing w:line="360" w:lineRule="auto"/>
        <w:ind w:firstLine="560" w:firstLineChars="200"/>
        <w:rPr>
          <w:rFonts w:hAnsi="宋体"/>
          <w:color w:val="000000"/>
          <w:sz w:val="28"/>
        </w:rPr>
      </w:pPr>
      <w:r>
        <w:rPr>
          <w:rFonts w:hAnsi="宋体" w:hint="eastAsia"/>
          <w:color w:val="000000"/>
          <w:sz w:val="28"/>
        </w:rPr>
        <w:t>因证券市场波动、证券停牌、基金规模变动等基金管理人之外的因素致使基金不符合前款所规定比例限制的，基金管理人不得主动新增流动性受限资产的投资</w:t>
      </w:r>
      <w:r>
        <w:rPr>
          <w:rFonts w:hAnsi="宋体"/>
          <w:color w:val="000000"/>
          <w:sz w:val="28"/>
        </w:rPr>
        <w:t>；</w:t>
      </w:r>
    </w:p>
    <w:p w:rsidR="008053E8">
      <w:pPr>
        <w:adjustRightInd w:val="0"/>
        <w:snapToGrid w:val="0"/>
        <w:spacing w:line="360" w:lineRule="auto"/>
        <w:ind w:firstLine="560" w:firstLineChars="200"/>
        <w:rPr>
          <w:rFonts w:hAnsi="宋体"/>
          <w:color w:val="000000"/>
          <w:sz w:val="28"/>
        </w:rPr>
      </w:pPr>
      <w:r>
        <w:rPr>
          <w:rFonts w:hAnsi="宋体"/>
          <w:color w:val="000000"/>
          <w:sz w:val="28"/>
        </w:rPr>
        <w:t>11</w:t>
      </w:r>
      <w:r>
        <w:rPr>
          <w:rFonts w:hAnsi="宋体" w:hint="eastAsia"/>
          <w:color w:val="000000"/>
          <w:sz w:val="28"/>
        </w:rPr>
        <w:t>、本基金与私募类证券资管产品及中国证监会认定的其他主体为交易对手开展逆回购交易的，可接受质押品的资质要求应当与基金合同约定的投资范围保持一致</w:t>
      </w:r>
      <w:r>
        <w:rPr>
          <w:rFonts w:hAnsi="宋体"/>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12</w:t>
      </w:r>
      <w:r>
        <w:rPr>
          <w:rFonts w:hAnsi="宋体"/>
          <w:color w:val="000000"/>
          <w:sz w:val="28"/>
        </w:rPr>
        <w:t>、</w:t>
      </w:r>
      <w:r>
        <w:rPr>
          <w:rFonts w:hAnsi="宋体" w:hint="eastAsia"/>
          <w:color w:val="000000"/>
          <w:sz w:val="28"/>
        </w:rPr>
        <w:t>本基金资产投资不得违反法律法规、监管部门及基金合同规定的其他比例限制。</w:t>
      </w:r>
    </w:p>
    <w:p w:rsidR="008053E8">
      <w:pPr>
        <w:adjustRightInd w:val="0"/>
        <w:snapToGrid w:val="0"/>
        <w:spacing w:line="360" w:lineRule="auto"/>
        <w:ind w:firstLine="560" w:firstLineChars="200"/>
        <w:rPr>
          <w:color w:val="000000"/>
          <w:sz w:val="28"/>
        </w:rPr>
      </w:pPr>
      <w:r>
        <w:rPr>
          <w:rFonts w:hAnsi="宋体" w:hint="eastAsia"/>
          <w:color w:val="000000"/>
          <w:sz w:val="28"/>
        </w:rPr>
        <w:t>除上述</w:t>
      </w:r>
      <w:r>
        <w:rPr>
          <w:rFonts w:hAnsi="宋体"/>
          <w:color w:val="000000"/>
          <w:sz w:val="28"/>
        </w:rPr>
        <w:t>2</w:t>
      </w:r>
      <w:r>
        <w:rPr>
          <w:rFonts w:hAnsi="宋体" w:hint="eastAsia"/>
          <w:color w:val="000000"/>
          <w:sz w:val="28"/>
        </w:rPr>
        <w:t>、</w:t>
      </w:r>
      <w:r>
        <w:rPr>
          <w:rFonts w:hAnsi="宋体"/>
          <w:color w:val="000000"/>
          <w:sz w:val="28"/>
        </w:rPr>
        <w:t>9</w:t>
      </w:r>
      <w:r>
        <w:rPr>
          <w:rFonts w:hAnsi="宋体" w:hint="eastAsia"/>
          <w:color w:val="000000"/>
          <w:sz w:val="28"/>
        </w:rPr>
        <w:t>、</w:t>
      </w:r>
      <w:r>
        <w:rPr>
          <w:rFonts w:hAnsi="宋体"/>
          <w:color w:val="000000"/>
          <w:sz w:val="28"/>
        </w:rPr>
        <w:t>10</w:t>
      </w:r>
      <w:r>
        <w:rPr>
          <w:rFonts w:hAnsi="宋体" w:hint="eastAsia"/>
          <w:color w:val="000000"/>
          <w:sz w:val="28"/>
        </w:rPr>
        <w:t>、</w:t>
      </w:r>
      <w:r>
        <w:rPr>
          <w:rFonts w:hAnsi="宋体"/>
          <w:color w:val="000000"/>
          <w:sz w:val="28"/>
        </w:rPr>
        <w:t>11</w:t>
      </w:r>
      <w:r>
        <w:rPr>
          <w:rFonts w:hAnsi="宋体" w:hint="eastAsia"/>
          <w:color w:val="000000"/>
          <w:sz w:val="28"/>
        </w:rPr>
        <w:t>以外，因证券市场波动、上市公司合并、基金规模变动等基金管理人之外的因素致使基金投资比例不符合上述规定投资比例的，基金管理人应当在</w:t>
      </w:r>
      <w:r>
        <w:rPr>
          <w:rFonts w:hint="eastAsia"/>
          <w:color w:val="000000"/>
          <w:sz w:val="28"/>
        </w:rPr>
        <w:t>10</w:t>
      </w:r>
      <w:r>
        <w:rPr>
          <w:rFonts w:hAnsi="宋体" w:hint="eastAsia"/>
          <w:color w:val="000000"/>
          <w:sz w:val="28"/>
        </w:rPr>
        <w:t>个交易日内进行调整，以达到上述标准。法律、法规另有规定时，从其规定。如果法律法规对上述投资比例限制进行变更的，以变更后的规定为准。如法律法规或监管部门取消上述限制，且适用于本基金，则本基金投资不再受相关限制，不需要经基金份额持有人大会审议。</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基金管理人应当自基金合同生效之日起</w:t>
      </w:r>
      <w:r>
        <w:rPr>
          <w:rFonts w:hint="eastAsia"/>
          <w:color w:val="000000"/>
          <w:sz w:val="28"/>
        </w:rPr>
        <w:t>6</w:t>
      </w:r>
      <w:r>
        <w:rPr>
          <w:rFonts w:hAnsi="宋体" w:hint="eastAsia"/>
          <w:color w:val="000000"/>
          <w:sz w:val="28"/>
        </w:rPr>
        <w:t>个月内使基金的投资组合比例符合基金合同的有关约定。基金托管人对基金的投资的监督与检查自基金合同生效之日起开始。</w:t>
      </w:r>
    </w:p>
    <w:p w:rsidR="008053E8">
      <w:pPr>
        <w:adjustRightInd w:val="0"/>
        <w:snapToGrid w:val="0"/>
        <w:spacing w:line="360" w:lineRule="auto"/>
        <w:ind w:firstLine="560" w:firstLineChars="200"/>
        <w:rPr>
          <w:color w:val="000000"/>
          <w:sz w:val="28"/>
        </w:rPr>
      </w:pPr>
      <w:r>
        <w:rPr>
          <w:rFonts w:hAnsi="宋体"/>
          <w:color w:val="000000"/>
          <w:sz w:val="28"/>
        </w:rPr>
        <w:t>（三）基金托管人</w:t>
      </w:r>
      <w:bookmarkStart w:id="4" w:name="OLE_LINK1"/>
      <w:r>
        <w:rPr>
          <w:rFonts w:hAnsi="宋体"/>
          <w:color w:val="000000"/>
          <w:sz w:val="28"/>
        </w:rPr>
        <w:t>根据有关法律法规的规定及基金合同的约定，</w:t>
      </w:r>
      <w:bookmarkEnd w:id="4"/>
      <w:r>
        <w:rPr>
          <w:rFonts w:hAnsi="宋体"/>
          <w:color w:val="000000"/>
          <w:sz w:val="28"/>
        </w:rPr>
        <w:t>对本协议</w:t>
      </w:r>
      <w:r>
        <w:rPr>
          <w:rFonts w:hAnsi="宋体"/>
          <w:color w:val="000000"/>
          <w:sz w:val="28"/>
        </w:rPr>
        <w:t>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w:t>
      </w:r>
      <w:r>
        <w:rPr>
          <w:rFonts w:hAnsi="宋体" w:hint="eastAsia"/>
          <w:color w:val="000000"/>
          <w:sz w:val="28"/>
        </w:rPr>
        <w:t>及有关关联方交易证券名单。基金管理人和基金托管人有责任确保关联交易名单的真实性、准确性、完整性，并负责及时将更新后的名单发送给对方。</w:t>
      </w:r>
    </w:p>
    <w:p w:rsidR="008053E8">
      <w:pPr>
        <w:adjustRightInd w:val="0"/>
        <w:snapToGrid w:val="0"/>
        <w:spacing w:line="360" w:lineRule="auto"/>
        <w:ind w:firstLine="560" w:firstLineChars="200"/>
        <w:rPr>
          <w:color w:val="000000"/>
          <w:sz w:val="28"/>
        </w:rPr>
      </w:pPr>
      <w:r>
        <w:rPr>
          <w:rFonts w:hAnsi="宋体" w:hint="eastAsia"/>
          <w:color w:val="000000"/>
          <w:sz w:val="28"/>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w:t>
      </w:r>
      <w:r>
        <w:rPr>
          <w:rFonts w:hAnsi="宋体" w:hint="eastAsia"/>
          <w:sz w:val="28"/>
        </w:rPr>
        <w:t>严格遵循了监督流程仍</w:t>
      </w:r>
      <w:r>
        <w:rPr>
          <w:rFonts w:hAnsi="宋体" w:hint="eastAsia"/>
          <w:color w:val="000000"/>
          <w:sz w:val="28"/>
        </w:rPr>
        <w:t>无法阻止该关联交易的发生，而只能</w:t>
      </w:r>
      <w:r>
        <w:rPr>
          <w:rFonts w:hAnsi="宋体" w:hint="eastAsia"/>
          <w:sz w:val="28"/>
        </w:rPr>
        <w:t>按相关法律法规和交易所规则</w:t>
      </w:r>
      <w:r>
        <w:rPr>
          <w:rFonts w:hAnsi="宋体" w:hint="eastAsia"/>
          <w:color w:val="000000"/>
          <w:sz w:val="28"/>
        </w:rPr>
        <w:t>进行事后结算，则基金托管人不承担由此造成的损失，并应向中国证监会报告。</w:t>
      </w:r>
    </w:p>
    <w:p w:rsidR="008053E8">
      <w:pPr>
        <w:adjustRightInd w:val="0"/>
        <w:snapToGrid w:val="0"/>
        <w:spacing w:line="360" w:lineRule="auto"/>
        <w:ind w:firstLine="420"/>
        <w:rPr>
          <w:color w:val="000000"/>
          <w:sz w:val="28"/>
        </w:rPr>
      </w:pPr>
      <w:r>
        <w:rPr>
          <w:rFonts w:hAnsi="宋体"/>
          <w:color w:val="000000"/>
          <w:sz w:val="28"/>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hAnsi="宋体" w:hint="eastAsia"/>
          <w:color w:val="000000"/>
          <w:sz w:val="28"/>
        </w:rPr>
        <w:t>，并约定各交易对手所适用的交易结算方式</w:t>
      </w:r>
      <w:r>
        <w:rPr>
          <w:rFonts w:hAnsi="宋体"/>
          <w:color w:val="000000"/>
          <w:sz w:val="28"/>
        </w:rPr>
        <w:t>。基金托管人监督基金管理人是否按事前提供的银行间债券市场交易对手名单进行交易。</w:t>
      </w:r>
      <w:r>
        <w:rPr>
          <w:rFonts w:hAnsi="宋体" w:hint="eastAsia"/>
          <w:color w:val="000000"/>
          <w:sz w:val="28"/>
        </w:rPr>
        <w:t>如交易对手名单确需更新，</w:t>
      </w:r>
      <w:r>
        <w:rPr>
          <w:rFonts w:hAnsi="宋体"/>
          <w:color w:val="000000"/>
          <w:sz w:val="28"/>
        </w:rPr>
        <w:t>基金管理人可以每半年对银行间债券市场交易对手名单进行更新，如基金管理人根据市场情况需要临时调整银行间债券市场交易对手名单，应向基金托管人说明理由，在与交易对手发生交易前与基金托管人协商解决。</w:t>
      </w:r>
      <w:r>
        <w:rPr>
          <w:rFonts w:hAnsi="宋体" w:hint="eastAsia"/>
          <w:color w:val="000000"/>
          <w:sz w:val="28"/>
        </w:rPr>
        <w:t>基金管理人收到基金托管人书面确认后，被确认调整的名单开始生效，新名单生效前已与本次剔除的交易对手所进行但尚未结算的交易，仍应按照协议进行结算。</w:t>
      </w:r>
      <w:r>
        <w:rPr>
          <w:rFonts w:hAnsi="宋体"/>
          <w:color w:val="000000"/>
          <w:sz w:val="28"/>
        </w:rPr>
        <w:t>基金管理人负责对交易对手的资信控制，按银行间债券市场的交易规则进行交易，基金托管人则根据银行间债券市场成交单对合同履行情况进行监督</w:t>
      </w:r>
      <w:r>
        <w:rPr>
          <w:rFonts w:hAnsi="宋体" w:hint="eastAsia"/>
          <w:color w:val="000000"/>
          <w:sz w:val="28"/>
        </w:rPr>
        <w:t>，但不承担交易对手</w:t>
      </w:r>
      <w:r>
        <w:rPr>
          <w:rFonts w:hAnsi="宋体" w:hint="eastAsia"/>
          <w:color w:val="000000"/>
          <w:sz w:val="28"/>
        </w:rPr>
        <w:t>不履行合同造成的损失。如基金托管人事后发现基金管理人没有按照事先约定的交易对手或交易方式进行交易时，基金托管人应及时提醒基金管理人，在履行了本协议约定的监督程序的前提下，基金托管人不承担由此造成的任何损失和责任</w:t>
      </w:r>
      <w:r>
        <w:rPr>
          <w:rFonts w:hAnsi="宋体"/>
          <w:color w:val="000000"/>
          <w:sz w:val="28"/>
        </w:rPr>
        <w:t>。</w:t>
      </w:r>
    </w:p>
    <w:p w:rsidR="008053E8">
      <w:pPr>
        <w:pStyle w:val="CharCharChar1"/>
        <w:spacing w:line="360" w:lineRule="auto"/>
        <w:ind w:firstLine="560" w:firstLineChars="200"/>
        <w:rPr>
          <w:sz w:val="28"/>
        </w:rPr>
      </w:pPr>
      <w:r>
        <w:rPr>
          <w:rFonts w:hAnsi="宋体" w:hint="eastAsia"/>
          <w:sz w:val="28"/>
        </w:rPr>
        <w:t>（五）</w:t>
      </w:r>
      <w:r>
        <w:rPr>
          <w:rFonts w:hAnsi="宋体"/>
          <w:sz w:val="28"/>
        </w:rPr>
        <w:t>基金托管人根据有关法律法规的规定及基金合同的约定，</w:t>
      </w:r>
      <w:r>
        <w:rPr>
          <w:rFonts w:hAnsi="宋体" w:hint="eastAsia"/>
          <w:sz w:val="28"/>
        </w:rPr>
        <w:t>对基金管理人选择存款银行进行监督。</w:t>
      </w:r>
    </w:p>
    <w:p w:rsidR="008053E8">
      <w:pPr>
        <w:adjustRightInd w:val="0"/>
        <w:snapToGrid w:val="0"/>
        <w:spacing w:line="360" w:lineRule="auto"/>
        <w:ind w:firstLine="560" w:firstLineChars="200"/>
        <w:rPr>
          <w:color w:val="000000"/>
          <w:sz w:val="28"/>
        </w:rPr>
      </w:pPr>
      <w:r>
        <w:rPr>
          <w:rFonts w:hAnsi="宋体" w:hint="eastAsia"/>
          <w:color w:val="000000"/>
          <w:sz w:val="28"/>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8053E8">
      <w:pPr>
        <w:adjustRightInd w:val="0"/>
        <w:snapToGrid w:val="0"/>
        <w:spacing w:line="360" w:lineRule="auto"/>
        <w:ind w:firstLine="560" w:firstLineChars="200"/>
        <w:rPr>
          <w:color w:val="000000"/>
          <w:sz w:val="28"/>
        </w:rPr>
      </w:pPr>
      <w:r>
        <w:rPr>
          <w:rFonts w:hAnsi="宋体" w:hint="eastAsia"/>
          <w:color w:val="000000"/>
          <w:sz w:val="28"/>
        </w:rPr>
        <w:t>本基金投资银行存款应符合如下规定：</w:t>
      </w:r>
    </w:p>
    <w:p w:rsidR="008053E8">
      <w:pPr>
        <w:adjustRightInd w:val="0"/>
        <w:snapToGrid w:val="0"/>
        <w:spacing w:line="360" w:lineRule="auto"/>
        <w:ind w:firstLine="560" w:firstLineChars="200"/>
        <w:rPr>
          <w:color w:val="000000"/>
          <w:sz w:val="28"/>
        </w:rPr>
      </w:pPr>
      <w:r>
        <w:rPr>
          <w:rFonts w:hint="eastAsia"/>
          <w:color w:val="000000"/>
          <w:sz w:val="28"/>
        </w:rPr>
        <w:t>1</w:t>
      </w:r>
      <w:r>
        <w:rPr>
          <w:rFonts w:hAnsi="宋体" w:hint="eastAsia"/>
          <w:color w:val="000000"/>
          <w:sz w:val="28"/>
        </w:rPr>
        <w:t>、基金管理人、基金托管人应当与存款银行建立定期对账机制，确保基金银行存款业务账目及核算的真实、准确。</w:t>
      </w:r>
    </w:p>
    <w:p w:rsidR="008053E8">
      <w:pPr>
        <w:adjustRightInd w:val="0"/>
        <w:snapToGrid w:val="0"/>
        <w:spacing w:line="360" w:lineRule="auto"/>
        <w:ind w:firstLine="560" w:firstLineChars="200"/>
        <w:rPr>
          <w:color w:val="000000"/>
          <w:sz w:val="28"/>
        </w:rPr>
      </w:pPr>
      <w:r>
        <w:rPr>
          <w:rFonts w:hint="eastAsia"/>
          <w:color w:val="000000"/>
          <w:sz w:val="28"/>
        </w:rPr>
        <w:t>2</w:t>
      </w:r>
      <w:r>
        <w:rPr>
          <w:rFonts w:hAnsi="宋体" w:hint="eastAsia"/>
          <w:color w:val="000000"/>
          <w:sz w:val="28"/>
        </w:rPr>
        <w:t>、基金托管人应加强对基金银行存款业务的监督与核查，严格审查、复核相关协议、账户资料、投资指令、存款证实书等有关文件，切实履行托管职责。</w:t>
      </w:r>
    </w:p>
    <w:p w:rsidR="008053E8">
      <w:pPr>
        <w:adjustRightInd w:val="0"/>
        <w:snapToGrid w:val="0"/>
        <w:spacing w:line="360" w:lineRule="auto"/>
        <w:ind w:firstLine="560" w:firstLineChars="200"/>
        <w:rPr>
          <w:color w:val="000000"/>
          <w:sz w:val="28"/>
        </w:rPr>
      </w:pPr>
      <w:r>
        <w:rPr>
          <w:rFonts w:hint="eastAsia"/>
          <w:color w:val="000000"/>
          <w:sz w:val="28"/>
        </w:rPr>
        <w:t>3</w:t>
      </w:r>
      <w:r>
        <w:rPr>
          <w:rFonts w:hAnsi="宋体" w:hint="eastAsia"/>
          <w:color w:val="000000"/>
          <w:sz w:val="28"/>
        </w:rPr>
        <w:t>、基金管理人与基金托管人在开展基金存款业务时，应严格遵守《基金法》、《运作办法》等有关法律法规，以及国家有关账户管理、利率管理、支付结算等的各项规定。</w:t>
      </w:r>
    </w:p>
    <w:p w:rsidR="008053E8">
      <w:pPr>
        <w:adjustRightInd w:val="0"/>
        <w:snapToGrid w:val="0"/>
        <w:spacing w:line="360" w:lineRule="auto"/>
        <w:ind w:firstLine="560" w:firstLineChars="200"/>
        <w:rPr>
          <w:color w:val="000000"/>
          <w:sz w:val="28"/>
        </w:rPr>
      </w:pPr>
      <w:r>
        <w:rPr>
          <w:rFonts w:hAnsi="宋体" w:hint="eastAsia"/>
          <w:color w:val="000000"/>
          <w:sz w:val="28"/>
        </w:rPr>
        <w:t>基金托管人发现基金管理人在选择存款银行时有违反有关法律法规的规定及基金合同的约定的行为，应及时以书面形式通知基金管理人在</w:t>
      </w:r>
      <w:r>
        <w:rPr>
          <w:rFonts w:hint="eastAsia"/>
          <w:color w:val="000000"/>
          <w:sz w:val="28"/>
        </w:rPr>
        <w:t>10</w:t>
      </w:r>
      <w:r>
        <w:rPr>
          <w:rFonts w:hAnsi="宋体" w:hint="eastAsia"/>
          <w:color w:val="000000"/>
          <w:sz w:val="28"/>
        </w:rPr>
        <w:t>个工作日内纠正。基金管理人对基金托管人通知的违规事项未能在</w:t>
      </w:r>
      <w:r>
        <w:rPr>
          <w:rFonts w:hint="eastAsia"/>
          <w:color w:val="000000"/>
          <w:sz w:val="28"/>
        </w:rPr>
        <w:t>10</w:t>
      </w:r>
      <w:r>
        <w:rPr>
          <w:rFonts w:hAnsi="宋体" w:hint="eastAsia"/>
          <w:color w:val="000000"/>
          <w:sz w:val="28"/>
        </w:rPr>
        <w:t>个工作日内纠正的，基金托管人应报告中国证监会。基金托管人发现基金管理人有重大违规行为，应立即报告中国证监会，同时通知基金管理人在</w:t>
      </w:r>
      <w:r>
        <w:rPr>
          <w:rFonts w:hint="eastAsia"/>
          <w:color w:val="000000"/>
          <w:sz w:val="28"/>
        </w:rPr>
        <w:t>10</w:t>
      </w:r>
      <w:r>
        <w:rPr>
          <w:rFonts w:hAnsi="宋体" w:hint="eastAsia"/>
          <w:color w:val="000000"/>
          <w:sz w:val="28"/>
        </w:rPr>
        <w:t>个工作日内纠正或拒绝结算。</w:t>
      </w:r>
    </w:p>
    <w:p w:rsidR="008053E8">
      <w:pPr>
        <w:adjustRightInd w:val="0"/>
        <w:snapToGrid w:val="0"/>
        <w:spacing w:line="360" w:lineRule="auto"/>
        <w:ind w:firstLine="560" w:firstLineChars="200"/>
        <w:rPr>
          <w:color w:val="000000"/>
          <w:sz w:val="28"/>
        </w:rPr>
      </w:pPr>
      <w:r>
        <w:rPr>
          <w:rFonts w:hAnsi="宋体"/>
          <w:color w:val="000000"/>
          <w:sz w:val="28"/>
        </w:rPr>
        <w:t>（</w:t>
      </w:r>
      <w:r>
        <w:rPr>
          <w:rFonts w:hAnsi="宋体" w:hint="eastAsia"/>
          <w:color w:val="000000"/>
          <w:sz w:val="28"/>
        </w:rPr>
        <w:t>六</w:t>
      </w:r>
      <w:r>
        <w:rPr>
          <w:rFonts w:hAnsi="宋体"/>
          <w:color w:val="000000"/>
          <w:sz w:val="28"/>
        </w:rPr>
        <w:t>）基金托管人根据有关法律法规的规定及基金合同的约定，对基金资产净值计算、基金份额净值计算、应收资金到账、基金费用开支及收入确定、基金收益分配、相关信息披露、基金宣传推介材料中登载基金业绩表现数据等</w:t>
      </w:r>
      <w:r>
        <w:rPr>
          <w:rFonts w:hAnsi="宋体"/>
          <w:color w:val="000000"/>
          <w:sz w:val="28"/>
        </w:rPr>
        <w:t>进行监督和核查。</w:t>
      </w:r>
    </w:p>
    <w:p w:rsidR="008053E8">
      <w:pPr>
        <w:adjustRightInd w:val="0"/>
        <w:snapToGrid w:val="0"/>
        <w:spacing w:line="360" w:lineRule="auto"/>
        <w:ind w:firstLine="560" w:firstLineChars="200"/>
        <w:rPr>
          <w:color w:val="000000"/>
          <w:sz w:val="28"/>
        </w:rPr>
      </w:pPr>
      <w:r>
        <w:rPr>
          <w:rFonts w:hAnsi="宋体" w:hint="eastAsia"/>
          <w:color w:val="000000"/>
          <w:sz w:val="28"/>
        </w:rPr>
        <w:t>如果基金管理人未经基金托管人的审核擅自将不实的业绩表现数据印制在宣传推介材料上，则基金托管人对此不承担任何责任，并将在发现后立即报告中国证监会。</w:t>
      </w:r>
    </w:p>
    <w:p w:rsidR="008053E8">
      <w:pPr>
        <w:pStyle w:val="CharCharChar1"/>
        <w:spacing w:line="360" w:lineRule="auto"/>
        <w:ind w:firstLine="560" w:firstLineChars="200"/>
        <w:rPr>
          <w:sz w:val="28"/>
        </w:rPr>
      </w:pPr>
      <w:r>
        <w:rPr>
          <w:rFonts w:hAnsi="宋体" w:hint="eastAsia"/>
          <w:sz w:val="28"/>
        </w:rPr>
        <w:t>（七）基金托管人</w:t>
      </w:r>
      <w:r>
        <w:rPr>
          <w:rFonts w:hAnsi="宋体"/>
          <w:sz w:val="28"/>
        </w:rPr>
        <w:t>根据有关法律法规的规定及基金合同的约定</w:t>
      </w:r>
      <w:r>
        <w:rPr>
          <w:rFonts w:hAnsi="宋体" w:hint="eastAsia"/>
          <w:sz w:val="28"/>
        </w:rPr>
        <w:t>，对基金投资流通受限证券进行监督。</w:t>
      </w:r>
    </w:p>
    <w:p w:rsidR="008053E8">
      <w:pPr>
        <w:pStyle w:val="CharCharChar1"/>
        <w:spacing w:line="360" w:lineRule="auto"/>
        <w:ind w:firstLine="560" w:firstLineChars="200"/>
        <w:rPr>
          <w:sz w:val="28"/>
        </w:rPr>
      </w:pPr>
      <w:r>
        <w:rPr>
          <w:rFonts w:hint="eastAsia"/>
          <w:sz w:val="28"/>
        </w:rPr>
        <w:t>1</w:t>
      </w:r>
      <w:r>
        <w:rPr>
          <w:rFonts w:hAnsi="宋体" w:hint="eastAsia"/>
          <w:sz w:val="28"/>
        </w:rPr>
        <w:t>、基金投资流通受限证券，应遵守《关于基金投资非公开发行股票等流通受限证券有关问题的通知》等有关法律法规规定。</w:t>
      </w:r>
    </w:p>
    <w:p w:rsidR="008053E8">
      <w:pPr>
        <w:pStyle w:val="CharCharChar1"/>
        <w:spacing w:line="360" w:lineRule="auto"/>
        <w:ind w:firstLine="560" w:firstLineChars="200"/>
        <w:rPr>
          <w:sz w:val="28"/>
        </w:rPr>
      </w:pPr>
      <w:r>
        <w:rPr>
          <w:rFonts w:hint="eastAsia"/>
          <w:sz w:val="28"/>
        </w:rPr>
        <w:t>2</w:t>
      </w:r>
      <w:r>
        <w:rPr>
          <w:rFonts w:hAnsi="宋体" w:hint="eastAsia"/>
          <w:sz w:val="28"/>
        </w:rPr>
        <w:t>、流通受限证券，包括由《上市公司证券发行注册管理办法》规范的非公开发行股票、公开发行股票网下配售部分等在发行时明确一定期限锁定期的可交易证券</w:t>
      </w:r>
      <w:r>
        <w:rPr>
          <w:rFonts w:hint="eastAsia"/>
          <w:sz w:val="28"/>
        </w:rPr>
        <w:t>,</w:t>
      </w:r>
      <w:r>
        <w:rPr>
          <w:rFonts w:hAnsi="宋体" w:hint="eastAsia"/>
          <w:sz w:val="28"/>
        </w:rPr>
        <w:t>不包括由于发布重大消息或其他原因而临时停牌的证券、已发行未上市证券、回购交易中的质押券等流通受限证券。</w:t>
      </w:r>
    </w:p>
    <w:p w:rsidR="008053E8">
      <w:pPr>
        <w:pStyle w:val="CharCharChar1"/>
        <w:spacing w:line="360" w:lineRule="auto"/>
        <w:ind w:firstLine="560" w:firstLineChars="200"/>
        <w:rPr>
          <w:sz w:val="28"/>
        </w:rPr>
      </w:pPr>
      <w:r>
        <w:rPr>
          <w:rFonts w:hint="eastAsia"/>
          <w:sz w:val="28"/>
        </w:rPr>
        <w:t>3</w:t>
      </w:r>
      <w:r>
        <w:rPr>
          <w:rFonts w:hAnsi="宋体" w:hint="eastAsia"/>
          <w:sz w:val="28"/>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8053E8">
      <w:pPr>
        <w:pStyle w:val="CharCharChar1"/>
        <w:spacing w:line="360" w:lineRule="auto"/>
        <w:ind w:firstLine="560" w:firstLineChars="200"/>
        <w:rPr>
          <w:sz w:val="28"/>
        </w:rPr>
      </w:pPr>
      <w:r>
        <w:rPr>
          <w:rFonts w:hint="eastAsia"/>
          <w:sz w:val="28"/>
        </w:rPr>
        <w:t>4.</w:t>
      </w:r>
      <w:r>
        <w:rPr>
          <w:rFonts w:hAnsi="宋体" w:hint="eastAsia"/>
          <w:sz w:val="28"/>
        </w:rPr>
        <w:t>在投资流通受限证券之前，基金管理人应至少提前一个交易日向基金托管人提供有关流通受限证券的相关信息，具体应当包括但不限于如下文件（如有）：</w:t>
      </w:r>
    </w:p>
    <w:p w:rsidR="008053E8">
      <w:pPr>
        <w:pStyle w:val="CharCharChar1"/>
        <w:spacing w:line="360" w:lineRule="auto"/>
        <w:ind w:firstLine="560" w:firstLineChars="200"/>
        <w:rPr>
          <w:sz w:val="28"/>
        </w:rPr>
      </w:pPr>
      <w:r>
        <w:rPr>
          <w:rFonts w:hAnsi="宋体" w:hint="eastAsia"/>
          <w:sz w:val="28"/>
        </w:rPr>
        <w:t>拟发行数量、定价依据、监管机构的批准证明文件复印件、基金管理人与承销商签订的销售协议复印件、缴款通知书、基金拟认购的数量、价格、总成本、划款账号、划款金额、划款时间文件等。基金管理人应保证上述信息的真</w:t>
      </w:r>
      <w:r>
        <w:rPr>
          <w:rFonts w:hAnsi="宋体" w:hint="eastAsia"/>
          <w:sz w:val="28"/>
        </w:rPr>
        <w:t>实、完整，若信息确不适用或在基金管理人提交时确无法取得，基金管理人应同时向基金托管人说明原因。</w:t>
      </w:r>
    </w:p>
    <w:p w:rsidR="008053E8">
      <w:pPr>
        <w:pStyle w:val="Char"/>
        <w:spacing w:line="360" w:lineRule="auto"/>
        <w:ind w:firstLine="560" w:firstLineChars="200"/>
        <w:rPr>
          <w:sz w:val="28"/>
        </w:rPr>
      </w:pPr>
      <w:r>
        <w:rPr>
          <w:rFonts w:hint="eastAsia"/>
          <w:sz w:val="28"/>
        </w:rPr>
        <w:t>5.</w:t>
      </w:r>
      <w:r>
        <w:rPr>
          <w:rFonts w:hAnsi="宋体"/>
          <w:sz w:val="28"/>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053E8">
      <w:pPr>
        <w:pStyle w:val="Char"/>
        <w:spacing w:line="360" w:lineRule="auto"/>
        <w:ind w:firstLine="560" w:firstLineChars="200"/>
        <w:rPr>
          <w:sz w:val="28"/>
        </w:rPr>
      </w:pPr>
      <w:r>
        <w:rPr>
          <w:rFonts w:hint="eastAsia"/>
          <w:sz w:val="28"/>
        </w:rPr>
        <w:t>6.</w:t>
      </w:r>
      <w:r>
        <w:rPr>
          <w:rFonts w:hAnsi="宋体" w:hint="eastAsia"/>
          <w:sz w:val="28"/>
        </w:rPr>
        <w:t>基金管理人应保证基金投资的受限证券登记存管在本基金名下，并确保基金托管人能够正常查询。因基金管理人原因产生的受限证券登记存管问题，造成基金财产的损失或基金托管人无法安全保管基金财产的责任与损失，由基金管理人承担。</w:t>
      </w:r>
    </w:p>
    <w:p w:rsidR="008053E8">
      <w:pPr>
        <w:pStyle w:val="CharCharChar1"/>
        <w:spacing w:line="360" w:lineRule="auto"/>
        <w:ind w:firstLine="560" w:firstLineChars="200"/>
        <w:rPr>
          <w:sz w:val="28"/>
        </w:rPr>
      </w:pPr>
      <w:r>
        <w:rPr>
          <w:rFonts w:hint="eastAsia"/>
          <w:sz w:val="28"/>
        </w:rPr>
        <w:t>7.</w:t>
      </w:r>
      <w:r>
        <w:rPr>
          <w:rFonts w:hAnsi="宋体" w:hint="eastAsia"/>
          <w:sz w:val="28"/>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8053E8">
      <w:pPr>
        <w:adjustRightInd w:val="0"/>
        <w:snapToGrid w:val="0"/>
        <w:spacing w:line="360" w:lineRule="auto"/>
        <w:ind w:firstLine="420" w:firstLineChars="150"/>
        <w:rPr>
          <w:color w:val="000000"/>
          <w:sz w:val="28"/>
        </w:rPr>
      </w:pPr>
      <w:r>
        <w:rPr>
          <w:rFonts w:hAnsi="宋体"/>
          <w:color w:val="000000"/>
          <w:sz w:val="28"/>
        </w:rPr>
        <w:t>（</w:t>
      </w:r>
      <w:r>
        <w:rPr>
          <w:rFonts w:hAnsi="宋体" w:hint="eastAsia"/>
          <w:color w:val="000000"/>
          <w:sz w:val="28"/>
        </w:rPr>
        <w:t>八</w:t>
      </w:r>
      <w:r>
        <w:rPr>
          <w:rFonts w:hAnsi="宋体"/>
          <w:color w:val="000000"/>
          <w:sz w:val="28"/>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color w:val="000000"/>
          <w:sz w:val="28"/>
        </w:rPr>
        <w:t xml:space="preserve">, </w:t>
      </w:r>
      <w:r>
        <w:rPr>
          <w:rFonts w:hAnsi="宋体"/>
          <w:color w:val="000000"/>
          <w:sz w:val="28"/>
        </w:rPr>
        <w:t>基金托管人有权随时对通知事项进行复查</w:t>
      </w:r>
      <w:r>
        <w:rPr>
          <w:color w:val="000000"/>
          <w:sz w:val="28"/>
        </w:rPr>
        <w:t xml:space="preserve">, </w:t>
      </w:r>
      <w:r>
        <w:rPr>
          <w:rFonts w:hAnsi="宋体"/>
          <w:color w:val="000000"/>
          <w:sz w:val="28"/>
        </w:rPr>
        <w:t>督促</w:t>
      </w:r>
      <w:r>
        <w:rPr>
          <w:rFonts w:hAnsi="宋体"/>
          <w:color w:val="000000"/>
          <w:sz w:val="28"/>
        </w:rPr>
        <w:t>基金管理人改正。</w:t>
      </w:r>
      <w:r>
        <w:rPr>
          <w:rFonts w:hAnsi="宋体" w:hint="eastAsia"/>
          <w:color w:val="000000"/>
          <w:sz w:val="28"/>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053E8">
      <w:pPr>
        <w:adjustRightInd w:val="0"/>
        <w:snapToGrid w:val="0"/>
        <w:spacing w:line="360" w:lineRule="auto"/>
        <w:ind w:firstLine="420"/>
        <w:rPr>
          <w:color w:val="000000"/>
          <w:sz w:val="28"/>
        </w:rPr>
      </w:pPr>
      <w:r>
        <w:rPr>
          <w:rFonts w:hAnsi="宋体"/>
          <w:color w:val="000000"/>
          <w:sz w:val="28"/>
        </w:rPr>
        <w:t>（</w:t>
      </w:r>
      <w:r>
        <w:rPr>
          <w:rFonts w:hAnsi="宋体" w:hint="eastAsia"/>
          <w:color w:val="000000"/>
          <w:sz w:val="28"/>
        </w:rPr>
        <w:t>九</w:t>
      </w:r>
      <w:r>
        <w:rPr>
          <w:rFonts w:hAnsi="宋体"/>
          <w:color w:val="000000"/>
          <w:sz w:val="28"/>
        </w:rPr>
        <w:t>）</w:t>
      </w:r>
      <w:r>
        <w:rPr>
          <w:rFonts w:hAnsi="宋体" w:hint="eastAsia"/>
          <w:color w:val="000000"/>
          <w:sz w:val="28"/>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hAnsi="宋体"/>
          <w:color w:val="000000"/>
          <w:sz w:val="28"/>
        </w:rPr>
        <w:t>对基金托管人按照法规要求需向中国证监会报送基金监督报告的事项，基金管理人应积极配合提供相关数据资料和制度等。</w:t>
      </w:r>
    </w:p>
    <w:p w:rsidR="008053E8">
      <w:pPr>
        <w:adjustRightInd w:val="0"/>
        <w:snapToGrid w:val="0"/>
        <w:spacing w:line="360" w:lineRule="auto"/>
        <w:ind w:firstLine="420"/>
        <w:rPr>
          <w:color w:val="000000"/>
          <w:sz w:val="28"/>
        </w:rPr>
      </w:pPr>
      <w:r>
        <w:rPr>
          <w:rFonts w:hAnsi="宋体"/>
          <w:color w:val="000000"/>
          <w:sz w:val="28"/>
        </w:rPr>
        <w:t>（</w:t>
      </w:r>
      <w:r>
        <w:rPr>
          <w:rFonts w:hAnsi="宋体" w:hint="eastAsia"/>
          <w:color w:val="000000"/>
          <w:sz w:val="28"/>
        </w:rPr>
        <w:t>十</w:t>
      </w:r>
      <w:r>
        <w:rPr>
          <w:rFonts w:hAnsi="宋体"/>
          <w:color w:val="000000"/>
          <w:sz w:val="28"/>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8053E8">
      <w:pPr>
        <w:pStyle w:val="CharCharChar1"/>
        <w:spacing w:line="360" w:lineRule="auto"/>
        <w:ind w:firstLine="560" w:firstLineChars="200"/>
        <w:rPr>
          <w:sz w:val="28"/>
        </w:rPr>
      </w:pPr>
    </w:p>
    <w:p w:rsidR="008053E8">
      <w:pPr>
        <w:pStyle w:val="Heading2"/>
        <w:spacing w:line="360" w:lineRule="auto"/>
        <w:jc w:val="center"/>
        <w:rPr>
          <w:rFonts w:ascii="Times New Roman" w:eastAsia="宋体" w:hAnsi="Times New Roman"/>
          <w:color w:val="000000"/>
          <w:sz w:val="28"/>
        </w:rPr>
      </w:pPr>
      <w:bookmarkStart w:id="5" w:name="_Toc86223242"/>
      <w:bookmarkStart w:id="6" w:name="_Toc86225291"/>
      <w:bookmarkStart w:id="7" w:name="_Toc86649722"/>
      <w:bookmarkStart w:id="8" w:name="_Toc86726439"/>
      <w:bookmarkStart w:id="9" w:name="_Toc118212950"/>
      <w:bookmarkStart w:id="10" w:name="_Toc86727355"/>
      <w:bookmarkStart w:id="11" w:name="_Toc118972648"/>
      <w:bookmarkStart w:id="12" w:name="_Toc86737929"/>
      <w:bookmarkStart w:id="13" w:name="_Toc89163368"/>
      <w:bookmarkStart w:id="14" w:name="_Toc108512358"/>
      <w:bookmarkStart w:id="15" w:name="_Toc110761796"/>
      <w:bookmarkStart w:id="16" w:name="_Toc110765660"/>
      <w:bookmarkStart w:id="17" w:name="_Toc110830492"/>
      <w:bookmarkStart w:id="18" w:name="_Toc118774803"/>
      <w:bookmarkStart w:id="19" w:name="_Toc119402710"/>
      <w:bookmarkStart w:id="20" w:name="_Toc120435783"/>
      <w:bookmarkStart w:id="21" w:name="_Toc335661637"/>
      <w:r>
        <w:rPr>
          <w:rFonts w:ascii="Times New Roman" w:eastAsia="宋体" w:hAnsi="宋体"/>
          <w:color w:val="000000"/>
          <w:sz w:val="28"/>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053E8">
      <w:pPr>
        <w:adjustRightInd w:val="0"/>
        <w:snapToGrid w:val="0"/>
        <w:spacing w:line="360" w:lineRule="auto"/>
        <w:ind w:firstLine="420"/>
        <w:rPr>
          <w:color w:val="000000"/>
          <w:sz w:val="28"/>
        </w:rPr>
      </w:pPr>
      <w:r>
        <w:rPr>
          <w:rFonts w:hAnsi="宋体"/>
          <w:color w:val="000000"/>
          <w:sz w:val="28"/>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053E8">
      <w:pPr>
        <w:adjustRightInd w:val="0"/>
        <w:snapToGrid w:val="0"/>
        <w:spacing w:line="360" w:lineRule="auto"/>
        <w:ind w:firstLine="420"/>
        <w:rPr>
          <w:color w:val="000000"/>
          <w:sz w:val="28"/>
        </w:rPr>
      </w:pPr>
      <w:r>
        <w:rPr>
          <w:rFonts w:hAnsi="宋体"/>
          <w:color w:val="000000"/>
          <w:sz w:val="28"/>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w:t>
      </w:r>
      <w:r>
        <w:rPr>
          <w:rFonts w:hAnsi="宋体"/>
          <w:color w:val="000000"/>
          <w:sz w:val="28"/>
        </w:rPr>
        <w:t>以书面形式给基金管理人发出回函，说明违规原因及纠正期限，并保证在规定期限内及时改正。在上述规定期限内，基金管理人有权随时对通知事项进行复查</w:t>
      </w:r>
      <w:r>
        <w:rPr>
          <w:color w:val="000000"/>
          <w:sz w:val="28"/>
        </w:rPr>
        <w:t xml:space="preserve">, </w:t>
      </w:r>
      <w:r>
        <w:rPr>
          <w:rFonts w:hAnsi="宋体"/>
          <w:color w:val="000000"/>
          <w:sz w:val="28"/>
        </w:rPr>
        <w:t>督促基金托管人改正。基金托管人应积极配合基金管理人的核查行为，包括但不限于：提交相关资料以供基金管理人核查托管财产的完整性和真实性，在规定时间内答复基金管理人并改正</w:t>
      </w:r>
      <w:r>
        <w:rPr>
          <w:rFonts w:hAnsi="宋体" w:hint="eastAsia"/>
          <w:color w:val="000000"/>
          <w:sz w:val="28"/>
        </w:rPr>
        <w:t>、就基金管理人的疑义进行解释</w:t>
      </w:r>
      <w:r>
        <w:rPr>
          <w:rFonts w:hAnsi="宋体"/>
          <w:color w:val="000000"/>
          <w:sz w:val="28"/>
        </w:rPr>
        <w:t>。</w:t>
      </w:r>
    </w:p>
    <w:p w:rsidR="008053E8">
      <w:pPr>
        <w:adjustRightInd w:val="0"/>
        <w:snapToGrid w:val="0"/>
        <w:spacing w:line="360" w:lineRule="auto"/>
        <w:ind w:firstLine="420"/>
        <w:rPr>
          <w:color w:val="000000"/>
          <w:sz w:val="28"/>
        </w:rPr>
      </w:pPr>
      <w:r>
        <w:rPr>
          <w:rFonts w:hAnsi="宋体"/>
          <w:color w:val="000000"/>
          <w:sz w:val="28"/>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053E8">
      <w:pPr>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22" w:name="_Toc118212951"/>
      <w:bookmarkStart w:id="23" w:name="_Toc118774804"/>
      <w:bookmarkStart w:id="24" w:name="_Toc86204789"/>
      <w:bookmarkStart w:id="25" w:name="_Toc86223243"/>
      <w:bookmarkStart w:id="26" w:name="_Toc84133786"/>
      <w:bookmarkStart w:id="27" w:name="_Toc84234388"/>
      <w:bookmarkStart w:id="28" w:name="_Toc110765661"/>
      <w:bookmarkStart w:id="29" w:name="_Toc110830493"/>
      <w:bookmarkStart w:id="30" w:name="_Toc108512359"/>
      <w:bookmarkStart w:id="31" w:name="_Toc110761797"/>
      <w:bookmarkStart w:id="32" w:name="_Toc118972649"/>
      <w:bookmarkStart w:id="33" w:name="_Toc119402711"/>
      <w:bookmarkStart w:id="34" w:name="_Toc120435784"/>
      <w:bookmarkStart w:id="35" w:name="_Toc84234435"/>
      <w:bookmarkStart w:id="36" w:name="_Toc86225292"/>
      <w:bookmarkStart w:id="37" w:name="_Toc86649723"/>
      <w:bookmarkStart w:id="38" w:name="_Toc86726440"/>
      <w:bookmarkStart w:id="39" w:name="_Toc86727356"/>
      <w:bookmarkStart w:id="40" w:name="_Toc86737930"/>
      <w:bookmarkStart w:id="41" w:name="_Toc89163369"/>
      <w:bookmarkStart w:id="42" w:name="_Toc335661638"/>
      <w:r>
        <w:rPr>
          <w:rFonts w:ascii="Times New Roman" w:eastAsia="宋体" w:hAnsi="宋体"/>
          <w:color w:val="000000"/>
          <w:sz w:val="28"/>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053E8">
      <w:pPr>
        <w:adjustRightInd w:val="0"/>
        <w:snapToGrid w:val="0"/>
        <w:spacing w:line="360" w:lineRule="auto"/>
        <w:ind w:firstLine="560" w:firstLineChars="200"/>
        <w:rPr>
          <w:color w:val="000000"/>
          <w:sz w:val="28"/>
        </w:rPr>
      </w:pPr>
      <w:r>
        <w:rPr>
          <w:rFonts w:hAnsi="宋体"/>
          <w:color w:val="000000"/>
          <w:sz w:val="28"/>
        </w:rPr>
        <w:t>（一）基金财产保管的原则</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基金财产应独立于基金管理人、基金托管人的固有财产。</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基金托管人应安全保管基金财产。</w:t>
      </w:r>
      <w:r>
        <w:rPr>
          <w:rFonts w:hAnsi="宋体" w:hint="eastAsia"/>
          <w:color w:val="000000"/>
          <w:sz w:val="28"/>
        </w:rPr>
        <w:t>未经基金管理人依据合法程序作出的合法合规指令，基金托管人不得自行运用、处分、分配基金的任何财产。</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基金托管人按照规定开设基金财产的资金账户和证券账户。</w:t>
      </w:r>
    </w:p>
    <w:p w:rsidR="008053E8">
      <w:pPr>
        <w:adjustRightInd w:val="0"/>
        <w:snapToGrid w:val="0"/>
        <w:spacing w:line="360" w:lineRule="auto"/>
        <w:ind w:firstLine="560" w:firstLineChars="200"/>
        <w:rPr>
          <w:color w:val="000000"/>
          <w:sz w:val="28"/>
        </w:rPr>
      </w:pPr>
      <w:r>
        <w:rPr>
          <w:color w:val="000000"/>
          <w:sz w:val="28"/>
        </w:rPr>
        <w:t>4</w:t>
      </w:r>
      <w:r>
        <w:rPr>
          <w:rFonts w:hAnsi="宋体" w:hint="eastAsia"/>
          <w:color w:val="000000"/>
          <w:sz w:val="28"/>
        </w:rPr>
        <w:t>、</w:t>
      </w:r>
      <w:r>
        <w:rPr>
          <w:rFonts w:hAnsi="宋体"/>
          <w:color w:val="000000"/>
          <w:sz w:val="28"/>
        </w:rPr>
        <w:t>基金托管人对所托管的不同基金财产分别设置账户，确保基金财产的完整与独立。</w:t>
      </w:r>
    </w:p>
    <w:p w:rsidR="008053E8">
      <w:pPr>
        <w:adjustRightInd w:val="0"/>
        <w:snapToGrid w:val="0"/>
        <w:spacing w:line="360" w:lineRule="auto"/>
        <w:ind w:firstLine="560" w:firstLineChars="200"/>
        <w:rPr>
          <w:color w:val="000000"/>
          <w:sz w:val="28"/>
        </w:rPr>
      </w:pPr>
      <w:r>
        <w:rPr>
          <w:color w:val="000000"/>
          <w:sz w:val="28"/>
        </w:rPr>
        <w:t>5</w:t>
      </w:r>
      <w:r>
        <w:rPr>
          <w:rFonts w:hAnsi="宋体" w:hint="eastAsia"/>
          <w:color w:val="000000"/>
          <w:sz w:val="28"/>
        </w:rPr>
        <w:t>、</w:t>
      </w:r>
      <w:r>
        <w:rPr>
          <w:rFonts w:hAnsi="宋体"/>
          <w:color w:val="000000"/>
          <w:sz w:val="28"/>
        </w:rPr>
        <w:t>基金托管人根据基金管理人的指令，按照基金合同和本协议的约定保管基金财产，如有特殊情况双方可另行协商解决。</w:t>
      </w:r>
    </w:p>
    <w:p w:rsidR="008053E8">
      <w:pPr>
        <w:adjustRightInd w:val="0"/>
        <w:snapToGrid w:val="0"/>
        <w:spacing w:line="360" w:lineRule="auto"/>
        <w:ind w:firstLine="560" w:firstLineChars="200"/>
        <w:rPr>
          <w:color w:val="000000"/>
          <w:sz w:val="28"/>
        </w:rPr>
      </w:pPr>
      <w:r>
        <w:rPr>
          <w:color w:val="000000"/>
          <w:sz w:val="28"/>
        </w:rPr>
        <w:t>6</w:t>
      </w:r>
      <w:r>
        <w:rPr>
          <w:rFonts w:hAnsi="宋体" w:hint="eastAsia"/>
          <w:color w:val="000000"/>
          <w:sz w:val="28"/>
        </w:rPr>
        <w:t>、</w:t>
      </w:r>
      <w:r>
        <w:rPr>
          <w:rFonts w:hAnsi="宋体"/>
          <w:color w:val="000000"/>
          <w:sz w:val="28"/>
        </w:rPr>
        <w:t>对于因为基金投资产生的应收资产，</w:t>
      </w:r>
      <w:r>
        <w:rPr>
          <w:rFonts w:hAnsi="宋体" w:hint="eastAsia"/>
          <w:color w:val="000000"/>
          <w:sz w:val="28"/>
        </w:rPr>
        <w:t>如基金托管人无法从公开信息获取到账日期信息的，</w:t>
      </w:r>
      <w:r>
        <w:rPr>
          <w:rFonts w:hAnsi="宋体"/>
          <w:color w:val="000000"/>
          <w:sz w:val="28"/>
        </w:rPr>
        <w:t>应由基金管理人负责与有关当事人确定到账日期并通知基金托管人，到账日基金财产没有到达基金账户的，基金托管人应及时通知基金管</w:t>
      </w:r>
      <w:r>
        <w:rPr>
          <w:rFonts w:hAnsi="宋体"/>
          <w:color w:val="000000"/>
          <w:sz w:val="28"/>
        </w:rPr>
        <w:t>理人采取措施进行催收。由此给基金</w:t>
      </w:r>
      <w:r>
        <w:rPr>
          <w:rFonts w:hAnsi="宋体" w:hint="eastAsia"/>
          <w:color w:val="000000"/>
          <w:sz w:val="28"/>
        </w:rPr>
        <w:t>财产</w:t>
      </w:r>
      <w:r>
        <w:rPr>
          <w:rFonts w:hAnsi="宋体"/>
          <w:color w:val="000000"/>
          <w:sz w:val="28"/>
        </w:rPr>
        <w:t>造成损失的，基金托管人对此不承担任何责任。</w:t>
      </w:r>
    </w:p>
    <w:p w:rsidR="008053E8">
      <w:pPr>
        <w:adjustRightInd w:val="0"/>
        <w:snapToGrid w:val="0"/>
        <w:spacing w:line="360" w:lineRule="auto"/>
        <w:ind w:firstLine="560" w:firstLineChars="200"/>
        <w:rPr>
          <w:color w:val="000000"/>
          <w:sz w:val="28"/>
        </w:rPr>
      </w:pPr>
      <w:r>
        <w:rPr>
          <w:color w:val="000000"/>
          <w:sz w:val="28"/>
        </w:rPr>
        <w:t>7</w:t>
      </w:r>
      <w:r>
        <w:rPr>
          <w:rFonts w:hAnsi="宋体" w:hint="eastAsia"/>
          <w:color w:val="000000"/>
          <w:sz w:val="28"/>
        </w:rPr>
        <w:t>、</w:t>
      </w:r>
      <w:r>
        <w:rPr>
          <w:rFonts w:hAnsi="宋体"/>
          <w:color w:val="000000"/>
          <w:sz w:val="28"/>
        </w:rPr>
        <w:t>除依据法律法规和基金合同的规定外，基金托管人不得委托第三人托管基金财产。</w:t>
      </w:r>
    </w:p>
    <w:p w:rsidR="008053E8">
      <w:pPr>
        <w:adjustRightInd w:val="0"/>
        <w:snapToGrid w:val="0"/>
        <w:spacing w:line="360" w:lineRule="auto"/>
        <w:ind w:firstLine="560" w:firstLineChars="200"/>
        <w:rPr>
          <w:color w:val="000000"/>
          <w:sz w:val="28"/>
        </w:rPr>
      </w:pPr>
      <w:r>
        <w:rPr>
          <w:rFonts w:hAnsi="宋体"/>
          <w:color w:val="000000"/>
          <w:sz w:val="28"/>
        </w:rPr>
        <w:t>（二）基金募集期间及募集资金的验资</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基金募集期间的资金应存于基金管理人在</w:t>
      </w:r>
      <w:r>
        <w:rPr>
          <w:rFonts w:hAnsi="宋体" w:hint="eastAsia"/>
          <w:color w:val="000000"/>
          <w:sz w:val="28"/>
        </w:rPr>
        <w:t>具有托管资格的商业银行开设的</w:t>
      </w:r>
      <w:r>
        <w:rPr>
          <w:rFonts w:hAnsi="宋体"/>
          <w:color w:val="000000"/>
          <w:sz w:val="28"/>
        </w:rPr>
        <w:t>基金</w:t>
      </w:r>
      <w:r>
        <w:rPr>
          <w:rFonts w:hAnsi="宋体" w:hint="eastAsia"/>
          <w:color w:val="000000"/>
          <w:sz w:val="28"/>
        </w:rPr>
        <w:t>认购专户。</w:t>
      </w:r>
      <w:r>
        <w:rPr>
          <w:rFonts w:hAnsi="宋体"/>
          <w:color w:val="000000"/>
          <w:sz w:val="28"/>
        </w:rPr>
        <w:t>该账户由基金管理人开立并管理。</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sz w:val="28"/>
        </w:rPr>
        <w:t>基金募集期满或基金停止募集时，募集的基金份额总额、基金募集金额、基金份额持有人人数符合《基金法》、《运作办法》</w:t>
      </w:r>
      <w:r>
        <w:rPr>
          <w:rFonts w:hAnsi="宋体" w:hint="eastAsia"/>
          <w:sz w:val="28"/>
        </w:rPr>
        <w:t>、《关于增设发起式基金审核通道有关问题的通知》</w:t>
      </w:r>
      <w:r>
        <w:rPr>
          <w:rFonts w:hAnsi="宋体"/>
          <w:sz w:val="28"/>
        </w:rPr>
        <w:t>等有关规定后，基金管理人应将属于基金财产的全部资金划入基金托管人开立的基金</w:t>
      </w:r>
      <w:r>
        <w:rPr>
          <w:rFonts w:hAnsi="宋体" w:hint="eastAsia"/>
          <w:sz w:val="28"/>
        </w:rPr>
        <w:t>托管资金账户</w:t>
      </w:r>
      <w:r>
        <w:rPr>
          <w:rFonts w:hAnsi="宋体"/>
          <w:sz w:val="28"/>
        </w:rPr>
        <w:t>，同时在规定时间内，聘请具有从事证券相关业务资格的会计师事务所进行验资，出具验资报告。出具的验资报告由参加验资的</w:t>
      </w:r>
      <w:r>
        <w:rPr>
          <w:sz w:val="28"/>
        </w:rPr>
        <w:t>2</w:t>
      </w:r>
      <w:r>
        <w:rPr>
          <w:rFonts w:hAnsi="宋体"/>
          <w:sz w:val="28"/>
        </w:rPr>
        <w:t>名或</w:t>
      </w:r>
      <w:r>
        <w:rPr>
          <w:sz w:val="28"/>
        </w:rPr>
        <w:t>2</w:t>
      </w:r>
      <w:r>
        <w:rPr>
          <w:rFonts w:hAnsi="宋体"/>
          <w:sz w:val="28"/>
        </w:rPr>
        <w:t>名以上中国注册会计师签字方为有效。</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若基金募集期限届满，未能达到基金合同生效的条件，由基金管理人按规定办理退款等事宜</w:t>
      </w:r>
      <w:r>
        <w:rPr>
          <w:rFonts w:hAnsi="宋体" w:hint="eastAsia"/>
          <w:color w:val="000000"/>
          <w:sz w:val="28"/>
        </w:rPr>
        <w:t>，基金托管人应提供充分协助</w:t>
      </w:r>
      <w:r>
        <w:rPr>
          <w:rFonts w:hAnsi="宋体"/>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（三）基金资金账户的开立和管理</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、基金托管人</w:t>
      </w:r>
      <w:r>
        <w:rPr>
          <w:rFonts w:hAnsi="宋体" w:hint="eastAsia"/>
          <w:sz w:val="28"/>
        </w:rPr>
        <w:t>应负责本基金的资金账户的开设和管理</w:t>
      </w:r>
      <w:r>
        <w:rPr>
          <w:rFonts w:hAnsi="宋体"/>
          <w:color w:val="000000"/>
          <w:sz w:val="28"/>
        </w:rPr>
        <w:t>。</w:t>
      </w:r>
    </w:p>
    <w:p w:rsidR="008053E8">
      <w:pPr>
        <w:adjustRightInd w:val="0"/>
        <w:snapToGrid w:val="0"/>
        <w:spacing w:line="360" w:lineRule="auto"/>
        <w:ind w:firstLine="560" w:firstLineChars="200"/>
        <w:rPr>
          <w:sz w:val="28"/>
        </w:rPr>
      </w:pPr>
      <w:r>
        <w:rPr>
          <w:color w:val="000000"/>
          <w:sz w:val="28"/>
        </w:rPr>
        <w:t>2</w:t>
      </w:r>
      <w:r>
        <w:rPr>
          <w:rFonts w:hAnsi="宋体"/>
          <w:color w:val="000000"/>
          <w:sz w:val="28"/>
        </w:rPr>
        <w:t>、</w:t>
      </w:r>
      <w:r>
        <w:rPr>
          <w:rFonts w:hAnsi="宋体" w:hint="eastAsia"/>
          <w:sz w:val="28"/>
        </w:rPr>
        <w:t>基金托管人以本基金的名义在其营业机构开设本基金的资金账户</w:t>
      </w:r>
      <w:r>
        <w:rPr>
          <w:rFonts w:hAnsi="宋体"/>
          <w:color w:val="000000"/>
          <w:sz w:val="28"/>
        </w:rPr>
        <w:t>，并根据基金管理人合法合规的指令办理资金收付</w:t>
      </w:r>
      <w:r>
        <w:rPr>
          <w:rFonts w:hAnsi="宋体" w:hint="eastAsia"/>
          <w:sz w:val="28"/>
        </w:rPr>
        <w:t>。本基金的银行预留印鉴由基金托管人保管和使用。本基金的一切货币收支活动，包括但不限于投资、支付赎回金额、支付基金收益、收取申购款，均需通过本基金的资金账户进行。</w:t>
      </w:r>
    </w:p>
    <w:p w:rsidR="008053E8">
      <w:pPr>
        <w:adjustRightInd w:val="0"/>
        <w:snapToGrid w:val="0"/>
        <w:spacing w:line="360" w:lineRule="auto"/>
        <w:ind w:firstLine="560" w:firstLineChars="200"/>
        <w:rPr>
          <w:color w:val="000000"/>
          <w:sz w:val="28"/>
        </w:rPr>
      </w:pPr>
      <w:r>
        <w:rPr>
          <w:rFonts w:hint="eastAsia"/>
          <w:sz w:val="28"/>
        </w:rPr>
        <w:t>3</w:t>
      </w:r>
      <w:r>
        <w:rPr>
          <w:rFonts w:hAnsi="宋体" w:hint="eastAsia"/>
          <w:sz w:val="28"/>
        </w:rPr>
        <w:t>、</w:t>
      </w:r>
      <w:r>
        <w:rPr>
          <w:rFonts w:hAnsi="宋体"/>
          <w:color w:val="000000"/>
          <w:sz w:val="28"/>
        </w:rPr>
        <w:t>基金</w:t>
      </w:r>
      <w:r>
        <w:rPr>
          <w:rFonts w:hAnsi="宋体" w:hint="eastAsia"/>
          <w:color w:val="000000"/>
          <w:sz w:val="28"/>
        </w:rPr>
        <w:t>托管资金账户</w:t>
      </w:r>
      <w:r>
        <w:rPr>
          <w:rFonts w:hAnsi="宋体"/>
          <w:color w:val="000000"/>
          <w:sz w:val="28"/>
        </w:rPr>
        <w:t>的开立和使用，限于满足开展本基金业务的需要。基金托管人和基金管理人不得假借本基金的名义开立任何其他银行账户；亦不得使用基金的任何账户进行本基金业务以外的活动。</w:t>
      </w:r>
    </w:p>
    <w:p w:rsidR="008053E8">
      <w:pPr>
        <w:adjustRightInd w:val="0"/>
        <w:snapToGrid w:val="0"/>
        <w:spacing w:line="360" w:lineRule="auto"/>
        <w:ind w:firstLine="560" w:firstLineChars="200"/>
        <w:rPr>
          <w:color w:val="000000"/>
          <w:sz w:val="28"/>
        </w:rPr>
      </w:pPr>
      <w:r>
        <w:rPr>
          <w:rFonts w:hint="eastAsia"/>
          <w:color w:val="000000"/>
          <w:sz w:val="28"/>
        </w:rPr>
        <w:t>4</w:t>
      </w:r>
      <w:r>
        <w:rPr>
          <w:rFonts w:hAnsi="宋体" w:hint="eastAsia"/>
          <w:color w:val="000000"/>
          <w:sz w:val="28"/>
        </w:rPr>
        <w:t>、</w:t>
      </w:r>
      <w:r>
        <w:rPr>
          <w:rFonts w:hAnsi="宋体"/>
          <w:color w:val="000000"/>
          <w:sz w:val="28"/>
        </w:rPr>
        <w:t>基金</w:t>
      </w:r>
      <w:r>
        <w:rPr>
          <w:rFonts w:hAnsi="宋体" w:hint="eastAsia"/>
          <w:color w:val="000000"/>
          <w:sz w:val="28"/>
        </w:rPr>
        <w:t>托管</w:t>
      </w:r>
      <w:r>
        <w:rPr>
          <w:rFonts w:hAnsi="宋体"/>
          <w:color w:val="000000"/>
          <w:sz w:val="28"/>
        </w:rPr>
        <w:t>资金账户的开立和管理应符合</w:t>
      </w:r>
      <w:r>
        <w:rPr>
          <w:rFonts w:hAnsi="宋体" w:hint="eastAsia"/>
          <w:color w:val="000000"/>
          <w:sz w:val="28"/>
        </w:rPr>
        <w:t>相关法律法规的有关</w:t>
      </w:r>
      <w:r>
        <w:rPr>
          <w:rFonts w:hAnsi="宋体"/>
          <w:color w:val="000000"/>
          <w:sz w:val="28"/>
        </w:rPr>
        <w:t>规定。</w:t>
      </w:r>
    </w:p>
    <w:p w:rsidR="008053E8">
      <w:pPr>
        <w:adjustRightInd w:val="0"/>
        <w:snapToGrid w:val="0"/>
        <w:spacing w:line="360" w:lineRule="auto"/>
        <w:ind w:firstLine="560" w:firstLineChars="200"/>
        <w:rPr>
          <w:color w:val="000000"/>
          <w:sz w:val="28"/>
        </w:rPr>
      </w:pPr>
      <w:r>
        <w:rPr>
          <w:rFonts w:hint="eastAsia"/>
          <w:color w:val="000000"/>
          <w:sz w:val="28"/>
        </w:rPr>
        <w:t>5</w:t>
      </w:r>
      <w:r>
        <w:rPr>
          <w:rFonts w:hAnsi="宋体" w:hint="eastAsia"/>
          <w:color w:val="000000"/>
          <w:sz w:val="28"/>
        </w:rPr>
        <w:t>、</w:t>
      </w:r>
      <w:r>
        <w:rPr>
          <w:rFonts w:hAnsi="宋体"/>
          <w:color w:val="000000"/>
          <w:sz w:val="28"/>
        </w:rPr>
        <w:t>在符合法律法规规定的条件下，基金托管人可以通过基金托管人专用账户办理基金资产的支付。</w:t>
      </w:r>
    </w:p>
    <w:p w:rsidR="008053E8">
      <w:pPr>
        <w:adjustRightInd w:val="0"/>
        <w:snapToGrid w:val="0"/>
        <w:spacing w:line="360" w:lineRule="auto"/>
        <w:ind w:firstLine="560" w:firstLineChars="200"/>
        <w:rPr>
          <w:color w:val="000000"/>
          <w:sz w:val="28"/>
        </w:rPr>
      </w:pPr>
      <w:r>
        <w:rPr>
          <w:rFonts w:hAnsi="宋体"/>
          <w:color w:val="000000"/>
          <w:sz w:val="28"/>
        </w:rPr>
        <w:t>（四）基金证券账户的开立和管理</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基金托管人在中国证券登记结算有限责任公司为基金开立基金托管人与基金联名的证券账户。</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w:t>
      </w:r>
      <w:r>
        <w:rPr>
          <w:rFonts w:hAnsi="宋体"/>
          <w:sz w:val="28"/>
        </w:rPr>
        <w:t>基金</w:t>
      </w:r>
      <w:r>
        <w:rPr>
          <w:rFonts w:hAnsi="宋体"/>
          <w:color w:val="000000"/>
          <w:sz w:val="28"/>
        </w:rPr>
        <w:t>托管人以自身法人名义在中国证券登记结算</w:t>
      </w:r>
      <w:r>
        <w:rPr>
          <w:rFonts w:hAnsi="宋体" w:hint="eastAsia"/>
          <w:color w:val="000000"/>
          <w:sz w:val="28"/>
        </w:rPr>
        <w:t>有限责任</w:t>
      </w:r>
      <w:r>
        <w:rPr>
          <w:rFonts w:hAnsi="宋体"/>
          <w:color w:val="000000"/>
          <w:sz w:val="28"/>
        </w:rPr>
        <w:t>公司开立结算备付金账户，并代表所托管的基金完成与中国证券登记结算有限责任公司的一级法人清算工作</w:t>
      </w:r>
      <w:r>
        <w:rPr>
          <w:rFonts w:hAnsi="宋体" w:hint="eastAsia"/>
          <w:color w:val="000000"/>
          <w:sz w:val="28"/>
        </w:rPr>
        <w:t>，基金管理人应予以积极协助</w:t>
      </w:r>
      <w:r>
        <w:rPr>
          <w:rFonts w:hAnsi="宋体"/>
          <w:color w:val="000000"/>
          <w:sz w:val="28"/>
        </w:rPr>
        <w:t>。结算</w:t>
      </w:r>
      <w:r>
        <w:rPr>
          <w:rFonts w:hAnsi="宋体"/>
          <w:sz w:val="28"/>
        </w:rPr>
        <w:t>备付金的收取按照中国证券登记结算</w:t>
      </w:r>
      <w:r>
        <w:rPr>
          <w:rFonts w:hAnsi="宋体" w:hint="eastAsia"/>
          <w:sz w:val="28"/>
        </w:rPr>
        <w:t>有限责任</w:t>
      </w:r>
      <w:r>
        <w:rPr>
          <w:rFonts w:hAnsi="宋体"/>
          <w:sz w:val="28"/>
        </w:rPr>
        <w:t>公司的规定执行。</w:t>
      </w:r>
    </w:p>
    <w:p w:rsidR="008053E8">
      <w:pPr>
        <w:adjustRightInd w:val="0"/>
        <w:snapToGrid w:val="0"/>
        <w:spacing w:line="360" w:lineRule="auto"/>
        <w:ind w:firstLine="560" w:firstLineChars="200"/>
        <w:rPr>
          <w:color w:val="000000"/>
          <w:sz w:val="28"/>
        </w:rPr>
      </w:pPr>
      <w:r>
        <w:rPr>
          <w:rFonts w:hint="eastAsia"/>
          <w:color w:val="000000"/>
          <w:sz w:val="28"/>
        </w:rPr>
        <w:t>4</w:t>
      </w:r>
      <w:r>
        <w:rPr>
          <w:rFonts w:hAnsi="宋体" w:hint="eastAsia"/>
          <w:color w:val="000000"/>
          <w:sz w:val="28"/>
        </w:rPr>
        <w:t>、</w:t>
      </w:r>
      <w:r>
        <w:rPr>
          <w:rFonts w:hAnsi="宋体"/>
          <w:color w:val="000000"/>
          <w:sz w:val="28"/>
        </w:rPr>
        <w:t>基金证券账户的开立和证券账户卡的保管由基金托管人负责，账户资产的管理和运用由基金管理人负责。</w:t>
      </w:r>
    </w:p>
    <w:p w:rsidR="008053E8">
      <w:pPr>
        <w:adjustRightInd w:val="0"/>
        <w:snapToGrid w:val="0"/>
        <w:spacing w:line="360" w:lineRule="auto"/>
        <w:ind w:firstLine="560" w:firstLineChars="200"/>
        <w:rPr>
          <w:color w:val="000000"/>
          <w:sz w:val="28"/>
        </w:rPr>
      </w:pPr>
      <w:r>
        <w:rPr>
          <w:rFonts w:hint="eastAsia"/>
          <w:color w:val="000000"/>
          <w:sz w:val="28"/>
        </w:rPr>
        <w:t>5</w:t>
      </w:r>
      <w:r>
        <w:rPr>
          <w:rFonts w:hAnsi="宋体" w:hint="eastAsia"/>
          <w:color w:val="000000"/>
          <w:sz w:val="28"/>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8053E8">
      <w:pPr>
        <w:adjustRightInd w:val="0"/>
        <w:snapToGrid w:val="0"/>
        <w:spacing w:line="360" w:lineRule="auto"/>
        <w:ind w:firstLine="560" w:firstLineChars="200"/>
        <w:rPr>
          <w:color w:val="000000"/>
          <w:sz w:val="28"/>
        </w:rPr>
      </w:pPr>
      <w:r>
        <w:rPr>
          <w:rFonts w:hAnsi="宋体"/>
          <w:color w:val="000000"/>
          <w:sz w:val="28"/>
        </w:rPr>
        <w:t>（五）债券托管专户的开设和管理</w:t>
      </w:r>
    </w:p>
    <w:p w:rsidR="008053E8">
      <w:pPr>
        <w:adjustRightInd w:val="0"/>
        <w:snapToGrid w:val="0"/>
        <w:spacing w:line="360" w:lineRule="auto"/>
        <w:ind w:firstLine="560" w:firstLineChars="200"/>
        <w:rPr>
          <w:color w:val="000000"/>
          <w:sz w:val="28"/>
        </w:rPr>
      </w:pPr>
      <w:r>
        <w:rPr>
          <w:rFonts w:hAnsi="宋体"/>
          <w:color w:val="000000"/>
          <w:sz w:val="28"/>
        </w:rPr>
        <w:t>基金合同生效后，基金托管人根据中国人民银行、中央国债登记结算有限责任公司的有关规定，</w:t>
      </w:r>
      <w:r>
        <w:rPr>
          <w:rFonts w:hAnsi="宋体" w:hint="eastAsia"/>
          <w:color w:val="000000"/>
          <w:sz w:val="28"/>
        </w:rPr>
        <w:t>以基金的名义</w:t>
      </w:r>
      <w:r>
        <w:rPr>
          <w:rFonts w:hAnsi="宋体"/>
          <w:color w:val="000000"/>
          <w:sz w:val="28"/>
        </w:rPr>
        <w:t>在中央国债登记结算有限责任公司开立债券托管与结算账户，并代表基金进行银行间市场债券的结算。基金管理人和基金托管人同时代表基金签订全国银行间债券市场债券回购主协议。</w:t>
      </w:r>
    </w:p>
    <w:p w:rsidR="008053E8">
      <w:pPr>
        <w:adjustRightInd w:val="0"/>
        <w:snapToGrid w:val="0"/>
        <w:spacing w:line="360" w:lineRule="auto"/>
        <w:ind w:firstLine="560" w:firstLineChars="200"/>
        <w:rPr>
          <w:color w:val="000000"/>
          <w:sz w:val="28"/>
        </w:rPr>
      </w:pPr>
      <w:r>
        <w:rPr>
          <w:rFonts w:hAnsi="宋体"/>
          <w:color w:val="000000"/>
          <w:sz w:val="28"/>
        </w:rPr>
        <w:t>（六）其他账户的开立和管理</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因业务发展需要而开立的其他账户，可以根据法律法规和基金合同的规定，</w:t>
      </w:r>
      <w:r>
        <w:rPr>
          <w:rFonts w:hAnsi="宋体" w:hint="eastAsia"/>
          <w:sz w:val="28"/>
        </w:rPr>
        <w:t>在</w:t>
      </w:r>
      <w:r>
        <w:rPr>
          <w:rFonts w:hAnsi="宋体"/>
          <w:sz w:val="28"/>
        </w:rPr>
        <w:t>基金</w:t>
      </w:r>
      <w:r>
        <w:rPr>
          <w:rFonts w:hAnsi="宋体" w:hint="eastAsia"/>
          <w:sz w:val="28"/>
        </w:rPr>
        <w:t>管理人和基金</w:t>
      </w:r>
      <w:r>
        <w:rPr>
          <w:rFonts w:hAnsi="宋体"/>
          <w:sz w:val="28"/>
        </w:rPr>
        <w:t>托管人</w:t>
      </w:r>
      <w:r>
        <w:rPr>
          <w:rFonts w:hAnsi="宋体" w:hint="eastAsia"/>
          <w:sz w:val="28"/>
        </w:rPr>
        <w:t>商议后由基金托管人负责</w:t>
      </w:r>
      <w:r>
        <w:rPr>
          <w:rFonts w:hAnsi="宋体"/>
          <w:sz w:val="28"/>
        </w:rPr>
        <w:t>开立</w:t>
      </w:r>
      <w:r>
        <w:rPr>
          <w:rFonts w:hAnsi="宋体"/>
          <w:color w:val="000000"/>
          <w:sz w:val="28"/>
        </w:rPr>
        <w:t>。新账户按有关</w:t>
      </w:r>
      <w:r>
        <w:rPr>
          <w:rFonts w:hAnsi="宋体"/>
          <w:color w:val="000000"/>
          <w:sz w:val="28"/>
        </w:rPr>
        <w:t>规则使用并管理。</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法律法规等有关规定对相关账户的开立和管理另有规定的，从其规定办理。</w:t>
      </w:r>
    </w:p>
    <w:p w:rsidR="008053E8">
      <w:pPr>
        <w:adjustRightInd w:val="0"/>
        <w:snapToGrid w:val="0"/>
        <w:spacing w:line="360" w:lineRule="auto"/>
        <w:ind w:firstLine="560" w:firstLineChars="200"/>
        <w:rPr>
          <w:color w:val="000000"/>
          <w:sz w:val="28"/>
        </w:rPr>
      </w:pPr>
      <w:r>
        <w:rPr>
          <w:rFonts w:hAnsi="宋体"/>
          <w:color w:val="000000"/>
          <w:sz w:val="28"/>
        </w:rPr>
        <w:t>（七）基金财产投资的有关有价凭证等的保管</w:t>
      </w:r>
    </w:p>
    <w:p w:rsidR="008053E8">
      <w:pPr>
        <w:adjustRightInd w:val="0"/>
        <w:snapToGrid w:val="0"/>
        <w:spacing w:line="360" w:lineRule="auto"/>
        <w:ind w:firstLine="560" w:firstLineChars="200"/>
        <w:rPr>
          <w:color w:val="000000"/>
          <w:sz w:val="28"/>
        </w:rPr>
      </w:pPr>
      <w:r>
        <w:rPr>
          <w:rFonts w:hAnsi="宋体"/>
          <w:color w:val="000000"/>
          <w:sz w:val="28"/>
        </w:rPr>
        <w:t>基金财产投资的有关实物证券</w:t>
      </w:r>
      <w:r>
        <w:rPr>
          <w:rFonts w:hAnsi="宋体" w:hint="eastAsia"/>
          <w:color w:val="000000"/>
          <w:sz w:val="28"/>
        </w:rPr>
        <w:t>、</w:t>
      </w:r>
      <w:r>
        <w:rPr>
          <w:rFonts w:hAnsi="宋体" w:hint="eastAsia"/>
          <w:sz w:val="28"/>
        </w:rPr>
        <w:t>银行定期存款存单等有价凭证</w:t>
      </w:r>
      <w:r>
        <w:rPr>
          <w:rFonts w:hAnsi="宋体"/>
          <w:color w:val="000000"/>
          <w:sz w:val="28"/>
        </w:rPr>
        <w:t>由基金托管人</w:t>
      </w:r>
      <w:r>
        <w:rPr>
          <w:rFonts w:hAnsi="宋体" w:hint="eastAsia"/>
          <w:color w:val="000000"/>
          <w:sz w:val="28"/>
        </w:rPr>
        <w:t>负责妥善保管</w:t>
      </w:r>
      <w:r>
        <w:rPr>
          <w:rFonts w:hAnsi="宋体" w:hint="eastAsia"/>
          <w:sz w:val="28"/>
        </w:rPr>
        <w:t>，保管凭证由基金托管人持有</w:t>
      </w:r>
      <w:r>
        <w:rPr>
          <w:rFonts w:hAnsi="宋体"/>
          <w:color w:val="000000"/>
          <w:sz w:val="28"/>
        </w:rPr>
        <w:t>。实物证券的购买和转让，由基金托管人根据基金管理人的指令办理。属于基金托管人实际有效控制下的实物证券在基金托管人保管期间的损坏、灭失，由此产生的责任应由基金托管人承担。</w:t>
      </w:r>
      <w:r>
        <w:rPr>
          <w:rFonts w:hAnsi="宋体" w:hint="eastAsia"/>
          <w:color w:val="000000"/>
          <w:sz w:val="28"/>
        </w:rPr>
        <w:t>基金</w:t>
      </w:r>
      <w:r>
        <w:rPr>
          <w:rFonts w:hAnsi="宋体"/>
          <w:color w:val="000000"/>
          <w:sz w:val="28"/>
        </w:rPr>
        <w:t>托管人对</w:t>
      </w:r>
      <w:r>
        <w:rPr>
          <w:rFonts w:hAnsi="宋体" w:hint="eastAsia"/>
          <w:color w:val="000000"/>
          <w:sz w:val="28"/>
        </w:rPr>
        <w:t>基金</w:t>
      </w:r>
      <w:r>
        <w:rPr>
          <w:rFonts w:hAnsi="宋体"/>
          <w:color w:val="000000"/>
          <w:sz w:val="28"/>
        </w:rPr>
        <w:t>托管人以外机构</w:t>
      </w:r>
      <w:r>
        <w:rPr>
          <w:rFonts w:hAnsi="宋体" w:hint="eastAsia"/>
          <w:color w:val="000000"/>
          <w:sz w:val="28"/>
        </w:rPr>
        <w:t>（基金托管人的代理人除外）</w:t>
      </w:r>
      <w:r>
        <w:rPr>
          <w:rFonts w:hAnsi="宋体"/>
          <w:color w:val="000000"/>
          <w:sz w:val="28"/>
        </w:rPr>
        <w:t>实际有效控制的证券不承担保管责任。</w:t>
      </w:r>
    </w:p>
    <w:p w:rsidR="008053E8">
      <w:pPr>
        <w:adjustRightInd w:val="0"/>
        <w:snapToGrid w:val="0"/>
        <w:spacing w:line="360" w:lineRule="auto"/>
        <w:ind w:firstLine="560" w:firstLineChars="200"/>
        <w:rPr>
          <w:color w:val="000000"/>
          <w:sz w:val="28"/>
        </w:rPr>
      </w:pPr>
      <w:r>
        <w:rPr>
          <w:rFonts w:hAnsi="宋体"/>
          <w:color w:val="000000"/>
          <w:sz w:val="28"/>
        </w:rPr>
        <w:t>（八）与基金财产有关的重大合同的保管</w:t>
      </w:r>
    </w:p>
    <w:p w:rsidR="008053E8">
      <w:pPr>
        <w:adjustRightInd w:val="0"/>
        <w:snapToGrid w:val="0"/>
        <w:spacing w:line="360" w:lineRule="auto"/>
        <w:ind w:firstLine="560" w:firstLineChars="200"/>
        <w:rPr>
          <w:color w:val="000000"/>
          <w:sz w:val="28"/>
        </w:rPr>
      </w:pPr>
      <w:r>
        <w:rPr>
          <w:rFonts w:hAnsi="宋体" w:hint="eastAsia"/>
          <w:color w:val="000000"/>
          <w:sz w:val="28"/>
        </w:rPr>
        <w:t>由基金管理人代表基金签署的、与基金有关的重大合同的原件分别由基金管理人、基金托管人保管。除协议另有规定或受限于第三方机构业务规则、监管机构或行业协会发布的格式合同等基金管理人不可控制因素外，基金管理人在代表基金签署与基金有关的重大合同时应保证基金一方持有两份以上的正本，以便基金管理人和基金托管人至少各持有一份正本的原件。重大合同的保管期限为基金合同终止后</w:t>
      </w:r>
      <w:r>
        <w:rPr>
          <w:color w:val="000000"/>
          <w:sz w:val="28"/>
        </w:rPr>
        <w:t>20</w:t>
      </w:r>
      <w:r>
        <w:rPr>
          <w:rFonts w:hAnsi="宋体" w:hint="eastAsia"/>
          <w:color w:val="000000"/>
          <w:sz w:val="28"/>
        </w:rPr>
        <w:t>年。</w:t>
      </w:r>
    </w:p>
    <w:p w:rsidR="008053E8">
      <w:pPr>
        <w:pStyle w:val="Heading2"/>
        <w:spacing w:line="360" w:lineRule="auto"/>
        <w:jc w:val="center"/>
        <w:rPr>
          <w:rFonts w:ascii="Times New Roman" w:eastAsia="宋体" w:hAnsi="Times New Roman"/>
          <w:color w:val="000000"/>
          <w:sz w:val="28"/>
        </w:rPr>
      </w:pPr>
      <w:bookmarkStart w:id="43" w:name="_Toc120435785"/>
      <w:bookmarkStart w:id="44" w:name="_Toc86737931"/>
      <w:bookmarkStart w:id="45" w:name="_Toc86727357"/>
      <w:bookmarkStart w:id="46" w:name="_Toc86726441"/>
      <w:bookmarkStart w:id="47" w:name="_Toc86649724"/>
      <w:bookmarkStart w:id="48" w:name="_Toc86225293"/>
      <w:bookmarkStart w:id="49" w:name="_Toc86223244"/>
      <w:bookmarkStart w:id="50" w:name="_Toc86204790"/>
      <w:bookmarkStart w:id="51" w:name="_Toc84234436"/>
      <w:bookmarkStart w:id="52" w:name="_Toc84234389"/>
      <w:bookmarkStart w:id="53" w:name="_Toc84133787"/>
      <w:bookmarkStart w:id="54" w:name="_Toc119402712"/>
      <w:bookmarkStart w:id="55" w:name="_Toc118972650"/>
      <w:bookmarkStart w:id="56" w:name="_Toc118774805"/>
      <w:bookmarkStart w:id="57" w:name="_Toc118212952"/>
      <w:bookmarkStart w:id="58" w:name="_Toc110830494"/>
      <w:bookmarkStart w:id="59" w:name="_Toc110765662"/>
      <w:bookmarkStart w:id="60" w:name="_Toc110761798"/>
      <w:bookmarkStart w:id="61" w:name="_Toc108512360"/>
      <w:bookmarkStart w:id="62" w:name="_Toc89163370"/>
      <w:bookmarkStart w:id="63" w:name="_Toc335661639"/>
      <w:r>
        <w:rPr>
          <w:rFonts w:ascii="Times New Roman" w:eastAsia="宋体" w:hAnsi="宋体"/>
          <w:color w:val="000000"/>
          <w:sz w:val="28"/>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053E8">
      <w:pPr>
        <w:adjustRightInd w:val="0"/>
        <w:snapToGrid w:val="0"/>
        <w:spacing w:line="360" w:lineRule="auto"/>
        <w:ind w:firstLine="560" w:firstLineChars="200"/>
        <w:rPr>
          <w:sz w:val="28"/>
        </w:rPr>
      </w:pPr>
      <w:r>
        <w:rPr>
          <w:rFonts w:hAnsi="宋体"/>
          <w:sz w:val="28"/>
        </w:rPr>
        <w:t>基金管理人在运用基金财产时向基金托管人发送资金划拨及其他款项收付指令，基金托管人执行基金管理人的指令、办理基金名下的资金往来等有关事项。</w:t>
      </w:r>
    </w:p>
    <w:p w:rsidR="008053E8">
      <w:pPr>
        <w:adjustRightInd w:val="0"/>
        <w:snapToGrid w:val="0"/>
        <w:spacing w:line="360" w:lineRule="auto"/>
        <w:ind w:firstLine="560" w:firstLineChars="200"/>
        <w:rPr>
          <w:sz w:val="28"/>
        </w:rPr>
      </w:pPr>
      <w:r>
        <w:rPr>
          <w:rFonts w:hAnsi="宋体"/>
          <w:sz w:val="28"/>
        </w:rPr>
        <w:t>（一）基金管理人对发送指令人员的书面授权</w:t>
      </w:r>
    </w:p>
    <w:p w:rsidR="008053E8">
      <w:pPr>
        <w:adjustRightInd w:val="0"/>
        <w:snapToGrid w:val="0"/>
        <w:spacing w:line="360" w:lineRule="auto"/>
        <w:ind w:firstLine="560" w:firstLineChars="200"/>
        <w:rPr>
          <w:sz w:val="28"/>
        </w:rPr>
      </w:pPr>
      <w:r>
        <w:rPr>
          <w:sz w:val="28"/>
        </w:rPr>
        <w:t>1</w:t>
      </w:r>
      <w:r>
        <w:rPr>
          <w:rFonts w:hAnsi="宋体" w:hint="eastAsia"/>
          <w:sz w:val="28"/>
        </w:rPr>
        <w:t>、</w:t>
      </w:r>
      <w:r>
        <w:rPr>
          <w:rFonts w:hAnsi="宋体"/>
          <w:sz w:val="28"/>
        </w:rPr>
        <w:t>基金管理人应指定专人</w:t>
      </w:r>
      <w:r>
        <w:rPr>
          <w:rFonts w:hAnsi="宋体" w:hint="eastAsia"/>
          <w:sz w:val="28"/>
        </w:rPr>
        <w:t>、专用传真号码</w:t>
      </w:r>
      <w:r>
        <w:rPr>
          <w:rFonts w:hAnsi="宋体"/>
          <w:sz w:val="28"/>
        </w:rPr>
        <w:t>向基金托管人发送指令。</w:t>
      </w:r>
    </w:p>
    <w:p w:rsidR="008053E8">
      <w:pPr>
        <w:adjustRightInd w:val="0"/>
        <w:snapToGrid w:val="0"/>
        <w:spacing w:line="360" w:lineRule="auto"/>
        <w:ind w:firstLine="560" w:firstLineChars="200"/>
        <w:rPr>
          <w:sz w:val="28"/>
        </w:rPr>
      </w:pPr>
      <w:r>
        <w:rPr>
          <w:sz w:val="28"/>
        </w:rPr>
        <w:t>2</w:t>
      </w:r>
      <w:r>
        <w:rPr>
          <w:rFonts w:hAnsi="宋体" w:hint="eastAsia"/>
          <w:sz w:val="28"/>
        </w:rPr>
        <w:t>、</w:t>
      </w:r>
      <w:r>
        <w:rPr>
          <w:rFonts w:hAnsi="宋体"/>
          <w:sz w:val="28"/>
        </w:rPr>
        <w:t>基金管理人应向基金托管人提供书面授权文件，内容包括被授权人名单、</w:t>
      </w:r>
      <w:r>
        <w:rPr>
          <w:rFonts w:hAnsi="宋体" w:hint="eastAsia"/>
          <w:sz w:val="28"/>
        </w:rPr>
        <w:t>预留印鉴</w:t>
      </w:r>
      <w:r>
        <w:rPr>
          <w:rFonts w:hAnsi="宋体"/>
          <w:sz w:val="28"/>
        </w:rPr>
        <w:t>及被授权人签字样本</w:t>
      </w:r>
      <w:r>
        <w:rPr>
          <w:rFonts w:hAnsi="宋体" w:hint="eastAsia"/>
          <w:sz w:val="28"/>
        </w:rPr>
        <w:t>，</w:t>
      </w:r>
      <w:r>
        <w:rPr>
          <w:rFonts w:hAnsi="宋体"/>
          <w:sz w:val="28"/>
        </w:rPr>
        <w:t>授权文件应注明被授权人相应的权限。</w:t>
      </w:r>
      <w:r>
        <w:rPr>
          <w:rFonts w:hAnsi="宋体" w:hint="eastAsia"/>
          <w:sz w:val="28"/>
        </w:rPr>
        <w:t>向基金托管人发送授权文件后，基金管理人应及时电话确认，以保证基金托管人及时查收。</w:t>
      </w:r>
    </w:p>
    <w:p w:rsidR="008053E8">
      <w:pPr>
        <w:adjustRightInd w:val="0"/>
        <w:snapToGrid w:val="0"/>
        <w:spacing w:line="360" w:lineRule="auto"/>
        <w:ind w:firstLine="560" w:firstLineChars="200"/>
        <w:rPr>
          <w:sz w:val="28"/>
        </w:rPr>
      </w:pPr>
      <w:r>
        <w:rPr>
          <w:sz w:val="28"/>
        </w:rPr>
        <w:t>3</w:t>
      </w:r>
      <w:r>
        <w:rPr>
          <w:rFonts w:hAnsi="宋体" w:hint="eastAsia"/>
          <w:sz w:val="28"/>
        </w:rPr>
        <w:t>、</w:t>
      </w:r>
      <w:r>
        <w:rPr>
          <w:rFonts w:hAnsi="宋体"/>
          <w:sz w:val="28"/>
        </w:rPr>
        <w:t>基金托管人收到授权文件</w:t>
      </w:r>
      <w:r>
        <w:rPr>
          <w:rFonts w:hAnsi="宋体" w:hint="eastAsia"/>
          <w:sz w:val="28"/>
        </w:rPr>
        <w:t>原件并经与基金管理人电话确认后，授权文件即生效。</w:t>
      </w:r>
    </w:p>
    <w:p w:rsidR="008053E8">
      <w:pPr>
        <w:adjustRightInd w:val="0"/>
        <w:snapToGrid w:val="0"/>
        <w:spacing w:line="360" w:lineRule="auto"/>
        <w:ind w:firstLine="560" w:firstLineChars="200"/>
        <w:rPr>
          <w:sz w:val="28"/>
        </w:rPr>
      </w:pPr>
      <w:r>
        <w:rPr>
          <w:sz w:val="28"/>
        </w:rPr>
        <w:t>4</w:t>
      </w:r>
      <w:r>
        <w:rPr>
          <w:rFonts w:hAnsi="宋体" w:hint="eastAsia"/>
          <w:sz w:val="28"/>
        </w:rPr>
        <w:t>、</w:t>
      </w:r>
      <w:r>
        <w:rPr>
          <w:rFonts w:hAnsi="宋体"/>
          <w:sz w:val="28"/>
        </w:rPr>
        <w:t>基金管理人和基金托管人对授权文件负有保密义务，其内容不得向被授权人及相关操作人员以外的任何人泄漏。</w:t>
      </w:r>
    </w:p>
    <w:p w:rsidR="008053E8">
      <w:pPr>
        <w:adjustRightInd w:val="0"/>
        <w:snapToGrid w:val="0"/>
        <w:spacing w:line="360" w:lineRule="auto"/>
        <w:ind w:firstLine="560" w:firstLineChars="200"/>
        <w:rPr>
          <w:sz w:val="28"/>
        </w:rPr>
      </w:pPr>
      <w:r>
        <w:rPr>
          <w:rFonts w:hAnsi="宋体"/>
          <w:sz w:val="28"/>
        </w:rPr>
        <w:t>（二）指令的内容</w:t>
      </w:r>
    </w:p>
    <w:p w:rsidR="008053E8">
      <w:pPr>
        <w:adjustRightInd w:val="0"/>
        <w:snapToGrid w:val="0"/>
        <w:spacing w:line="360" w:lineRule="auto"/>
        <w:ind w:firstLine="560" w:firstLineChars="200"/>
        <w:rPr>
          <w:sz w:val="28"/>
        </w:rPr>
      </w:pPr>
      <w:r>
        <w:rPr>
          <w:sz w:val="28"/>
        </w:rPr>
        <w:t>1</w:t>
      </w:r>
      <w:r>
        <w:rPr>
          <w:rFonts w:hAnsi="宋体" w:hint="eastAsia"/>
          <w:sz w:val="28"/>
        </w:rPr>
        <w:t>、</w:t>
      </w:r>
      <w:r>
        <w:rPr>
          <w:rFonts w:hAnsi="宋体"/>
          <w:sz w:val="28"/>
        </w:rPr>
        <w:t>指令包括付款指令</w:t>
      </w:r>
      <w:r>
        <w:rPr>
          <w:sz w:val="28"/>
        </w:rPr>
        <w:t>(</w:t>
      </w:r>
      <w:r>
        <w:rPr>
          <w:rFonts w:hAnsi="宋体"/>
          <w:sz w:val="28"/>
        </w:rPr>
        <w:t>含</w:t>
      </w:r>
      <w:r>
        <w:rPr>
          <w:rFonts w:hAnsi="宋体" w:hint="eastAsia"/>
          <w:sz w:val="28"/>
        </w:rPr>
        <w:t>申购赎回净应</w:t>
      </w:r>
      <w:r>
        <w:rPr>
          <w:rFonts w:hAnsi="宋体"/>
          <w:sz w:val="28"/>
        </w:rPr>
        <w:t>付款指令</w:t>
      </w:r>
      <w:r>
        <w:rPr>
          <w:sz w:val="28"/>
        </w:rPr>
        <w:t>)</w:t>
      </w:r>
      <w:r>
        <w:rPr>
          <w:rFonts w:hAnsi="宋体"/>
          <w:sz w:val="28"/>
        </w:rPr>
        <w:t>、</w:t>
      </w:r>
      <w:r>
        <w:rPr>
          <w:rFonts w:hAnsi="宋体" w:hint="eastAsia"/>
          <w:sz w:val="28"/>
        </w:rPr>
        <w:t>银行间业务划款</w:t>
      </w:r>
      <w:r>
        <w:rPr>
          <w:rFonts w:hAnsi="宋体"/>
          <w:sz w:val="28"/>
        </w:rPr>
        <w:t>指令以及其他资金划拨指令等。</w:t>
      </w:r>
    </w:p>
    <w:p w:rsidR="008053E8">
      <w:pPr>
        <w:adjustRightInd w:val="0"/>
        <w:snapToGrid w:val="0"/>
        <w:spacing w:line="360" w:lineRule="auto"/>
        <w:ind w:firstLine="560" w:firstLineChars="200"/>
        <w:rPr>
          <w:sz w:val="28"/>
        </w:rPr>
      </w:pPr>
      <w:r>
        <w:rPr>
          <w:sz w:val="28"/>
        </w:rPr>
        <w:t>2</w:t>
      </w:r>
      <w:r>
        <w:rPr>
          <w:rFonts w:hAnsi="宋体" w:hint="eastAsia"/>
          <w:sz w:val="28"/>
        </w:rPr>
        <w:t>、</w:t>
      </w:r>
      <w:r>
        <w:rPr>
          <w:rFonts w:hAnsi="宋体"/>
          <w:sz w:val="28"/>
        </w:rPr>
        <w:t>基金管理人发给基金托管人的指令应写明款项事由、支付时间、到账时间、金额、账户</w:t>
      </w:r>
      <w:r>
        <w:rPr>
          <w:rFonts w:hAnsi="宋体" w:hint="eastAsia"/>
          <w:sz w:val="28"/>
        </w:rPr>
        <w:t>资料</w:t>
      </w:r>
      <w:r>
        <w:rPr>
          <w:rFonts w:hAnsi="宋体"/>
          <w:sz w:val="28"/>
        </w:rPr>
        <w:t>等，加盖预留印鉴并由被授权人签字。</w:t>
      </w:r>
    </w:p>
    <w:p w:rsidR="008053E8">
      <w:pPr>
        <w:adjustRightInd w:val="0"/>
        <w:snapToGrid w:val="0"/>
        <w:spacing w:line="360" w:lineRule="auto"/>
        <w:ind w:firstLine="560" w:firstLineChars="200"/>
        <w:rPr>
          <w:sz w:val="28"/>
        </w:rPr>
      </w:pPr>
      <w:r>
        <w:rPr>
          <w:rFonts w:hAnsi="宋体"/>
          <w:sz w:val="28"/>
        </w:rPr>
        <w:t>（三）指令的发送、确认及执行的时间和程序</w:t>
      </w:r>
    </w:p>
    <w:p w:rsidR="008053E8">
      <w:pPr>
        <w:adjustRightInd w:val="0"/>
        <w:snapToGrid w:val="0"/>
        <w:spacing w:line="360" w:lineRule="auto"/>
        <w:ind w:firstLine="560" w:firstLineChars="200"/>
        <w:rPr>
          <w:sz w:val="28"/>
        </w:rPr>
      </w:pPr>
      <w:r>
        <w:rPr>
          <w:sz w:val="28"/>
        </w:rPr>
        <w:t>1</w:t>
      </w:r>
      <w:r>
        <w:rPr>
          <w:rFonts w:hAnsi="宋体" w:hint="eastAsia"/>
          <w:sz w:val="28"/>
        </w:rPr>
        <w:t>、</w:t>
      </w:r>
      <w:r>
        <w:rPr>
          <w:rFonts w:hAnsi="宋体"/>
          <w:sz w:val="28"/>
        </w:rPr>
        <w:t>指令的发送</w:t>
      </w:r>
    </w:p>
    <w:p w:rsidR="008053E8">
      <w:pPr>
        <w:adjustRightInd w:val="0"/>
        <w:snapToGrid w:val="0"/>
        <w:spacing w:line="360" w:lineRule="auto"/>
        <w:ind w:firstLine="560" w:firstLineChars="200"/>
        <w:rPr>
          <w:sz w:val="28"/>
        </w:rPr>
      </w:pPr>
      <w:r>
        <w:rPr>
          <w:rFonts w:hAnsi="宋体"/>
          <w:sz w:val="28"/>
        </w:rPr>
        <w:t>基金管理人发送指令应采用加密传真方式或其他基金管理人和基金托管人双方书面共同确认的</w:t>
      </w:r>
      <w:r>
        <w:rPr>
          <w:rFonts w:hAnsi="宋体" w:hint="eastAsia"/>
          <w:sz w:val="28"/>
        </w:rPr>
        <w:t>方式</w:t>
      </w:r>
      <w:r>
        <w:rPr>
          <w:rFonts w:hAnsi="宋体"/>
          <w:sz w:val="28"/>
        </w:rPr>
        <w:t>。</w:t>
      </w:r>
    </w:p>
    <w:p w:rsidR="008053E8">
      <w:pPr>
        <w:adjustRightInd w:val="0"/>
        <w:snapToGrid w:val="0"/>
        <w:spacing w:line="360" w:lineRule="auto"/>
        <w:ind w:firstLine="560" w:firstLineChars="200"/>
        <w:rPr>
          <w:sz w:val="28"/>
        </w:rPr>
      </w:pPr>
      <w:r>
        <w:rPr>
          <w:rFonts w:hAnsi="宋体"/>
          <w:sz w:val="28"/>
        </w:rPr>
        <w:t>基金管理人应按照法律法规和基金合同的规定，在其合法的经营权限和交易权限内发送指令；被授权人应严格按照其授权权限发送指令。对于被授权人依约定程序发出的</w:t>
      </w:r>
      <w:r>
        <w:rPr>
          <w:rFonts w:hAnsi="宋体" w:hint="eastAsia"/>
          <w:sz w:val="28"/>
        </w:rPr>
        <w:t>内容合法的</w:t>
      </w:r>
      <w:r>
        <w:rPr>
          <w:rFonts w:hAnsi="宋体"/>
          <w:sz w:val="28"/>
        </w:rPr>
        <w:t>指令，基金管理人不得否认其效力。但如果基金管理人已经撤销或更改对交易指令发送人员的授权，</w:t>
      </w:r>
      <w:r>
        <w:rPr>
          <w:rFonts w:hAnsi="宋体" w:hint="eastAsia"/>
          <w:sz w:val="28"/>
        </w:rPr>
        <w:t>并</w:t>
      </w:r>
      <w:r>
        <w:rPr>
          <w:rFonts w:hAnsi="宋体"/>
          <w:sz w:val="28"/>
        </w:rPr>
        <w:t>且基金托管人根据本协议确认后，则对于此后该交易指令发送人员无权发送的指令，或超权限发送的指令，基金管理人不承担责任，授权已更改但未通知基金托管人的情况除外。</w:t>
      </w:r>
    </w:p>
    <w:p w:rsidR="008053E8">
      <w:pPr>
        <w:adjustRightInd w:val="0"/>
        <w:snapToGrid w:val="0"/>
        <w:spacing w:line="360" w:lineRule="auto"/>
        <w:ind w:firstLine="560" w:firstLineChars="200"/>
        <w:rPr>
          <w:sz w:val="28"/>
        </w:rPr>
      </w:pPr>
      <w:r>
        <w:rPr>
          <w:rFonts w:hAnsi="宋体"/>
          <w:sz w:val="28"/>
        </w:rPr>
        <w:t>指令发出后，基金管理人应及时以电话方式向基金托管人确认。</w:t>
      </w:r>
    </w:p>
    <w:p w:rsidR="008053E8">
      <w:pPr>
        <w:adjustRightInd w:val="0"/>
        <w:snapToGrid w:val="0"/>
        <w:spacing w:line="360" w:lineRule="auto"/>
        <w:ind w:firstLine="560" w:firstLineChars="200"/>
        <w:rPr>
          <w:sz w:val="28"/>
        </w:rPr>
      </w:pPr>
      <w:r>
        <w:rPr>
          <w:rFonts w:hAnsi="宋体"/>
          <w:sz w:val="28"/>
        </w:rPr>
        <w:t>基金管理人应在交易结束后将</w:t>
      </w:r>
      <w:r>
        <w:rPr>
          <w:rFonts w:hAnsi="宋体" w:hint="eastAsia"/>
          <w:sz w:val="28"/>
        </w:rPr>
        <w:t>全国银行间</w:t>
      </w:r>
      <w:r>
        <w:rPr>
          <w:rFonts w:hAnsi="宋体"/>
          <w:sz w:val="28"/>
        </w:rPr>
        <w:t>交易成交单加盖印章后及时传真给基金托管人，并电话确认。</w:t>
      </w:r>
    </w:p>
    <w:p w:rsidR="008053E8">
      <w:pPr>
        <w:adjustRightInd w:val="0"/>
        <w:snapToGrid w:val="0"/>
        <w:spacing w:line="360" w:lineRule="auto"/>
        <w:ind w:firstLine="560" w:firstLineChars="200"/>
        <w:rPr>
          <w:sz w:val="28"/>
        </w:rPr>
      </w:pPr>
      <w:r>
        <w:rPr>
          <w:rFonts w:hAnsi="宋体"/>
          <w:sz w:val="28"/>
        </w:rPr>
        <w:t>基金管理人在发送指令时，应为基金托管人留出执行指令所必需的</w:t>
      </w:r>
      <w:r>
        <w:rPr>
          <w:rFonts w:hAnsi="宋体" w:hint="eastAsia"/>
          <w:sz w:val="28"/>
        </w:rPr>
        <w:t>划款</w:t>
      </w:r>
      <w:r>
        <w:rPr>
          <w:rFonts w:hAnsi="宋体"/>
          <w:sz w:val="28"/>
        </w:rPr>
        <w:t>时间</w:t>
      </w:r>
      <w:r>
        <w:rPr>
          <w:rFonts w:hAnsi="宋体" w:hint="eastAsia"/>
          <w:sz w:val="28"/>
        </w:rPr>
        <w:t>，该合理时间不低于基金托管人执行同类指令所通常需要的时间</w:t>
      </w:r>
      <w:r>
        <w:rPr>
          <w:rFonts w:hAnsi="宋体"/>
          <w:sz w:val="28"/>
        </w:rPr>
        <w:t>。</w:t>
      </w:r>
      <w:r>
        <w:rPr>
          <w:rFonts w:hAnsi="宋体" w:hint="eastAsia"/>
          <w:sz w:val="28"/>
        </w:rPr>
        <w:t>由基金管理人的原因造成的</w:t>
      </w:r>
      <w:r>
        <w:rPr>
          <w:rFonts w:hAnsi="宋体"/>
          <w:sz w:val="28"/>
        </w:rPr>
        <w:t>指令传输不及时、未能留出</w:t>
      </w:r>
      <w:r>
        <w:rPr>
          <w:rFonts w:hAnsi="宋体" w:hint="eastAsia"/>
          <w:sz w:val="28"/>
        </w:rPr>
        <w:t>合理</w:t>
      </w:r>
      <w:r>
        <w:rPr>
          <w:rFonts w:hAnsi="宋体"/>
          <w:sz w:val="28"/>
        </w:rPr>
        <w:t>的划款时间</w:t>
      </w:r>
      <w:r>
        <w:rPr>
          <w:rFonts w:hAnsi="宋体" w:hint="eastAsia"/>
          <w:sz w:val="28"/>
        </w:rPr>
        <w:t>，未准备足够资金</w:t>
      </w:r>
      <w:r>
        <w:rPr>
          <w:rFonts w:hAnsi="宋体"/>
          <w:sz w:val="28"/>
        </w:rPr>
        <w:t>，致使资金未能及时到账所造成的损失由基金管理人承担</w:t>
      </w:r>
      <w:r>
        <w:rPr>
          <w:rFonts w:hAnsi="宋体" w:hint="eastAsia"/>
          <w:sz w:val="28"/>
        </w:rPr>
        <w:t>；因基金托管人执行指令及划款迟延</w:t>
      </w:r>
      <w:r>
        <w:rPr>
          <w:rFonts w:hAnsi="宋体"/>
          <w:sz w:val="28"/>
        </w:rPr>
        <w:t>所造成的损失由基金</w:t>
      </w:r>
      <w:r>
        <w:rPr>
          <w:rFonts w:hAnsi="宋体" w:hint="eastAsia"/>
          <w:sz w:val="28"/>
        </w:rPr>
        <w:t>托管</w:t>
      </w:r>
      <w:r>
        <w:rPr>
          <w:rFonts w:hAnsi="宋体"/>
          <w:sz w:val="28"/>
        </w:rPr>
        <w:t>人承担。</w:t>
      </w:r>
    </w:p>
    <w:p w:rsidR="008053E8">
      <w:pPr>
        <w:adjustRightInd w:val="0"/>
        <w:snapToGrid w:val="0"/>
        <w:spacing w:line="360" w:lineRule="auto"/>
        <w:ind w:firstLine="560" w:firstLineChars="200"/>
        <w:rPr>
          <w:sz w:val="28"/>
        </w:rPr>
      </w:pPr>
      <w:r>
        <w:rPr>
          <w:sz w:val="28"/>
        </w:rPr>
        <w:t>2</w:t>
      </w:r>
      <w:r>
        <w:rPr>
          <w:rFonts w:hAnsi="宋体" w:hint="eastAsia"/>
          <w:sz w:val="28"/>
        </w:rPr>
        <w:t>、</w:t>
      </w:r>
      <w:r>
        <w:rPr>
          <w:rFonts w:hAnsi="宋体"/>
          <w:sz w:val="28"/>
        </w:rPr>
        <w:t>指令的确认</w:t>
      </w:r>
    </w:p>
    <w:p w:rsidR="008053E8">
      <w:pPr>
        <w:adjustRightInd w:val="0"/>
        <w:snapToGrid w:val="0"/>
        <w:spacing w:line="360" w:lineRule="auto"/>
        <w:ind w:firstLine="560" w:firstLineChars="200"/>
        <w:rPr>
          <w:sz w:val="28"/>
        </w:rPr>
      </w:pPr>
      <w:r>
        <w:rPr>
          <w:rFonts w:hAnsi="宋体"/>
          <w:sz w:val="28"/>
        </w:rPr>
        <w:t>基金托管人应指定专人接收基金管理人的指令，</w:t>
      </w:r>
      <w:r>
        <w:rPr>
          <w:rFonts w:hAnsi="宋体" w:hint="eastAsia"/>
          <w:sz w:val="28"/>
        </w:rPr>
        <w:t>答复基金管理人的指令确认电话。</w:t>
      </w:r>
      <w:r>
        <w:rPr>
          <w:rFonts w:hAnsi="宋体"/>
          <w:sz w:val="28"/>
        </w:rPr>
        <w:t>指令到达基金托管人后，</w:t>
      </w:r>
      <w:r>
        <w:rPr>
          <w:rFonts w:hAnsi="宋体" w:hint="eastAsia"/>
          <w:sz w:val="28"/>
        </w:rPr>
        <w:t>基金托管人应指定专人接收基金管理人的指令，答复基金管理人的指令确认电话。指令到达基金托管人后，基金托管人应指定专人立即审慎验证有关内容及印鉴、签名及权限等，审验无误后方可执行。如有疑问必须及时通知基金管理人。</w:t>
      </w:r>
    </w:p>
    <w:p w:rsidR="008053E8">
      <w:pPr>
        <w:adjustRightInd w:val="0"/>
        <w:snapToGrid w:val="0"/>
        <w:spacing w:line="360" w:lineRule="auto"/>
        <w:ind w:firstLine="560" w:firstLineChars="200"/>
        <w:rPr>
          <w:sz w:val="28"/>
        </w:rPr>
      </w:pPr>
      <w:r>
        <w:rPr>
          <w:sz w:val="28"/>
        </w:rPr>
        <w:t>3</w:t>
      </w:r>
      <w:r>
        <w:rPr>
          <w:rFonts w:hAnsi="宋体" w:hint="eastAsia"/>
          <w:sz w:val="28"/>
        </w:rPr>
        <w:t>、</w:t>
      </w:r>
      <w:r>
        <w:rPr>
          <w:rFonts w:hAnsi="宋体"/>
          <w:sz w:val="28"/>
        </w:rPr>
        <w:t>指令的时间和执行</w:t>
      </w:r>
    </w:p>
    <w:p w:rsidR="008053E8">
      <w:pPr>
        <w:adjustRightInd w:val="0"/>
        <w:snapToGrid w:val="0"/>
        <w:spacing w:line="360" w:lineRule="auto"/>
        <w:ind w:firstLine="560" w:firstLineChars="200"/>
        <w:rPr>
          <w:sz w:val="28"/>
        </w:rPr>
      </w:pPr>
      <w:r>
        <w:rPr>
          <w:rFonts w:hAnsi="宋体"/>
          <w:sz w:val="28"/>
        </w:rPr>
        <w:t>基金托管人对指令验证后，应及时办理。</w:t>
      </w:r>
    </w:p>
    <w:p w:rsidR="008053E8">
      <w:pPr>
        <w:adjustRightInd w:val="0"/>
        <w:snapToGrid w:val="0"/>
        <w:spacing w:line="360" w:lineRule="auto"/>
        <w:ind w:firstLine="560" w:firstLineChars="200"/>
        <w:rPr>
          <w:sz w:val="28"/>
        </w:rPr>
      </w:pPr>
      <w:r>
        <w:rPr>
          <w:rFonts w:hAnsi="宋体"/>
          <w:sz w:val="28"/>
        </w:rPr>
        <w:t>基金管理人应确保</w:t>
      </w:r>
      <w:r>
        <w:rPr>
          <w:rFonts w:hAnsi="宋体" w:hint="eastAsia"/>
          <w:sz w:val="28"/>
        </w:rPr>
        <w:t>基金托管人在执行指令时，</w:t>
      </w:r>
      <w:r>
        <w:rPr>
          <w:rFonts w:hAnsi="宋体"/>
          <w:sz w:val="28"/>
        </w:rPr>
        <w:t>基金</w:t>
      </w:r>
      <w:r>
        <w:rPr>
          <w:rFonts w:hAnsi="宋体" w:hint="eastAsia"/>
          <w:sz w:val="28"/>
        </w:rPr>
        <w:t>托管资金</w:t>
      </w:r>
      <w:r>
        <w:rPr>
          <w:rFonts w:hAnsi="宋体"/>
          <w:sz w:val="28"/>
        </w:rPr>
        <w:t>账户有足够的资金余额，</w:t>
      </w:r>
      <w:r>
        <w:rPr>
          <w:rFonts w:hAnsi="宋体" w:hint="eastAsia"/>
          <w:sz w:val="28"/>
        </w:rPr>
        <w:t>否则</w:t>
      </w:r>
      <w:r>
        <w:rPr>
          <w:rFonts w:hAnsi="宋体"/>
          <w:sz w:val="28"/>
        </w:rPr>
        <w:t>基金托管人可不予执行，但应立即通知基金管理人，由基金管理人审核、查明原因，确认此交易指令无效。</w:t>
      </w:r>
      <w:r>
        <w:rPr>
          <w:rFonts w:hAnsi="宋体" w:hint="eastAsia"/>
          <w:sz w:val="28"/>
        </w:rPr>
        <w:t>在及时通知后，</w:t>
      </w:r>
      <w:r>
        <w:rPr>
          <w:rFonts w:hAnsi="宋体"/>
          <w:sz w:val="28"/>
        </w:rPr>
        <w:t>基金托管人不承担因未执行该指令造成损失的责任。</w:t>
      </w:r>
    </w:p>
    <w:p w:rsidR="008053E8">
      <w:pPr>
        <w:adjustRightInd w:val="0"/>
        <w:snapToGrid w:val="0"/>
        <w:spacing w:line="360" w:lineRule="auto"/>
        <w:ind w:firstLine="560" w:firstLineChars="200"/>
        <w:rPr>
          <w:sz w:val="28"/>
        </w:rPr>
      </w:pPr>
      <w:r>
        <w:rPr>
          <w:rFonts w:hAnsi="宋体" w:hint="eastAsia"/>
          <w:sz w:val="28"/>
        </w:rPr>
        <w:t>对于申购新股等时效性要求高的指令，管理公司必须及时将指令传至基金托管人，并预留充足的指令处理时间，该时间不低于基金托管人处理同类指令所通常需要的时间。</w:t>
      </w:r>
    </w:p>
    <w:p w:rsidR="008053E8">
      <w:pPr>
        <w:adjustRightInd w:val="0"/>
        <w:snapToGrid w:val="0"/>
        <w:spacing w:line="360" w:lineRule="auto"/>
        <w:ind w:firstLine="560" w:firstLineChars="200"/>
        <w:rPr>
          <w:sz w:val="28"/>
        </w:rPr>
      </w:pPr>
      <w:r>
        <w:rPr>
          <w:rFonts w:hAnsi="宋体" w:hint="eastAsia"/>
          <w:sz w:val="28"/>
        </w:rPr>
        <w:t>对于发送时资金不足的指令，基金托管人有权不予执行并应及时通知基金管理人，基金管理人确认该指令不予取消的，资金备足并通知基金托管人的时间视为指令收到时间。</w:t>
      </w:r>
    </w:p>
    <w:p w:rsidR="008053E8">
      <w:pPr>
        <w:adjustRightInd w:val="0"/>
        <w:snapToGrid w:val="0"/>
        <w:spacing w:line="360" w:lineRule="auto"/>
        <w:ind w:firstLine="560" w:firstLineChars="200"/>
        <w:rPr>
          <w:sz w:val="28"/>
        </w:rPr>
      </w:pPr>
      <w:r>
        <w:rPr>
          <w:rFonts w:hAnsi="宋体"/>
          <w:sz w:val="28"/>
        </w:rPr>
        <w:t>（四）基金管理人发送错误指令的情形和处理程序</w:t>
      </w:r>
    </w:p>
    <w:p w:rsidR="008053E8">
      <w:pPr>
        <w:adjustRightInd w:val="0"/>
        <w:snapToGrid w:val="0"/>
        <w:spacing w:line="360" w:lineRule="auto"/>
        <w:ind w:firstLine="560" w:firstLineChars="200"/>
        <w:rPr>
          <w:sz w:val="28"/>
        </w:rPr>
      </w:pPr>
      <w:r>
        <w:rPr>
          <w:rFonts w:hAnsi="宋体"/>
          <w:sz w:val="28"/>
        </w:rPr>
        <w:t>基金托管人发现指令错误，提示基金管理人改正后再予以执行</w:t>
      </w:r>
      <w:r>
        <w:rPr>
          <w:rFonts w:hAnsi="宋体" w:hint="eastAsia"/>
          <w:sz w:val="28"/>
        </w:rPr>
        <w:t>或撤销，若</w:t>
      </w:r>
      <w:r>
        <w:rPr>
          <w:rFonts w:hAnsi="宋体" w:hint="eastAsia"/>
          <w:sz w:val="28"/>
        </w:rPr>
        <w:t>由此造成的延误损失由基金管理人承担</w:t>
      </w:r>
      <w:r>
        <w:rPr>
          <w:rFonts w:hAnsi="宋体"/>
          <w:sz w:val="28"/>
        </w:rPr>
        <w:t>。</w:t>
      </w:r>
    </w:p>
    <w:p w:rsidR="008053E8">
      <w:pPr>
        <w:adjustRightInd w:val="0"/>
        <w:snapToGrid w:val="0"/>
        <w:spacing w:line="360" w:lineRule="auto"/>
        <w:ind w:firstLine="560" w:firstLineChars="200"/>
        <w:rPr>
          <w:sz w:val="28"/>
        </w:rPr>
      </w:pPr>
      <w:r>
        <w:rPr>
          <w:rFonts w:hAnsi="宋体"/>
          <w:sz w:val="28"/>
        </w:rPr>
        <w:t>（五）基金托管人依照法律法规暂缓、拒绝执行指令的情形和处理程序</w:t>
      </w:r>
    </w:p>
    <w:p w:rsidR="008053E8">
      <w:pPr>
        <w:adjustRightInd w:val="0"/>
        <w:snapToGrid w:val="0"/>
        <w:spacing w:line="360" w:lineRule="auto"/>
        <w:ind w:firstLine="560" w:firstLineChars="200"/>
        <w:rPr>
          <w:sz w:val="28"/>
        </w:rPr>
      </w:pPr>
      <w:r>
        <w:rPr>
          <w:rFonts w:hAnsi="宋体"/>
          <w:sz w:val="28"/>
        </w:rPr>
        <w:t>若基金托管人发现基金管理人的指令违反法律、行政法规和其他有关规定，或者违反基金合同约定的，应当拒绝执行，</w:t>
      </w:r>
      <w:r>
        <w:rPr>
          <w:rFonts w:hAnsi="宋体" w:hint="eastAsia"/>
          <w:sz w:val="28"/>
        </w:rPr>
        <w:t>立即</w:t>
      </w:r>
      <w:r>
        <w:rPr>
          <w:rFonts w:hAnsi="宋体"/>
          <w:sz w:val="28"/>
        </w:rPr>
        <w:t>通知基金管理人。</w:t>
      </w:r>
    </w:p>
    <w:p w:rsidR="008053E8">
      <w:pPr>
        <w:adjustRightInd w:val="0"/>
        <w:snapToGrid w:val="0"/>
        <w:spacing w:line="360" w:lineRule="auto"/>
        <w:ind w:firstLine="560" w:firstLineChars="200"/>
        <w:rPr>
          <w:sz w:val="28"/>
        </w:rPr>
      </w:pPr>
      <w:r>
        <w:rPr>
          <w:rFonts w:hAnsi="宋体"/>
          <w:sz w:val="28"/>
        </w:rPr>
        <w:t>若基金托管人发现基金管理人依据交易程序已经生效的指令违反法律、行政法规和其他有关规定，或者违反基金合同约定的，应当</w:t>
      </w:r>
      <w:r>
        <w:rPr>
          <w:rFonts w:hAnsi="宋体" w:hint="eastAsia"/>
          <w:sz w:val="28"/>
        </w:rPr>
        <w:t>立即</w:t>
      </w:r>
      <w:r>
        <w:rPr>
          <w:rFonts w:hAnsi="宋体"/>
          <w:sz w:val="28"/>
        </w:rPr>
        <w:t>通知基金管理人，</w:t>
      </w:r>
      <w:r>
        <w:rPr>
          <w:rFonts w:hAnsi="宋体" w:hint="eastAsia"/>
          <w:sz w:val="28"/>
        </w:rPr>
        <w:t>在基金托管人已依据本协议履行了监督义务的前提下，</w:t>
      </w:r>
      <w:r>
        <w:rPr>
          <w:rFonts w:hAnsi="宋体"/>
          <w:sz w:val="28"/>
        </w:rPr>
        <w:t>由此造成的损失由基金管理人承担。</w:t>
      </w:r>
    </w:p>
    <w:p w:rsidR="008053E8">
      <w:pPr>
        <w:adjustRightInd w:val="0"/>
        <w:snapToGrid w:val="0"/>
        <w:spacing w:line="360" w:lineRule="auto"/>
        <w:ind w:firstLine="560" w:firstLineChars="200"/>
        <w:rPr>
          <w:sz w:val="28"/>
        </w:rPr>
      </w:pPr>
      <w:r>
        <w:rPr>
          <w:rFonts w:hAnsi="宋体"/>
          <w:sz w:val="28"/>
        </w:rPr>
        <w:t>（六）基金托管人未按照基金管理人指令执行的处理方法</w:t>
      </w:r>
    </w:p>
    <w:p w:rsidR="008053E8">
      <w:pPr>
        <w:adjustRightInd w:val="0"/>
        <w:snapToGrid w:val="0"/>
        <w:spacing w:line="360" w:lineRule="auto"/>
        <w:ind w:firstLine="560" w:firstLineChars="200"/>
        <w:rPr>
          <w:sz w:val="28"/>
        </w:rPr>
      </w:pPr>
      <w:r>
        <w:rPr>
          <w:rFonts w:hAnsi="宋体" w:hint="eastAsia"/>
          <w:sz w:val="28"/>
        </w:rPr>
        <w:t>基金托管人由于其自身原因未能执行或错误执行基金管理人指令致使本基金的利益受到损害，应在发现后，及时采取措施予以弥补，给基金份额持有人造成损失的，对由此造成的直接经济损失负赔偿责任。</w:t>
      </w:r>
    </w:p>
    <w:p w:rsidR="008053E8">
      <w:pPr>
        <w:adjustRightInd w:val="0"/>
        <w:snapToGrid w:val="0"/>
        <w:spacing w:line="360" w:lineRule="auto"/>
        <w:ind w:firstLine="560" w:firstLineChars="200"/>
        <w:rPr>
          <w:sz w:val="28"/>
        </w:rPr>
      </w:pPr>
      <w:r>
        <w:rPr>
          <w:rFonts w:hAnsi="宋体"/>
          <w:sz w:val="28"/>
        </w:rPr>
        <w:t>（七）更换被授权人员的程序</w:t>
      </w:r>
    </w:p>
    <w:p w:rsidR="008053E8">
      <w:pPr>
        <w:adjustRightInd w:val="0"/>
        <w:snapToGrid w:val="0"/>
        <w:spacing w:line="360" w:lineRule="auto"/>
        <w:ind w:firstLine="560" w:firstLineChars="200"/>
        <w:rPr>
          <w:sz w:val="28"/>
        </w:rPr>
      </w:pPr>
      <w:r>
        <w:rPr>
          <w:rFonts w:hAnsi="宋体"/>
          <w:sz w:val="28"/>
        </w:rPr>
        <w:t>基金管理人更换被授权人、更改或终止对被授权人的授权，应提前通知基金托管人，同时基金管理人向基金托管人提供新的</w:t>
      </w:r>
      <w:r>
        <w:rPr>
          <w:rFonts w:hAnsi="宋体" w:hint="eastAsia"/>
          <w:sz w:val="28"/>
        </w:rPr>
        <w:t>被授权人</w:t>
      </w:r>
      <w:r>
        <w:rPr>
          <w:rFonts w:hAnsi="宋体"/>
          <w:sz w:val="28"/>
        </w:rPr>
        <w:t>的姓名、权限、预留印鉴和签字样本</w:t>
      </w:r>
      <w:r>
        <w:rPr>
          <w:rFonts w:hAnsi="宋体" w:hint="eastAsia"/>
          <w:sz w:val="28"/>
        </w:rPr>
        <w:t>，并及时通过电话确认，确保基金托管人及时查收</w:t>
      </w:r>
      <w:r>
        <w:rPr>
          <w:rFonts w:hAnsi="宋体"/>
          <w:sz w:val="28"/>
        </w:rPr>
        <w:t>。</w:t>
      </w:r>
      <w:r>
        <w:rPr>
          <w:rFonts w:hAnsi="宋体" w:hint="eastAsia"/>
          <w:sz w:val="28"/>
        </w:rPr>
        <w:t>基金托管人在收到授权变更通知后，授权文件即生效。被授权人变更通知生效前，基金托管人仍应按原约定执行指令，基金管理人不得否认其效力。</w:t>
      </w:r>
    </w:p>
    <w:p w:rsidR="008053E8">
      <w:pPr>
        <w:adjustRightInd w:val="0"/>
        <w:snapToGrid w:val="0"/>
        <w:spacing w:line="360" w:lineRule="auto"/>
        <w:ind w:firstLine="560" w:firstLineChars="200"/>
        <w:rPr>
          <w:sz w:val="28"/>
        </w:rPr>
      </w:pPr>
      <w:r>
        <w:rPr>
          <w:rFonts w:hAnsi="宋体"/>
          <w:sz w:val="28"/>
        </w:rPr>
        <w:t>基金托管人更换接受基金管理人指令的人员，应提前书面通知基金管理人。</w:t>
      </w:r>
    </w:p>
    <w:p w:rsidR="008053E8">
      <w:pPr>
        <w:adjustRightInd w:val="0"/>
        <w:snapToGrid w:val="0"/>
        <w:spacing w:line="360" w:lineRule="auto"/>
        <w:ind w:firstLine="560" w:firstLineChars="200"/>
        <w:rPr>
          <w:sz w:val="28"/>
        </w:rPr>
      </w:pPr>
      <w:r>
        <w:rPr>
          <w:rFonts w:hAnsi="宋体"/>
          <w:sz w:val="28"/>
        </w:rPr>
        <w:t>（八）其他事项</w:t>
      </w:r>
    </w:p>
    <w:p w:rsidR="008053E8">
      <w:pPr>
        <w:adjustRightInd w:val="0"/>
        <w:snapToGrid w:val="0"/>
        <w:spacing w:line="360" w:lineRule="auto"/>
        <w:ind w:firstLine="560" w:firstLineChars="200"/>
        <w:rPr>
          <w:sz w:val="28"/>
        </w:rPr>
      </w:pPr>
      <w:r>
        <w:rPr>
          <w:sz w:val="28"/>
        </w:rPr>
        <w:t>1</w:t>
      </w:r>
      <w:r>
        <w:rPr>
          <w:rFonts w:hAnsi="宋体" w:hint="eastAsia"/>
          <w:sz w:val="28"/>
        </w:rPr>
        <w:t>、</w:t>
      </w:r>
      <w:r>
        <w:rPr>
          <w:rFonts w:hAnsi="宋体"/>
          <w:sz w:val="28"/>
        </w:rPr>
        <w:t>基金托管人在接收指令时，应对指令的要素是否齐全、印鉴</w:t>
      </w:r>
      <w:r>
        <w:rPr>
          <w:rFonts w:hAnsi="宋体" w:hint="eastAsia"/>
          <w:sz w:val="28"/>
        </w:rPr>
        <w:t>、指令权限</w:t>
      </w:r>
      <w:r>
        <w:rPr>
          <w:rFonts w:hAnsi="宋体"/>
          <w:sz w:val="28"/>
        </w:rPr>
        <w:t>与被授权人是否与预留的授权文件内容相符进行检查，如发现问题，应及时</w:t>
      </w:r>
      <w:r>
        <w:rPr>
          <w:rFonts w:hAnsi="宋体" w:hint="eastAsia"/>
          <w:sz w:val="28"/>
        </w:rPr>
        <w:t>通知</w:t>
      </w:r>
      <w:r>
        <w:rPr>
          <w:rFonts w:hAnsi="宋体"/>
          <w:sz w:val="28"/>
        </w:rPr>
        <w:t>基金管理人。</w:t>
      </w:r>
    </w:p>
    <w:p w:rsidR="008053E8">
      <w:pPr>
        <w:adjustRightInd w:val="0"/>
        <w:snapToGrid w:val="0"/>
        <w:spacing w:line="360" w:lineRule="auto"/>
        <w:ind w:firstLine="560" w:firstLineChars="200"/>
        <w:rPr>
          <w:sz w:val="28"/>
        </w:rPr>
      </w:pPr>
      <w:r>
        <w:rPr>
          <w:rFonts w:hAnsi="宋体" w:hint="eastAsia"/>
          <w:sz w:val="28"/>
        </w:rPr>
        <w:t>如果基金管理人已经撤销或更改对指令发送人员的授权，并且已通知基金托管人，并与基金托管人确认后，则对于在变更通知的启用日期后该指令发送</w:t>
      </w:r>
      <w:r>
        <w:rPr>
          <w:rFonts w:hAnsi="宋体" w:hint="eastAsia"/>
          <w:sz w:val="28"/>
        </w:rPr>
        <w:t>人员无权发送的指令，或超权限发送的指令，基金管理人不承担责任。</w:t>
      </w:r>
    </w:p>
    <w:p w:rsidR="008053E8">
      <w:pPr>
        <w:adjustRightInd w:val="0"/>
        <w:snapToGrid w:val="0"/>
        <w:spacing w:line="360" w:lineRule="auto"/>
        <w:ind w:firstLine="560" w:firstLineChars="200"/>
        <w:rPr>
          <w:sz w:val="28"/>
        </w:rPr>
      </w:pPr>
      <w:r>
        <w:rPr>
          <w:sz w:val="28"/>
        </w:rPr>
        <w:t>2</w:t>
      </w:r>
      <w:r>
        <w:rPr>
          <w:rFonts w:hAnsi="宋体" w:hint="eastAsia"/>
          <w:sz w:val="28"/>
        </w:rPr>
        <w:t>、</w:t>
      </w:r>
      <w:r>
        <w:rPr>
          <w:rFonts w:hAnsi="宋体"/>
          <w:sz w:val="28"/>
        </w:rPr>
        <w:t>除因</w:t>
      </w:r>
      <w:r>
        <w:rPr>
          <w:rFonts w:hAnsi="宋体" w:hint="eastAsia"/>
          <w:sz w:val="28"/>
        </w:rPr>
        <w:t>其自身原因，包括但不限于执行指令错误、迟延、执行未授权人员指令、怠于履行监督义务等</w:t>
      </w:r>
      <w:r>
        <w:rPr>
          <w:rFonts w:hAnsi="宋体"/>
          <w:sz w:val="28"/>
        </w:rPr>
        <w:t>致使基金的利益受到损害而负赔偿责任外，基金托管人</w:t>
      </w:r>
      <w:r>
        <w:rPr>
          <w:rFonts w:hAnsi="宋体" w:hint="eastAsia"/>
          <w:sz w:val="28"/>
        </w:rPr>
        <w:t>对执行基金管理人的合法指令对基金财产造成的损失不承担赔偿责任。</w:t>
      </w:r>
    </w:p>
    <w:p w:rsidR="008053E8">
      <w:pPr>
        <w:pStyle w:val="Heading2"/>
        <w:spacing w:line="360" w:lineRule="auto"/>
        <w:jc w:val="center"/>
        <w:rPr>
          <w:rFonts w:ascii="Times New Roman" w:eastAsia="宋体" w:hAnsi="Times New Roman"/>
          <w:color w:val="000000"/>
          <w:sz w:val="28"/>
        </w:rPr>
      </w:pPr>
      <w:bookmarkStart w:id="64" w:name="_Toc108512361"/>
      <w:bookmarkStart w:id="65" w:name="_Toc86726442"/>
      <w:bookmarkStart w:id="66" w:name="_Toc84133788"/>
      <w:bookmarkStart w:id="67" w:name="_Toc110765663"/>
      <w:bookmarkStart w:id="68" w:name="_Toc110830495"/>
      <w:bookmarkStart w:id="69" w:name="_Toc86727358"/>
      <w:bookmarkStart w:id="70" w:name="_Toc86737932"/>
      <w:bookmarkStart w:id="71" w:name="_Toc86204791"/>
      <w:bookmarkStart w:id="72" w:name="_Toc84234437"/>
      <w:bookmarkStart w:id="73" w:name="_Toc118212953"/>
      <w:bookmarkStart w:id="74" w:name="_Toc86223245"/>
      <w:bookmarkStart w:id="75" w:name="_Toc86649725"/>
      <w:bookmarkStart w:id="76" w:name="_Toc89163371"/>
      <w:bookmarkStart w:id="77" w:name="_Toc86225294"/>
      <w:bookmarkStart w:id="78" w:name="_Toc110761799"/>
      <w:bookmarkStart w:id="79" w:name="_Toc84234390"/>
      <w:bookmarkStart w:id="80" w:name="_Toc118774806"/>
      <w:bookmarkStart w:id="81" w:name="_Toc118972651"/>
      <w:bookmarkStart w:id="82" w:name="_Toc119402713"/>
      <w:bookmarkStart w:id="83" w:name="_Toc120435786"/>
      <w:bookmarkStart w:id="84" w:name="_Toc335661640"/>
      <w:r>
        <w:rPr>
          <w:rFonts w:ascii="Times New Roman" w:eastAsia="宋体" w:hAnsi="宋体"/>
          <w:color w:val="000000"/>
          <w:sz w:val="28"/>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053E8">
      <w:pPr>
        <w:adjustRightInd w:val="0"/>
        <w:snapToGrid w:val="0"/>
        <w:spacing w:line="360" w:lineRule="auto"/>
        <w:ind w:firstLine="560" w:firstLineChars="200"/>
        <w:rPr>
          <w:color w:val="000000"/>
          <w:sz w:val="28"/>
        </w:rPr>
      </w:pPr>
      <w:r>
        <w:rPr>
          <w:rFonts w:hAnsi="宋体"/>
          <w:color w:val="000000"/>
          <w:sz w:val="28"/>
        </w:rPr>
        <w:t>（一）选择代理证券买卖的证券经营机构</w:t>
      </w:r>
    </w:p>
    <w:p w:rsidR="008053E8">
      <w:pPr>
        <w:adjustRightInd w:val="0"/>
        <w:snapToGrid w:val="0"/>
        <w:spacing w:line="360" w:lineRule="auto"/>
        <w:ind w:firstLine="560" w:firstLineChars="200"/>
        <w:rPr>
          <w:color w:val="000000"/>
          <w:sz w:val="28"/>
        </w:rPr>
      </w:pPr>
      <w:r>
        <w:rPr>
          <w:rFonts w:hAnsi="宋体"/>
          <w:color w:val="000000"/>
          <w:sz w:val="28"/>
        </w:rPr>
        <w:t>基金管理人应设计选择代理证券买卖的证券经营机构的标准和程序。基金管理人负责选择代理本基金证券买卖的证券经营机构，使用其</w:t>
      </w:r>
      <w:r>
        <w:rPr>
          <w:rFonts w:hAnsi="宋体" w:hint="eastAsia"/>
          <w:color w:val="000000"/>
          <w:sz w:val="28"/>
        </w:rPr>
        <w:t>交易单元</w:t>
      </w:r>
      <w:r>
        <w:rPr>
          <w:rFonts w:hAnsi="宋体"/>
          <w:color w:val="000000"/>
          <w:sz w:val="28"/>
        </w:rPr>
        <w:t>作为基金的</w:t>
      </w:r>
      <w:r>
        <w:rPr>
          <w:rFonts w:hAnsi="宋体" w:hint="eastAsia"/>
          <w:color w:val="000000"/>
          <w:sz w:val="28"/>
        </w:rPr>
        <w:t>交易单元</w:t>
      </w:r>
      <w:r>
        <w:rPr>
          <w:rFonts w:hAnsi="宋体"/>
          <w:color w:val="000000"/>
          <w:sz w:val="28"/>
        </w:rPr>
        <w:t>。基金管理人和被选中的证券经营机构签订委托协议，由基金管理人提前通知基金托管人。</w:t>
      </w:r>
      <w:r>
        <w:rPr>
          <w:rFonts w:hAnsi="宋体" w:hint="eastAsia"/>
          <w:color w:val="000000"/>
          <w:sz w:val="28"/>
        </w:rPr>
        <w:t>交易</w:t>
      </w:r>
      <w:r>
        <w:rPr>
          <w:rFonts w:hAnsi="宋体"/>
          <w:color w:val="000000"/>
          <w:sz w:val="28"/>
        </w:rPr>
        <w:t>保证金由被选中的证券经营机构交付。基金管理人应根据有关规定，在基金的</w:t>
      </w:r>
      <w:r>
        <w:rPr>
          <w:rFonts w:hAnsi="宋体" w:hint="eastAsia"/>
          <w:color w:val="000000"/>
          <w:sz w:val="28"/>
        </w:rPr>
        <w:t>中期</w:t>
      </w:r>
      <w:r>
        <w:rPr>
          <w:rFonts w:hAnsi="宋体"/>
          <w:color w:val="000000"/>
          <w:sz w:val="28"/>
        </w:rPr>
        <w:t>报告和年度报告中将所选证券经营机构的有关情况</w:t>
      </w:r>
      <w:r>
        <w:rPr>
          <w:rFonts w:hAnsi="宋体" w:hint="eastAsia"/>
          <w:color w:val="000000"/>
          <w:sz w:val="28"/>
        </w:rPr>
        <w:t>及交易信息</w:t>
      </w:r>
      <w:r>
        <w:rPr>
          <w:rFonts w:hAnsi="宋体"/>
          <w:color w:val="000000"/>
          <w:sz w:val="28"/>
        </w:rPr>
        <w:t>予以披露，并将</w:t>
      </w:r>
      <w:r>
        <w:rPr>
          <w:rFonts w:hAnsi="宋体" w:hint="eastAsia"/>
          <w:color w:val="000000"/>
          <w:sz w:val="28"/>
        </w:rPr>
        <w:t>上述</w:t>
      </w:r>
      <w:r>
        <w:rPr>
          <w:rFonts w:hAnsi="宋体"/>
          <w:color w:val="000000"/>
          <w:sz w:val="28"/>
        </w:rPr>
        <w:t>情况及基金专用</w:t>
      </w:r>
      <w:r>
        <w:rPr>
          <w:rFonts w:hAnsi="宋体" w:hint="eastAsia"/>
          <w:color w:val="000000"/>
          <w:sz w:val="28"/>
        </w:rPr>
        <w:t>交易单元</w:t>
      </w:r>
      <w:r>
        <w:rPr>
          <w:rFonts w:hAnsi="宋体"/>
          <w:color w:val="000000"/>
          <w:sz w:val="28"/>
        </w:rPr>
        <w:t>号、佣金费率等基金基本信息以及变更情况及时以书面形式通知基金托管人。</w:t>
      </w:r>
      <w:r>
        <w:rPr>
          <w:rFonts w:hAnsi="宋体" w:hint="eastAsia"/>
          <w:color w:val="000000"/>
          <w:sz w:val="28"/>
        </w:rPr>
        <w:t>因相关法律法规或交易规则的修改带来的变化以届时有效的法律法规和相关交易规则为准。</w:t>
      </w:r>
    </w:p>
    <w:p w:rsidR="008053E8">
      <w:pPr>
        <w:adjustRightInd w:val="0"/>
        <w:snapToGrid w:val="0"/>
        <w:spacing w:line="360" w:lineRule="auto"/>
        <w:ind w:firstLine="560" w:firstLineChars="200"/>
        <w:rPr>
          <w:color w:val="000000"/>
          <w:sz w:val="28"/>
        </w:rPr>
      </w:pPr>
      <w:r>
        <w:rPr>
          <w:rFonts w:hAnsi="宋体"/>
          <w:color w:val="000000"/>
          <w:sz w:val="28"/>
        </w:rPr>
        <w:t>（二）基金投资证券后的清算交收安排</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清算与交割</w:t>
      </w:r>
    </w:p>
    <w:p w:rsidR="008053E8">
      <w:pPr>
        <w:adjustRightInd w:val="0"/>
        <w:snapToGrid w:val="0"/>
        <w:spacing w:line="360" w:lineRule="auto"/>
        <w:ind w:firstLine="560" w:firstLineChars="200"/>
        <w:rPr>
          <w:color w:val="000000"/>
          <w:sz w:val="28"/>
        </w:rPr>
      </w:pPr>
      <w:r>
        <w:rPr>
          <w:rFonts w:hAnsi="宋体"/>
          <w:color w:val="000000"/>
          <w:sz w:val="28"/>
        </w:rPr>
        <w:t>基金托管人负责基金买卖证券的清算交收。资金汇划由基金托管人根据基金管理人的交易成交结果具体办理。</w:t>
      </w:r>
    </w:p>
    <w:p w:rsidR="008053E8">
      <w:pPr>
        <w:adjustRightInd w:val="0"/>
        <w:snapToGrid w:val="0"/>
        <w:spacing w:line="360" w:lineRule="auto"/>
        <w:ind w:firstLine="560" w:firstLineChars="200"/>
        <w:rPr>
          <w:color w:val="000000"/>
          <w:sz w:val="28"/>
        </w:rPr>
      </w:pPr>
      <w:r>
        <w:rPr>
          <w:rFonts w:hAnsi="宋体"/>
          <w:color w:val="000000"/>
          <w:sz w:val="28"/>
        </w:rPr>
        <w:t>如果因为基金托管人自身原因在清算上造成基金资产的损失，应由基金托管人负责赔偿基金的损失；</w:t>
      </w:r>
      <w:r>
        <w:rPr>
          <w:rFonts w:hAnsi="宋体" w:hint="eastAsia"/>
          <w:color w:val="000000"/>
          <w:sz w:val="28"/>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Pr>
          <w:rFonts w:hAnsi="宋体"/>
          <w:color w:val="000000"/>
          <w:sz w:val="28"/>
        </w:rPr>
        <w:t>如果由于基金管理人违反</w:t>
      </w:r>
      <w:r>
        <w:rPr>
          <w:rFonts w:hAnsi="宋体" w:hint="eastAsia"/>
          <w:color w:val="000000"/>
          <w:sz w:val="28"/>
        </w:rPr>
        <w:t>法律法规、交易规则的</w:t>
      </w:r>
      <w:r>
        <w:rPr>
          <w:rFonts w:hAnsi="宋体"/>
          <w:color w:val="000000"/>
          <w:sz w:val="28"/>
        </w:rPr>
        <w:t>规定</w:t>
      </w:r>
      <w:r>
        <w:rPr>
          <w:rFonts w:hAnsi="宋体"/>
          <w:color w:val="000000"/>
          <w:sz w:val="28"/>
        </w:rPr>
        <w:t>进行超买、超卖等原因造成基金投资清算困难和风险，基金托管人发现后应立即通知基金管理人，由基金管理人负责解决，由此给基金造成的损失由基金管理人承担。</w:t>
      </w:r>
    </w:p>
    <w:p w:rsidR="008053E8">
      <w:pPr>
        <w:adjustRightInd w:val="0"/>
        <w:snapToGrid w:val="0"/>
        <w:spacing w:line="360" w:lineRule="auto"/>
        <w:ind w:firstLine="560" w:firstLineChars="200"/>
        <w:rPr>
          <w:color w:val="000000"/>
          <w:sz w:val="28"/>
        </w:rPr>
      </w:pPr>
      <w:r>
        <w:rPr>
          <w:rFonts w:hAnsi="宋体"/>
          <w:color w:val="000000"/>
          <w:sz w:val="28"/>
        </w:rPr>
        <w:t>基金管理人应采取合理措施，确保在</w:t>
      </w:r>
      <w:r>
        <w:rPr>
          <w:color w:val="000000"/>
          <w:sz w:val="28"/>
        </w:rPr>
        <w:t>T+1</w:t>
      </w:r>
      <w:r>
        <w:rPr>
          <w:rFonts w:hAnsi="宋体"/>
          <w:color w:val="000000"/>
          <w:sz w:val="28"/>
        </w:rPr>
        <w:t>日</w:t>
      </w:r>
      <w:r>
        <w:rPr>
          <w:rFonts w:hAnsi="宋体" w:hint="eastAsia"/>
          <w:color w:val="000000"/>
          <w:sz w:val="28"/>
        </w:rPr>
        <w:t>上午</w:t>
      </w:r>
      <w:r>
        <w:rPr>
          <w:rFonts w:hint="eastAsia"/>
          <w:color w:val="000000"/>
          <w:sz w:val="28"/>
        </w:rPr>
        <w:t>11</w:t>
      </w:r>
      <w:r>
        <w:rPr>
          <w:color w:val="000000"/>
          <w:sz w:val="28"/>
        </w:rPr>
        <w:t>:</w:t>
      </w:r>
      <w:r>
        <w:rPr>
          <w:rFonts w:hint="eastAsia"/>
          <w:color w:val="000000"/>
          <w:sz w:val="28"/>
        </w:rPr>
        <w:t>3</w:t>
      </w:r>
      <w:r>
        <w:rPr>
          <w:color w:val="000000"/>
          <w:sz w:val="28"/>
        </w:rPr>
        <w:t>0</w:t>
      </w:r>
      <w:r>
        <w:rPr>
          <w:rFonts w:hAnsi="宋体" w:hint="eastAsia"/>
          <w:color w:val="000000"/>
          <w:sz w:val="28"/>
        </w:rPr>
        <w:t>之</w:t>
      </w:r>
      <w:r>
        <w:rPr>
          <w:rFonts w:hAnsi="宋体"/>
          <w:color w:val="000000"/>
          <w:sz w:val="28"/>
        </w:rPr>
        <w:t>前</w:t>
      </w:r>
      <w:r>
        <w:rPr>
          <w:rFonts w:hAnsi="宋体" w:hint="eastAsia"/>
          <w:color w:val="000000"/>
          <w:sz w:val="28"/>
        </w:rPr>
        <w:t>，最迟不能超过</w:t>
      </w:r>
      <w:r>
        <w:rPr>
          <w:rFonts w:hint="eastAsia"/>
          <w:color w:val="000000"/>
          <w:sz w:val="28"/>
        </w:rPr>
        <w:t>T+1</w:t>
      </w:r>
      <w:r>
        <w:rPr>
          <w:rFonts w:hAnsi="宋体" w:hint="eastAsia"/>
          <w:color w:val="000000"/>
          <w:sz w:val="28"/>
        </w:rPr>
        <w:t>日</w:t>
      </w:r>
      <w:r>
        <w:rPr>
          <w:rFonts w:hint="eastAsia"/>
          <w:color w:val="000000"/>
          <w:sz w:val="28"/>
        </w:rPr>
        <w:t>13</w:t>
      </w:r>
      <w:r>
        <w:rPr>
          <w:color w:val="000000"/>
          <w:sz w:val="28"/>
        </w:rPr>
        <w:t>:</w:t>
      </w:r>
      <w:r>
        <w:rPr>
          <w:rFonts w:hint="eastAsia"/>
          <w:color w:val="000000"/>
          <w:sz w:val="28"/>
        </w:rPr>
        <w:t>00</w:t>
      </w:r>
      <w:r>
        <w:rPr>
          <w:rFonts w:hAnsi="宋体" w:hint="eastAsia"/>
          <w:color w:val="000000"/>
          <w:sz w:val="28"/>
        </w:rPr>
        <w:t>前</w:t>
      </w:r>
      <w:r>
        <w:rPr>
          <w:rFonts w:hAnsi="宋体"/>
          <w:color w:val="000000"/>
          <w:sz w:val="28"/>
        </w:rPr>
        <w:t>有足够的资金头寸用于中国证券登记结算</w:t>
      </w:r>
      <w:r>
        <w:rPr>
          <w:rFonts w:hAnsi="宋体" w:hint="eastAsia"/>
          <w:color w:val="000000"/>
          <w:sz w:val="28"/>
        </w:rPr>
        <w:t>公司</w:t>
      </w:r>
      <w:r>
        <w:rPr>
          <w:rFonts w:hAnsi="宋体"/>
          <w:color w:val="000000"/>
          <w:sz w:val="28"/>
        </w:rPr>
        <w:t>的资金结算。</w:t>
      </w:r>
    </w:p>
    <w:p w:rsidR="008053E8">
      <w:pPr>
        <w:adjustRightInd w:val="0"/>
        <w:snapToGrid w:val="0"/>
        <w:spacing w:line="360" w:lineRule="auto"/>
        <w:ind w:firstLine="560" w:firstLineChars="200"/>
        <w:rPr>
          <w:color w:val="000000"/>
          <w:sz w:val="28"/>
        </w:rPr>
      </w:pPr>
      <w:r>
        <w:rPr>
          <w:rFonts w:hAnsi="宋体"/>
          <w:color w:val="000000"/>
          <w:sz w:val="28"/>
        </w:rPr>
        <w:t>基金管理人应保证基金托管人在执行基金管理人发送的划款指令时，基金</w:t>
      </w:r>
      <w:r>
        <w:rPr>
          <w:rFonts w:hAnsi="宋体" w:hint="eastAsia"/>
          <w:color w:val="000000"/>
          <w:sz w:val="28"/>
        </w:rPr>
        <w:t>托管资金</w:t>
      </w:r>
      <w:r>
        <w:rPr>
          <w:rFonts w:hAnsi="宋体"/>
          <w:color w:val="000000"/>
          <w:sz w:val="28"/>
        </w:rPr>
        <w:t>账户或资金交收账户上有充足的资金。基金的资金头寸不足时，基金托管人有权拒绝基金管理人发送的划款指令</w:t>
      </w:r>
      <w:r>
        <w:rPr>
          <w:rFonts w:hAnsi="宋体" w:hint="eastAsia"/>
          <w:color w:val="000000"/>
          <w:sz w:val="28"/>
        </w:rPr>
        <w:t>，但应及时通知基金管理人</w:t>
      </w:r>
      <w:r>
        <w:rPr>
          <w:rFonts w:hAnsi="宋体"/>
          <w:color w:val="000000"/>
          <w:sz w:val="28"/>
        </w:rPr>
        <w:t>。基金管理人在发送划款指令时应充分考虑基金托管人的划款处理时间。在基金资金头寸充足的情况下，基金托管人对基金管理人符合法律法规、基金合同、本协议的指令不得拖延或拒绝执行。</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、交易记录、</w:t>
      </w:r>
      <w:r>
        <w:rPr>
          <w:rFonts w:hAnsi="宋体"/>
          <w:color w:val="000000"/>
          <w:sz w:val="28"/>
        </w:rPr>
        <w:t>资金和证券账目核对的时间和方式</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1</w:t>
      </w:r>
      <w:r>
        <w:rPr>
          <w:rFonts w:hAnsi="宋体"/>
          <w:color w:val="000000"/>
          <w:sz w:val="28"/>
        </w:rPr>
        <w:t>）交易记录的核对</w:t>
      </w:r>
    </w:p>
    <w:p w:rsidR="008053E8">
      <w:pPr>
        <w:adjustRightInd w:val="0"/>
        <w:snapToGrid w:val="0"/>
        <w:spacing w:line="360" w:lineRule="auto"/>
        <w:ind w:firstLine="560" w:firstLineChars="200"/>
        <w:rPr>
          <w:color w:val="000000"/>
          <w:sz w:val="28"/>
        </w:rPr>
      </w:pPr>
      <w:r>
        <w:rPr>
          <w:rFonts w:hAnsi="宋体"/>
          <w:color w:val="000000"/>
          <w:kern w:val="0"/>
          <w:sz w:val="28"/>
        </w:rPr>
        <w:t>基金管理人</w:t>
      </w:r>
      <w:r>
        <w:rPr>
          <w:rFonts w:hAnsi="宋体" w:hint="eastAsia"/>
          <w:color w:val="000000"/>
          <w:kern w:val="0"/>
          <w:sz w:val="28"/>
        </w:rPr>
        <w:t>和基金托管人</w:t>
      </w:r>
      <w:r>
        <w:rPr>
          <w:rFonts w:hAnsi="宋体"/>
          <w:color w:val="000000"/>
          <w:kern w:val="0"/>
          <w:sz w:val="28"/>
        </w:rPr>
        <w:t>按日进行交易记录的核对。每日对外披露净值之前，必须保证当天所有实际交易记录与基金会计账簿上的交易记录完全一致。如果实际交易记录与会计账簿记录不一致，造成基金会计核算不完整或不真实，</w:t>
      </w:r>
      <w:r>
        <w:rPr>
          <w:rFonts w:hAnsi="宋体" w:hint="eastAsia"/>
          <w:color w:val="000000"/>
          <w:kern w:val="0"/>
          <w:sz w:val="28"/>
        </w:rPr>
        <w:t>由此给基金造成的损失由责任人承担。</w:t>
      </w:r>
      <w:r>
        <w:rPr>
          <w:rFonts w:hint="eastAsia"/>
          <w:color w:val="000000"/>
          <w:kern w:val="0"/>
          <w:sz w:val="28"/>
        </w:rPr>
        <w:t xml:space="preserve"> </w:t>
      </w:r>
      <w:r>
        <w:rPr>
          <w:color w:val="000000"/>
          <w:kern w:val="0"/>
          <w:sz w:val="28"/>
        </w:rPr>
        <w:t xml:space="preserve"> </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2</w:t>
      </w:r>
      <w:r>
        <w:rPr>
          <w:rFonts w:hAnsi="宋体"/>
          <w:color w:val="000000"/>
          <w:sz w:val="28"/>
        </w:rPr>
        <w:t>）资金账目的核对</w:t>
      </w:r>
    </w:p>
    <w:p w:rsidR="008053E8">
      <w:pPr>
        <w:adjustRightInd w:val="0"/>
        <w:snapToGrid w:val="0"/>
        <w:spacing w:line="360" w:lineRule="auto"/>
        <w:ind w:firstLine="560" w:firstLineChars="200"/>
        <w:rPr>
          <w:color w:val="000000"/>
          <w:sz w:val="28"/>
        </w:rPr>
      </w:pPr>
      <w:r>
        <w:rPr>
          <w:rFonts w:hAnsi="宋体"/>
          <w:color w:val="000000"/>
          <w:sz w:val="28"/>
        </w:rPr>
        <w:t>资金账目按日核实，</w:t>
      </w:r>
      <w:r>
        <w:rPr>
          <w:rFonts w:hAnsi="宋体" w:hint="eastAsia"/>
          <w:color w:val="000000"/>
          <w:sz w:val="28"/>
        </w:rPr>
        <w:t>确保相关各方账账相符，基金托管人确保</w:t>
      </w:r>
      <w:r>
        <w:rPr>
          <w:rFonts w:hAnsi="宋体"/>
          <w:color w:val="000000"/>
          <w:sz w:val="28"/>
        </w:rPr>
        <w:t>账实相符。</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3</w:t>
      </w:r>
      <w:r>
        <w:rPr>
          <w:rFonts w:hAnsi="宋体"/>
          <w:color w:val="000000"/>
          <w:sz w:val="28"/>
        </w:rPr>
        <w:t>）证券账目的核对</w:t>
      </w:r>
    </w:p>
    <w:p w:rsidR="008053E8">
      <w:pPr>
        <w:adjustRightInd w:val="0"/>
        <w:snapToGrid w:val="0"/>
        <w:spacing w:line="360" w:lineRule="auto"/>
        <w:ind w:firstLine="560" w:firstLineChars="200"/>
        <w:rPr>
          <w:color w:val="000000"/>
          <w:sz w:val="28"/>
        </w:rPr>
      </w:pPr>
      <w:r>
        <w:rPr>
          <w:rFonts w:hAnsi="宋体"/>
          <w:color w:val="000000"/>
          <w:sz w:val="28"/>
        </w:rPr>
        <w:t>基金托管人应按时核对证券账户中的种类和数量</w:t>
      </w:r>
      <w:r>
        <w:rPr>
          <w:rFonts w:hAnsi="宋体" w:hint="eastAsia"/>
          <w:color w:val="000000"/>
          <w:sz w:val="28"/>
        </w:rPr>
        <w:t>，确保每日交易结束后证券账户中证券的种类和数量与基金会计账簿中的记载一致。</w:t>
      </w:r>
    </w:p>
    <w:p w:rsidR="008053E8">
      <w:pPr>
        <w:adjustRightInd w:val="0"/>
        <w:snapToGrid w:val="0"/>
        <w:spacing w:line="360" w:lineRule="auto"/>
        <w:ind w:firstLine="560" w:firstLineChars="200"/>
        <w:rPr>
          <w:color w:val="000000"/>
          <w:sz w:val="28"/>
        </w:rPr>
      </w:pPr>
      <w:r>
        <w:rPr>
          <w:rFonts w:hAnsi="宋体" w:hint="eastAsia"/>
          <w:color w:val="000000"/>
          <w:sz w:val="28"/>
        </w:rPr>
        <w:t>（</w:t>
      </w:r>
      <w:r>
        <w:rPr>
          <w:rFonts w:hint="eastAsia"/>
          <w:color w:val="000000"/>
          <w:sz w:val="28"/>
        </w:rPr>
        <w:t>4</w:t>
      </w:r>
      <w:r>
        <w:rPr>
          <w:rFonts w:hAnsi="宋体" w:hint="eastAsia"/>
          <w:color w:val="000000"/>
          <w:sz w:val="28"/>
        </w:rPr>
        <w:t>）实物券账目</w:t>
      </w:r>
    </w:p>
    <w:p w:rsidR="008053E8">
      <w:pPr>
        <w:adjustRightInd w:val="0"/>
        <w:snapToGrid w:val="0"/>
        <w:spacing w:line="360" w:lineRule="auto"/>
        <w:ind w:firstLine="560" w:firstLineChars="200"/>
        <w:rPr>
          <w:color w:val="000000"/>
          <w:sz w:val="28"/>
        </w:rPr>
      </w:pPr>
      <w:r>
        <w:rPr>
          <w:rFonts w:hAnsi="宋体" w:hint="eastAsia"/>
          <w:color w:val="000000"/>
          <w:sz w:val="28"/>
        </w:rPr>
        <w:t>实物券账目，每月月末相关各方进行账实核对。</w:t>
      </w:r>
    </w:p>
    <w:p w:rsidR="008053E8">
      <w:pPr>
        <w:adjustRightInd w:val="0"/>
        <w:snapToGrid w:val="0"/>
        <w:spacing w:line="360" w:lineRule="auto"/>
        <w:ind w:firstLine="560" w:firstLineChars="200"/>
        <w:outlineLvl w:val="0"/>
        <w:rPr>
          <w:color w:val="000000"/>
          <w:sz w:val="28"/>
        </w:rPr>
      </w:pPr>
      <w:r>
        <w:rPr>
          <w:rFonts w:hAnsi="宋体"/>
          <w:color w:val="000000"/>
          <w:sz w:val="28"/>
        </w:rPr>
        <w:t>（三）基金申购</w:t>
      </w:r>
      <w:r>
        <w:rPr>
          <w:rFonts w:hAnsi="宋体" w:hint="eastAsia"/>
          <w:color w:val="000000"/>
          <w:sz w:val="28"/>
        </w:rPr>
        <w:t>、</w:t>
      </w:r>
      <w:r>
        <w:rPr>
          <w:rFonts w:hAnsi="宋体"/>
          <w:color w:val="000000"/>
          <w:sz w:val="28"/>
        </w:rPr>
        <w:t>赎回</w:t>
      </w:r>
      <w:r>
        <w:rPr>
          <w:rFonts w:hAnsi="宋体" w:hint="eastAsia"/>
          <w:color w:val="000000"/>
          <w:sz w:val="28"/>
        </w:rPr>
        <w:t>及转换</w:t>
      </w:r>
      <w:r>
        <w:rPr>
          <w:rFonts w:hAnsi="宋体"/>
          <w:color w:val="000000"/>
          <w:sz w:val="28"/>
        </w:rPr>
        <w:t>业务处理的基本规定</w:t>
      </w:r>
    </w:p>
    <w:p w:rsidR="008053E8">
      <w:pPr>
        <w:adjustRightInd w:val="0"/>
        <w:snapToGrid w:val="0"/>
        <w:spacing w:line="360" w:lineRule="auto"/>
        <w:ind w:firstLine="560" w:firstLineChars="200"/>
        <w:rPr>
          <w:color w:val="000000"/>
          <w:sz w:val="28"/>
        </w:rPr>
      </w:pPr>
      <w:r>
        <w:rPr>
          <w:color w:val="000000"/>
          <w:sz w:val="28"/>
        </w:rPr>
        <w:t>1</w:t>
      </w:r>
      <w:r>
        <w:rPr>
          <w:rFonts w:hint="eastAsia"/>
          <w:color w:val="000000"/>
          <w:sz w:val="28"/>
        </w:rPr>
        <w:t>.</w:t>
      </w:r>
      <w:r>
        <w:rPr>
          <w:rFonts w:hAnsi="宋体"/>
          <w:color w:val="000000"/>
          <w:sz w:val="28"/>
        </w:rPr>
        <w:t>基金份额申购、赎回</w:t>
      </w:r>
      <w:r>
        <w:rPr>
          <w:rFonts w:hAnsi="宋体" w:hint="eastAsia"/>
          <w:color w:val="000000"/>
          <w:sz w:val="28"/>
        </w:rPr>
        <w:t>及转换</w:t>
      </w:r>
      <w:r>
        <w:rPr>
          <w:rFonts w:hAnsi="宋体"/>
          <w:color w:val="000000"/>
          <w:sz w:val="28"/>
        </w:rPr>
        <w:t>的确认、清算由基金管理人指定的登记</w:t>
      </w:r>
      <w:r>
        <w:rPr>
          <w:rFonts w:hAnsi="宋体" w:hint="eastAsia"/>
          <w:color w:val="000000"/>
          <w:sz w:val="28"/>
        </w:rPr>
        <w:t>结算</w:t>
      </w:r>
      <w:r>
        <w:rPr>
          <w:rFonts w:hAnsi="宋体"/>
          <w:color w:val="000000"/>
          <w:sz w:val="28"/>
        </w:rPr>
        <w:t>机构负责。</w:t>
      </w:r>
    </w:p>
    <w:p w:rsidR="008053E8">
      <w:pPr>
        <w:adjustRightInd w:val="0"/>
        <w:snapToGrid w:val="0"/>
        <w:spacing w:line="360" w:lineRule="auto"/>
        <w:ind w:firstLine="560" w:firstLineChars="200"/>
        <w:rPr>
          <w:color w:val="000000"/>
          <w:sz w:val="28"/>
        </w:rPr>
      </w:pPr>
      <w:r>
        <w:rPr>
          <w:color w:val="000000"/>
          <w:sz w:val="28"/>
        </w:rPr>
        <w:t>2</w:t>
      </w:r>
      <w:r>
        <w:rPr>
          <w:rFonts w:hint="eastAsia"/>
          <w:color w:val="000000"/>
          <w:sz w:val="28"/>
        </w:rPr>
        <w:t>.</w:t>
      </w:r>
      <w:r>
        <w:rPr>
          <w:rFonts w:hAnsi="宋体"/>
          <w:color w:val="000000"/>
          <w:sz w:val="28"/>
        </w:rPr>
        <w:t>基金管理人应将每个开放日的申购、赎回、转换开放式基金的数据传送给基金托管人。基金管理人应对传递的申购、赎回、转换开放式基金的数据真实性负责。</w:t>
      </w:r>
    </w:p>
    <w:p w:rsidR="008053E8">
      <w:pPr>
        <w:adjustRightInd w:val="0"/>
        <w:snapToGrid w:val="0"/>
        <w:spacing w:line="360" w:lineRule="auto"/>
        <w:ind w:firstLine="560" w:firstLineChars="200"/>
        <w:rPr>
          <w:color w:val="000000"/>
          <w:sz w:val="28"/>
        </w:rPr>
      </w:pPr>
      <w:r>
        <w:rPr>
          <w:color w:val="000000"/>
          <w:sz w:val="28"/>
        </w:rPr>
        <w:t>3</w:t>
      </w:r>
      <w:r>
        <w:rPr>
          <w:rFonts w:hint="eastAsia"/>
          <w:color w:val="000000"/>
          <w:sz w:val="28"/>
        </w:rPr>
        <w:t>.</w:t>
      </w:r>
      <w:r>
        <w:rPr>
          <w:rFonts w:hAnsi="宋体"/>
          <w:color w:val="000000"/>
          <w:sz w:val="28"/>
        </w:rPr>
        <w:t>基金管理人应保证其委托的登记</w:t>
      </w:r>
      <w:r>
        <w:rPr>
          <w:rFonts w:hAnsi="宋体" w:hint="eastAsia"/>
          <w:color w:val="000000"/>
          <w:sz w:val="28"/>
        </w:rPr>
        <w:t>结算</w:t>
      </w:r>
      <w:r>
        <w:rPr>
          <w:rFonts w:hAnsi="宋体"/>
          <w:color w:val="000000"/>
          <w:sz w:val="28"/>
        </w:rPr>
        <w:t>机构必须于每个工作日</w:t>
      </w:r>
      <w:r>
        <w:rPr>
          <w:color w:val="000000"/>
          <w:sz w:val="28"/>
        </w:rPr>
        <w:t>1</w:t>
      </w:r>
      <w:r>
        <w:rPr>
          <w:rFonts w:hint="eastAsia"/>
          <w:color w:val="000000"/>
          <w:sz w:val="28"/>
        </w:rPr>
        <w:t>7</w:t>
      </w:r>
      <w:r>
        <w:rPr>
          <w:color w:val="000000"/>
          <w:sz w:val="28"/>
        </w:rPr>
        <w:t>:00</w:t>
      </w:r>
      <w:r>
        <w:rPr>
          <w:rFonts w:hAnsi="宋体"/>
          <w:color w:val="000000"/>
          <w:sz w:val="28"/>
        </w:rPr>
        <w:t>前向基金托管人发送前一开放日上述有关数据，并保证相关数据的准确、完整。</w:t>
      </w:r>
    </w:p>
    <w:p w:rsidR="008053E8">
      <w:pPr>
        <w:adjustRightInd w:val="0"/>
        <w:snapToGrid w:val="0"/>
        <w:spacing w:line="360" w:lineRule="auto"/>
        <w:ind w:firstLine="560" w:firstLineChars="200"/>
        <w:rPr>
          <w:color w:val="000000"/>
          <w:sz w:val="28"/>
        </w:rPr>
      </w:pPr>
      <w:r>
        <w:rPr>
          <w:color w:val="000000"/>
          <w:sz w:val="28"/>
        </w:rPr>
        <w:t>4</w:t>
      </w:r>
      <w:r>
        <w:rPr>
          <w:rFonts w:hint="eastAsia"/>
          <w:color w:val="000000"/>
          <w:sz w:val="28"/>
        </w:rPr>
        <w:t>.</w:t>
      </w:r>
      <w:r>
        <w:rPr>
          <w:rFonts w:hAnsi="宋体"/>
          <w:color w:val="000000"/>
          <w:sz w:val="28"/>
        </w:rPr>
        <w:t>登记</w:t>
      </w:r>
      <w:r>
        <w:rPr>
          <w:rFonts w:hAnsi="宋体" w:hint="eastAsia"/>
          <w:color w:val="000000"/>
          <w:sz w:val="28"/>
        </w:rPr>
        <w:t>结算</w:t>
      </w:r>
      <w:r>
        <w:rPr>
          <w:rFonts w:hAnsi="宋体"/>
          <w:color w:val="000000"/>
          <w:sz w:val="28"/>
        </w:rPr>
        <w:t>机构应通过与基金托管人建立的系统发送有关数据，如因各种原因，该系统无法正常发送，双方可协商解决处理方式。基金管理人向基金托管人发送的数据，双方各自按有关规定保存。</w:t>
      </w:r>
    </w:p>
    <w:p w:rsidR="008053E8">
      <w:pPr>
        <w:adjustRightInd w:val="0"/>
        <w:snapToGrid w:val="0"/>
        <w:spacing w:line="360" w:lineRule="auto"/>
        <w:ind w:firstLine="560" w:firstLineChars="200"/>
        <w:rPr>
          <w:color w:val="000000"/>
          <w:sz w:val="28"/>
        </w:rPr>
      </w:pPr>
      <w:r>
        <w:rPr>
          <w:color w:val="000000"/>
          <w:sz w:val="28"/>
        </w:rPr>
        <w:t>5</w:t>
      </w:r>
      <w:r>
        <w:rPr>
          <w:rFonts w:hint="eastAsia"/>
          <w:color w:val="000000"/>
          <w:sz w:val="28"/>
        </w:rPr>
        <w:t>.</w:t>
      </w:r>
      <w:r>
        <w:rPr>
          <w:rFonts w:hAnsi="宋体"/>
          <w:color w:val="000000"/>
          <w:sz w:val="28"/>
        </w:rPr>
        <w:t>如基金管理人委托其他机构办理本基金的登记</w:t>
      </w:r>
      <w:r>
        <w:rPr>
          <w:rFonts w:hAnsi="宋体" w:hint="eastAsia"/>
          <w:color w:val="000000"/>
          <w:sz w:val="28"/>
        </w:rPr>
        <w:t>结算</w:t>
      </w:r>
      <w:r>
        <w:rPr>
          <w:rFonts w:hAnsi="宋体"/>
          <w:color w:val="000000"/>
          <w:sz w:val="28"/>
        </w:rPr>
        <w:t>业务，上述事宜由基金管理人负责。</w:t>
      </w:r>
    </w:p>
    <w:p w:rsidR="008053E8">
      <w:pPr>
        <w:adjustRightInd w:val="0"/>
        <w:snapToGrid w:val="0"/>
        <w:spacing w:line="360" w:lineRule="auto"/>
        <w:ind w:firstLine="560" w:firstLineChars="200"/>
        <w:rPr>
          <w:color w:val="000000"/>
          <w:sz w:val="28"/>
        </w:rPr>
      </w:pPr>
      <w:r>
        <w:rPr>
          <w:color w:val="000000"/>
          <w:sz w:val="28"/>
        </w:rPr>
        <w:t>6</w:t>
      </w:r>
      <w:r>
        <w:rPr>
          <w:rFonts w:hint="eastAsia"/>
          <w:color w:val="000000"/>
          <w:sz w:val="28"/>
        </w:rPr>
        <w:t>.</w:t>
      </w:r>
      <w:r>
        <w:rPr>
          <w:rFonts w:hAnsi="宋体"/>
          <w:color w:val="000000"/>
          <w:sz w:val="28"/>
        </w:rPr>
        <w:t>关于清算专用账户的设立和管理</w:t>
      </w:r>
    </w:p>
    <w:p w:rsidR="008053E8">
      <w:pPr>
        <w:adjustRightInd w:val="0"/>
        <w:snapToGrid w:val="0"/>
        <w:spacing w:line="360" w:lineRule="auto"/>
        <w:ind w:firstLine="560" w:firstLineChars="200"/>
        <w:rPr>
          <w:color w:val="000000"/>
          <w:sz w:val="28"/>
        </w:rPr>
      </w:pPr>
      <w:r>
        <w:rPr>
          <w:rFonts w:hAnsi="宋体"/>
          <w:color w:val="000000"/>
          <w:sz w:val="28"/>
        </w:rPr>
        <w:t>为满足申购、赎回及分红资金汇划的需要，由基金管理人开立资金清算的专用账户，该账户由登记</w:t>
      </w:r>
      <w:r>
        <w:rPr>
          <w:rFonts w:hAnsi="宋体" w:hint="eastAsia"/>
          <w:color w:val="000000"/>
          <w:sz w:val="28"/>
        </w:rPr>
        <w:t>结算</w:t>
      </w:r>
      <w:r>
        <w:rPr>
          <w:rFonts w:hAnsi="宋体"/>
          <w:color w:val="000000"/>
          <w:sz w:val="28"/>
        </w:rPr>
        <w:t>机构管理。</w:t>
      </w:r>
    </w:p>
    <w:p w:rsidR="008053E8">
      <w:pPr>
        <w:adjustRightInd w:val="0"/>
        <w:snapToGrid w:val="0"/>
        <w:spacing w:line="360" w:lineRule="auto"/>
        <w:ind w:firstLine="560" w:firstLineChars="200"/>
        <w:outlineLvl w:val="0"/>
        <w:rPr>
          <w:color w:val="000000"/>
          <w:sz w:val="28"/>
        </w:rPr>
      </w:pPr>
      <w:r>
        <w:rPr>
          <w:rFonts w:hAnsi="宋体"/>
          <w:color w:val="000000"/>
          <w:sz w:val="28"/>
        </w:rPr>
        <w:t>（四）</w:t>
      </w:r>
      <w:r>
        <w:rPr>
          <w:rFonts w:hAnsi="宋体" w:hint="eastAsia"/>
          <w:sz w:val="28"/>
        </w:rPr>
        <w:t>开放式基金申购、赎回和基金转换的资金清算</w:t>
      </w:r>
    </w:p>
    <w:p w:rsidR="008053E8">
      <w:pPr>
        <w:spacing w:line="360" w:lineRule="auto"/>
        <w:ind w:firstLine="560" w:firstLineChars="200"/>
        <w:rPr>
          <w:sz w:val="28"/>
        </w:rPr>
      </w:pPr>
      <w:r>
        <w:rPr>
          <w:rFonts w:hAnsi="宋体" w:hint="eastAsia"/>
          <w:sz w:val="28"/>
        </w:rPr>
        <w:t>基金申购、赎回等款项采用轧差交收的结算方式，净额在最晚不迟于</w:t>
      </w:r>
      <w:r>
        <w:rPr>
          <w:rFonts w:hint="eastAsia"/>
          <w:sz w:val="28"/>
        </w:rPr>
        <w:t>T+3</w:t>
      </w:r>
      <w:r>
        <w:rPr>
          <w:rFonts w:hAnsi="宋体" w:hint="eastAsia"/>
          <w:sz w:val="28"/>
        </w:rPr>
        <w:t>日下午</w:t>
      </w:r>
      <w:r>
        <w:rPr>
          <w:rFonts w:hint="eastAsia"/>
          <w:sz w:val="28"/>
        </w:rPr>
        <w:t>15</w:t>
      </w:r>
      <w:r>
        <w:rPr>
          <w:rFonts w:hAnsi="宋体" w:hint="eastAsia"/>
          <w:sz w:val="28"/>
        </w:rPr>
        <w:t>：</w:t>
      </w:r>
      <w:r>
        <w:rPr>
          <w:rFonts w:hint="eastAsia"/>
          <w:sz w:val="28"/>
        </w:rPr>
        <w:t>00</w:t>
      </w:r>
      <w:r>
        <w:rPr>
          <w:rFonts w:hAnsi="宋体" w:hint="eastAsia"/>
          <w:sz w:val="28"/>
        </w:rPr>
        <w:t>前在基金管理人总清算账户和资产托管专户之间交收。</w:t>
      </w:r>
    </w:p>
    <w:p w:rsidR="008053E8">
      <w:pPr>
        <w:spacing w:line="360" w:lineRule="auto"/>
        <w:ind w:firstLine="560" w:firstLineChars="200"/>
        <w:rPr>
          <w:sz w:val="28"/>
        </w:rPr>
      </w:pPr>
      <w:r>
        <w:rPr>
          <w:rFonts w:hAnsi="宋体" w:hint="eastAsia"/>
          <w:sz w:val="28"/>
        </w:rPr>
        <w:t>如果当日基金为净应收款，基金管理人在</w:t>
      </w:r>
      <w:r>
        <w:rPr>
          <w:rFonts w:hint="eastAsia"/>
          <w:sz w:val="28"/>
        </w:rPr>
        <w:t>T+3</w:t>
      </w:r>
      <w:r>
        <w:rPr>
          <w:rFonts w:hAnsi="宋体" w:hint="eastAsia"/>
          <w:sz w:val="28"/>
        </w:rPr>
        <w:t>日下午</w:t>
      </w:r>
      <w:r>
        <w:rPr>
          <w:rFonts w:hint="eastAsia"/>
          <w:sz w:val="28"/>
        </w:rPr>
        <w:t>15:00</w:t>
      </w:r>
      <w:r>
        <w:rPr>
          <w:rFonts w:hAnsi="宋体" w:hint="eastAsia"/>
          <w:sz w:val="28"/>
        </w:rPr>
        <w:t>前划出净应收款，基金托管人应及时查收资金是否到账，对于未准时到账的资金，应及时通知基金管理人划付，由此产生的责任应由基金管理人承担。</w:t>
      </w:r>
    </w:p>
    <w:p w:rsidR="008053E8">
      <w:pPr>
        <w:spacing w:line="360" w:lineRule="auto"/>
        <w:ind w:firstLine="560" w:firstLineChars="200"/>
        <w:rPr>
          <w:color w:val="000000"/>
          <w:sz w:val="28"/>
        </w:rPr>
      </w:pPr>
      <w:r>
        <w:rPr>
          <w:rFonts w:hAnsi="宋体" w:hint="eastAsia"/>
          <w:sz w:val="28"/>
        </w:rPr>
        <w:t>如果当日基金为净应付款，基金托管人应根据基金管理人的指令</w:t>
      </w:r>
      <w:r>
        <w:rPr>
          <w:rFonts w:hint="eastAsia"/>
          <w:sz w:val="28"/>
        </w:rPr>
        <w:t>T+3</w:t>
      </w:r>
      <w:r>
        <w:rPr>
          <w:rFonts w:hAnsi="宋体" w:hint="eastAsia"/>
          <w:sz w:val="28"/>
        </w:rPr>
        <w:t>日上午</w:t>
      </w:r>
      <w:r>
        <w:rPr>
          <w:rFonts w:hint="eastAsia"/>
          <w:sz w:val="28"/>
        </w:rPr>
        <w:t>12</w:t>
      </w:r>
      <w:r>
        <w:rPr>
          <w:rFonts w:hAnsi="宋体" w:hint="eastAsia"/>
          <w:sz w:val="28"/>
        </w:rPr>
        <w:t>：</w:t>
      </w:r>
      <w:r>
        <w:rPr>
          <w:rFonts w:hint="eastAsia"/>
          <w:sz w:val="28"/>
        </w:rPr>
        <w:t>00</w:t>
      </w:r>
      <w:r>
        <w:rPr>
          <w:rFonts w:hAnsi="宋体" w:hint="eastAsia"/>
          <w:sz w:val="28"/>
        </w:rPr>
        <w:t>前划出净应付款。对于未准时划付的资金，基金管理人应及时通知基金托管人划付，由此产生的责任应由基金托管人承担。</w:t>
      </w:r>
      <w:r>
        <w:rPr>
          <w:rFonts w:hAnsi="宋体"/>
          <w:color w:val="000000"/>
          <w:sz w:val="28"/>
        </w:rPr>
        <w:t>因基金</w:t>
      </w:r>
      <w:r>
        <w:rPr>
          <w:rFonts w:hAnsi="宋体" w:hint="eastAsia"/>
          <w:color w:val="000000"/>
          <w:sz w:val="28"/>
        </w:rPr>
        <w:t>托管资金</w:t>
      </w:r>
      <w:r>
        <w:rPr>
          <w:rFonts w:hAnsi="宋体"/>
          <w:color w:val="000000"/>
          <w:sz w:val="28"/>
        </w:rPr>
        <w:t>账户没</w:t>
      </w:r>
      <w:r>
        <w:rPr>
          <w:rFonts w:hAnsi="宋体"/>
          <w:color w:val="000000"/>
          <w:sz w:val="28"/>
        </w:rPr>
        <w:t>有足够的资金，导致基金托管人不能按时拨付，基金托管人不承担垫款义务。</w:t>
      </w:r>
    </w:p>
    <w:p w:rsidR="008053E8">
      <w:pPr>
        <w:spacing w:line="360" w:lineRule="auto"/>
        <w:ind w:firstLine="560" w:firstLineChars="200"/>
        <w:rPr>
          <w:color w:val="000000"/>
          <w:sz w:val="28"/>
        </w:rPr>
      </w:pPr>
      <w:r>
        <w:rPr>
          <w:rFonts w:hAnsi="宋体"/>
          <w:color w:val="000000"/>
          <w:sz w:val="28"/>
        </w:rPr>
        <w:t>（五）</w:t>
      </w:r>
      <w:r>
        <w:rPr>
          <w:rFonts w:hAnsi="宋体" w:hint="eastAsia"/>
          <w:color w:val="000000"/>
          <w:sz w:val="28"/>
        </w:rPr>
        <w:t>基金融资、融券</w:t>
      </w:r>
    </w:p>
    <w:p w:rsidR="008053E8">
      <w:pPr>
        <w:spacing w:line="360" w:lineRule="auto"/>
        <w:ind w:firstLine="560" w:firstLineChars="200"/>
        <w:rPr>
          <w:color w:val="000000"/>
          <w:sz w:val="28"/>
        </w:rPr>
      </w:pPr>
      <w:r>
        <w:rPr>
          <w:rFonts w:hAnsi="宋体" w:hint="eastAsia"/>
          <w:color w:val="000000"/>
          <w:sz w:val="28"/>
        </w:rPr>
        <w:t>如本基金按国家有关规定进行融资时，基金托管人应为基金融资、融券提供必要的协助。</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85" w:name="_Toc335661641"/>
      <w:r>
        <w:rPr>
          <w:rFonts w:ascii="Times New Roman" w:eastAsia="宋体" w:hAnsi="宋体"/>
          <w:color w:val="000000"/>
          <w:sz w:val="28"/>
        </w:rPr>
        <w:t>八、基金资产净值计算和会计核算</w:t>
      </w:r>
      <w:bookmarkEnd w:id="85"/>
    </w:p>
    <w:p w:rsidR="008053E8">
      <w:pPr>
        <w:adjustRightInd w:val="0"/>
        <w:snapToGrid w:val="0"/>
        <w:spacing w:line="360" w:lineRule="auto"/>
        <w:ind w:firstLine="560" w:firstLineChars="200"/>
        <w:outlineLvl w:val="0"/>
        <w:rPr>
          <w:color w:val="000000"/>
          <w:sz w:val="28"/>
        </w:rPr>
      </w:pPr>
      <w:r>
        <w:rPr>
          <w:rFonts w:hAnsi="宋体"/>
          <w:color w:val="000000"/>
          <w:sz w:val="28"/>
        </w:rPr>
        <w:t>（一）基金资产净值的计算及</w:t>
      </w:r>
      <w:r>
        <w:rPr>
          <w:rFonts w:hAnsi="宋体" w:hint="eastAsia"/>
          <w:color w:val="000000"/>
          <w:sz w:val="28"/>
        </w:rPr>
        <w:t>复核</w:t>
      </w:r>
      <w:r>
        <w:rPr>
          <w:rFonts w:hAnsi="宋体"/>
          <w:color w:val="000000"/>
          <w:sz w:val="28"/>
        </w:rPr>
        <w:t>程序</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基金资产净值</w:t>
      </w:r>
    </w:p>
    <w:p w:rsidR="008053E8">
      <w:pPr>
        <w:adjustRightInd w:val="0"/>
        <w:snapToGrid w:val="0"/>
        <w:spacing w:line="360" w:lineRule="auto"/>
        <w:ind w:firstLine="560" w:firstLineChars="200"/>
        <w:rPr>
          <w:color w:val="000000"/>
          <w:sz w:val="28"/>
        </w:rPr>
      </w:pPr>
      <w:r>
        <w:rPr>
          <w:rFonts w:hAnsi="宋体"/>
          <w:color w:val="000000"/>
          <w:sz w:val="28"/>
        </w:rPr>
        <w:t>基金资产净值是指基金资产总值减去负债后的</w:t>
      </w:r>
      <w:r>
        <w:rPr>
          <w:rFonts w:hAnsi="宋体" w:hint="eastAsia"/>
          <w:color w:val="000000"/>
          <w:sz w:val="28"/>
        </w:rPr>
        <w:t>金额</w:t>
      </w:r>
      <w:r>
        <w:rPr>
          <w:rFonts w:hAnsi="宋体"/>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基金份额净值是指基金资产净值除以基金份额总数</w:t>
      </w:r>
      <w:r>
        <w:rPr>
          <w:rFonts w:hAnsi="宋体" w:hint="eastAsia"/>
          <w:color w:val="000000"/>
          <w:sz w:val="28"/>
        </w:rPr>
        <w:t>。</w:t>
      </w:r>
      <w:r>
        <w:rPr>
          <w:rFonts w:hAnsi="宋体"/>
          <w:color w:val="000000"/>
          <w:sz w:val="28"/>
        </w:rPr>
        <w:t>基金份额净值的计算，精确到</w:t>
      </w:r>
      <w:r>
        <w:rPr>
          <w:color w:val="000000"/>
          <w:sz w:val="28"/>
        </w:rPr>
        <w:t>0.00</w:t>
      </w:r>
      <w:r>
        <w:rPr>
          <w:rFonts w:hint="eastAsia"/>
          <w:color w:val="000000"/>
          <w:sz w:val="28"/>
        </w:rPr>
        <w:t>0</w:t>
      </w:r>
      <w:r>
        <w:rPr>
          <w:color w:val="000000"/>
          <w:sz w:val="28"/>
        </w:rPr>
        <w:t>1</w:t>
      </w:r>
      <w:r>
        <w:rPr>
          <w:rFonts w:hAnsi="宋体"/>
          <w:color w:val="000000"/>
          <w:sz w:val="28"/>
        </w:rPr>
        <w:t>元，小数点后第</w:t>
      </w:r>
      <w:r>
        <w:rPr>
          <w:rFonts w:hint="eastAsia"/>
          <w:color w:val="000000"/>
          <w:sz w:val="28"/>
        </w:rPr>
        <w:t>5</w:t>
      </w:r>
      <w:r>
        <w:rPr>
          <w:rFonts w:hAnsi="宋体"/>
          <w:color w:val="000000"/>
          <w:sz w:val="28"/>
        </w:rPr>
        <w:t>位四舍五入。</w:t>
      </w:r>
    </w:p>
    <w:p w:rsidR="008053E8">
      <w:pPr>
        <w:adjustRightInd w:val="0"/>
        <w:snapToGrid w:val="0"/>
        <w:spacing w:line="360" w:lineRule="auto"/>
        <w:ind w:firstLine="560" w:firstLineChars="200"/>
        <w:rPr>
          <w:color w:val="000000"/>
          <w:sz w:val="28"/>
        </w:rPr>
      </w:pPr>
      <w:r>
        <w:rPr>
          <w:rFonts w:hAnsi="宋体" w:hint="eastAsia"/>
          <w:color w:val="000000"/>
          <w:sz w:val="28"/>
        </w:rPr>
        <w:t>相关的证券交易场所的正常营业日，以及国家法律法规规定需要对外披露基金净值的非营业日</w:t>
      </w:r>
      <w:r>
        <w:rPr>
          <w:rFonts w:hAnsi="宋体"/>
          <w:color w:val="000000"/>
          <w:sz w:val="28"/>
        </w:rPr>
        <w:t>计算基金资产净值及基金份额净值，并按规定公告。</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复核程序</w:t>
      </w:r>
    </w:p>
    <w:p w:rsidR="008053E8">
      <w:pPr>
        <w:adjustRightInd w:val="0"/>
        <w:snapToGrid w:val="0"/>
        <w:spacing w:line="360" w:lineRule="auto"/>
        <w:ind w:firstLine="560" w:firstLineChars="200"/>
        <w:rPr>
          <w:color w:val="000000"/>
          <w:sz w:val="28"/>
        </w:rPr>
      </w:pPr>
      <w:r>
        <w:rPr>
          <w:rFonts w:hAnsi="宋体"/>
          <w:color w:val="000000"/>
          <w:sz w:val="28"/>
        </w:rPr>
        <w:t>基金管理人每工作日对基金资产进行估值后，将基金份额净值结果发送基金托管人，经基金托管人复核无误后，由基金管理人对外公布。</w:t>
      </w:r>
    </w:p>
    <w:p w:rsidR="008053E8">
      <w:pPr>
        <w:adjustRightInd w:val="0"/>
        <w:snapToGrid w:val="0"/>
        <w:spacing w:line="360" w:lineRule="auto"/>
        <w:ind w:firstLine="560" w:firstLineChars="200"/>
        <w:rPr>
          <w:color w:val="000000"/>
          <w:sz w:val="28"/>
        </w:rPr>
      </w:pPr>
      <w:r>
        <w:rPr>
          <w:rFonts w:hAnsi="宋体"/>
          <w:color w:val="000000"/>
          <w:sz w:val="28"/>
        </w:rPr>
        <w:t>（二）基金资产估值方法和特殊情形的处理</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估值对象</w:t>
      </w:r>
    </w:p>
    <w:p w:rsidR="008053E8">
      <w:pPr>
        <w:adjustRightInd w:val="0"/>
        <w:snapToGrid w:val="0"/>
        <w:spacing w:line="360" w:lineRule="auto"/>
        <w:ind w:firstLine="560" w:firstLineChars="200"/>
        <w:rPr>
          <w:sz w:val="28"/>
        </w:rPr>
      </w:pPr>
      <w:r>
        <w:rPr>
          <w:rFonts w:hAnsi="宋体" w:hint="eastAsia"/>
          <w:sz w:val="28"/>
        </w:rPr>
        <w:t>基金所拥有的债券、资产支持证券和银行存款本息、应收款项、其它投资等资产及负债。</w:t>
      </w:r>
    </w:p>
    <w:p w:rsidR="008053E8">
      <w:pPr>
        <w:adjustRightInd w:val="0"/>
        <w:snapToGrid w:val="0"/>
        <w:spacing w:line="360" w:lineRule="auto"/>
        <w:ind w:firstLine="560" w:firstLineChars="200"/>
        <w:rPr>
          <w:sz w:val="28"/>
        </w:rPr>
      </w:pPr>
      <w:r>
        <w:rPr>
          <w:sz w:val="28"/>
        </w:rPr>
        <w:t>2</w:t>
      </w:r>
      <w:r>
        <w:rPr>
          <w:rFonts w:hAnsi="宋体" w:hint="eastAsia"/>
          <w:sz w:val="28"/>
        </w:rPr>
        <w:t>、</w:t>
      </w:r>
      <w:r>
        <w:rPr>
          <w:rFonts w:hAnsi="宋体"/>
          <w:sz w:val="28"/>
        </w:rPr>
        <w:t>估值方法</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int="eastAsia"/>
          <w:sz w:val="28"/>
        </w:rPr>
        <w:t>（</w:t>
      </w:r>
      <w:r>
        <w:rPr>
          <w:rFonts w:ascii="Times New Roman" w:eastAsia="宋体" w:hAnsi="Times New Roman" w:hint="eastAsia"/>
          <w:sz w:val="28"/>
        </w:rPr>
        <w:t>1</w:t>
      </w:r>
      <w:r>
        <w:rPr>
          <w:rFonts w:ascii="Times New Roman" w:eastAsia="宋体" w:hint="eastAsia"/>
          <w:sz w:val="28"/>
        </w:rPr>
        <w:t>）证券交易所上市的有价证券的估值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Ansi="Times New Roman" w:hint="eastAsia"/>
          <w:sz w:val="28"/>
        </w:rPr>
        <w:t>1</w:t>
      </w:r>
      <w:r>
        <w:rPr>
          <w:rFonts w:ascii="Times New Roman" w:eastAsia="宋体" w:hint="eastAsia"/>
          <w:sz w:val="28"/>
        </w:rPr>
        <w:t>）交易所上市的有价证券，以其估值日在证券交易所挂牌的市价（收盘价）估值；估值日无交易的，且最近交易日后经济环境未发生重大变化，以最近交</w:t>
      </w:r>
      <w:r>
        <w:rPr>
          <w:rFonts w:ascii="Times New Roman" w:eastAsia="宋体" w:hint="eastAsia"/>
          <w:sz w:val="28"/>
        </w:rPr>
        <w:t>易日的市价（收盘价）估值；如最近交易日后经济环境发生了重大变化的，可参考类似投资品种的现行市价及重大变化因素，调整最近交易市价，确定公允价格；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Ansi="Times New Roman" w:hint="eastAsia"/>
          <w:sz w:val="28"/>
        </w:rPr>
        <w:t>2</w:t>
      </w:r>
      <w:r>
        <w:rPr>
          <w:rFonts w:ascii="Times New Roman" w:eastAsia="宋体" w:hint="eastAsia"/>
          <w:sz w:val="28"/>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Ansi="Times New Roman" w:hint="eastAsia"/>
          <w:sz w:val="28"/>
        </w:rPr>
        <w:t>3</w:t>
      </w:r>
      <w:r>
        <w:rPr>
          <w:rFonts w:ascii="Times New Roman" w:eastAsia="宋体" w:hint="eastAsia"/>
          <w:sz w:val="28"/>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Ansi="Times New Roman" w:hint="eastAsia"/>
          <w:sz w:val="28"/>
        </w:rPr>
        <w:t>4</w:t>
      </w:r>
      <w:r>
        <w:rPr>
          <w:rFonts w:ascii="Times New Roman" w:eastAsia="宋体" w:hint="eastAsia"/>
          <w:sz w:val="28"/>
        </w:rPr>
        <w:t>）交易所上市不存在活跃市场的有价证券，采用估值技术确定公允价值。交易所上市的资产支持证券，采用估值技术确定公允价值，在估值技术难以可靠计量公允价值的情况下，按成本估值。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int="eastAsia"/>
          <w:sz w:val="28"/>
        </w:rPr>
        <w:t>（</w:t>
      </w:r>
      <w:r>
        <w:rPr>
          <w:rFonts w:ascii="Times New Roman" w:eastAsia="宋体" w:hAnsi="Times New Roman" w:hint="eastAsia"/>
          <w:sz w:val="28"/>
        </w:rPr>
        <w:t>2</w:t>
      </w:r>
      <w:r>
        <w:rPr>
          <w:rFonts w:ascii="Times New Roman" w:eastAsia="宋体" w:hint="eastAsia"/>
          <w:sz w:val="28"/>
        </w:rPr>
        <w:t>）首次公开发行未上市的债券，采用估值技术确定公允价值，在估值技术难以可靠计量公允价值的情况下，按成本估值。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int="eastAsia"/>
          <w:sz w:val="28"/>
        </w:rPr>
        <w:t>（</w:t>
      </w:r>
      <w:r>
        <w:rPr>
          <w:rFonts w:ascii="Times New Roman" w:eastAsia="宋体" w:hAnsi="Times New Roman" w:hint="eastAsia"/>
          <w:sz w:val="28"/>
        </w:rPr>
        <w:t>3</w:t>
      </w:r>
      <w:r>
        <w:rPr>
          <w:rFonts w:ascii="Times New Roman" w:eastAsia="宋体" w:hint="eastAsia"/>
          <w:sz w:val="28"/>
        </w:rPr>
        <w:t>）全国银行间债券市场交易的债券、资产支持证券等固定收益品种，采用估值技术确定公允价值。</w:t>
      </w:r>
    </w:p>
    <w:p w:rsidR="008053E8">
      <w:pPr>
        <w:pStyle w:val="1"/>
        <w:tabs>
          <w:tab w:val="left" w:pos="1620"/>
        </w:tabs>
        <w:spacing w:line="360" w:lineRule="auto"/>
        <w:ind w:firstLine="560"/>
        <w:rPr>
          <w:rFonts w:ascii="Times New Roman" w:eastAsia="宋体" w:hAnsi="Times New Roman"/>
          <w:sz w:val="28"/>
        </w:rPr>
      </w:pPr>
      <w:r>
        <w:rPr>
          <w:rFonts w:ascii="Times New Roman" w:eastAsia="宋体" w:hint="eastAsia"/>
          <w:sz w:val="28"/>
        </w:rPr>
        <w:t>（</w:t>
      </w:r>
      <w:r>
        <w:rPr>
          <w:rFonts w:ascii="Times New Roman" w:eastAsia="宋体" w:hAnsi="Times New Roman" w:hint="eastAsia"/>
          <w:sz w:val="28"/>
        </w:rPr>
        <w:t>4</w:t>
      </w:r>
      <w:r>
        <w:rPr>
          <w:rFonts w:ascii="Times New Roman" w:eastAsia="宋体" w:hint="eastAsia"/>
          <w:sz w:val="28"/>
        </w:rPr>
        <w:t>）如有确凿证据表明按上述方法进行估值不能客观反映其公允价值的，基金管理人可根据具体情况与基金托管人商定后，按最能反映公允价值的价格估值。</w:t>
      </w:r>
    </w:p>
    <w:p w:rsidR="008053E8">
      <w:pPr>
        <w:pStyle w:val="1"/>
        <w:tabs>
          <w:tab w:val="left" w:pos="1620"/>
        </w:tabs>
        <w:spacing w:line="360" w:lineRule="auto"/>
        <w:ind w:firstLine="560"/>
        <w:rPr>
          <w:rFonts w:ascii="Times New Roman" w:eastAsia="宋体"/>
          <w:sz w:val="28"/>
        </w:rPr>
      </w:pPr>
      <w:r>
        <w:rPr>
          <w:rFonts w:ascii="Times New Roman" w:eastAsia="宋体" w:hint="eastAsia"/>
          <w:sz w:val="28"/>
        </w:rPr>
        <w:t>（</w:t>
      </w:r>
      <w:r>
        <w:rPr>
          <w:rFonts w:ascii="Times New Roman" w:eastAsia="宋体" w:hAnsi="Times New Roman" w:hint="eastAsia"/>
          <w:sz w:val="28"/>
        </w:rPr>
        <w:t>5</w:t>
      </w:r>
      <w:r>
        <w:rPr>
          <w:rFonts w:ascii="Times New Roman" w:eastAsia="宋体" w:hint="eastAsia"/>
          <w:sz w:val="28"/>
        </w:rPr>
        <w:t>）相关法律法规以及监管部门有强制规定的，从其规定。如有新增事项，按国家最新规定估值。</w:t>
      </w:r>
    </w:p>
    <w:p w:rsidR="008053E8">
      <w:pPr>
        <w:widowControl/>
        <w:adjustRightInd w:val="0"/>
        <w:snapToGrid w:val="0"/>
        <w:spacing w:line="360" w:lineRule="auto"/>
        <w:ind w:firstLine="560" w:firstLineChars="200"/>
        <w:rPr>
          <w:sz w:val="28"/>
        </w:rPr>
      </w:pPr>
      <w:r>
        <w:rPr>
          <w:rFonts w:hint="eastAsia"/>
          <w:sz w:val="28"/>
        </w:rPr>
        <w:t>如基金管理人或基金托管人发现基金估值违反基金合同订明的估值方法、程序及相关法律法规的规定或者未能充分维护基金份额持有人利益时，应立即通知对方，共同查明原因，双方协商解决。</w:t>
      </w:r>
    </w:p>
    <w:p w:rsidR="008053E8">
      <w:pPr>
        <w:adjustRightInd w:val="0"/>
        <w:snapToGrid w:val="0"/>
        <w:spacing w:line="360" w:lineRule="auto"/>
        <w:ind w:firstLine="560" w:firstLineChars="200"/>
        <w:rPr>
          <w:rStyle w:val="read"/>
          <w:color w:val="000000"/>
          <w:sz w:val="28"/>
        </w:rPr>
      </w:pPr>
      <w:r>
        <w:rPr>
          <w:rStyle w:val="read"/>
          <w:color w:val="000000"/>
          <w:sz w:val="28"/>
        </w:rPr>
        <w:t>3</w:t>
      </w:r>
      <w:r>
        <w:rPr>
          <w:rStyle w:val="read"/>
          <w:rFonts w:hAnsi="宋体" w:hint="eastAsia"/>
          <w:color w:val="000000"/>
          <w:sz w:val="28"/>
        </w:rPr>
        <w:t>、</w:t>
      </w:r>
      <w:r>
        <w:rPr>
          <w:rStyle w:val="read"/>
          <w:rFonts w:hAnsi="宋体"/>
          <w:color w:val="000000"/>
          <w:sz w:val="28"/>
        </w:rPr>
        <w:t>特殊情形的处理</w:t>
      </w:r>
    </w:p>
    <w:p w:rsidR="008053E8">
      <w:pPr>
        <w:adjustRightInd w:val="0"/>
        <w:snapToGrid w:val="0"/>
        <w:spacing w:line="360" w:lineRule="auto"/>
        <w:ind w:firstLine="560" w:firstLineChars="200"/>
        <w:rPr>
          <w:rStyle w:val="read"/>
          <w:color w:val="000000"/>
          <w:sz w:val="28"/>
        </w:rPr>
      </w:pPr>
      <w:r>
        <w:rPr>
          <w:rStyle w:val="read"/>
          <w:rFonts w:hAnsi="宋体" w:hint="eastAsia"/>
          <w:color w:val="000000"/>
          <w:sz w:val="28"/>
        </w:rPr>
        <w:t>基金管理人或基金托管人按估值方法的第（</w:t>
      </w:r>
      <w:r>
        <w:rPr>
          <w:rStyle w:val="read"/>
          <w:rFonts w:hint="eastAsia"/>
          <w:color w:val="000000"/>
          <w:sz w:val="28"/>
        </w:rPr>
        <w:t>4</w:t>
      </w:r>
      <w:r>
        <w:rPr>
          <w:rStyle w:val="read"/>
          <w:rFonts w:hAnsi="宋体" w:hint="eastAsia"/>
          <w:color w:val="000000"/>
          <w:sz w:val="28"/>
        </w:rPr>
        <w:t>）项进行估值时，所造成的误差不作为基金资产估值错误处理。</w:t>
      </w:r>
    </w:p>
    <w:p w:rsidR="008053E8">
      <w:pPr>
        <w:adjustRightInd w:val="0"/>
        <w:snapToGrid w:val="0"/>
        <w:spacing w:line="360" w:lineRule="auto"/>
        <w:ind w:firstLine="560" w:firstLineChars="200"/>
        <w:rPr>
          <w:rStyle w:val="read"/>
          <w:color w:val="000000"/>
          <w:sz w:val="28"/>
        </w:rPr>
      </w:pPr>
      <w:r>
        <w:rPr>
          <w:rStyle w:val="read"/>
          <w:rFonts w:hAnsi="宋体"/>
          <w:color w:val="000000"/>
          <w:sz w:val="28"/>
        </w:rPr>
        <w:t>（三）基金份额净值错误的处理方式</w:t>
      </w:r>
    </w:p>
    <w:p w:rsidR="008053E8">
      <w:pPr>
        <w:adjustRightInd w:val="0"/>
        <w:snapToGrid w:val="0"/>
        <w:spacing w:line="360" w:lineRule="auto"/>
        <w:ind w:firstLine="560" w:firstLineChars="200"/>
        <w:rPr>
          <w:rStyle w:val="read"/>
          <w:color w:val="000000"/>
          <w:sz w:val="28"/>
        </w:rPr>
      </w:pPr>
      <w:r>
        <w:rPr>
          <w:rFonts w:hAnsi="宋体" w:hint="eastAsia"/>
          <w:sz w:val="28"/>
        </w:rPr>
        <w:t>（</w:t>
      </w:r>
      <w:r>
        <w:rPr>
          <w:rFonts w:hint="eastAsia"/>
          <w:sz w:val="28"/>
        </w:rPr>
        <w:t>1</w:t>
      </w:r>
      <w:r>
        <w:rPr>
          <w:rFonts w:hAnsi="宋体" w:hint="eastAsia"/>
          <w:sz w:val="28"/>
        </w:rPr>
        <w:t>）</w:t>
      </w:r>
      <w:r>
        <w:rPr>
          <w:rStyle w:val="read"/>
          <w:rFonts w:hAnsi="宋体"/>
          <w:color w:val="000000"/>
          <w:sz w:val="28"/>
        </w:rPr>
        <w:t>当基金份额净值小数点后</w:t>
      </w:r>
      <w:r>
        <w:rPr>
          <w:rStyle w:val="read"/>
          <w:rFonts w:hint="eastAsia"/>
          <w:color w:val="000000"/>
          <w:sz w:val="28"/>
        </w:rPr>
        <w:t>4</w:t>
      </w:r>
      <w:r>
        <w:rPr>
          <w:rStyle w:val="read"/>
          <w:rFonts w:hAnsi="宋体"/>
          <w:color w:val="000000"/>
          <w:sz w:val="28"/>
        </w:rPr>
        <w:t>位以内</w:t>
      </w:r>
      <w:r>
        <w:rPr>
          <w:rStyle w:val="read"/>
          <w:color w:val="000000"/>
          <w:sz w:val="28"/>
        </w:rPr>
        <w:t>(</w:t>
      </w:r>
      <w:r>
        <w:rPr>
          <w:rStyle w:val="read"/>
          <w:rFonts w:hAnsi="宋体"/>
          <w:color w:val="000000"/>
          <w:sz w:val="28"/>
        </w:rPr>
        <w:t>含第</w:t>
      </w:r>
      <w:r>
        <w:rPr>
          <w:rStyle w:val="read"/>
          <w:rFonts w:hint="eastAsia"/>
          <w:color w:val="000000"/>
          <w:sz w:val="28"/>
        </w:rPr>
        <w:t>4</w:t>
      </w:r>
      <w:r>
        <w:rPr>
          <w:rStyle w:val="read"/>
          <w:rFonts w:hAnsi="宋体"/>
          <w:color w:val="000000"/>
          <w:sz w:val="28"/>
        </w:rPr>
        <w:t>位</w:t>
      </w:r>
      <w:r>
        <w:rPr>
          <w:rStyle w:val="read"/>
          <w:color w:val="000000"/>
          <w:sz w:val="28"/>
        </w:rPr>
        <w:t>)</w:t>
      </w:r>
      <w:r>
        <w:rPr>
          <w:rStyle w:val="read"/>
          <w:rFonts w:hAnsi="宋体"/>
          <w:color w:val="000000"/>
          <w:sz w:val="28"/>
        </w:rPr>
        <w:t>发生差错时，视为基金份额净值错误；基金份额净值出现错误时，基金管理人应当立即予以纠正，通报基金托管人，并采取合理的措施防止损失进一步扩大；</w:t>
      </w:r>
      <w:r>
        <w:rPr>
          <w:rFonts w:hAnsi="宋体" w:hint="eastAsia"/>
          <w:kern w:val="0"/>
          <w:sz w:val="28"/>
        </w:rPr>
        <w:t>错误</w:t>
      </w:r>
      <w:r>
        <w:rPr>
          <w:rStyle w:val="read"/>
          <w:rFonts w:hAnsi="宋体"/>
          <w:color w:val="000000"/>
          <w:sz w:val="28"/>
        </w:rPr>
        <w:t>偏差</w:t>
      </w:r>
      <w:r>
        <w:rPr>
          <w:rFonts w:hAnsi="宋体" w:hint="eastAsia"/>
          <w:kern w:val="0"/>
          <w:sz w:val="28"/>
        </w:rPr>
        <w:t>达到或超过基金资产净值的</w:t>
      </w:r>
      <w:r>
        <w:rPr>
          <w:rFonts w:hint="eastAsia"/>
          <w:kern w:val="0"/>
          <w:sz w:val="28"/>
        </w:rPr>
        <w:t>0.25%</w:t>
      </w:r>
      <w:r>
        <w:rPr>
          <w:rFonts w:hAnsi="宋体" w:hint="eastAsia"/>
          <w:kern w:val="0"/>
          <w:sz w:val="28"/>
        </w:rPr>
        <w:t>时，基金管理公司应当及时通知基金托管人并报中国证监会；</w:t>
      </w:r>
      <w:r>
        <w:rPr>
          <w:rFonts w:hAnsi="宋体"/>
          <w:kern w:val="0"/>
          <w:sz w:val="28"/>
        </w:rPr>
        <w:t>错误偏差达到基金份额净值的</w:t>
      </w:r>
      <w:r>
        <w:rPr>
          <w:rFonts w:hint="eastAsia"/>
          <w:kern w:val="0"/>
          <w:sz w:val="28"/>
        </w:rPr>
        <w:t>0.50%</w:t>
      </w:r>
      <w:r>
        <w:rPr>
          <w:rFonts w:hAnsi="宋体"/>
          <w:kern w:val="0"/>
          <w:sz w:val="28"/>
        </w:rPr>
        <w:t>时，基</w:t>
      </w:r>
      <w:r>
        <w:rPr>
          <w:rStyle w:val="read"/>
          <w:rFonts w:hAnsi="宋体"/>
          <w:color w:val="000000"/>
          <w:sz w:val="28"/>
        </w:rPr>
        <w:t>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8053E8">
      <w:pPr>
        <w:adjustRightInd w:val="0"/>
        <w:snapToGrid w:val="0"/>
        <w:spacing w:line="360" w:lineRule="auto"/>
        <w:ind w:firstLine="560" w:firstLineChars="200"/>
        <w:rPr>
          <w:rStyle w:val="read"/>
          <w:color w:val="000000"/>
          <w:sz w:val="28"/>
        </w:rPr>
      </w:pPr>
      <w:r>
        <w:rPr>
          <w:rFonts w:hAnsi="宋体" w:hint="eastAsia"/>
          <w:sz w:val="28"/>
        </w:rPr>
        <w:t>（</w:t>
      </w:r>
      <w:r>
        <w:rPr>
          <w:rFonts w:hint="eastAsia"/>
          <w:sz w:val="28"/>
        </w:rPr>
        <w:t>2</w:t>
      </w:r>
      <w:r>
        <w:rPr>
          <w:rFonts w:hAnsi="宋体" w:hint="eastAsia"/>
          <w:sz w:val="28"/>
        </w:rPr>
        <w:t>）</w:t>
      </w:r>
      <w:r>
        <w:rPr>
          <w:rStyle w:val="read"/>
          <w:rFonts w:hAnsi="宋体"/>
          <w:color w:val="000000"/>
          <w:sz w:val="28"/>
        </w:rPr>
        <w:t>当基金份额净值计算差错给基金和基金份额持有人造成损失需要进行赔偿时，基金管理人和基金托管人应根据实际情况界定双方承担的责任，经确认后按以下条款进行赔偿：</w:t>
      </w:r>
    </w:p>
    <w:p w:rsidR="008053E8">
      <w:pPr>
        <w:adjustRightInd w:val="0"/>
        <w:snapToGrid w:val="0"/>
        <w:spacing w:line="360" w:lineRule="auto"/>
        <w:ind w:firstLine="560" w:firstLineChars="200"/>
        <w:rPr>
          <w:color w:val="000000"/>
          <w:sz w:val="28"/>
        </w:rPr>
      </w:pPr>
      <w:r>
        <w:rPr>
          <w:rStyle w:val="read"/>
          <w:rFonts w:ascii="宋体" w:hAnsi="宋体"/>
          <w:color w:val="000000"/>
          <w:sz w:val="28"/>
        </w:rPr>
        <w:t>①</w:t>
      </w:r>
      <w:r>
        <w:rPr>
          <w:rStyle w:val="read"/>
          <w:rFonts w:hAnsi="宋体"/>
          <w:color w:val="000000"/>
          <w:sz w:val="28"/>
        </w:rPr>
        <w:t>本基金的基金会计责任方由基金管理人担任。与本基金有关的会计问题，如经双方在平等基础上充分讨论后，尚不能达成一致时，按基金会计责任方的建议执行，</w:t>
      </w:r>
      <w:r>
        <w:rPr>
          <w:rStyle w:val="read"/>
          <w:rFonts w:hAnsi="宋体" w:hint="eastAsia"/>
          <w:color w:val="000000"/>
          <w:sz w:val="28"/>
        </w:rPr>
        <w:t>若基金托管人已提出正确意见而基金管理人未采纳的，</w:t>
      </w:r>
      <w:r>
        <w:rPr>
          <w:rStyle w:val="read"/>
          <w:rFonts w:hAnsi="宋体"/>
          <w:color w:val="000000"/>
          <w:sz w:val="28"/>
        </w:rPr>
        <w:t>由此给基金份额持有人和基金造成的</w:t>
      </w:r>
      <w:r>
        <w:rPr>
          <w:rFonts w:hAnsi="宋体"/>
          <w:color w:val="000000"/>
          <w:sz w:val="28"/>
        </w:rPr>
        <w:t>损失，由基金管理人负责赔付。</w:t>
      </w:r>
    </w:p>
    <w:p w:rsidR="008053E8">
      <w:pPr>
        <w:adjustRightInd w:val="0"/>
        <w:snapToGrid w:val="0"/>
        <w:spacing w:line="360" w:lineRule="auto"/>
        <w:ind w:firstLine="560" w:firstLineChars="200"/>
        <w:rPr>
          <w:rStyle w:val="read"/>
          <w:color w:val="000000"/>
          <w:sz w:val="28"/>
        </w:rPr>
      </w:pPr>
      <w:r>
        <w:rPr>
          <w:rFonts w:ascii="宋体" w:hAnsi="宋体"/>
          <w:color w:val="000000"/>
          <w:sz w:val="28"/>
        </w:rPr>
        <w:t>②</w:t>
      </w:r>
      <w:r>
        <w:rPr>
          <w:rFonts w:hAnsi="宋体"/>
          <w:color w:val="000000"/>
          <w:kern w:val="0"/>
          <w:sz w:val="28"/>
        </w:rPr>
        <w:t>若基金管理人计算的基金份额净值已由基金托管人复核确认后公告，而且基金托管人未对计算过程提出</w:t>
      </w:r>
      <w:r>
        <w:rPr>
          <w:rFonts w:hAnsi="宋体" w:hint="eastAsia"/>
          <w:color w:val="000000"/>
          <w:kern w:val="0"/>
          <w:sz w:val="28"/>
        </w:rPr>
        <w:t>书面</w:t>
      </w:r>
      <w:r>
        <w:rPr>
          <w:rFonts w:hAnsi="宋体"/>
          <w:color w:val="000000"/>
          <w:kern w:val="0"/>
          <w:sz w:val="28"/>
        </w:rPr>
        <w:t>疑义，</w:t>
      </w:r>
      <w:r>
        <w:rPr>
          <w:rFonts w:hAnsi="宋体" w:hint="eastAsia"/>
          <w:color w:val="000000"/>
          <w:kern w:val="0"/>
          <w:sz w:val="28"/>
        </w:rPr>
        <w:t>基金</w:t>
      </w:r>
      <w:r>
        <w:rPr>
          <w:rFonts w:hAnsi="宋体"/>
          <w:color w:val="000000"/>
          <w:kern w:val="0"/>
          <w:sz w:val="28"/>
        </w:rPr>
        <w:t>份额净值出错且造成基金份额持有人损失的，应根据法律法规的规定对</w:t>
      </w:r>
      <w:r>
        <w:rPr>
          <w:rFonts w:hAnsi="宋体" w:hint="eastAsia"/>
          <w:color w:val="000000"/>
          <w:kern w:val="0"/>
          <w:sz w:val="28"/>
        </w:rPr>
        <w:t>投资者</w:t>
      </w:r>
      <w:r>
        <w:rPr>
          <w:rFonts w:hAnsi="宋体"/>
          <w:color w:val="000000"/>
          <w:kern w:val="0"/>
          <w:sz w:val="28"/>
        </w:rPr>
        <w:t>或基金支付赔偿金，就实际向</w:t>
      </w:r>
      <w:r>
        <w:rPr>
          <w:rFonts w:hAnsi="宋体" w:hint="eastAsia"/>
          <w:color w:val="000000"/>
          <w:kern w:val="0"/>
          <w:sz w:val="28"/>
        </w:rPr>
        <w:t>投资者</w:t>
      </w:r>
      <w:r>
        <w:rPr>
          <w:rFonts w:hAnsi="宋体"/>
          <w:color w:val="000000"/>
          <w:kern w:val="0"/>
          <w:sz w:val="28"/>
        </w:rPr>
        <w:t>或基金支付的赔偿金额，</w:t>
      </w:r>
      <w:r>
        <w:rPr>
          <w:rStyle w:val="read"/>
          <w:rFonts w:hAnsi="宋体"/>
          <w:color w:val="000000"/>
          <w:sz w:val="28"/>
        </w:rPr>
        <w:t>其中基金管理人承担</w:t>
      </w:r>
      <w:r>
        <w:rPr>
          <w:rStyle w:val="read"/>
          <w:rFonts w:hint="eastAsia"/>
          <w:color w:val="000000"/>
          <w:sz w:val="28"/>
        </w:rPr>
        <w:t>5</w:t>
      </w:r>
      <w:r>
        <w:rPr>
          <w:rStyle w:val="read"/>
          <w:color w:val="000000"/>
          <w:sz w:val="28"/>
        </w:rPr>
        <w:t>0%</w:t>
      </w:r>
      <w:r>
        <w:rPr>
          <w:rStyle w:val="read"/>
          <w:rFonts w:hAnsi="宋体"/>
          <w:color w:val="000000"/>
          <w:sz w:val="28"/>
        </w:rPr>
        <w:t>，基金托管人承担</w:t>
      </w:r>
      <w:r>
        <w:rPr>
          <w:rStyle w:val="read"/>
          <w:rFonts w:hint="eastAsia"/>
          <w:color w:val="000000"/>
          <w:sz w:val="28"/>
        </w:rPr>
        <w:t>5</w:t>
      </w:r>
      <w:r>
        <w:rPr>
          <w:rStyle w:val="read"/>
          <w:color w:val="000000"/>
          <w:sz w:val="28"/>
        </w:rPr>
        <w:t>0%</w:t>
      </w:r>
      <w:r>
        <w:rPr>
          <w:rStyle w:val="read"/>
          <w:rFonts w:hAnsi="宋体"/>
          <w:color w:val="000000"/>
          <w:sz w:val="28"/>
        </w:rPr>
        <w:t>。</w:t>
      </w:r>
    </w:p>
    <w:p w:rsidR="008053E8">
      <w:pPr>
        <w:adjustRightInd w:val="0"/>
        <w:snapToGrid w:val="0"/>
        <w:spacing w:line="360" w:lineRule="auto"/>
        <w:ind w:firstLine="560" w:firstLineChars="200"/>
        <w:rPr>
          <w:color w:val="000000"/>
          <w:sz w:val="28"/>
        </w:rPr>
      </w:pPr>
      <w:r>
        <w:rPr>
          <w:rFonts w:ascii="宋体" w:hAnsi="宋体"/>
          <w:color w:val="000000"/>
          <w:sz w:val="28"/>
        </w:rPr>
        <w:t>③</w:t>
      </w:r>
      <w:r>
        <w:rPr>
          <w:rFonts w:hAnsi="宋体"/>
          <w:color w:val="000000"/>
          <w:sz w:val="28"/>
        </w:rPr>
        <w:t>如基金管理人和基金托管人对基金份额净值的计算结果，虽然多次重新计算和核对，尚不能达成一致时，为避免不能按时公布基金份额净值的情形，以基金管理人的计算结果对外公布，</w:t>
      </w:r>
      <w:r>
        <w:rPr>
          <w:rStyle w:val="read"/>
          <w:rFonts w:hAnsi="宋体" w:hint="eastAsia"/>
          <w:color w:val="000000"/>
          <w:sz w:val="28"/>
        </w:rPr>
        <w:t>若基金托管人已提出正确意见而基金管理人未采纳的，</w:t>
      </w:r>
      <w:r>
        <w:rPr>
          <w:rFonts w:hAnsi="宋体"/>
          <w:color w:val="000000"/>
          <w:sz w:val="28"/>
        </w:rPr>
        <w:t>由此给基金份额持有人和基金造成的损失，由基金管理人负责赔付。</w:t>
      </w:r>
    </w:p>
    <w:p w:rsidR="008053E8">
      <w:pPr>
        <w:adjustRightInd w:val="0"/>
        <w:snapToGrid w:val="0"/>
        <w:spacing w:line="360" w:lineRule="auto"/>
        <w:ind w:firstLine="560" w:firstLineChars="200"/>
        <w:rPr>
          <w:color w:val="000000"/>
          <w:sz w:val="28"/>
        </w:rPr>
      </w:pPr>
      <w:r>
        <w:rPr>
          <w:rFonts w:hAnsi="宋体" w:hint="eastAsia"/>
          <w:sz w:val="28"/>
        </w:rPr>
        <w:t>（</w:t>
      </w:r>
      <w:r>
        <w:rPr>
          <w:rFonts w:hint="eastAsia"/>
          <w:sz w:val="28"/>
        </w:rPr>
        <w:t>3</w:t>
      </w:r>
      <w:r>
        <w:rPr>
          <w:rFonts w:hAnsi="宋体" w:hint="eastAsia"/>
          <w:sz w:val="28"/>
        </w:rPr>
        <w:t>）</w:t>
      </w:r>
      <w:r>
        <w:rPr>
          <w:rFonts w:hAnsi="宋体" w:hint="eastAsia"/>
          <w:color w:val="000000"/>
          <w:sz w:val="28"/>
        </w:rPr>
        <w:t>由于不可抗力原因，或由于证券交易所及登记结算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响。</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4</w:t>
      </w:r>
      <w:r>
        <w:rPr>
          <w:rFonts w:hAnsi="宋体"/>
          <w:color w:val="000000"/>
          <w:sz w:val="28"/>
        </w:rPr>
        <w:t>）基金管理人和基金托管人由于各自技术系统设置而产生的净值计算尾差，以基金管理人计算结果为准。</w:t>
      </w:r>
    </w:p>
    <w:p w:rsidR="008053E8">
      <w:pPr>
        <w:adjustRightInd w:val="0"/>
        <w:snapToGrid w:val="0"/>
        <w:spacing w:line="360" w:lineRule="auto"/>
        <w:ind w:firstLine="560" w:firstLineChars="200"/>
        <w:rPr>
          <w:color w:val="000000"/>
          <w:sz w:val="28"/>
        </w:rPr>
      </w:pPr>
      <w:r>
        <w:rPr>
          <w:rFonts w:hAnsi="宋体"/>
          <w:color w:val="000000"/>
          <w:sz w:val="28"/>
        </w:rPr>
        <w:t>（</w:t>
      </w:r>
      <w:r>
        <w:rPr>
          <w:rFonts w:hint="eastAsia"/>
          <w:color w:val="000000"/>
          <w:sz w:val="28"/>
        </w:rPr>
        <w:t>5</w:t>
      </w:r>
      <w:r>
        <w:rPr>
          <w:rFonts w:hAnsi="宋体"/>
          <w:color w:val="000000"/>
          <w:sz w:val="28"/>
        </w:rPr>
        <w:t>）前述内容如法律法规或监管机关另有规定的，从其规定处理。如果行业有通行做法，双方当事人应本着平等和保护基金份额持有人利益的原则进行协商。</w:t>
      </w:r>
    </w:p>
    <w:p w:rsidR="008053E8">
      <w:pPr>
        <w:adjustRightInd w:val="0"/>
        <w:snapToGrid w:val="0"/>
        <w:spacing w:line="360" w:lineRule="auto"/>
        <w:ind w:firstLine="560" w:firstLineChars="200"/>
        <w:outlineLvl w:val="0"/>
        <w:rPr>
          <w:color w:val="000000"/>
          <w:sz w:val="28"/>
        </w:rPr>
      </w:pPr>
      <w:r>
        <w:rPr>
          <w:rFonts w:hAnsi="宋体"/>
          <w:color w:val="000000"/>
          <w:sz w:val="28"/>
        </w:rPr>
        <w:t>（四）暂停估值与公告基金份额净值的情形</w:t>
      </w:r>
    </w:p>
    <w:p w:rsidR="008053E8">
      <w:pPr>
        <w:adjustRightInd w:val="0"/>
        <w:snapToGrid w:val="0"/>
        <w:spacing w:line="360" w:lineRule="auto"/>
        <w:ind w:firstLine="560" w:firstLineChars="200"/>
        <w:outlineLvl w:val="0"/>
        <w:rPr>
          <w:color w:val="000000"/>
          <w:sz w:val="28"/>
        </w:rPr>
      </w:pPr>
      <w:r>
        <w:rPr>
          <w:rFonts w:hAnsi="宋体" w:hint="eastAsia"/>
          <w:color w:val="000000"/>
          <w:sz w:val="28"/>
        </w:rPr>
        <w:t>（</w:t>
      </w:r>
      <w:r>
        <w:rPr>
          <w:rFonts w:hint="eastAsia"/>
          <w:color w:val="000000"/>
          <w:sz w:val="28"/>
        </w:rPr>
        <w:t>1</w:t>
      </w:r>
      <w:r>
        <w:rPr>
          <w:rFonts w:hAnsi="宋体" w:hint="eastAsia"/>
          <w:color w:val="000000"/>
          <w:sz w:val="28"/>
        </w:rPr>
        <w:t>）基金投资所涉及的证券交易市场遇法定节假日或因其他原因暂停营业时；</w:t>
      </w:r>
    </w:p>
    <w:p w:rsidR="008053E8">
      <w:pPr>
        <w:adjustRightInd w:val="0"/>
        <w:snapToGrid w:val="0"/>
        <w:spacing w:line="360" w:lineRule="auto"/>
        <w:ind w:firstLine="560" w:firstLineChars="200"/>
        <w:outlineLvl w:val="0"/>
        <w:rPr>
          <w:color w:val="000000"/>
          <w:sz w:val="28"/>
        </w:rPr>
      </w:pPr>
      <w:r>
        <w:rPr>
          <w:rFonts w:hAnsi="宋体" w:hint="eastAsia"/>
          <w:color w:val="000000"/>
          <w:sz w:val="28"/>
        </w:rPr>
        <w:t>（</w:t>
      </w:r>
      <w:r>
        <w:rPr>
          <w:rFonts w:hint="eastAsia"/>
          <w:color w:val="000000"/>
          <w:sz w:val="28"/>
        </w:rPr>
        <w:t>2</w:t>
      </w:r>
      <w:r>
        <w:rPr>
          <w:rFonts w:hAnsi="宋体" w:hint="eastAsia"/>
          <w:color w:val="000000"/>
          <w:sz w:val="28"/>
        </w:rPr>
        <w:t>）因不可抗力致使基金管理人、基金托管人无法准确评估基金资产价值时；</w:t>
      </w:r>
    </w:p>
    <w:p w:rsidR="008053E8">
      <w:pPr>
        <w:adjustRightInd w:val="0"/>
        <w:snapToGrid w:val="0"/>
        <w:spacing w:line="360" w:lineRule="auto"/>
        <w:ind w:firstLine="560" w:firstLineChars="200"/>
        <w:outlineLvl w:val="0"/>
        <w:rPr>
          <w:rFonts w:hAnsi="宋体"/>
          <w:color w:val="000000"/>
          <w:sz w:val="28"/>
        </w:rPr>
      </w:pPr>
      <w:r>
        <w:rPr>
          <w:rFonts w:hAnsi="宋体" w:hint="eastAsia"/>
          <w:color w:val="000000"/>
          <w:sz w:val="28"/>
        </w:rPr>
        <w:t>（</w:t>
      </w:r>
      <w:r>
        <w:rPr>
          <w:rFonts w:hint="eastAsia"/>
          <w:color w:val="000000"/>
          <w:sz w:val="28"/>
        </w:rPr>
        <w:t>3</w:t>
      </w:r>
      <w:r>
        <w:rPr>
          <w:rFonts w:hAnsi="宋体" w:hint="eastAsia"/>
          <w:color w:val="000000"/>
          <w:sz w:val="28"/>
        </w:rPr>
        <w:t>）当特定资产占前一估值日基金资产净值</w:t>
      </w:r>
      <w:r>
        <w:rPr>
          <w:rFonts w:hAnsi="宋体" w:hint="eastAsia"/>
          <w:color w:val="000000"/>
          <w:sz w:val="28"/>
        </w:rPr>
        <w:t>50%</w:t>
      </w:r>
      <w:r>
        <w:rPr>
          <w:rFonts w:hAnsi="宋体" w:hint="eastAsia"/>
          <w:color w:val="000000"/>
          <w:sz w:val="28"/>
        </w:rPr>
        <w:t>以上的，经与基金托管人协商确认后，基金管理人应当暂停估值；</w:t>
      </w:r>
    </w:p>
    <w:p w:rsidR="008053E8">
      <w:pPr>
        <w:adjustRightInd w:val="0"/>
        <w:snapToGrid w:val="0"/>
        <w:spacing w:line="360" w:lineRule="auto"/>
        <w:ind w:firstLine="560" w:firstLineChars="200"/>
        <w:outlineLvl w:val="0"/>
        <w:rPr>
          <w:color w:val="000000"/>
          <w:sz w:val="28"/>
        </w:rPr>
      </w:pPr>
      <w:r>
        <w:rPr>
          <w:rFonts w:hAnsi="宋体" w:hint="eastAsia"/>
          <w:color w:val="000000"/>
          <w:sz w:val="28"/>
        </w:rPr>
        <w:t>（</w:t>
      </w:r>
      <w:r>
        <w:rPr>
          <w:rFonts w:hAnsi="宋体" w:hint="eastAsia"/>
          <w:color w:val="000000"/>
          <w:sz w:val="28"/>
        </w:rPr>
        <w:t>4</w:t>
      </w:r>
      <w:r>
        <w:rPr>
          <w:rFonts w:hAnsi="宋体"/>
          <w:color w:val="000000"/>
          <w:sz w:val="28"/>
        </w:rPr>
        <w:t>）</w:t>
      </w:r>
      <w:r>
        <w:rPr>
          <w:rFonts w:hAnsi="宋体" w:hint="eastAsia"/>
          <w:color w:val="000000"/>
          <w:sz w:val="28"/>
        </w:rPr>
        <w:t>中国证监会和基金合同认定的其它情形。</w:t>
      </w:r>
    </w:p>
    <w:p w:rsidR="008053E8">
      <w:pPr>
        <w:adjustRightInd w:val="0"/>
        <w:snapToGrid w:val="0"/>
        <w:spacing w:line="360" w:lineRule="auto"/>
        <w:ind w:firstLine="560" w:firstLineChars="200"/>
        <w:outlineLvl w:val="0"/>
        <w:rPr>
          <w:color w:val="000000"/>
          <w:sz w:val="28"/>
        </w:rPr>
      </w:pPr>
      <w:r>
        <w:rPr>
          <w:rFonts w:hAnsi="宋体"/>
          <w:color w:val="000000"/>
          <w:sz w:val="28"/>
        </w:rPr>
        <w:t>（五）基金会计制度</w:t>
      </w:r>
    </w:p>
    <w:p w:rsidR="008053E8">
      <w:pPr>
        <w:adjustRightInd w:val="0"/>
        <w:snapToGrid w:val="0"/>
        <w:spacing w:line="360" w:lineRule="auto"/>
        <w:ind w:firstLine="560" w:firstLineChars="200"/>
        <w:rPr>
          <w:color w:val="000000"/>
          <w:sz w:val="28"/>
        </w:rPr>
      </w:pPr>
      <w:r>
        <w:rPr>
          <w:rFonts w:hAnsi="宋体"/>
          <w:color w:val="000000"/>
          <w:sz w:val="28"/>
        </w:rPr>
        <w:t>按国家有关部门规定的会计制度执行。</w:t>
      </w:r>
    </w:p>
    <w:p w:rsidR="008053E8">
      <w:pPr>
        <w:adjustRightInd w:val="0"/>
        <w:snapToGrid w:val="0"/>
        <w:spacing w:line="360" w:lineRule="auto"/>
        <w:ind w:firstLine="560" w:firstLineChars="200"/>
        <w:outlineLvl w:val="0"/>
        <w:rPr>
          <w:color w:val="000000"/>
          <w:sz w:val="28"/>
        </w:rPr>
      </w:pPr>
      <w:r>
        <w:rPr>
          <w:rFonts w:hAnsi="宋体"/>
          <w:color w:val="000000"/>
          <w:sz w:val="28"/>
        </w:rPr>
        <w:t>（六）基金账册的建立</w:t>
      </w:r>
    </w:p>
    <w:p w:rsidR="008053E8">
      <w:pPr>
        <w:adjustRightInd w:val="0"/>
        <w:snapToGrid w:val="0"/>
        <w:spacing w:line="360" w:lineRule="auto"/>
        <w:ind w:firstLine="560" w:firstLineChars="200"/>
        <w:outlineLvl w:val="0"/>
        <w:rPr>
          <w:color w:val="000000"/>
          <w:sz w:val="28"/>
        </w:rPr>
      </w:pPr>
      <w:r>
        <w:rPr>
          <w:rFonts w:hAnsi="宋体" w:hint="eastAsia"/>
          <w:sz w:val="28"/>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053E8">
      <w:pPr>
        <w:adjustRightInd w:val="0"/>
        <w:snapToGrid w:val="0"/>
        <w:spacing w:line="360" w:lineRule="auto"/>
        <w:ind w:firstLine="560" w:firstLineChars="200"/>
        <w:outlineLvl w:val="0"/>
        <w:rPr>
          <w:color w:val="000000"/>
          <w:sz w:val="28"/>
        </w:rPr>
      </w:pPr>
      <w:r>
        <w:rPr>
          <w:rFonts w:hAnsi="宋体"/>
          <w:color w:val="000000"/>
          <w:sz w:val="28"/>
        </w:rPr>
        <w:t>（七）基金财务报表与报告的编制和复核</w:t>
      </w:r>
    </w:p>
    <w:p w:rsidR="008053E8">
      <w:pPr>
        <w:adjustRightInd w:val="0"/>
        <w:snapToGrid w:val="0"/>
        <w:spacing w:line="360" w:lineRule="auto"/>
        <w:ind w:firstLine="560" w:firstLineChars="200"/>
        <w:outlineLvl w:val="0"/>
        <w:rPr>
          <w:color w:val="000000"/>
          <w:sz w:val="28"/>
        </w:rPr>
      </w:pPr>
      <w:r>
        <w:rPr>
          <w:color w:val="000000"/>
          <w:sz w:val="28"/>
        </w:rPr>
        <w:t>1</w:t>
      </w:r>
      <w:r>
        <w:rPr>
          <w:rFonts w:hAnsi="宋体" w:hint="eastAsia"/>
          <w:color w:val="000000"/>
          <w:sz w:val="28"/>
        </w:rPr>
        <w:t>、</w:t>
      </w:r>
      <w:r>
        <w:rPr>
          <w:rFonts w:hAnsi="宋体"/>
          <w:color w:val="000000"/>
          <w:sz w:val="28"/>
        </w:rPr>
        <w:t>财务报表的编制</w:t>
      </w:r>
    </w:p>
    <w:p w:rsidR="008053E8">
      <w:pPr>
        <w:adjustRightInd w:val="0"/>
        <w:snapToGrid w:val="0"/>
        <w:spacing w:line="360" w:lineRule="auto"/>
        <w:ind w:firstLine="560" w:firstLineChars="200"/>
        <w:outlineLvl w:val="0"/>
        <w:rPr>
          <w:color w:val="000000"/>
          <w:sz w:val="28"/>
        </w:rPr>
      </w:pPr>
      <w:r>
        <w:rPr>
          <w:rFonts w:hAnsi="宋体" w:hint="eastAsia"/>
          <w:color w:val="000000"/>
          <w:sz w:val="28"/>
        </w:rPr>
        <w:t>基金管理人应当及时编制并对外提供真实、完整的基金财务会计报告。</w:t>
      </w:r>
      <w:r>
        <w:rPr>
          <w:rFonts w:hAnsi="宋体"/>
          <w:color w:val="000000"/>
          <w:sz w:val="28"/>
        </w:rPr>
        <w:t>月度报表的编制，基金管理人应于每月终了后</w:t>
      </w:r>
      <w:r>
        <w:rPr>
          <w:color w:val="000000"/>
          <w:sz w:val="28"/>
        </w:rPr>
        <w:t>5</w:t>
      </w:r>
      <w:r>
        <w:rPr>
          <w:rFonts w:hAnsi="宋体" w:hint="eastAsia"/>
          <w:color w:val="000000"/>
          <w:sz w:val="28"/>
        </w:rPr>
        <w:t>工作</w:t>
      </w:r>
      <w:r>
        <w:rPr>
          <w:rFonts w:hAnsi="宋体"/>
          <w:color w:val="000000"/>
          <w:sz w:val="28"/>
        </w:rPr>
        <w:t>日内完成</w:t>
      </w:r>
      <w:r>
        <w:rPr>
          <w:rFonts w:hAnsi="宋体" w:hint="eastAsia"/>
          <w:color w:val="000000"/>
          <w:sz w:val="28"/>
        </w:rPr>
        <w:t>。</w:t>
      </w:r>
      <w:r>
        <w:rPr>
          <w:rFonts w:ascii="宋体" w:hAnsi="宋体" w:hint="eastAsia"/>
          <w:color w:val="000000"/>
          <w:sz w:val="28"/>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rFonts w:hAnsi="宋体"/>
          <w:color w:val="000000"/>
          <w:sz w:val="28"/>
        </w:rPr>
        <w:t>季度报告应在每个季度结束之日起</w:t>
      </w:r>
      <w:r>
        <w:rPr>
          <w:color w:val="000000"/>
          <w:sz w:val="28"/>
        </w:rPr>
        <w:t>15</w:t>
      </w:r>
      <w:r>
        <w:rPr>
          <w:rFonts w:hAnsi="宋体"/>
          <w:color w:val="000000"/>
          <w:sz w:val="28"/>
        </w:rPr>
        <w:t>个工作日内</w:t>
      </w:r>
      <w:r>
        <w:rPr>
          <w:rFonts w:hAnsi="宋体" w:hint="eastAsia"/>
          <w:color w:val="000000"/>
          <w:sz w:val="28"/>
        </w:rPr>
        <w:t>编制完毕并</w:t>
      </w:r>
      <w:r>
        <w:rPr>
          <w:rFonts w:hAnsi="宋体"/>
          <w:color w:val="000000"/>
          <w:sz w:val="28"/>
        </w:rPr>
        <w:t>予以公告；</w:t>
      </w:r>
      <w:r>
        <w:rPr>
          <w:rFonts w:hAnsi="宋体" w:hint="eastAsia"/>
          <w:color w:val="000000"/>
          <w:sz w:val="28"/>
        </w:rPr>
        <w:t>中期</w:t>
      </w:r>
      <w:r>
        <w:rPr>
          <w:rFonts w:hAnsi="宋体"/>
          <w:color w:val="000000"/>
          <w:sz w:val="28"/>
        </w:rPr>
        <w:t>报告在会计年度半年</w:t>
      </w:r>
      <w:r>
        <w:rPr>
          <w:rFonts w:ascii="宋体" w:hAnsi="宋体" w:hint="eastAsia"/>
          <w:color w:val="000000"/>
          <w:sz w:val="28"/>
        </w:rPr>
        <w:t>度结束之日起两个月</w:t>
      </w:r>
      <w:r>
        <w:rPr>
          <w:rFonts w:hAnsi="宋体"/>
          <w:color w:val="000000"/>
          <w:sz w:val="28"/>
        </w:rPr>
        <w:t>内</w:t>
      </w:r>
      <w:r>
        <w:rPr>
          <w:rFonts w:hAnsi="宋体" w:hint="eastAsia"/>
          <w:color w:val="000000"/>
          <w:sz w:val="28"/>
        </w:rPr>
        <w:t>编制完毕并</w:t>
      </w:r>
      <w:r>
        <w:rPr>
          <w:rFonts w:hAnsi="宋体"/>
          <w:color w:val="000000"/>
          <w:sz w:val="28"/>
        </w:rPr>
        <w:t>予以公告；年度报告在会计年度结束</w:t>
      </w:r>
      <w:r>
        <w:rPr>
          <w:rFonts w:hAnsi="宋体" w:hint="eastAsia"/>
          <w:color w:val="000000"/>
          <w:sz w:val="28"/>
        </w:rPr>
        <w:t>之日起三个月内编制完毕并</w:t>
      </w:r>
      <w:r>
        <w:rPr>
          <w:rFonts w:hAnsi="宋体"/>
          <w:color w:val="000000"/>
          <w:sz w:val="28"/>
        </w:rPr>
        <w:t>予以公告。基金合同生效不足</w:t>
      </w:r>
      <w:r>
        <w:rPr>
          <w:rFonts w:hint="eastAsia"/>
          <w:color w:val="000000"/>
          <w:sz w:val="28"/>
        </w:rPr>
        <w:t>2</w:t>
      </w:r>
      <w:r>
        <w:rPr>
          <w:rFonts w:hAnsi="宋体"/>
          <w:color w:val="000000"/>
          <w:sz w:val="28"/>
        </w:rPr>
        <w:t>个月的，基金管理人可以不编制当期季度报告、</w:t>
      </w:r>
      <w:r>
        <w:rPr>
          <w:rFonts w:hAnsi="宋体" w:hint="eastAsia"/>
          <w:color w:val="000000"/>
          <w:sz w:val="28"/>
        </w:rPr>
        <w:t>中期</w:t>
      </w:r>
      <w:r>
        <w:rPr>
          <w:rFonts w:hAnsi="宋体"/>
          <w:color w:val="000000"/>
          <w:sz w:val="28"/>
        </w:rPr>
        <w:t>报告或者年度报告。</w:t>
      </w:r>
    </w:p>
    <w:p w:rsidR="008053E8">
      <w:pPr>
        <w:adjustRightInd w:val="0"/>
        <w:snapToGrid w:val="0"/>
        <w:spacing w:line="360" w:lineRule="auto"/>
        <w:ind w:firstLine="560" w:firstLineChars="200"/>
        <w:outlineLvl w:val="0"/>
        <w:rPr>
          <w:color w:val="000000"/>
          <w:sz w:val="28"/>
        </w:rPr>
      </w:pPr>
      <w:r>
        <w:rPr>
          <w:color w:val="000000"/>
          <w:sz w:val="28"/>
        </w:rPr>
        <w:t>2</w:t>
      </w:r>
      <w:r>
        <w:rPr>
          <w:rFonts w:hAnsi="宋体" w:hint="eastAsia"/>
          <w:color w:val="000000"/>
          <w:sz w:val="28"/>
        </w:rPr>
        <w:t>、</w:t>
      </w:r>
      <w:r>
        <w:rPr>
          <w:rFonts w:hAnsi="宋体"/>
          <w:color w:val="000000"/>
          <w:sz w:val="28"/>
        </w:rPr>
        <w:t>报表复核</w:t>
      </w:r>
    </w:p>
    <w:p w:rsidR="008053E8">
      <w:pPr>
        <w:adjustRightInd w:val="0"/>
        <w:snapToGrid w:val="0"/>
        <w:spacing w:line="360" w:lineRule="auto"/>
        <w:ind w:firstLine="560" w:firstLineChars="200"/>
        <w:outlineLvl w:val="0"/>
        <w:rPr>
          <w:color w:val="000000"/>
          <w:sz w:val="28"/>
        </w:rPr>
      </w:pPr>
      <w:r>
        <w:rPr>
          <w:rFonts w:hAnsi="宋体"/>
          <w:color w:val="000000"/>
          <w:sz w:val="28"/>
        </w:rPr>
        <w:t>基金管理人在月度报表完成当日，将报表盖章后提供给基金托管人复核；基金托管人在收到后应在</w:t>
      </w:r>
      <w:r>
        <w:rPr>
          <w:color w:val="000000"/>
          <w:sz w:val="28"/>
        </w:rPr>
        <w:t>3</w:t>
      </w:r>
      <w:r>
        <w:rPr>
          <w:rFonts w:hAnsi="宋体"/>
          <w:color w:val="000000"/>
          <w:sz w:val="28"/>
        </w:rPr>
        <w:t>日内进行复核，并将复核结果书面通知基金管理人。基金管理人在季度报告完成当日，将有关报告提供给基金托管人复核，基金托管人应在收到后</w:t>
      </w:r>
      <w:r>
        <w:rPr>
          <w:rFonts w:hint="eastAsia"/>
          <w:color w:val="000000"/>
          <w:sz w:val="28"/>
        </w:rPr>
        <w:t>5</w:t>
      </w:r>
      <w:r>
        <w:rPr>
          <w:rFonts w:hAnsi="宋体"/>
          <w:color w:val="000000"/>
          <w:sz w:val="28"/>
        </w:rPr>
        <w:t>个工作日内完成复核，并将复核结果书面通知基金管理人。基金管理人在</w:t>
      </w:r>
      <w:r>
        <w:rPr>
          <w:rFonts w:hAnsi="宋体" w:hint="eastAsia"/>
          <w:color w:val="000000"/>
          <w:sz w:val="28"/>
        </w:rPr>
        <w:t>中期</w:t>
      </w:r>
      <w:r>
        <w:rPr>
          <w:rFonts w:hAnsi="宋体"/>
          <w:color w:val="000000"/>
          <w:sz w:val="28"/>
        </w:rPr>
        <w:t>报告完成当日，将有关报告提供给基金托管人复核，基金托</w:t>
      </w:r>
      <w:r>
        <w:rPr>
          <w:rFonts w:hAnsi="宋体"/>
          <w:color w:val="000000"/>
          <w:sz w:val="28"/>
        </w:rPr>
        <w:t>管人应在收到后</w:t>
      </w:r>
      <w:r>
        <w:rPr>
          <w:rFonts w:hint="eastAsia"/>
          <w:color w:val="000000"/>
          <w:sz w:val="28"/>
        </w:rPr>
        <w:t>2</w:t>
      </w:r>
      <w:r>
        <w:rPr>
          <w:color w:val="000000"/>
          <w:sz w:val="28"/>
        </w:rPr>
        <w:t>0</w:t>
      </w:r>
      <w:r>
        <w:rPr>
          <w:rFonts w:hAnsi="宋体"/>
          <w:color w:val="000000"/>
          <w:sz w:val="28"/>
        </w:rPr>
        <w:t>日内完成复核，并将复核结果书面通知基金管理人。基金管理人在年度报告完成当日，将有关报告提供基金托管人复核，基金托管人应在收到后</w:t>
      </w:r>
      <w:r>
        <w:rPr>
          <w:rFonts w:hint="eastAsia"/>
          <w:color w:val="000000"/>
          <w:sz w:val="28"/>
        </w:rPr>
        <w:t>30</w:t>
      </w:r>
      <w:r>
        <w:rPr>
          <w:rFonts w:hAnsi="宋体"/>
          <w:color w:val="000000"/>
          <w:sz w:val="28"/>
        </w:rPr>
        <w:t>日内完成复核，并将复核结果书面通知基金管理人。基金管理人和基金托管人之间的上述文件往来均以传真的方式或双方商定的其他方式进行。</w:t>
      </w:r>
    </w:p>
    <w:p w:rsidR="008053E8">
      <w:pPr>
        <w:adjustRightInd w:val="0"/>
        <w:snapToGrid w:val="0"/>
        <w:spacing w:line="360" w:lineRule="auto"/>
        <w:ind w:firstLine="560" w:firstLineChars="200"/>
        <w:outlineLvl w:val="0"/>
        <w:rPr>
          <w:color w:val="000000"/>
          <w:sz w:val="28"/>
        </w:rPr>
      </w:pPr>
      <w:r>
        <w:rPr>
          <w:rFonts w:hAnsi="宋体"/>
          <w:color w:val="000000"/>
          <w:sz w:val="28"/>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8053E8">
      <w:pPr>
        <w:adjustRightInd w:val="0"/>
        <w:snapToGrid w:val="0"/>
        <w:spacing w:line="360" w:lineRule="auto"/>
        <w:ind w:firstLine="560" w:firstLineChars="200"/>
        <w:outlineLvl w:val="0"/>
        <w:rPr>
          <w:rFonts w:hAnsi="宋体"/>
          <w:sz w:val="28"/>
        </w:rPr>
      </w:pPr>
      <w:r>
        <w:rPr>
          <w:rFonts w:hAnsi="宋体"/>
          <w:sz w:val="28"/>
        </w:rPr>
        <w:t>（八）基金管理人应每</w:t>
      </w:r>
      <w:r>
        <w:rPr>
          <w:rFonts w:hAnsi="宋体" w:hint="eastAsia"/>
          <w:sz w:val="28"/>
        </w:rPr>
        <w:t>季</w:t>
      </w:r>
      <w:r>
        <w:rPr>
          <w:rFonts w:hAnsi="宋体"/>
          <w:sz w:val="28"/>
        </w:rPr>
        <w:t>向基金托管人提供基金业绩比较基准的基础数据和编制结果。</w:t>
      </w:r>
    </w:p>
    <w:p w:rsidR="008053E8">
      <w:pPr>
        <w:adjustRightInd w:val="0"/>
        <w:snapToGrid w:val="0"/>
        <w:spacing w:line="360" w:lineRule="auto"/>
        <w:ind w:firstLine="560" w:firstLineChars="200"/>
        <w:outlineLvl w:val="0"/>
        <w:rPr>
          <w:sz w:val="28"/>
        </w:rPr>
      </w:pPr>
      <w:r>
        <w:rPr>
          <w:rFonts w:hint="eastAsia"/>
          <w:sz w:val="28"/>
        </w:rPr>
        <w:t>（九）实施侧袋机制期间的基金资产估值</w:t>
      </w:r>
    </w:p>
    <w:p w:rsidR="008053E8">
      <w:pPr>
        <w:adjustRightInd w:val="0"/>
        <w:snapToGrid w:val="0"/>
        <w:spacing w:line="360" w:lineRule="auto"/>
        <w:ind w:firstLine="560" w:firstLineChars="200"/>
        <w:outlineLvl w:val="0"/>
        <w:rPr>
          <w:sz w:val="28"/>
        </w:rPr>
      </w:pPr>
      <w:r>
        <w:rPr>
          <w:rFonts w:hint="eastAsia"/>
          <w:sz w:val="28"/>
        </w:rPr>
        <w:t>本基金实施侧袋机制的，应根据本部分的约定对主袋账户资产进行估值并披露主袋账户的基金资产净值和份额净值，暂停披露侧袋账户份额净值。</w:t>
      </w:r>
    </w:p>
    <w:p w:rsidR="008053E8">
      <w:pPr>
        <w:pStyle w:val="Heading2"/>
        <w:spacing w:line="360" w:lineRule="auto"/>
        <w:jc w:val="center"/>
        <w:rPr>
          <w:rFonts w:ascii="Times New Roman" w:eastAsia="宋体" w:hAnsi="Times New Roman"/>
          <w:color w:val="000000"/>
          <w:sz w:val="28"/>
        </w:rPr>
      </w:pPr>
      <w:bookmarkStart w:id="86" w:name="_Toc335661642"/>
      <w:r>
        <w:rPr>
          <w:rFonts w:ascii="Times New Roman" w:eastAsia="宋体" w:hAnsi="宋体"/>
          <w:color w:val="000000"/>
          <w:sz w:val="28"/>
        </w:rPr>
        <w:t>九、基金收益分配</w:t>
      </w:r>
      <w:bookmarkEnd w:id="86"/>
    </w:p>
    <w:p w:rsidR="008053E8">
      <w:pPr>
        <w:adjustRightInd w:val="0"/>
        <w:snapToGrid w:val="0"/>
        <w:spacing w:line="360" w:lineRule="auto"/>
        <w:ind w:firstLine="560" w:firstLineChars="200"/>
        <w:rPr>
          <w:color w:val="000000"/>
          <w:sz w:val="28"/>
        </w:rPr>
      </w:pPr>
      <w:r>
        <w:rPr>
          <w:rFonts w:hAnsi="宋体"/>
          <w:color w:val="000000"/>
          <w:sz w:val="28"/>
        </w:rPr>
        <w:t>基金收益分配是指按规定将基金的可</w:t>
      </w:r>
      <w:r>
        <w:rPr>
          <w:rFonts w:hAnsi="宋体" w:hint="eastAsia"/>
          <w:color w:val="000000"/>
          <w:sz w:val="28"/>
        </w:rPr>
        <w:t>供</w:t>
      </w:r>
      <w:r>
        <w:rPr>
          <w:rFonts w:hAnsi="宋体"/>
          <w:color w:val="000000"/>
          <w:sz w:val="28"/>
        </w:rPr>
        <w:t>分配</w:t>
      </w:r>
      <w:r>
        <w:rPr>
          <w:rFonts w:hAnsi="宋体" w:hint="eastAsia"/>
          <w:color w:val="000000"/>
          <w:sz w:val="28"/>
        </w:rPr>
        <w:t>利润</w:t>
      </w:r>
      <w:r>
        <w:rPr>
          <w:rFonts w:hAnsi="宋体"/>
          <w:color w:val="000000"/>
          <w:sz w:val="28"/>
        </w:rPr>
        <w:t>按基金份额进行比例分配。</w:t>
      </w:r>
    </w:p>
    <w:p w:rsidR="008053E8">
      <w:pPr>
        <w:adjustRightInd w:val="0"/>
        <w:snapToGrid w:val="0"/>
        <w:spacing w:line="360" w:lineRule="auto"/>
        <w:ind w:firstLine="560" w:firstLineChars="200"/>
        <w:outlineLvl w:val="0"/>
        <w:rPr>
          <w:color w:val="000000"/>
          <w:sz w:val="28"/>
        </w:rPr>
      </w:pPr>
      <w:r>
        <w:rPr>
          <w:rFonts w:hAnsi="宋体"/>
          <w:color w:val="000000"/>
          <w:sz w:val="28"/>
        </w:rPr>
        <w:t>（一）基金收益分配的原则</w:t>
      </w:r>
    </w:p>
    <w:p w:rsidR="008053E8">
      <w:pPr>
        <w:adjustRightInd w:val="0"/>
        <w:snapToGrid w:val="0"/>
        <w:spacing w:line="360" w:lineRule="auto"/>
        <w:ind w:firstLine="560" w:firstLineChars="200"/>
        <w:rPr>
          <w:color w:val="000000"/>
          <w:sz w:val="28"/>
        </w:rPr>
      </w:pPr>
      <w:r>
        <w:rPr>
          <w:rFonts w:hAnsi="宋体"/>
          <w:color w:val="000000"/>
          <w:sz w:val="28"/>
        </w:rPr>
        <w:t>基金收益分配应遵循下列原则：</w:t>
      </w:r>
    </w:p>
    <w:p w:rsidR="008053E8">
      <w:pPr>
        <w:adjustRightInd w:val="0"/>
        <w:snapToGrid w:val="0"/>
        <w:spacing w:line="360" w:lineRule="auto"/>
        <w:ind w:firstLine="560" w:firstLineChars="200"/>
        <w:rPr>
          <w:sz w:val="28"/>
        </w:rPr>
      </w:pPr>
      <w:r>
        <w:rPr>
          <w:rFonts w:hint="eastAsia"/>
          <w:sz w:val="28"/>
        </w:rPr>
        <w:t>1</w:t>
      </w:r>
      <w:r>
        <w:rPr>
          <w:rFonts w:hAnsi="宋体" w:hint="eastAsia"/>
          <w:sz w:val="28"/>
        </w:rPr>
        <w:t>、本基金各基金份额类别在费用收取上不同，其对应的可分配收益将有所不同。本基金同一类别的每一基金份额享有同等分配权；</w:t>
      </w:r>
    </w:p>
    <w:p w:rsidR="008053E8">
      <w:pPr>
        <w:adjustRightInd w:val="0"/>
        <w:snapToGrid w:val="0"/>
        <w:spacing w:line="360" w:lineRule="auto"/>
        <w:ind w:firstLine="560" w:firstLineChars="200"/>
        <w:rPr>
          <w:sz w:val="28"/>
        </w:rPr>
      </w:pPr>
      <w:r>
        <w:rPr>
          <w:rFonts w:hint="eastAsia"/>
          <w:sz w:val="28"/>
        </w:rPr>
        <w:t>2</w:t>
      </w:r>
      <w:r>
        <w:rPr>
          <w:rFonts w:hAnsi="宋体" w:hint="eastAsia"/>
          <w:sz w:val="28"/>
        </w:rPr>
        <w:t>、在符合有关基金分红条件的前提下，本基金每年收益分配次数最多为</w:t>
      </w:r>
      <w:r>
        <w:rPr>
          <w:rFonts w:hint="eastAsia"/>
          <w:sz w:val="28"/>
        </w:rPr>
        <w:t>12</w:t>
      </w:r>
      <w:r>
        <w:rPr>
          <w:rFonts w:hAnsi="宋体" w:hint="eastAsia"/>
          <w:sz w:val="28"/>
        </w:rPr>
        <w:t>次，每份基金份额每次分配比例不得低于收益分配基准日每份基金份额可供分配利润的</w:t>
      </w:r>
      <w:r>
        <w:rPr>
          <w:rFonts w:hint="eastAsia"/>
          <w:sz w:val="28"/>
        </w:rPr>
        <w:t>90%</w:t>
      </w:r>
      <w:r>
        <w:rPr>
          <w:rFonts w:hAnsi="宋体" w:hint="eastAsia"/>
          <w:sz w:val="28"/>
        </w:rPr>
        <w:t>，若《基金合同》生效不满</w:t>
      </w:r>
      <w:r>
        <w:rPr>
          <w:rFonts w:hint="eastAsia"/>
          <w:sz w:val="28"/>
        </w:rPr>
        <w:t>3</w:t>
      </w:r>
      <w:r>
        <w:rPr>
          <w:rFonts w:hAnsi="宋体" w:hint="eastAsia"/>
          <w:sz w:val="28"/>
        </w:rPr>
        <w:t>个月可不进行收益分配；</w:t>
      </w:r>
    </w:p>
    <w:p w:rsidR="008053E8">
      <w:pPr>
        <w:adjustRightInd w:val="0"/>
        <w:snapToGrid w:val="0"/>
        <w:spacing w:line="360" w:lineRule="auto"/>
        <w:ind w:firstLine="560" w:firstLineChars="200"/>
        <w:rPr>
          <w:sz w:val="28"/>
        </w:rPr>
      </w:pPr>
      <w:r>
        <w:rPr>
          <w:rFonts w:hint="eastAsia"/>
          <w:sz w:val="28"/>
        </w:rPr>
        <w:t>3</w:t>
      </w:r>
      <w:r>
        <w:rPr>
          <w:rFonts w:hAnsi="宋体" w:hint="eastAsia"/>
          <w:sz w:val="28"/>
        </w:rPr>
        <w:t>、本基金场外份额收益分配方式分两种：现金分红与红利再投资，投资者可选择现金红利或将现金红利自动转为对应类别的基金份额进行再投资，若投资者不选择，本基金场外份额默认的收益分配方式是现金分红。本基金场内份额收益分配方式为现金分红，场内份额具体权益分配程序等有关事项遵循深圳证券交易所及中国证券登记结算有限责任公司的相关规定；</w:t>
      </w:r>
    </w:p>
    <w:p w:rsidR="008053E8">
      <w:pPr>
        <w:adjustRightInd w:val="0"/>
        <w:snapToGrid w:val="0"/>
        <w:spacing w:line="360" w:lineRule="auto"/>
        <w:ind w:firstLine="560" w:firstLineChars="200"/>
        <w:rPr>
          <w:sz w:val="28"/>
        </w:rPr>
      </w:pPr>
      <w:r>
        <w:rPr>
          <w:rFonts w:hint="eastAsia"/>
          <w:sz w:val="28"/>
        </w:rPr>
        <w:t>4</w:t>
      </w:r>
      <w:r>
        <w:rPr>
          <w:rFonts w:hAnsi="宋体" w:hint="eastAsia"/>
          <w:sz w:val="28"/>
        </w:rPr>
        <w:t>、基金收益分配后基金份额净值不能低于面值，即基金收益分配基准日的基金份额净值减去每单位基金份额收益分配金额后不能低于面值；</w:t>
      </w:r>
    </w:p>
    <w:p w:rsidR="008053E8">
      <w:pPr>
        <w:adjustRightInd w:val="0"/>
        <w:snapToGrid w:val="0"/>
        <w:spacing w:line="360" w:lineRule="auto"/>
        <w:ind w:firstLine="560" w:firstLineChars="200"/>
        <w:outlineLvl w:val="0"/>
        <w:rPr>
          <w:color w:val="000000"/>
          <w:sz w:val="28"/>
        </w:rPr>
      </w:pPr>
      <w:r>
        <w:rPr>
          <w:rFonts w:hint="eastAsia"/>
          <w:sz w:val="28"/>
        </w:rPr>
        <w:t>5</w:t>
      </w:r>
      <w:r>
        <w:rPr>
          <w:rFonts w:hAnsi="宋体" w:hint="eastAsia"/>
          <w:sz w:val="28"/>
        </w:rPr>
        <w:t>、法律法规或监管机关另有规定的，从其规定。</w:t>
      </w:r>
    </w:p>
    <w:p w:rsidR="008053E8">
      <w:pPr>
        <w:adjustRightInd w:val="0"/>
        <w:snapToGrid w:val="0"/>
        <w:spacing w:line="360" w:lineRule="auto"/>
        <w:ind w:firstLine="560" w:firstLineChars="200"/>
        <w:outlineLvl w:val="0"/>
        <w:rPr>
          <w:color w:val="000000"/>
          <w:sz w:val="28"/>
        </w:rPr>
      </w:pPr>
      <w:r>
        <w:rPr>
          <w:rFonts w:hAnsi="宋体"/>
          <w:color w:val="000000"/>
          <w:sz w:val="28"/>
        </w:rPr>
        <w:t>（二）基金收益分配</w:t>
      </w:r>
      <w:r>
        <w:rPr>
          <w:rFonts w:hAnsi="宋体" w:hint="eastAsia"/>
          <w:color w:val="000000"/>
          <w:sz w:val="28"/>
        </w:rPr>
        <w:t>方案</w:t>
      </w:r>
      <w:r>
        <w:rPr>
          <w:rFonts w:hAnsi="宋体"/>
          <w:color w:val="000000"/>
          <w:sz w:val="28"/>
        </w:rPr>
        <w:t>的</w:t>
      </w:r>
      <w:r>
        <w:rPr>
          <w:rFonts w:hAnsi="宋体" w:hint="eastAsia"/>
          <w:sz w:val="28"/>
        </w:rPr>
        <w:t>确定、公告与实施</w:t>
      </w:r>
    </w:p>
    <w:p w:rsidR="008053E8">
      <w:pPr>
        <w:snapToGrid w:val="0"/>
        <w:spacing w:line="360" w:lineRule="auto"/>
        <w:ind w:firstLine="560" w:firstLineChars="200"/>
        <w:rPr>
          <w:sz w:val="28"/>
        </w:rPr>
      </w:pPr>
      <w:r>
        <w:rPr>
          <w:sz w:val="28"/>
        </w:rPr>
        <w:t>1</w:t>
      </w:r>
      <w:r>
        <w:rPr>
          <w:rFonts w:hint="eastAsia"/>
          <w:sz w:val="28"/>
        </w:rPr>
        <w:t>.</w:t>
      </w:r>
      <w:r>
        <w:rPr>
          <w:rFonts w:hAnsi="宋体"/>
          <w:sz w:val="28"/>
        </w:rPr>
        <w:t>本基金收益分配方案由基金管理人拟定、由基金托管人核实后确定，基金管理人按法律法规的规定公告。</w:t>
      </w:r>
    </w:p>
    <w:p w:rsidR="008053E8">
      <w:pPr>
        <w:adjustRightInd w:val="0"/>
        <w:snapToGrid w:val="0"/>
        <w:spacing w:line="360" w:lineRule="auto"/>
        <w:ind w:firstLine="560" w:firstLineChars="200"/>
        <w:outlineLvl w:val="0"/>
        <w:rPr>
          <w:sz w:val="28"/>
        </w:rPr>
      </w:pPr>
      <w:r>
        <w:rPr>
          <w:sz w:val="28"/>
        </w:rPr>
        <w:t>2</w:t>
      </w:r>
      <w:r>
        <w:rPr>
          <w:rFonts w:hint="eastAsia"/>
          <w:sz w:val="28"/>
        </w:rPr>
        <w:t>.</w:t>
      </w:r>
      <w:r>
        <w:rPr>
          <w:rFonts w:hAnsi="宋体" w:hint="eastAsia"/>
          <w:sz w:val="28"/>
        </w:rPr>
        <w:t>本基金收益分配的发放日距离收益分配基准日的时间不超过</w:t>
      </w:r>
      <w:r>
        <w:rPr>
          <w:rFonts w:hint="eastAsia"/>
          <w:sz w:val="28"/>
        </w:rPr>
        <w:t>15</w:t>
      </w:r>
      <w:r>
        <w:rPr>
          <w:rFonts w:hAnsi="宋体" w:hint="eastAsia"/>
          <w:sz w:val="28"/>
        </w:rPr>
        <w:t>个工作日。</w:t>
      </w:r>
      <w:r>
        <w:rPr>
          <w:rFonts w:hAnsi="宋体"/>
          <w:sz w:val="28"/>
        </w:rPr>
        <w:t>在分配方案公布后</w:t>
      </w:r>
      <w:r>
        <w:rPr>
          <w:sz w:val="28"/>
        </w:rPr>
        <w:t>(</w:t>
      </w:r>
      <w:r>
        <w:rPr>
          <w:rFonts w:hAnsi="宋体"/>
          <w:sz w:val="28"/>
        </w:rPr>
        <w:t>依据具体方案的规定</w:t>
      </w:r>
      <w:r>
        <w:rPr>
          <w:sz w:val="28"/>
        </w:rPr>
        <w:t>)</w:t>
      </w:r>
      <w:r>
        <w:rPr>
          <w:rFonts w:hAnsi="宋体"/>
          <w:sz w:val="28"/>
        </w:rPr>
        <w:t>，基金管理人就支付的现金红利向基金托管人发送划款指令，基金托管人按照基金管理人的指令及时进行分红资金的划付。</w:t>
      </w:r>
    </w:p>
    <w:p w:rsidR="008053E8">
      <w:pPr>
        <w:spacing w:line="360" w:lineRule="auto"/>
        <w:ind w:firstLine="560" w:firstLineChars="200"/>
        <w:rPr>
          <w:rFonts w:hAnsi="宋体"/>
          <w:sz w:val="28"/>
        </w:rPr>
      </w:pPr>
      <w:r>
        <w:rPr>
          <w:rFonts w:hint="eastAsia"/>
          <w:sz w:val="28"/>
        </w:rPr>
        <w:t>3.</w:t>
      </w:r>
      <w:r>
        <w:rPr>
          <w:rFonts w:hAnsi="宋体" w:hint="eastAsia"/>
          <w:sz w:val="28"/>
        </w:rPr>
        <w:t>法律法规或监管机关另有规定的，从其规定。</w:t>
      </w:r>
    </w:p>
    <w:p w:rsidR="008053E8">
      <w:pPr>
        <w:spacing w:line="360" w:lineRule="auto"/>
        <w:ind w:firstLine="560" w:firstLineChars="200"/>
        <w:rPr>
          <w:sz w:val="28"/>
        </w:rPr>
      </w:pPr>
      <w:r>
        <w:rPr>
          <w:rFonts w:hint="eastAsia"/>
          <w:sz w:val="28"/>
        </w:rPr>
        <w:t>（三）实施侧袋机制期间的收益分配</w:t>
      </w:r>
    </w:p>
    <w:p w:rsidR="008053E8">
      <w:pPr>
        <w:spacing w:line="360" w:lineRule="auto"/>
        <w:ind w:firstLine="560" w:firstLineChars="200"/>
        <w:rPr>
          <w:sz w:val="28"/>
        </w:rPr>
      </w:pPr>
      <w:r>
        <w:rPr>
          <w:rFonts w:hint="eastAsia"/>
          <w:sz w:val="28"/>
        </w:rPr>
        <w:t>本基金实施侧袋机制的，侧袋账户不进行收益分配，详见招募说明书的规定。</w:t>
      </w:r>
    </w:p>
    <w:p w:rsidR="008053E8">
      <w:pPr>
        <w:snapToGrid w:val="0"/>
        <w:spacing w:line="460" w:lineRule="exact"/>
        <w:rPr>
          <w:color w:val="000000"/>
          <w:sz w:val="28"/>
        </w:rPr>
      </w:pPr>
    </w:p>
    <w:p w:rsidR="008053E8">
      <w:pPr>
        <w:pStyle w:val="Heading2"/>
        <w:spacing w:line="360" w:lineRule="auto"/>
        <w:ind w:firstLine="2649" w:firstLineChars="946"/>
        <w:rPr>
          <w:rFonts w:ascii="Times New Roman" w:eastAsia="宋体" w:hAnsi="Times New Roman"/>
          <w:color w:val="000000"/>
          <w:sz w:val="28"/>
        </w:rPr>
      </w:pPr>
      <w:bookmarkStart w:id="87" w:name="_Toc335661643"/>
      <w:r>
        <w:rPr>
          <w:rFonts w:ascii="Times New Roman" w:eastAsia="宋体" w:hAnsi="宋体"/>
          <w:color w:val="000000"/>
          <w:sz w:val="28"/>
        </w:rPr>
        <w:t>十、基金信息披露</w:t>
      </w:r>
      <w:bookmarkEnd w:id="87"/>
    </w:p>
    <w:p w:rsidR="008053E8">
      <w:pPr>
        <w:adjustRightInd w:val="0"/>
        <w:snapToGrid w:val="0"/>
        <w:spacing w:line="360" w:lineRule="auto"/>
        <w:ind w:firstLine="560" w:firstLineChars="200"/>
        <w:outlineLvl w:val="0"/>
        <w:rPr>
          <w:color w:val="000000"/>
          <w:sz w:val="28"/>
        </w:rPr>
      </w:pPr>
      <w:r>
        <w:rPr>
          <w:rFonts w:hAnsi="宋体"/>
          <w:color w:val="000000"/>
          <w:sz w:val="28"/>
        </w:rPr>
        <w:t>（一）保密义务</w:t>
      </w:r>
    </w:p>
    <w:p w:rsidR="008053E8">
      <w:pPr>
        <w:adjustRightInd w:val="0"/>
        <w:snapToGrid w:val="0"/>
        <w:spacing w:line="360" w:lineRule="auto"/>
        <w:ind w:firstLine="560" w:firstLineChars="200"/>
        <w:rPr>
          <w:color w:val="000000"/>
          <w:sz w:val="28"/>
        </w:rPr>
      </w:pPr>
      <w:r>
        <w:rPr>
          <w:rFonts w:hAnsi="宋体"/>
          <w:color w:val="000000"/>
          <w:sz w:val="28"/>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Pr>
          <w:rFonts w:hAnsi="宋体"/>
          <w:color w:val="000000"/>
          <w:sz w:val="28"/>
        </w:rPr>
        <w:t>但是，如下情况不应视为基金管理人或基金托管人违反保密义务：</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1</w:t>
      </w:r>
      <w:r>
        <w:rPr>
          <w:rFonts w:hAnsi="宋体"/>
          <w:color w:val="000000"/>
          <w:sz w:val="28"/>
        </w:rPr>
        <w:t>）非因基金管理人和基金托管人的原因导致保密信息被披露、泄露或公开；</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2</w:t>
      </w:r>
      <w:r>
        <w:rPr>
          <w:rFonts w:hAnsi="宋体"/>
          <w:color w:val="000000"/>
          <w:sz w:val="28"/>
        </w:rPr>
        <w:t>）基金管理人和基金托管人为遵守和服从法院判决或裁定、仲裁裁决或中国证监会等监管机构的命令、决定所做出的信息披露或公开。</w:t>
      </w:r>
    </w:p>
    <w:p w:rsidR="008053E8">
      <w:pPr>
        <w:adjustRightInd w:val="0"/>
        <w:snapToGrid w:val="0"/>
        <w:spacing w:line="360" w:lineRule="auto"/>
        <w:ind w:firstLine="560" w:firstLineChars="200"/>
        <w:outlineLvl w:val="0"/>
        <w:rPr>
          <w:color w:val="000000"/>
          <w:sz w:val="28"/>
        </w:rPr>
      </w:pPr>
      <w:r>
        <w:rPr>
          <w:rFonts w:hAnsi="宋体"/>
          <w:color w:val="000000"/>
          <w:sz w:val="28"/>
        </w:rPr>
        <w:t>（二）信息披露的内容</w:t>
      </w:r>
    </w:p>
    <w:p w:rsidR="008053E8">
      <w:pPr>
        <w:adjustRightInd w:val="0"/>
        <w:snapToGrid w:val="0"/>
        <w:spacing w:line="360" w:lineRule="auto"/>
        <w:ind w:firstLine="560" w:firstLineChars="200"/>
        <w:rPr>
          <w:color w:val="000000"/>
          <w:sz w:val="28"/>
        </w:rPr>
      </w:pPr>
      <w:r>
        <w:rPr>
          <w:rFonts w:hAnsi="宋体"/>
          <w:color w:val="000000"/>
          <w:sz w:val="28"/>
        </w:rPr>
        <w:t>基金的信息披露主要包括基金招募说明书、基金合同、托管协议、</w:t>
      </w:r>
      <w:r>
        <w:rPr>
          <w:rFonts w:ascii="宋体" w:hAnsi="宋体" w:hint="eastAsia"/>
          <w:color w:val="000000"/>
          <w:sz w:val="28"/>
        </w:rPr>
        <w:t>基金产品资料概要、</w:t>
      </w:r>
      <w:r>
        <w:rPr>
          <w:rFonts w:hAnsi="宋体"/>
          <w:color w:val="000000"/>
          <w:sz w:val="28"/>
        </w:rPr>
        <w:t>基金份额发售公告、基金募集情况、基金合同生效公告、</w:t>
      </w:r>
      <w:r>
        <w:rPr>
          <w:rFonts w:hAnsi="宋体" w:hint="eastAsia"/>
          <w:color w:val="000000"/>
          <w:sz w:val="28"/>
        </w:rPr>
        <w:t>基金上市交易公告、</w:t>
      </w:r>
      <w:r>
        <w:rPr>
          <w:rFonts w:ascii="宋体" w:hAnsi="宋体" w:hint="eastAsia"/>
          <w:color w:val="000000"/>
          <w:sz w:val="28"/>
        </w:rPr>
        <w:t>基金净值信息</w:t>
      </w:r>
      <w:r>
        <w:rPr>
          <w:rFonts w:ascii="宋体" w:hAnsi="宋体"/>
          <w:color w:val="000000"/>
          <w:sz w:val="28"/>
        </w:rPr>
        <w:t>、</w:t>
      </w:r>
      <w:r>
        <w:rPr>
          <w:rFonts w:hAnsi="宋体"/>
          <w:color w:val="000000"/>
          <w:sz w:val="28"/>
        </w:rPr>
        <w:t>基金份额申购、赎回价格、基金定期报告</w:t>
      </w:r>
      <w:r>
        <w:rPr>
          <w:rFonts w:hAnsi="宋体" w:hint="eastAsia"/>
          <w:color w:val="000000"/>
          <w:sz w:val="28"/>
        </w:rPr>
        <w:t>：</w:t>
      </w:r>
      <w:r>
        <w:rPr>
          <w:rFonts w:hAnsi="宋体"/>
          <w:color w:val="000000"/>
          <w:sz w:val="28"/>
        </w:rPr>
        <w:t>包括基金年度报告、基金</w:t>
      </w:r>
      <w:r>
        <w:rPr>
          <w:rFonts w:ascii="宋体" w:hAnsi="宋体" w:hint="eastAsia"/>
          <w:color w:val="000000"/>
          <w:sz w:val="28"/>
        </w:rPr>
        <w:t>中期</w:t>
      </w:r>
      <w:r>
        <w:rPr>
          <w:rFonts w:hAnsi="宋体"/>
          <w:color w:val="000000"/>
          <w:sz w:val="28"/>
        </w:rPr>
        <w:t>报告和基金季度报告</w:t>
      </w:r>
      <w:r>
        <w:rPr>
          <w:rFonts w:hAnsi="宋体" w:hint="eastAsia"/>
          <w:color w:val="000000"/>
          <w:sz w:val="28"/>
        </w:rPr>
        <w:t>，以及</w:t>
      </w:r>
      <w:r>
        <w:rPr>
          <w:rFonts w:hAnsi="宋体"/>
          <w:color w:val="000000"/>
          <w:sz w:val="28"/>
        </w:rPr>
        <w:t>临时报告、澄清</w:t>
      </w:r>
      <w:r>
        <w:rPr>
          <w:rFonts w:hAnsi="宋体" w:hint="eastAsia"/>
          <w:color w:val="000000"/>
          <w:sz w:val="28"/>
        </w:rPr>
        <w:t>公</w:t>
      </w:r>
      <w:r>
        <w:rPr>
          <w:rFonts w:hAnsi="宋体"/>
          <w:color w:val="000000"/>
          <w:sz w:val="28"/>
        </w:rPr>
        <w:t>告、</w:t>
      </w:r>
      <w:r>
        <w:rPr>
          <w:rFonts w:ascii="宋体" w:hAnsi="宋体" w:hint="eastAsia"/>
          <w:color w:val="000000"/>
          <w:sz w:val="28"/>
        </w:rPr>
        <w:t>基金清算报告、</w:t>
      </w:r>
      <w:r>
        <w:rPr>
          <w:rFonts w:hAnsi="宋体"/>
          <w:color w:val="000000"/>
          <w:sz w:val="28"/>
        </w:rPr>
        <w:t>基金份额持有人大会决议、中国证监会规定的其他信息。</w:t>
      </w:r>
      <w:r>
        <w:rPr>
          <w:rFonts w:ascii="宋体" w:hAnsi="宋体" w:hint="eastAsia"/>
          <w:color w:val="000000"/>
          <w:sz w:val="28"/>
        </w:rPr>
        <w:t>基金年度报告中的财务会计报告需经符合《证券法》规定的会计师事务所审计后，方可披露。</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基金管理人应在基金合同生效公告和基金定期报告中分别披露基金管理人、基金管理人高级管理人员、基金经理等投资管理人员以及基金管理人股东持有基金的份额、期限及期间的变动情况。</w:t>
      </w:r>
    </w:p>
    <w:p w:rsidR="008053E8">
      <w:pPr>
        <w:adjustRightInd w:val="0"/>
        <w:snapToGrid w:val="0"/>
        <w:spacing w:line="360" w:lineRule="auto"/>
        <w:ind w:firstLine="560" w:firstLineChars="200"/>
        <w:outlineLvl w:val="0"/>
        <w:rPr>
          <w:color w:val="000000"/>
          <w:sz w:val="28"/>
        </w:rPr>
      </w:pPr>
      <w:r>
        <w:rPr>
          <w:rFonts w:hAnsi="宋体"/>
          <w:color w:val="000000"/>
          <w:sz w:val="28"/>
        </w:rPr>
        <w:t>（三）基金托管人和基金管理人在信息披露中的职责和信息披露程序</w:t>
      </w:r>
    </w:p>
    <w:p w:rsidR="008053E8">
      <w:pPr>
        <w:adjustRightInd w:val="0"/>
        <w:snapToGrid w:val="0"/>
        <w:spacing w:line="360" w:lineRule="auto"/>
        <w:ind w:firstLine="560" w:firstLineChars="200"/>
        <w:rPr>
          <w:color w:val="000000"/>
          <w:sz w:val="28"/>
        </w:rPr>
      </w:pPr>
      <w:r>
        <w:rPr>
          <w:color w:val="000000"/>
          <w:sz w:val="28"/>
        </w:rPr>
        <w:t>1</w:t>
      </w:r>
      <w:r>
        <w:rPr>
          <w:rFonts w:hint="eastAsia"/>
          <w:color w:val="000000"/>
          <w:sz w:val="28"/>
        </w:rPr>
        <w:t>.</w:t>
      </w:r>
      <w:r>
        <w:rPr>
          <w:rFonts w:hAnsi="宋体"/>
          <w:color w:val="000000"/>
          <w:sz w:val="28"/>
        </w:rPr>
        <w:t>职责</w:t>
      </w:r>
    </w:p>
    <w:p w:rsidR="008053E8">
      <w:pPr>
        <w:adjustRightInd w:val="0"/>
        <w:snapToGrid w:val="0"/>
        <w:spacing w:line="360" w:lineRule="auto"/>
        <w:ind w:firstLine="420"/>
        <w:rPr>
          <w:color w:val="000000"/>
          <w:sz w:val="28"/>
        </w:rPr>
      </w:pPr>
      <w:r>
        <w:rPr>
          <w:rFonts w:hAnsi="宋体"/>
          <w:color w:val="000000"/>
          <w:sz w:val="28"/>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8053E8">
      <w:pPr>
        <w:adjustRightInd w:val="0"/>
        <w:snapToGrid w:val="0"/>
        <w:spacing w:line="360" w:lineRule="auto"/>
        <w:ind w:firstLine="560" w:firstLineChars="200"/>
        <w:rPr>
          <w:color w:val="000000"/>
          <w:sz w:val="28"/>
        </w:rPr>
      </w:pPr>
      <w:r>
        <w:rPr>
          <w:rFonts w:hAnsi="宋体"/>
          <w:color w:val="000000"/>
          <w:sz w:val="28"/>
        </w:rPr>
        <w:t>对于不需要基金托管人</w:t>
      </w:r>
      <w:r>
        <w:rPr>
          <w:color w:val="000000"/>
          <w:sz w:val="28"/>
        </w:rPr>
        <w:t>(</w:t>
      </w:r>
      <w:r>
        <w:rPr>
          <w:rFonts w:hAnsi="宋体"/>
          <w:color w:val="000000"/>
          <w:sz w:val="28"/>
        </w:rPr>
        <w:t>或基金管理人</w:t>
      </w:r>
      <w:r>
        <w:rPr>
          <w:color w:val="000000"/>
          <w:sz w:val="28"/>
        </w:rPr>
        <w:t>)</w:t>
      </w:r>
      <w:r>
        <w:rPr>
          <w:rFonts w:hAnsi="宋体"/>
          <w:color w:val="000000"/>
          <w:sz w:val="28"/>
        </w:rPr>
        <w:t>复核的信息，基金管理人</w:t>
      </w:r>
      <w:r>
        <w:rPr>
          <w:color w:val="000000"/>
          <w:sz w:val="28"/>
        </w:rPr>
        <w:t>(</w:t>
      </w:r>
      <w:r>
        <w:rPr>
          <w:rFonts w:hAnsi="宋体"/>
          <w:color w:val="000000"/>
          <w:sz w:val="28"/>
        </w:rPr>
        <w:t>或基金托管人</w:t>
      </w:r>
      <w:r>
        <w:rPr>
          <w:color w:val="000000"/>
          <w:sz w:val="28"/>
        </w:rPr>
        <w:t>)</w:t>
      </w:r>
      <w:r>
        <w:rPr>
          <w:rFonts w:hAnsi="宋体"/>
          <w:color w:val="000000"/>
          <w:sz w:val="28"/>
        </w:rPr>
        <w:t>在公告</w:t>
      </w:r>
      <w:r>
        <w:rPr>
          <w:rFonts w:hAnsi="宋体" w:hint="eastAsia"/>
          <w:color w:val="000000"/>
          <w:sz w:val="28"/>
        </w:rPr>
        <w:t>后</w:t>
      </w:r>
      <w:r>
        <w:rPr>
          <w:rFonts w:hAnsi="宋体"/>
          <w:color w:val="000000"/>
          <w:sz w:val="28"/>
        </w:rPr>
        <w:t>应告知基金托管人</w:t>
      </w:r>
      <w:r>
        <w:rPr>
          <w:color w:val="000000"/>
          <w:sz w:val="28"/>
        </w:rPr>
        <w:t>(</w:t>
      </w:r>
      <w:r>
        <w:rPr>
          <w:rFonts w:hAnsi="宋体"/>
          <w:color w:val="000000"/>
          <w:sz w:val="28"/>
        </w:rPr>
        <w:t>或基金管理人</w:t>
      </w:r>
      <w:r>
        <w:rPr>
          <w:color w:val="000000"/>
          <w:sz w:val="28"/>
        </w:rPr>
        <w:t>)</w:t>
      </w:r>
      <w:r>
        <w:rPr>
          <w:rFonts w:hAnsi="宋体" w:hint="eastAsia"/>
          <w:color w:val="000000"/>
          <w:sz w:val="28"/>
        </w:rPr>
        <w:t>报备</w:t>
      </w:r>
      <w:r>
        <w:rPr>
          <w:rFonts w:hAnsi="宋体"/>
          <w:color w:val="000000"/>
          <w:sz w:val="28"/>
        </w:rPr>
        <w:t>。</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基金管理人应当在中国证监会规定的时间内，将应予披露的基金信息通过中国证监会规定的媒介披露。根据法律法规应由基金托管人公开披露的信息，基金托管人在中国证监会规定媒介公开披露</w:t>
      </w:r>
      <w:r>
        <w:rPr>
          <w:rFonts w:hAnsi="宋体"/>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当出现下述情况时，基金管理人和基金托管人可暂停或延迟披露基金信息：</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不可抗力；</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基金合同约定的延迟计算及披露净值情形；</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3</w:t>
      </w:r>
      <w:r>
        <w:rPr>
          <w:color w:val="000000"/>
          <w:sz w:val="28"/>
        </w:rPr>
        <w:t>)</w:t>
      </w:r>
      <w:r>
        <w:rPr>
          <w:rFonts w:hAnsi="宋体"/>
          <w:color w:val="000000"/>
          <w:sz w:val="28"/>
        </w:rPr>
        <w:t>法律法规、基金合同或中国证监会规定的情况。</w:t>
      </w:r>
    </w:p>
    <w:p w:rsidR="008053E8">
      <w:pPr>
        <w:adjustRightInd w:val="0"/>
        <w:snapToGrid w:val="0"/>
        <w:spacing w:line="360" w:lineRule="auto"/>
        <w:ind w:firstLine="560" w:firstLineChars="200"/>
        <w:rPr>
          <w:color w:val="000000"/>
          <w:sz w:val="28"/>
        </w:rPr>
      </w:pPr>
      <w:r>
        <w:rPr>
          <w:color w:val="000000"/>
          <w:sz w:val="28"/>
        </w:rPr>
        <w:t>2</w:t>
      </w:r>
      <w:r>
        <w:rPr>
          <w:rFonts w:hint="eastAsia"/>
          <w:color w:val="000000"/>
          <w:sz w:val="28"/>
        </w:rPr>
        <w:t>.</w:t>
      </w:r>
      <w:r>
        <w:rPr>
          <w:rFonts w:hAnsi="宋体"/>
          <w:color w:val="000000"/>
          <w:sz w:val="28"/>
        </w:rPr>
        <w:t>程序</w:t>
      </w:r>
    </w:p>
    <w:p w:rsidR="008053E8">
      <w:pPr>
        <w:adjustRightInd w:val="0"/>
        <w:snapToGrid w:val="0"/>
        <w:spacing w:line="360" w:lineRule="auto"/>
        <w:ind w:firstLine="560" w:firstLineChars="200"/>
        <w:rPr>
          <w:color w:val="000000"/>
          <w:sz w:val="28"/>
        </w:rPr>
      </w:pPr>
      <w:r>
        <w:rPr>
          <w:rFonts w:hAnsi="宋体"/>
          <w:color w:val="000000"/>
          <w:sz w:val="28"/>
        </w:rPr>
        <w:t>按有关规定须经基金托管人复核的信息披露文件，由基金管理人起草、并经基金托管人复核后由基金管理人公告。发生基金合同中规定需要披露的事项时，按基金合同规定公布。</w:t>
      </w:r>
    </w:p>
    <w:p w:rsidR="008053E8">
      <w:pPr>
        <w:adjustRightInd w:val="0"/>
        <w:snapToGrid w:val="0"/>
        <w:spacing w:line="360" w:lineRule="auto"/>
        <w:ind w:firstLine="560" w:firstLineChars="200"/>
        <w:rPr>
          <w:color w:val="000000"/>
          <w:sz w:val="28"/>
        </w:rPr>
      </w:pPr>
      <w:r>
        <w:rPr>
          <w:color w:val="000000"/>
          <w:sz w:val="28"/>
        </w:rPr>
        <w:t>3</w:t>
      </w:r>
      <w:r>
        <w:rPr>
          <w:rFonts w:hint="eastAsia"/>
          <w:color w:val="000000"/>
          <w:sz w:val="28"/>
        </w:rPr>
        <w:t>.</w:t>
      </w:r>
      <w:r>
        <w:rPr>
          <w:rFonts w:hAnsi="宋体"/>
          <w:color w:val="000000"/>
          <w:sz w:val="28"/>
        </w:rPr>
        <w:t>信息文本的存放</w:t>
      </w:r>
    </w:p>
    <w:p w:rsidR="008053E8">
      <w:pPr>
        <w:spacing w:line="360" w:lineRule="auto"/>
        <w:ind w:firstLine="560" w:firstLineChars="200"/>
        <w:rPr>
          <w:sz w:val="28"/>
        </w:rPr>
      </w:pPr>
      <w:r>
        <w:rPr>
          <w:rFonts w:ascii="宋体" w:hAnsi="宋体" w:hint="eastAsia"/>
          <w:color w:val="000000"/>
          <w:sz w:val="28"/>
        </w:rPr>
        <w:t>依法必须披露的信息发布后，基金管理人、基金托管人应当按照相关法律法规规定将信息置备于公司办公场所，供社会公众查阅、复制。</w:t>
      </w:r>
    </w:p>
    <w:p w:rsidR="008053E8">
      <w:pPr>
        <w:pStyle w:val="NormalIndent"/>
        <w:spacing w:line="360" w:lineRule="auto"/>
        <w:ind w:firstLine="560"/>
        <w:rPr>
          <w:rFonts w:hAnsi="宋体"/>
          <w:color w:val="000000"/>
          <w:sz w:val="28"/>
        </w:rPr>
      </w:pPr>
      <w:r>
        <w:rPr>
          <w:rFonts w:hAnsi="宋体"/>
          <w:color w:val="000000"/>
          <w:sz w:val="28"/>
        </w:rPr>
        <w:t>投资者可以免费查阅</w:t>
      </w:r>
      <w:r>
        <w:rPr>
          <w:rFonts w:hAnsi="宋体" w:hint="eastAsia"/>
          <w:color w:val="000000"/>
          <w:sz w:val="28"/>
        </w:rPr>
        <w:t>上述文件</w:t>
      </w:r>
      <w:r>
        <w:rPr>
          <w:rFonts w:hAnsi="宋体"/>
          <w:color w:val="000000"/>
          <w:sz w:val="28"/>
        </w:rPr>
        <w:t>。在支付工本费后可在合理时间获得上述文件的复制件或复印件。基金管理人和基金托管人应保证文本的内容与所公告的内容完全一致。</w:t>
      </w:r>
    </w:p>
    <w:p w:rsidR="008053E8">
      <w:pPr>
        <w:pStyle w:val="NormalIndent"/>
        <w:spacing w:line="360" w:lineRule="auto"/>
        <w:ind w:firstLine="560"/>
        <w:rPr>
          <w:color w:val="000000"/>
          <w:sz w:val="28"/>
        </w:rPr>
      </w:pPr>
      <w:r>
        <w:rPr>
          <w:rFonts w:hint="eastAsia"/>
          <w:color w:val="000000"/>
          <w:sz w:val="28"/>
        </w:rPr>
        <w:t>（四）实施侧袋机制期间的信息披露</w:t>
      </w:r>
    </w:p>
    <w:p w:rsidR="008053E8">
      <w:pPr>
        <w:pStyle w:val="NormalIndent"/>
        <w:spacing w:line="360" w:lineRule="auto"/>
        <w:ind w:firstLine="560"/>
        <w:rPr>
          <w:color w:val="000000"/>
          <w:sz w:val="28"/>
        </w:rPr>
      </w:pPr>
      <w:r>
        <w:rPr>
          <w:rFonts w:hint="eastAsia"/>
          <w:color w:val="000000"/>
          <w:sz w:val="28"/>
        </w:rPr>
        <w:t>本基金实施侧袋机制的，相关信息披露义务人应当根据法律法规、基金合同和招募说明书的规定进行信息披露，详见招募说明书的规定。</w:t>
      </w:r>
    </w:p>
    <w:p w:rsidR="008053E8">
      <w:pPr>
        <w:pStyle w:val="Heading2"/>
        <w:spacing w:line="360" w:lineRule="auto"/>
        <w:jc w:val="center"/>
        <w:rPr>
          <w:rFonts w:ascii="Times New Roman" w:eastAsia="宋体" w:hAnsi="Times New Roman"/>
          <w:color w:val="000000"/>
          <w:sz w:val="28"/>
        </w:rPr>
      </w:pPr>
      <w:bookmarkStart w:id="88" w:name="_Toc335661644"/>
      <w:r>
        <w:rPr>
          <w:rFonts w:ascii="Times New Roman" w:eastAsia="宋体" w:hAnsi="宋体"/>
          <w:color w:val="000000"/>
          <w:sz w:val="28"/>
        </w:rPr>
        <w:t>十一、基金费用</w:t>
      </w:r>
      <w:bookmarkEnd w:id="88"/>
    </w:p>
    <w:p w:rsidR="008053E8">
      <w:pPr>
        <w:adjustRightInd w:val="0"/>
        <w:snapToGrid w:val="0"/>
        <w:spacing w:line="360" w:lineRule="auto"/>
        <w:ind w:firstLine="560" w:firstLineChars="200"/>
        <w:rPr>
          <w:color w:val="000000"/>
          <w:sz w:val="28"/>
        </w:rPr>
      </w:pPr>
      <w:r>
        <w:rPr>
          <w:rFonts w:hAnsi="宋体"/>
          <w:color w:val="000000"/>
          <w:sz w:val="28"/>
        </w:rPr>
        <w:t>（一）基金管理费的计提比例和计提方法</w:t>
      </w:r>
    </w:p>
    <w:p w:rsidR="008053E8">
      <w:pPr>
        <w:adjustRightInd w:val="0"/>
        <w:snapToGrid w:val="0"/>
        <w:spacing w:line="360" w:lineRule="auto"/>
        <w:ind w:firstLine="560" w:firstLineChars="200"/>
        <w:rPr>
          <w:color w:val="000000"/>
          <w:sz w:val="28"/>
        </w:rPr>
      </w:pPr>
      <w:r>
        <w:rPr>
          <w:rFonts w:hAnsi="宋体"/>
          <w:color w:val="000000"/>
          <w:sz w:val="28"/>
        </w:rPr>
        <w:t>基金管理费按基金资产净值的</w:t>
      </w:r>
      <w:r>
        <w:rPr>
          <w:rFonts w:hint="eastAsia"/>
          <w:color w:val="000000"/>
          <w:sz w:val="28"/>
        </w:rPr>
        <w:t>0.30</w:t>
      </w:r>
      <w:r>
        <w:rPr>
          <w:color w:val="000000"/>
          <w:sz w:val="28"/>
        </w:rPr>
        <w:t>%</w:t>
      </w:r>
      <w:r>
        <w:rPr>
          <w:rFonts w:hAnsi="宋体"/>
          <w:color w:val="000000"/>
          <w:sz w:val="28"/>
        </w:rPr>
        <w:t>年费率计提。</w:t>
      </w:r>
    </w:p>
    <w:p w:rsidR="008053E8">
      <w:pPr>
        <w:adjustRightInd w:val="0"/>
        <w:snapToGrid w:val="0"/>
        <w:spacing w:line="360" w:lineRule="auto"/>
        <w:ind w:firstLine="560" w:firstLineChars="200"/>
        <w:rPr>
          <w:color w:val="000000"/>
          <w:sz w:val="28"/>
        </w:rPr>
      </w:pPr>
      <w:r>
        <w:rPr>
          <w:rFonts w:hAnsi="宋体"/>
          <w:color w:val="000000"/>
          <w:sz w:val="28"/>
        </w:rPr>
        <w:t>在通常情况下，基金管理费按前一日基金资产净值</w:t>
      </w:r>
      <w:r>
        <w:rPr>
          <w:rFonts w:hint="eastAsia"/>
          <w:color w:val="000000"/>
          <w:sz w:val="28"/>
        </w:rPr>
        <w:t>0.30</w:t>
      </w:r>
      <w:r>
        <w:rPr>
          <w:color w:val="000000"/>
          <w:sz w:val="28"/>
        </w:rPr>
        <w:t>%</w:t>
      </w:r>
      <w:r>
        <w:rPr>
          <w:rFonts w:hAnsi="宋体"/>
          <w:color w:val="000000"/>
          <w:sz w:val="28"/>
        </w:rPr>
        <w:t>年费率计提。计算方法如下：</w:t>
      </w:r>
    </w:p>
    <w:p w:rsidR="008053E8">
      <w:pPr>
        <w:adjustRightInd w:val="0"/>
        <w:snapToGrid w:val="0"/>
        <w:spacing w:line="360" w:lineRule="auto"/>
        <w:ind w:firstLine="560" w:firstLineChars="200"/>
        <w:rPr>
          <w:color w:val="000000"/>
          <w:sz w:val="28"/>
        </w:rPr>
      </w:pPr>
      <w:r>
        <w:rPr>
          <w:color w:val="000000"/>
          <w:sz w:val="28"/>
        </w:rPr>
        <w:t>H</w:t>
      </w:r>
      <w:r>
        <w:rPr>
          <w:rFonts w:hAnsi="宋体"/>
          <w:color w:val="000000"/>
          <w:sz w:val="28"/>
        </w:rPr>
        <w:t>＝</w:t>
      </w:r>
      <w:r>
        <w:rPr>
          <w:color w:val="000000"/>
          <w:sz w:val="28"/>
        </w:rPr>
        <w:t>E×</w:t>
      </w:r>
      <w:r>
        <w:rPr>
          <w:rFonts w:hAnsi="宋体"/>
          <w:color w:val="000000"/>
          <w:sz w:val="28"/>
        </w:rPr>
        <w:t>年管理费率</w:t>
      </w:r>
      <w:r>
        <w:rPr>
          <w:color w:val="000000"/>
          <w:sz w:val="28"/>
        </w:rPr>
        <w:t>÷</w:t>
      </w:r>
      <w:r>
        <w:rPr>
          <w:rFonts w:hAnsi="宋体"/>
          <w:color w:val="000000"/>
          <w:sz w:val="28"/>
        </w:rPr>
        <w:t>当年天数</w:t>
      </w:r>
    </w:p>
    <w:p w:rsidR="008053E8">
      <w:pPr>
        <w:adjustRightInd w:val="0"/>
        <w:snapToGrid w:val="0"/>
        <w:spacing w:line="360" w:lineRule="auto"/>
        <w:ind w:firstLine="560" w:firstLineChars="200"/>
        <w:rPr>
          <w:color w:val="000000"/>
          <w:sz w:val="28"/>
        </w:rPr>
      </w:pPr>
      <w:r>
        <w:rPr>
          <w:color w:val="000000"/>
          <w:sz w:val="28"/>
        </w:rPr>
        <w:t>H</w:t>
      </w:r>
      <w:r>
        <w:rPr>
          <w:rFonts w:hAnsi="宋体"/>
          <w:color w:val="000000"/>
          <w:sz w:val="28"/>
        </w:rPr>
        <w:t>为每日应计提的基金管理费</w:t>
      </w:r>
    </w:p>
    <w:p w:rsidR="008053E8">
      <w:pPr>
        <w:adjustRightInd w:val="0"/>
        <w:snapToGrid w:val="0"/>
        <w:spacing w:line="360" w:lineRule="auto"/>
        <w:ind w:firstLine="560" w:firstLineChars="200"/>
        <w:rPr>
          <w:color w:val="000000"/>
          <w:sz w:val="28"/>
        </w:rPr>
      </w:pPr>
      <w:r>
        <w:rPr>
          <w:color w:val="000000"/>
          <w:sz w:val="28"/>
        </w:rPr>
        <w:t>E</w:t>
      </w:r>
      <w:r>
        <w:rPr>
          <w:rFonts w:hAnsi="宋体"/>
          <w:color w:val="000000"/>
          <w:sz w:val="28"/>
        </w:rPr>
        <w:t>为前一日的基金资产净值</w:t>
      </w:r>
    </w:p>
    <w:p w:rsidR="008053E8">
      <w:pPr>
        <w:adjustRightInd w:val="0"/>
        <w:snapToGrid w:val="0"/>
        <w:spacing w:line="360" w:lineRule="auto"/>
        <w:ind w:firstLine="560" w:firstLineChars="200"/>
        <w:rPr>
          <w:color w:val="000000"/>
          <w:sz w:val="28"/>
        </w:rPr>
      </w:pPr>
      <w:r>
        <w:rPr>
          <w:rFonts w:hAnsi="宋体"/>
          <w:color w:val="000000"/>
          <w:sz w:val="28"/>
        </w:rPr>
        <w:t>（二）基金托管费的计提比例和计提方法</w:t>
      </w:r>
    </w:p>
    <w:p w:rsidR="008053E8">
      <w:pPr>
        <w:adjustRightInd w:val="0"/>
        <w:snapToGrid w:val="0"/>
        <w:spacing w:line="360" w:lineRule="auto"/>
        <w:ind w:firstLine="560" w:firstLineChars="200"/>
        <w:rPr>
          <w:color w:val="000000"/>
          <w:sz w:val="28"/>
        </w:rPr>
      </w:pPr>
      <w:r>
        <w:rPr>
          <w:rFonts w:hAnsi="宋体"/>
          <w:color w:val="000000"/>
          <w:sz w:val="28"/>
        </w:rPr>
        <w:t>基金托管费按基金资产净值的</w:t>
      </w:r>
      <w:r>
        <w:rPr>
          <w:rFonts w:hint="eastAsia"/>
          <w:color w:val="000000"/>
          <w:sz w:val="28"/>
        </w:rPr>
        <w:t>0.10</w:t>
      </w:r>
      <w:r>
        <w:rPr>
          <w:color w:val="000000"/>
          <w:sz w:val="28"/>
        </w:rPr>
        <w:t>%</w:t>
      </w:r>
      <w:r>
        <w:rPr>
          <w:rFonts w:hAnsi="宋体"/>
          <w:color w:val="000000"/>
          <w:sz w:val="28"/>
        </w:rPr>
        <w:t>年费率计提。</w:t>
      </w:r>
    </w:p>
    <w:p w:rsidR="008053E8">
      <w:pPr>
        <w:adjustRightInd w:val="0"/>
        <w:snapToGrid w:val="0"/>
        <w:spacing w:line="360" w:lineRule="auto"/>
        <w:ind w:firstLine="560" w:firstLineChars="200"/>
        <w:rPr>
          <w:color w:val="000000"/>
          <w:sz w:val="28"/>
        </w:rPr>
      </w:pPr>
      <w:r>
        <w:rPr>
          <w:rFonts w:hAnsi="宋体"/>
          <w:color w:val="000000"/>
          <w:sz w:val="28"/>
        </w:rPr>
        <w:t>在通常情况下，基金托管费按前一日基金资产净值的</w:t>
      </w:r>
      <w:r>
        <w:rPr>
          <w:rFonts w:hint="eastAsia"/>
          <w:color w:val="000000"/>
          <w:sz w:val="28"/>
        </w:rPr>
        <w:t>0.10</w:t>
      </w:r>
      <w:r>
        <w:rPr>
          <w:color w:val="000000"/>
          <w:sz w:val="28"/>
        </w:rPr>
        <w:t>%</w:t>
      </w:r>
      <w:r>
        <w:rPr>
          <w:rFonts w:hAnsi="宋体"/>
          <w:color w:val="000000"/>
          <w:sz w:val="28"/>
        </w:rPr>
        <w:t>年费率计提。计算方法如下：</w:t>
      </w:r>
    </w:p>
    <w:p w:rsidR="008053E8">
      <w:pPr>
        <w:adjustRightInd w:val="0"/>
        <w:snapToGrid w:val="0"/>
        <w:spacing w:line="360" w:lineRule="auto"/>
        <w:ind w:firstLine="560" w:firstLineChars="200"/>
        <w:rPr>
          <w:color w:val="000000"/>
          <w:sz w:val="28"/>
        </w:rPr>
      </w:pPr>
      <w:r>
        <w:rPr>
          <w:color w:val="000000"/>
          <w:sz w:val="28"/>
        </w:rPr>
        <w:t>H</w:t>
      </w:r>
      <w:r>
        <w:rPr>
          <w:rFonts w:hAnsi="宋体"/>
          <w:color w:val="000000"/>
          <w:sz w:val="28"/>
        </w:rPr>
        <w:t>＝</w:t>
      </w:r>
      <w:r>
        <w:rPr>
          <w:color w:val="000000"/>
          <w:sz w:val="28"/>
        </w:rPr>
        <w:t>E×</w:t>
      </w:r>
      <w:r>
        <w:rPr>
          <w:rFonts w:hAnsi="宋体"/>
          <w:color w:val="000000"/>
          <w:sz w:val="28"/>
        </w:rPr>
        <w:t>年托管费率</w:t>
      </w:r>
      <w:r>
        <w:rPr>
          <w:color w:val="000000"/>
          <w:sz w:val="28"/>
        </w:rPr>
        <w:t>÷</w:t>
      </w:r>
      <w:r>
        <w:rPr>
          <w:rFonts w:hAnsi="宋体"/>
          <w:color w:val="000000"/>
          <w:sz w:val="28"/>
        </w:rPr>
        <w:t>当年天数</w:t>
      </w:r>
    </w:p>
    <w:p w:rsidR="008053E8">
      <w:pPr>
        <w:adjustRightInd w:val="0"/>
        <w:snapToGrid w:val="0"/>
        <w:spacing w:line="360" w:lineRule="auto"/>
        <w:ind w:firstLine="560" w:firstLineChars="200"/>
        <w:rPr>
          <w:color w:val="000000"/>
          <w:sz w:val="28"/>
        </w:rPr>
      </w:pPr>
      <w:r>
        <w:rPr>
          <w:color w:val="000000"/>
          <w:sz w:val="28"/>
        </w:rPr>
        <w:t>H</w:t>
      </w:r>
      <w:r>
        <w:rPr>
          <w:rFonts w:hAnsi="宋体"/>
          <w:color w:val="000000"/>
          <w:sz w:val="28"/>
        </w:rPr>
        <w:t>为每日应计提的基金托管费</w:t>
      </w:r>
    </w:p>
    <w:p w:rsidR="008053E8">
      <w:pPr>
        <w:adjustRightInd w:val="0"/>
        <w:snapToGrid w:val="0"/>
        <w:spacing w:line="360" w:lineRule="auto"/>
        <w:ind w:firstLine="560" w:firstLineChars="200"/>
        <w:rPr>
          <w:color w:val="000000"/>
          <w:sz w:val="28"/>
        </w:rPr>
      </w:pPr>
      <w:r>
        <w:rPr>
          <w:color w:val="000000"/>
          <w:sz w:val="28"/>
        </w:rPr>
        <w:t>E</w:t>
      </w:r>
      <w:r>
        <w:rPr>
          <w:rFonts w:hAnsi="宋体"/>
          <w:color w:val="000000"/>
          <w:sz w:val="28"/>
        </w:rPr>
        <w:t>为前一日的基金资产净值</w:t>
      </w:r>
    </w:p>
    <w:p w:rsidR="008053E8">
      <w:pPr>
        <w:adjustRightInd w:val="0"/>
        <w:snapToGrid w:val="0"/>
        <w:spacing w:line="360" w:lineRule="auto"/>
        <w:ind w:firstLine="560" w:firstLineChars="200"/>
        <w:rPr>
          <w:color w:val="000000"/>
          <w:sz w:val="28"/>
        </w:rPr>
      </w:pPr>
      <w:r>
        <w:rPr>
          <w:rFonts w:hAnsi="宋体" w:hint="eastAsia"/>
          <w:color w:val="000000"/>
          <w:sz w:val="28"/>
        </w:rPr>
        <w:t>（三）</w:t>
      </w:r>
      <w:r>
        <w:rPr>
          <w:rFonts w:hAnsi="宋体"/>
          <w:color w:val="000000"/>
          <w:sz w:val="28"/>
        </w:rPr>
        <w:t>基金</w:t>
      </w:r>
      <w:r>
        <w:rPr>
          <w:rFonts w:hAnsi="宋体" w:hint="eastAsia"/>
          <w:color w:val="000000"/>
          <w:sz w:val="28"/>
        </w:rPr>
        <w:t>销售服务</w:t>
      </w:r>
      <w:r>
        <w:rPr>
          <w:rFonts w:hAnsi="宋体"/>
          <w:color w:val="000000"/>
          <w:sz w:val="28"/>
        </w:rPr>
        <w:t>费的计提比例和计提方法</w:t>
      </w:r>
    </w:p>
    <w:p w:rsidR="008053E8">
      <w:pPr>
        <w:adjustRightInd w:val="0"/>
        <w:snapToGrid w:val="0"/>
        <w:spacing w:line="360" w:lineRule="auto"/>
        <w:ind w:firstLine="560" w:firstLineChars="200"/>
        <w:rPr>
          <w:color w:val="000000"/>
          <w:sz w:val="28"/>
        </w:rPr>
      </w:pPr>
      <w:r>
        <w:rPr>
          <w:rFonts w:hAnsi="宋体" w:hint="eastAsia"/>
          <w:color w:val="000000"/>
          <w:sz w:val="28"/>
        </w:rPr>
        <w:t>本基金</w:t>
      </w:r>
      <w:r>
        <w:rPr>
          <w:rFonts w:hint="eastAsia"/>
          <w:color w:val="000000"/>
          <w:sz w:val="28"/>
        </w:rPr>
        <w:t>A</w:t>
      </w:r>
      <w:r>
        <w:rPr>
          <w:rFonts w:hAnsi="宋体" w:hint="eastAsia"/>
          <w:color w:val="000000"/>
          <w:sz w:val="28"/>
        </w:rPr>
        <w:t>类、</w:t>
      </w:r>
      <w:r>
        <w:rPr>
          <w:rFonts w:hAnsi="宋体" w:hint="eastAsia"/>
          <w:color w:val="000000"/>
          <w:sz w:val="28"/>
        </w:rPr>
        <w:t>D</w:t>
      </w:r>
      <w:r>
        <w:rPr>
          <w:rFonts w:hAnsi="宋体" w:hint="eastAsia"/>
          <w:color w:val="000000"/>
          <w:sz w:val="28"/>
        </w:rPr>
        <w:t>类基金份额不收取销售服务费，</w:t>
      </w:r>
      <w:r>
        <w:rPr>
          <w:rFonts w:hint="eastAsia"/>
          <w:color w:val="000000"/>
          <w:sz w:val="28"/>
        </w:rPr>
        <w:t>C</w:t>
      </w:r>
      <w:r>
        <w:rPr>
          <w:rFonts w:hAnsi="宋体" w:hint="eastAsia"/>
          <w:color w:val="000000"/>
          <w:sz w:val="28"/>
        </w:rPr>
        <w:t>类基金份额的销售服务费年费率为</w:t>
      </w:r>
      <w:r>
        <w:rPr>
          <w:rFonts w:hint="eastAsia"/>
          <w:color w:val="000000"/>
          <w:sz w:val="28"/>
        </w:rPr>
        <w:t>0.35%</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rFonts w:hAnsi="宋体" w:hint="eastAsia"/>
          <w:color w:val="000000"/>
          <w:sz w:val="28"/>
        </w:rPr>
        <w:t>本基金销售服务费按前一日</w:t>
      </w:r>
      <w:r>
        <w:rPr>
          <w:rFonts w:hint="eastAsia"/>
          <w:color w:val="000000"/>
          <w:sz w:val="28"/>
        </w:rPr>
        <w:t>C</w:t>
      </w:r>
      <w:r>
        <w:rPr>
          <w:rFonts w:hAnsi="宋体" w:hint="eastAsia"/>
          <w:color w:val="000000"/>
          <w:sz w:val="28"/>
        </w:rPr>
        <w:t>类基金资产净值的</w:t>
      </w:r>
      <w:r>
        <w:rPr>
          <w:rFonts w:hint="eastAsia"/>
          <w:color w:val="000000"/>
          <w:sz w:val="28"/>
        </w:rPr>
        <w:t>0.35%</w:t>
      </w:r>
      <w:r>
        <w:rPr>
          <w:rFonts w:hAnsi="宋体" w:hint="eastAsia"/>
          <w:color w:val="000000"/>
          <w:sz w:val="28"/>
        </w:rPr>
        <w:t>的年费率计提。销售服务费的计算方法如下：</w:t>
      </w:r>
    </w:p>
    <w:p w:rsidR="008053E8">
      <w:pPr>
        <w:adjustRightInd w:val="0"/>
        <w:snapToGrid w:val="0"/>
        <w:spacing w:line="360" w:lineRule="auto"/>
        <w:ind w:firstLine="560" w:firstLineChars="200"/>
        <w:rPr>
          <w:color w:val="000000"/>
          <w:sz w:val="28"/>
        </w:rPr>
      </w:pPr>
      <w:r>
        <w:rPr>
          <w:rFonts w:hint="eastAsia"/>
          <w:color w:val="000000"/>
          <w:sz w:val="28"/>
        </w:rPr>
        <w:t>H</w:t>
      </w:r>
      <w:r>
        <w:rPr>
          <w:rFonts w:hAnsi="宋体" w:hint="eastAsia"/>
          <w:color w:val="000000"/>
          <w:sz w:val="28"/>
        </w:rPr>
        <w:t>＝</w:t>
      </w:r>
      <w:r>
        <w:rPr>
          <w:rFonts w:hint="eastAsia"/>
          <w:color w:val="000000"/>
          <w:sz w:val="28"/>
        </w:rPr>
        <w:t>E</w:t>
      </w:r>
      <w:r>
        <w:rPr>
          <w:rFonts w:hint="eastAsia"/>
          <w:color w:val="000000"/>
          <w:sz w:val="28"/>
        </w:rPr>
        <w:t>×</w:t>
      </w:r>
      <w:r>
        <w:rPr>
          <w:rFonts w:hint="eastAsia"/>
          <w:color w:val="000000"/>
          <w:sz w:val="28"/>
        </w:rPr>
        <w:t>0.35%</w:t>
      </w:r>
      <w:r>
        <w:rPr>
          <w:rFonts w:hint="eastAsia"/>
          <w:color w:val="000000"/>
          <w:sz w:val="28"/>
        </w:rPr>
        <w:t>÷</w:t>
      </w:r>
      <w:r>
        <w:rPr>
          <w:rFonts w:hAnsi="宋体" w:hint="eastAsia"/>
          <w:color w:val="000000"/>
          <w:sz w:val="28"/>
        </w:rPr>
        <w:t>当年天数</w:t>
      </w:r>
    </w:p>
    <w:p w:rsidR="008053E8">
      <w:pPr>
        <w:adjustRightInd w:val="0"/>
        <w:snapToGrid w:val="0"/>
        <w:spacing w:line="360" w:lineRule="auto"/>
        <w:ind w:firstLine="560" w:firstLineChars="200"/>
        <w:rPr>
          <w:color w:val="000000"/>
          <w:sz w:val="28"/>
        </w:rPr>
      </w:pPr>
      <w:r>
        <w:rPr>
          <w:rFonts w:hint="eastAsia"/>
          <w:color w:val="000000"/>
          <w:sz w:val="28"/>
        </w:rPr>
        <w:t>H</w:t>
      </w:r>
      <w:r>
        <w:rPr>
          <w:rFonts w:hAnsi="宋体" w:hint="eastAsia"/>
          <w:color w:val="000000"/>
          <w:sz w:val="28"/>
        </w:rPr>
        <w:t>为</w:t>
      </w:r>
      <w:r>
        <w:rPr>
          <w:rFonts w:hint="eastAsia"/>
          <w:color w:val="000000"/>
          <w:sz w:val="28"/>
        </w:rPr>
        <w:t>C</w:t>
      </w:r>
      <w:r>
        <w:rPr>
          <w:rFonts w:hAnsi="宋体" w:hint="eastAsia"/>
          <w:color w:val="000000"/>
          <w:sz w:val="28"/>
        </w:rPr>
        <w:t>类基金份额每日应计提的销售服务费</w:t>
      </w:r>
    </w:p>
    <w:p w:rsidR="008053E8">
      <w:pPr>
        <w:adjustRightInd w:val="0"/>
        <w:snapToGrid w:val="0"/>
        <w:spacing w:line="360" w:lineRule="auto"/>
        <w:ind w:firstLine="560" w:firstLineChars="200"/>
        <w:rPr>
          <w:color w:val="000000"/>
          <w:sz w:val="28"/>
        </w:rPr>
      </w:pPr>
      <w:r>
        <w:rPr>
          <w:rFonts w:hint="eastAsia"/>
          <w:color w:val="000000"/>
          <w:sz w:val="28"/>
        </w:rPr>
        <w:t>E</w:t>
      </w:r>
      <w:r>
        <w:rPr>
          <w:rFonts w:hAnsi="宋体" w:hint="eastAsia"/>
          <w:color w:val="000000"/>
          <w:sz w:val="28"/>
        </w:rPr>
        <w:t>为</w:t>
      </w:r>
      <w:r>
        <w:rPr>
          <w:rFonts w:hint="eastAsia"/>
          <w:color w:val="000000"/>
          <w:sz w:val="28"/>
        </w:rPr>
        <w:t>C</w:t>
      </w:r>
      <w:r>
        <w:rPr>
          <w:rFonts w:hAnsi="宋体" w:hint="eastAsia"/>
          <w:color w:val="000000"/>
          <w:sz w:val="28"/>
        </w:rPr>
        <w:t>类基金份额前一日的基金资产净值</w:t>
      </w:r>
    </w:p>
    <w:p w:rsidR="008053E8">
      <w:pPr>
        <w:adjustRightInd w:val="0"/>
        <w:snapToGrid w:val="0"/>
        <w:spacing w:line="360" w:lineRule="auto"/>
        <w:ind w:firstLine="560" w:firstLineChars="200"/>
        <w:rPr>
          <w:color w:val="000000"/>
          <w:sz w:val="28"/>
        </w:rPr>
      </w:pPr>
      <w:r>
        <w:rPr>
          <w:rFonts w:hAnsi="宋体" w:hint="eastAsia"/>
          <w:color w:val="000000"/>
          <w:sz w:val="28"/>
        </w:rPr>
        <w:t>（四）</w:t>
      </w:r>
      <w:r>
        <w:rPr>
          <w:rFonts w:hAnsi="宋体"/>
          <w:color w:val="000000"/>
          <w:sz w:val="28"/>
        </w:rPr>
        <w:t>基金</w:t>
      </w:r>
      <w:r>
        <w:rPr>
          <w:rFonts w:hAnsi="宋体" w:hint="eastAsia"/>
          <w:color w:val="000000"/>
          <w:sz w:val="28"/>
        </w:rPr>
        <w:t>指数许可使用费</w:t>
      </w:r>
      <w:r>
        <w:rPr>
          <w:rFonts w:hAnsi="宋体"/>
          <w:color w:val="000000"/>
          <w:sz w:val="28"/>
        </w:rPr>
        <w:t>的</w:t>
      </w:r>
      <w:r>
        <w:rPr>
          <w:rFonts w:hAnsi="宋体" w:hint="eastAsia"/>
          <w:color w:val="000000"/>
          <w:sz w:val="28"/>
        </w:rPr>
        <w:t>计算方法和支付方式</w:t>
      </w:r>
    </w:p>
    <w:p w:rsidR="008053E8">
      <w:pPr>
        <w:adjustRightInd w:val="0"/>
        <w:snapToGrid w:val="0"/>
        <w:spacing w:line="360" w:lineRule="auto"/>
        <w:ind w:firstLine="560" w:firstLineChars="200"/>
        <w:rPr>
          <w:color w:val="000000"/>
          <w:sz w:val="28"/>
        </w:rPr>
      </w:pPr>
      <w:r>
        <w:rPr>
          <w:rFonts w:hAnsi="宋体"/>
          <w:color w:val="000000"/>
          <w:sz w:val="28"/>
        </w:rPr>
        <w:t>基金</w:t>
      </w:r>
      <w:r>
        <w:rPr>
          <w:rFonts w:hAnsi="宋体" w:hint="eastAsia"/>
          <w:color w:val="000000"/>
          <w:sz w:val="28"/>
        </w:rPr>
        <w:t>指数许可使用费的计算方法及支付方式详见相关公告，并在更新的招募说明书中列示。</w:t>
      </w:r>
    </w:p>
    <w:p w:rsidR="008053E8">
      <w:pPr>
        <w:adjustRightInd w:val="0"/>
        <w:snapToGrid w:val="0"/>
        <w:spacing w:line="360" w:lineRule="auto"/>
        <w:ind w:firstLine="560" w:firstLineChars="200"/>
        <w:outlineLvl w:val="0"/>
        <w:rPr>
          <w:color w:val="000000"/>
          <w:sz w:val="28"/>
        </w:rPr>
      </w:pPr>
      <w:r>
        <w:rPr>
          <w:rFonts w:hAnsi="宋体"/>
          <w:color w:val="000000"/>
          <w:sz w:val="28"/>
        </w:rPr>
        <w:t>（</w:t>
      </w:r>
      <w:r>
        <w:rPr>
          <w:rFonts w:hAnsi="宋体" w:hint="eastAsia"/>
          <w:color w:val="000000"/>
          <w:sz w:val="28"/>
        </w:rPr>
        <w:t>五</w:t>
      </w:r>
      <w:r>
        <w:rPr>
          <w:rFonts w:hAnsi="宋体"/>
          <w:color w:val="000000"/>
          <w:sz w:val="28"/>
        </w:rPr>
        <w:t>）</w:t>
      </w:r>
      <w:r>
        <w:rPr>
          <w:rFonts w:hAnsi="宋体" w:hint="eastAsia"/>
          <w:color w:val="000000"/>
          <w:sz w:val="28"/>
        </w:rPr>
        <w:t>证券交易费用、</w:t>
      </w:r>
      <w:r>
        <w:rPr>
          <w:rFonts w:hAnsi="宋体"/>
          <w:color w:val="000000"/>
          <w:sz w:val="28"/>
        </w:rPr>
        <w:t>信息披露费用、基金份额持有人大会费用、</w:t>
      </w:r>
      <w:r>
        <w:rPr>
          <w:rFonts w:hAnsi="宋体" w:hint="eastAsia"/>
          <w:color w:val="000000"/>
          <w:sz w:val="28"/>
        </w:rPr>
        <w:t>证券账户开户费用、银行汇划费用、银行账户维护费用、基金上市初费和上市月费、</w:t>
      </w:r>
      <w:r>
        <w:rPr>
          <w:rFonts w:hAnsi="宋体"/>
          <w:color w:val="000000"/>
          <w:sz w:val="28"/>
        </w:rPr>
        <w:t>会计师费</w:t>
      </w:r>
      <w:r>
        <w:rPr>
          <w:rFonts w:hAnsi="宋体" w:hint="eastAsia"/>
          <w:color w:val="000000"/>
          <w:sz w:val="28"/>
        </w:rPr>
        <w:t>、</w:t>
      </w:r>
      <w:r>
        <w:rPr>
          <w:rFonts w:hAnsi="宋体"/>
          <w:color w:val="000000"/>
          <w:sz w:val="28"/>
        </w:rPr>
        <w:t>律师费等根据有关法律法规、基金合同及相应协议的规定，列入当期基金费用，由基金托管人从基金财产中支付。</w:t>
      </w:r>
    </w:p>
    <w:p w:rsidR="008053E8">
      <w:pPr>
        <w:adjustRightInd w:val="0"/>
        <w:snapToGrid w:val="0"/>
        <w:spacing w:line="360" w:lineRule="auto"/>
        <w:ind w:firstLine="560" w:firstLineChars="200"/>
        <w:outlineLvl w:val="0"/>
        <w:rPr>
          <w:color w:val="000000"/>
          <w:sz w:val="28"/>
        </w:rPr>
      </w:pPr>
      <w:r>
        <w:rPr>
          <w:rFonts w:hAnsi="宋体"/>
          <w:color w:val="000000"/>
          <w:sz w:val="28"/>
        </w:rPr>
        <w:t>（</w:t>
      </w:r>
      <w:r>
        <w:rPr>
          <w:rFonts w:hAnsi="宋体" w:hint="eastAsia"/>
          <w:color w:val="000000"/>
          <w:sz w:val="28"/>
        </w:rPr>
        <w:t>六</w:t>
      </w:r>
      <w:r>
        <w:rPr>
          <w:rFonts w:hAnsi="宋体"/>
          <w:color w:val="000000"/>
          <w:sz w:val="28"/>
        </w:rPr>
        <w:t>）不列入基金费用的项目</w:t>
      </w:r>
    </w:p>
    <w:p w:rsidR="008053E8">
      <w:pPr>
        <w:adjustRightInd w:val="0"/>
        <w:snapToGrid w:val="0"/>
        <w:spacing w:line="360" w:lineRule="auto"/>
        <w:ind w:firstLine="560" w:firstLineChars="200"/>
        <w:rPr>
          <w:color w:val="000000"/>
          <w:sz w:val="28"/>
        </w:rPr>
      </w:pPr>
      <w:r>
        <w:rPr>
          <w:rFonts w:hAnsi="宋体"/>
          <w:color w:val="000000"/>
          <w:sz w:val="28"/>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w:t>
      </w:r>
    </w:p>
    <w:p w:rsidR="008053E8">
      <w:pPr>
        <w:adjustRightInd w:val="0"/>
        <w:snapToGrid w:val="0"/>
        <w:spacing w:line="360" w:lineRule="auto"/>
        <w:ind w:firstLine="560" w:firstLineChars="200"/>
        <w:rPr>
          <w:color w:val="000000"/>
          <w:sz w:val="28"/>
        </w:rPr>
      </w:pPr>
      <w:r>
        <w:rPr>
          <w:rFonts w:hAnsi="宋体"/>
          <w:color w:val="000000"/>
          <w:sz w:val="28"/>
        </w:rPr>
        <w:t>（</w:t>
      </w:r>
      <w:r>
        <w:rPr>
          <w:rFonts w:hAnsi="宋体" w:hint="eastAsia"/>
          <w:color w:val="000000"/>
          <w:sz w:val="28"/>
        </w:rPr>
        <w:t>七</w:t>
      </w:r>
      <w:r>
        <w:rPr>
          <w:rFonts w:hAnsi="宋体"/>
          <w:color w:val="000000"/>
          <w:sz w:val="28"/>
        </w:rPr>
        <w:t>）</w:t>
      </w:r>
      <w:r>
        <w:rPr>
          <w:rFonts w:hAnsi="宋体" w:hint="eastAsia"/>
          <w:color w:val="000000"/>
          <w:sz w:val="28"/>
        </w:rPr>
        <w:t>本基金运作前产生的相关费用由基金托管人垫付，基金运作后</w:t>
      </w:r>
      <w:r>
        <w:rPr>
          <w:rFonts w:hint="eastAsia"/>
          <w:color w:val="000000"/>
          <w:sz w:val="28"/>
        </w:rPr>
        <w:t>3</w:t>
      </w:r>
      <w:r>
        <w:rPr>
          <w:rFonts w:hAnsi="宋体" w:hint="eastAsia"/>
          <w:color w:val="000000"/>
          <w:sz w:val="28"/>
        </w:rPr>
        <w:t>个工作日内由基金管理人向基金托管人发送划付指令</w:t>
      </w:r>
      <w:r>
        <w:rPr>
          <w:rFonts w:hint="eastAsia"/>
          <w:color w:val="000000"/>
          <w:sz w:val="28"/>
        </w:rPr>
        <w:t>,</w:t>
      </w:r>
      <w:r>
        <w:rPr>
          <w:rFonts w:hAnsi="宋体" w:hint="eastAsia"/>
          <w:color w:val="000000"/>
          <w:sz w:val="28"/>
        </w:rPr>
        <w:t>经基金托管人复核后的次日从基金资产中一次性支付给基金托管人。</w:t>
      </w:r>
    </w:p>
    <w:p w:rsidR="008053E8">
      <w:pPr>
        <w:adjustRightInd w:val="0"/>
        <w:snapToGrid w:val="0"/>
        <w:spacing w:line="360" w:lineRule="auto"/>
        <w:ind w:firstLine="560" w:firstLineChars="200"/>
        <w:outlineLvl w:val="0"/>
        <w:rPr>
          <w:color w:val="000000"/>
          <w:sz w:val="28"/>
        </w:rPr>
      </w:pPr>
      <w:r>
        <w:rPr>
          <w:rFonts w:hAnsi="宋体"/>
          <w:color w:val="000000"/>
          <w:sz w:val="28"/>
        </w:rPr>
        <w:t>（</w:t>
      </w:r>
      <w:r>
        <w:rPr>
          <w:rFonts w:hAnsi="宋体" w:hint="eastAsia"/>
          <w:color w:val="000000"/>
          <w:sz w:val="28"/>
        </w:rPr>
        <w:t>八</w:t>
      </w:r>
      <w:r>
        <w:rPr>
          <w:rFonts w:hAnsi="宋体"/>
          <w:color w:val="000000"/>
          <w:sz w:val="28"/>
        </w:rPr>
        <w:t>）基金管理费和基金托管费</w:t>
      </w:r>
      <w:r>
        <w:rPr>
          <w:rFonts w:hAnsi="宋体" w:hint="eastAsia"/>
          <w:color w:val="000000"/>
          <w:sz w:val="28"/>
        </w:rPr>
        <w:t>等费用</w:t>
      </w:r>
      <w:r>
        <w:rPr>
          <w:rFonts w:hAnsi="宋体"/>
          <w:color w:val="000000"/>
          <w:sz w:val="28"/>
        </w:rPr>
        <w:t>的调整</w:t>
      </w:r>
    </w:p>
    <w:p w:rsidR="008053E8">
      <w:pPr>
        <w:adjustRightInd w:val="0"/>
        <w:snapToGrid w:val="0"/>
        <w:spacing w:line="360" w:lineRule="auto"/>
        <w:ind w:firstLine="560" w:firstLineChars="200"/>
        <w:rPr>
          <w:color w:val="000000"/>
          <w:sz w:val="28"/>
        </w:rPr>
      </w:pPr>
      <w:r>
        <w:rPr>
          <w:rFonts w:hAnsi="宋体"/>
          <w:color w:val="000000"/>
          <w:sz w:val="28"/>
        </w:rPr>
        <w:t>基金管理人和基金托管人可协商酌情降低基金管理费率</w:t>
      </w:r>
      <w:r>
        <w:rPr>
          <w:rFonts w:hAnsi="宋体" w:hint="eastAsia"/>
          <w:color w:val="000000"/>
          <w:sz w:val="28"/>
        </w:rPr>
        <w:t>、</w:t>
      </w:r>
      <w:r>
        <w:rPr>
          <w:rFonts w:hAnsi="宋体"/>
          <w:color w:val="000000"/>
          <w:sz w:val="28"/>
        </w:rPr>
        <w:t>基金托管费率</w:t>
      </w:r>
      <w:r>
        <w:rPr>
          <w:rFonts w:hAnsi="宋体" w:hint="eastAsia"/>
          <w:color w:val="000000"/>
          <w:sz w:val="28"/>
        </w:rPr>
        <w:t>或基金销售服务费</w:t>
      </w:r>
      <w:r>
        <w:rPr>
          <w:rFonts w:hAnsi="宋体"/>
          <w:color w:val="000000"/>
          <w:sz w:val="28"/>
        </w:rPr>
        <w:t>率</w:t>
      </w:r>
      <w:r>
        <w:rPr>
          <w:rFonts w:hAnsi="宋体" w:hint="eastAsia"/>
          <w:color w:val="000000"/>
          <w:sz w:val="28"/>
        </w:rPr>
        <w:t>等相关费率</w:t>
      </w:r>
      <w:r>
        <w:rPr>
          <w:rFonts w:hAnsi="宋体"/>
          <w:color w:val="000000"/>
          <w:sz w:val="28"/>
        </w:rPr>
        <w:t>，</w:t>
      </w:r>
      <w:r>
        <w:rPr>
          <w:rFonts w:hAnsi="宋体" w:hint="eastAsia"/>
          <w:color w:val="000000"/>
          <w:sz w:val="28"/>
        </w:rPr>
        <w:t>但</w:t>
      </w:r>
      <w:r>
        <w:rPr>
          <w:rFonts w:hAnsi="宋体"/>
          <w:color w:val="000000"/>
          <w:sz w:val="28"/>
        </w:rPr>
        <w:t>基金管理人必须</w:t>
      </w:r>
      <w:r>
        <w:rPr>
          <w:rFonts w:hAnsi="宋体" w:hint="eastAsia"/>
          <w:sz w:val="28"/>
        </w:rPr>
        <w:t>依照有关规定</w:t>
      </w:r>
      <w:r>
        <w:rPr>
          <w:rFonts w:hAnsi="宋体"/>
          <w:color w:val="000000"/>
          <w:sz w:val="28"/>
        </w:rPr>
        <w:t>在</w:t>
      </w:r>
      <w:r>
        <w:rPr>
          <w:rFonts w:hAnsi="宋体" w:hint="eastAsia"/>
          <w:sz w:val="28"/>
        </w:rPr>
        <w:t>规定</w:t>
      </w:r>
      <w:r>
        <w:rPr>
          <w:rFonts w:hAnsi="宋体"/>
          <w:sz w:val="28"/>
        </w:rPr>
        <w:t>媒介</w:t>
      </w:r>
      <w:r>
        <w:rPr>
          <w:rFonts w:hAnsi="宋体"/>
          <w:color w:val="000000"/>
          <w:sz w:val="28"/>
        </w:rPr>
        <w:t>上刊登公告。</w:t>
      </w:r>
      <w:r>
        <w:rPr>
          <w:rFonts w:hAnsi="宋体" w:hint="eastAsia"/>
          <w:sz w:val="28"/>
        </w:rPr>
        <w:t>降低基金管理费率、基金托管费率或基金销售服务费率等费率</w:t>
      </w:r>
      <w:r>
        <w:rPr>
          <w:rFonts w:hAnsi="宋体" w:hint="eastAsia"/>
          <w:color w:val="000000"/>
          <w:sz w:val="28"/>
        </w:rPr>
        <w:t>无需召开</w:t>
      </w:r>
      <w:r>
        <w:rPr>
          <w:rFonts w:hAnsi="宋体"/>
          <w:color w:val="000000"/>
          <w:sz w:val="28"/>
        </w:rPr>
        <w:t>基金份额持有人大会。</w:t>
      </w:r>
    </w:p>
    <w:p w:rsidR="008053E8">
      <w:pPr>
        <w:adjustRightInd w:val="0"/>
        <w:snapToGrid w:val="0"/>
        <w:spacing w:line="360" w:lineRule="auto"/>
        <w:ind w:firstLine="560" w:firstLineChars="200"/>
        <w:rPr>
          <w:color w:val="000000"/>
          <w:sz w:val="28"/>
        </w:rPr>
      </w:pPr>
      <w:r>
        <w:rPr>
          <w:rFonts w:hAnsi="宋体" w:hint="eastAsia"/>
          <w:color w:val="000000"/>
          <w:sz w:val="28"/>
        </w:rPr>
        <w:t>若指数编制机构与基金管理人对指数许可使用费的费率及支付方式另有约定的，从其最新约定。此项变更亦无需召开持有人大会审议。</w:t>
      </w:r>
    </w:p>
    <w:p w:rsidR="008053E8">
      <w:pPr>
        <w:adjustRightInd w:val="0"/>
        <w:snapToGrid w:val="0"/>
        <w:spacing w:line="360" w:lineRule="auto"/>
        <w:ind w:firstLine="560" w:firstLineChars="200"/>
        <w:outlineLvl w:val="0"/>
        <w:rPr>
          <w:color w:val="000000"/>
          <w:sz w:val="28"/>
        </w:rPr>
      </w:pPr>
      <w:r>
        <w:rPr>
          <w:rFonts w:hAnsi="宋体"/>
          <w:color w:val="000000"/>
          <w:sz w:val="28"/>
        </w:rPr>
        <w:t>（</w:t>
      </w:r>
      <w:r>
        <w:rPr>
          <w:rFonts w:hAnsi="宋体" w:hint="eastAsia"/>
          <w:color w:val="000000"/>
          <w:sz w:val="28"/>
        </w:rPr>
        <w:t>九</w:t>
      </w:r>
      <w:r>
        <w:rPr>
          <w:rFonts w:hAnsi="宋体"/>
          <w:color w:val="000000"/>
          <w:sz w:val="28"/>
        </w:rPr>
        <w:t>）基金管理费和基金托管费</w:t>
      </w:r>
      <w:r>
        <w:rPr>
          <w:rFonts w:hAnsi="宋体" w:hint="eastAsia"/>
          <w:color w:val="000000"/>
          <w:sz w:val="28"/>
        </w:rPr>
        <w:t>等费用</w:t>
      </w:r>
      <w:r>
        <w:rPr>
          <w:rFonts w:hAnsi="宋体"/>
          <w:color w:val="000000"/>
          <w:sz w:val="28"/>
        </w:rPr>
        <w:t>的复核程序、支付方式和时间</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复核程序</w:t>
      </w:r>
    </w:p>
    <w:p w:rsidR="008053E8">
      <w:pPr>
        <w:adjustRightInd w:val="0"/>
        <w:snapToGrid w:val="0"/>
        <w:spacing w:line="360" w:lineRule="auto"/>
        <w:ind w:firstLine="560" w:firstLineChars="200"/>
        <w:rPr>
          <w:color w:val="000000"/>
          <w:sz w:val="28"/>
        </w:rPr>
      </w:pPr>
      <w:r>
        <w:rPr>
          <w:rFonts w:hAnsi="宋体"/>
          <w:color w:val="000000"/>
          <w:sz w:val="28"/>
        </w:rPr>
        <w:t>基金托管人对基金管理人计提的基金管理费</w:t>
      </w:r>
      <w:r>
        <w:rPr>
          <w:rFonts w:hAnsi="宋体" w:hint="eastAsia"/>
          <w:color w:val="000000"/>
          <w:sz w:val="28"/>
        </w:rPr>
        <w:t>、</w:t>
      </w:r>
      <w:r>
        <w:rPr>
          <w:rFonts w:hAnsi="宋体"/>
          <w:color w:val="000000"/>
          <w:sz w:val="28"/>
        </w:rPr>
        <w:t>基金托管费</w:t>
      </w:r>
      <w:r>
        <w:rPr>
          <w:rFonts w:hAnsi="宋体" w:hint="eastAsia"/>
          <w:color w:val="000000"/>
          <w:sz w:val="28"/>
        </w:rPr>
        <w:t>、基金销售服务</w:t>
      </w:r>
      <w:r>
        <w:rPr>
          <w:rFonts w:hAnsi="宋体" w:hint="eastAsia"/>
          <w:color w:val="000000"/>
          <w:sz w:val="28"/>
        </w:rPr>
        <w:t>费与指数许可使用费</w:t>
      </w:r>
      <w:r>
        <w:rPr>
          <w:rFonts w:hAnsi="宋体"/>
          <w:color w:val="000000"/>
          <w:sz w:val="28"/>
        </w:rPr>
        <w:t>等，根据本托管协议和基金合同的有关规定进行复核。</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支付方式和时间</w:t>
      </w:r>
    </w:p>
    <w:p w:rsidR="008053E8">
      <w:pPr>
        <w:adjustRightInd w:val="0"/>
        <w:snapToGrid w:val="0"/>
        <w:spacing w:line="360" w:lineRule="auto"/>
        <w:ind w:firstLine="560" w:firstLineChars="200"/>
        <w:rPr>
          <w:color w:val="000000"/>
          <w:sz w:val="28"/>
        </w:rPr>
      </w:pPr>
      <w:r>
        <w:rPr>
          <w:rFonts w:hAnsi="宋体"/>
          <w:color w:val="000000"/>
          <w:sz w:val="28"/>
        </w:rPr>
        <w:t>基金管理费、基金托管费每日计提，按月支付。由基金管理人向基金托管人发送基金管理费、基金托管费划付指令</w:t>
      </w:r>
      <w:r>
        <w:rPr>
          <w:color w:val="000000"/>
          <w:sz w:val="28"/>
        </w:rPr>
        <w:t>,</w:t>
      </w:r>
      <w:r>
        <w:rPr>
          <w:rFonts w:hAnsi="宋体"/>
          <w:color w:val="000000"/>
          <w:sz w:val="28"/>
        </w:rPr>
        <w:t>经基金托管人复核后于次月首日起</w:t>
      </w:r>
      <w:r>
        <w:rPr>
          <w:color w:val="000000"/>
          <w:sz w:val="28"/>
        </w:rPr>
        <w:t>3</w:t>
      </w:r>
      <w:r>
        <w:rPr>
          <w:rFonts w:hAnsi="宋体"/>
          <w:color w:val="000000"/>
          <w:sz w:val="28"/>
        </w:rPr>
        <w:t>个工作日内从基金资产中一次性支付给基金管理人和基金托管人。</w:t>
      </w:r>
    </w:p>
    <w:p w:rsidR="008053E8">
      <w:pPr>
        <w:adjustRightInd w:val="0"/>
        <w:snapToGrid w:val="0"/>
        <w:spacing w:line="360" w:lineRule="auto"/>
        <w:ind w:firstLine="560" w:firstLineChars="200"/>
        <w:rPr>
          <w:color w:val="000000"/>
          <w:sz w:val="28"/>
        </w:rPr>
      </w:pPr>
      <w:r>
        <w:rPr>
          <w:rFonts w:hAnsi="宋体" w:hint="eastAsia"/>
          <w:color w:val="000000"/>
          <w:sz w:val="28"/>
        </w:rPr>
        <w:t>销售服务费每日计算，逐日累计至每月月末，按月支付，由基金管理人向基金托管人发送销售服务费划款指令，基金托管人复核后于次月前</w:t>
      </w:r>
      <w:r>
        <w:rPr>
          <w:rFonts w:hint="eastAsia"/>
          <w:color w:val="000000"/>
          <w:sz w:val="28"/>
        </w:rPr>
        <w:t xml:space="preserve">3 </w:t>
      </w:r>
      <w:r>
        <w:rPr>
          <w:rFonts w:hAnsi="宋体" w:hint="eastAsia"/>
          <w:color w:val="000000"/>
          <w:sz w:val="28"/>
        </w:rPr>
        <w:t>个工作日内从基金财产一次性支取，经基金管理人代付给各个基金销售机构。</w:t>
      </w:r>
    </w:p>
    <w:p w:rsidR="008053E8">
      <w:pPr>
        <w:adjustRightInd w:val="0"/>
        <w:snapToGrid w:val="0"/>
        <w:spacing w:line="360" w:lineRule="auto"/>
        <w:ind w:firstLine="560" w:firstLineChars="200"/>
        <w:rPr>
          <w:color w:val="000000"/>
          <w:sz w:val="28"/>
        </w:rPr>
      </w:pPr>
      <w:r>
        <w:rPr>
          <w:rFonts w:hAnsi="宋体"/>
          <w:color w:val="000000"/>
          <w:sz w:val="28"/>
        </w:rPr>
        <w:t>若遇法定节假日、休息日或不可抗力致使无法按时支付的，顺延至最近可支付日支付。</w:t>
      </w:r>
    </w:p>
    <w:p w:rsidR="008053E8">
      <w:pPr>
        <w:adjustRightInd w:val="0"/>
        <w:snapToGrid w:val="0"/>
        <w:spacing w:line="360" w:lineRule="auto"/>
        <w:ind w:firstLine="560" w:firstLineChars="200"/>
        <w:rPr>
          <w:color w:val="000000"/>
          <w:sz w:val="28"/>
        </w:rPr>
      </w:pPr>
      <w:r>
        <w:rPr>
          <w:rFonts w:hAnsi="宋体" w:hint="eastAsia"/>
          <w:color w:val="000000"/>
          <w:sz w:val="28"/>
        </w:rPr>
        <w:t>（十）</w:t>
      </w:r>
      <w:r>
        <w:rPr>
          <w:rFonts w:hAnsi="宋体"/>
          <w:color w:val="000000"/>
          <w:sz w:val="28"/>
        </w:rPr>
        <w:t>违规处理方式</w:t>
      </w:r>
    </w:p>
    <w:p w:rsidR="008053E8">
      <w:pPr>
        <w:adjustRightInd w:val="0"/>
        <w:snapToGrid w:val="0"/>
        <w:spacing w:line="360" w:lineRule="auto"/>
        <w:ind w:firstLine="560" w:firstLineChars="200"/>
        <w:rPr>
          <w:rFonts w:hAnsi="宋体"/>
          <w:color w:val="000000"/>
          <w:sz w:val="28"/>
        </w:rPr>
      </w:pPr>
      <w:r>
        <w:rPr>
          <w:rFonts w:hAnsi="宋体"/>
          <w:color w:val="000000"/>
          <w:sz w:val="28"/>
        </w:rPr>
        <w:t>基金托管人发现基金管理人违反《基金法》、基金合同、《运作办法》及其他有关规定从基金财产中列支费用时，基金托管人可要求基金管理人予以说明解释，如基金管理人无正当理由，基金托管人可拒绝支付。</w:t>
      </w:r>
    </w:p>
    <w:p w:rsidR="008053E8">
      <w:pPr>
        <w:adjustRightInd w:val="0"/>
        <w:snapToGrid w:val="0"/>
        <w:spacing w:line="360" w:lineRule="auto"/>
        <w:ind w:firstLine="560" w:firstLineChars="200"/>
        <w:rPr>
          <w:color w:val="000000"/>
          <w:sz w:val="28"/>
        </w:rPr>
      </w:pPr>
      <w:r>
        <w:rPr>
          <w:rFonts w:hint="eastAsia"/>
          <w:color w:val="000000"/>
          <w:sz w:val="28"/>
        </w:rPr>
        <w:t>（十一）实施侧袋机制期间的基金费用</w:t>
      </w:r>
    </w:p>
    <w:p w:rsidR="008053E8">
      <w:pPr>
        <w:adjustRightInd w:val="0"/>
        <w:snapToGrid w:val="0"/>
        <w:spacing w:line="360" w:lineRule="auto"/>
        <w:ind w:firstLine="560" w:firstLineChars="200"/>
        <w:rPr>
          <w:color w:val="000000"/>
          <w:sz w:val="28"/>
        </w:rPr>
      </w:pPr>
      <w:r>
        <w:rPr>
          <w:rFonts w:hint="eastAsia"/>
          <w:color w:val="000000"/>
          <w:sz w:val="28"/>
        </w:rPr>
        <w:t>本基金实施侧袋机制的，与侧袋账户有关的费用可以从侧袋账户中列支，但应待侧袋账户资产变现后方可列支，有关费用可酌情收取或减免，但不得收取管理费，详见招募说明书的规定。</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89" w:name="_Toc335661645"/>
      <w:r>
        <w:rPr>
          <w:rFonts w:ascii="Times New Roman" w:eastAsia="宋体" w:hAnsi="宋体"/>
          <w:color w:val="000000"/>
          <w:sz w:val="28"/>
        </w:rPr>
        <w:t>十二、基金份额持有人名册的</w:t>
      </w:r>
      <w:r>
        <w:rPr>
          <w:rFonts w:ascii="Times New Roman" w:eastAsia="宋体" w:hAnsi="宋体" w:hint="eastAsia"/>
          <w:color w:val="000000"/>
          <w:sz w:val="28"/>
        </w:rPr>
        <w:t>登记与</w:t>
      </w:r>
      <w:r>
        <w:rPr>
          <w:rFonts w:ascii="Times New Roman" w:eastAsia="宋体" w:hAnsi="宋体"/>
          <w:color w:val="000000"/>
          <w:sz w:val="28"/>
        </w:rPr>
        <w:t>保管</w:t>
      </w:r>
      <w:bookmarkEnd w:id="89"/>
    </w:p>
    <w:p w:rsidR="008053E8">
      <w:pPr>
        <w:adjustRightInd w:val="0"/>
        <w:snapToGrid w:val="0"/>
        <w:spacing w:line="360" w:lineRule="auto"/>
        <w:ind w:firstLine="560" w:firstLineChars="200"/>
        <w:rPr>
          <w:color w:val="000000"/>
          <w:sz w:val="28"/>
        </w:rPr>
      </w:pPr>
      <w:r>
        <w:rPr>
          <w:rFonts w:hAnsi="宋体" w:hint="eastAsia"/>
          <w:color w:val="000000"/>
          <w:sz w:val="28"/>
        </w:rPr>
        <w:t>本基金的基金管理人和基金托管人须分别妥善保管的基金份额持有人名册，包括基金合同生效日、基金合同终止日、</w:t>
      </w:r>
      <w:r>
        <w:rPr>
          <w:rFonts w:hAnsi="宋体"/>
          <w:color w:val="000000"/>
          <w:sz w:val="28"/>
        </w:rPr>
        <w:t>基金权益登记日、</w:t>
      </w:r>
      <w:r>
        <w:rPr>
          <w:rFonts w:hAnsi="宋体" w:hint="eastAsia"/>
          <w:color w:val="000000"/>
          <w:sz w:val="28"/>
        </w:rPr>
        <w:t>基金各类权益登记日、每年</w:t>
      </w:r>
      <w:r>
        <w:rPr>
          <w:rFonts w:hint="eastAsia"/>
          <w:color w:val="000000"/>
          <w:sz w:val="28"/>
        </w:rPr>
        <w:t>6</w:t>
      </w:r>
      <w:r>
        <w:rPr>
          <w:rFonts w:hAnsi="宋体" w:hint="eastAsia"/>
          <w:color w:val="000000"/>
          <w:sz w:val="28"/>
        </w:rPr>
        <w:t>月</w:t>
      </w:r>
      <w:r>
        <w:rPr>
          <w:rFonts w:hint="eastAsia"/>
          <w:color w:val="000000"/>
          <w:sz w:val="28"/>
        </w:rPr>
        <w:t>30</w:t>
      </w:r>
      <w:r>
        <w:rPr>
          <w:rFonts w:hAnsi="宋体" w:hint="eastAsia"/>
          <w:color w:val="000000"/>
          <w:sz w:val="28"/>
        </w:rPr>
        <w:t>日、</w:t>
      </w:r>
      <w:r>
        <w:rPr>
          <w:rFonts w:hint="eastAsia"/>
          <w:color w:val="000000"/>
          <w:sz w:val="28"/>
        </w:rPr>
        <w:t>12</w:t>
      </w:r>
      <w:r>
        <w:rPr>
          <w:rFonts w:hAnsi="宋体" w:hint="eastAsia"/>
          <w:color w:val="000000"/>
          <w:sz w:val="28"/>
        </w:rPr>
        <w:t>月</w:t>
      </w:r>
      <w:r>
        <w:rPr>
          <w:rFonts w:hint="eastAsia"/>
          <w:color w:val="000000"/>
          <w:sz w:val="28"/>
        </w:rPr>
        <w:t>31</w:t>
      </w:r>
      <w:r>
        <w:rPr>
          <w:rFonts w:hAnsi="宋体" w:hint="eastAsia"/>
          <w:color w:val="000000"/>
          <w:sz w:val="28"/>
        </w:rPr>
        <w:t>日的基金份额持有人名册。基金份额持有人名册的内容至少应包括持有人的名称和持有的基金份额。</w:t>
      </w:r>
    </w:p>
    <w:p w:rsidR="008053E8">
      <w:pPr>
        <w:adjustRightInd w:val="0"/>
        <w:snapToGrid w:val="0"/>
        <w:spacing w:line="360" w:lineRule="auto"/>
        <w:ind w:firstLine="560" w:firstLineChars="200"/>
        <w:rPr>
          <w:color w:val="000000"/>
          <w:sz w:val="28"/>
        </w:rPr>
      </w:pPr>
      <w:r>
        <w:rPr>
          <w:rFonts w:hAnsi="宋体" w:hint="eastAsia"/>
          <w:color w:val="000000"/>
          <w:sz w:val="28"/>
        </w:rPr>
        <w:t>基金份额持有人名册由登记结算机构编制，由基金管理人审核并提交基金托管人保管。</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基金管理人应按照基金托管人的要求及时向基金托管人提交基金份额持有人名册。每年</w:t>
      </w:r>
      <w:r>
        <w:rPr>
          <w:rFonts w:hint="eastAsia"/>
          <w:color w:val="000000"/>
          <w:sz w:val="28"/>
        </w:rPr>
        <w:t>6</w:t>
      </w:r>
      <w:r>
        <w:rPr>
          <w:rFonts w:hAnsi="宋体" w:hint="eastAsia"/>
          <w:color w:val="000000"/>
          <w:sz w:val="28"/>
        </w:rPr>
        <w:t>月</w:t>
      </w:r>
      <w:r>
        <w:rPr>
          <w:rFonts w:hint="eastAsia"/>
          <w:color w:val="000000"/>
          <w:sz w:val="28"/>
        </w:rPr>
        <w:t>30</w:t>
      </w:r>
      <w:r>
        <w:rPr>
          <w:rFonts w:hAnsi="宋体" w:hint="eastAsia"/>
          <w:color w:val="000000"/>
          <w:sz w:val="28"/>
        </w:rPr>
        <w:t>日和</w:t>
      </w:r>
      <w:r>
        <w:rPr>
          <w:rFonts w:hint="eastAsia"/>
          <w:color w:val="000000"/>
          <w:sz w:val="28"/>
        </w:rPr>
        <w:t>12</w:t>
      </w:r>
      <w:r>
        <w:rPr>
          <w:rFonts w:hAnsi="宋体" w:hint="eastAsia"/>
          <w:color w:val="000000"/>
          <w:sz w:val="28"/>
        </w:rPr>
        <w:t>月</w:t>
      </w:r>
      <w:r>
        <w:rPr>
          <w:rFonts w:hint="eastAsia"/>
          <w:color w:val="000000"/>
          <w:sz w:val="28"/>
        </w:rPr>
        <w:t>31</w:t>
      </w:r>
      <w:r>
        <w:rPr>
          <w:rFonts w:hAnsi="宋体" w:hint="eastAsia"/>
          <w:color w:val="000000"/>
          <w:sz w:val="28"/>
        </w:rPr>
        <w:t>日的基金份额持有人名册应于下月前十个工作日内提交；基金合同生效日、基金合同终止日等涉及到基金重要事项日期的基金份额持有人名册应于发生日后十个工作日内提交。</w:t>
      </w:r>
    </w:p>
    <w:p w:rsidR="008053E8">
      <w:pPr>
        <w:adjustRightInd w:val="0"/>
        <w:snapToGrid w:val="0"/>
        <w:spacing w:line="360" w:lineRule="auto"/>
        <w:ind w:firstLine="560" w:firstLineChars="200"/>
        <w:rPr>
          <w:color w:val="000000"/>
          <w:sz w:val="28"/>
        </w:rPr>
      </w:pPr>
      <w:r>
        <w:rPr>
          <w:rFonts w:hAnsi="宋体" w:hint="eastAsia"/>
          <w:color w:val="000000"/>
          <w:sz w:val="28"/>
        </w:rPr>
        <w:t>基金管理人和基金托管人应妥善保管基金份额持有人名册，保存期限为</w:t>
      </w:r>
      <w:r>
        <w:rPr>
          <w:color w:val="000000"/>
          <w:sz w:val="28"/>
        </w:rPr>
        <w:t>20</w:t>
      </w:r>
      <w:r>
        <w:rPr>
          <w:rFonts w:hAnsi="宋体" w:hint="eastAsia"/>
          <w:color w:val="000000"/>
          <w:sz w:val="28"/>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0" w:name="_Toc335661646"/>
      <w:r>
        <w:rPr>
          <w:rFonts w:ascii="Times New Roman" w:eastAsia="宋体" w:hAnsi="宋体"/>
          <w:color w:val="000000"/>
          <w:sz w:val="28"/>
        </w:rPr>
        <w:t>十三、基金有关文件档案的保存</w:t>
      </w:r>
      <w:bookmarkEnd w:id="90"/>
    </w:p>
    <w:p w:rsidR="008053E8">
      <w:pPr>
        <w:adjustRightInd w:val="0"/>
        <w:snapToGrid w:val="0"/>
        <w:spacing w:line="360" w:lineRule="auto"/>
        <w:ind w:firstLine="560" w:firstLineChars="200"/>
        <w:outlineLvl w:val="0"/>
        <w:rPr>
          <w:color w:val="000000"/>
          <w:sz w:val="28"/>
        </w:rPr>
      </w:pPr>
      <w:r>
        <w:rPr>
          <w:rFonts w:hAnsi="宋体"/>
          <w:color w:val="000000"/>
          <w:sz w:val="28"/>
        </w:rPr>
        <w:t>（一）档案保存</w:t>
      </w:r>
    </w:p>
    <w:p w:rsidR="008053E8">
      <w:pPr>
        <w:adjustRightInd w:val="0"/>
        <w:snapToGrid w:val="0"/>
        <w:spacing w:line="360" w:lineRule="auto"/>
        <w:ind w:firstLine="560" w:firstLineChars="200"/>
        <w:rPr>
          <w:color w:val="000000"/>
          <w:sz w:val="28"/>
        </w:rPr>
      </w:pPr>
      <w:r>
        <w:rPr>
          <w:rFonts w:hAnsi="宋体"/>
          <w:color w:val="000000"/>
          <w:sz w:val="28"/>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color w:val="000000"/>
          <w:sz w:val="28"/>
        </w:rPr>
        <w:t>20</w:t>
      </w:r>
      <w:r>
        <w:rPr>
          <w:rFonts w:hAnsi="宋体"/>
          <w:color w:val="000000"/>
          <w:sz w:val="28"/>
        </w:rPr>
        <w:t>年。</w:t>
      </w:r>
    </w:p>
    <w:p w:rsidR="008053E8">
      <w:pPr>
        <w:adjustRightInd w:val="0"/>
        <w:snapToGrid w:val="0"/>
        <w:spacing w:line="360" w:lineRule="auto"/>
        <w:ind w:firstLine="560" w:firstLineChars="200"/>
        <w:outlineLvl w:val="0"/>
        <w:rPr>
          <w:color w:val="000000"/>
          <w:sz w:val="28"/>
        </w:rPr>
      </w:pPr>
      <w:r>
        <w:rPr>
          <w:rFonts w:hAnsi="宋体"/>
          <w:color w:val="000000"/>
          <w:sz w:val="28"/>
        </w:rPr>
        <w:t>（二）合同档案的建立</w:t>
      </w:r>
    </w:p>
    <w:p w:rsidR="008053E8">
      <w:pPr>
        <w:adjustRightInd w:val="0"/>
        <w:snapToGrid w:val="0"/>
        <w:spacing w:line="360" w:lineRule="auto"/>
        <w:ind w:firstLine="560" w:firstLineChars="200"/>
        <w:rPr>
          <w:color w:val="000000"/>
          <w:sz w:val="28"/>
        </w:rPr>
      </w:pPr>
      <w:r>
        <w:rPr>
          <w:rFonts w:hAnsi="宋体"/>
          <w:color w:val="000000"/>
          <w:sz w:val="28"/>
        </w:rPr>
        <w:t>基金管理人</w:t>
      </w:r>
      <w:r>
        <w:rPr>
          <w:rFonts w:hAnsi="宋体" w:hint="eastAsia"/>
          <w:color w:val="000000"/>
          <w:sz w:val="28"/>
        </w:rPr>
        <w:t>代表基金</w:t>
      </w:r>
      <w:r>
        <w:rPr>
          <w:rFonts w:hAnsi="宋体"/>
          <w:color w:val="000000"/>
          <w:sz w:val="28"/>
        </w:rPr>
        <w:t>签署</w:t>
      </w:r>
      <w:r>
        <w:rPr>
          <w:rFonts w:hAnsi="宋体" w:hint="eastAsia"/>
          <w:color w:val="000000"/>
          <w:sz w:val="28"/>
        </w:rPr>
        <w:t>与基金相关的</w:t>
      </w:r>
      <w:r>
        <w:rPr>
          <w:rFonts w:hAnsi="宋体"/>
          <w:color w:val="000000"/>
          <w:sz w:val="28"/>
        </w:rPr>
        <w:t>重大合同文本后，应</w:t>
      </w:r>
      <w:r>
        <w:rPr>
          <w:rFonts w:hAnsi="宋体" w:hint="eastAsia"/>
          <w:color w:val="000000"/>
          <w:sz w:val="28"/>
        </w:rPr>
        <w:t>及时以加密方式将重大合同传真给基金托管人，并在十个工作日内</w:t>
      </w:r>
      <w:r>
        <w:rPr>
          <w:rFonts w:hAnsi="宋体"/>
          <w:color w:val="000000"/>
          <w:sz w:val="28"/>
        </w:rPr>
        <w:t>将合同文本正本送达基金托管人处。</w:t>
      </w:r>
    </w:p>
    <w:p w:rsidR="008053E8">
      <w:pPr>
        <w:adjustRightInd w:val="0"/>
        <w:snapToGrid w:val="0"/>
        <w:spacing w:line="360" w:lineRule="auto"/>
        <w:ind w:firstLine="560" w:firstLineChars="200"/>
        <w:outlineLvl w:val="0"/>
        <w:rPr>
          <w:color w:val="000000"/>
          <w:sz w:val="28"/>
        </w:rPr>
      </w:pPr>
      <w:r>
        <w:rPr>
          <w:rFonts w:hAnsi="宋体"/>
          <w:color w:val="000000"/>
          <w:sz w:val="28"/>
        </w:rPr>
        <w:t>（三）变更与协助</w:t>
      </w:r>
    </w:p>
    <w:p w:rsidR="008053E8">
      <w:pPr>
        <w:adjustRightInd w:val="0"/>
        <w:snapToGrid w:val="0"/>
        <w:spacing w:line="360" w:lineRule="auto"/>
        <w:ind w:firstLine="560" w:firstLineChars="200"/>
        <w:rPr>
          <w:b/>
          <w:color w:val="000000"/>
          <w:sz w:val="28"/>
        </w:rPr>
      </w:pPr>
      <w:r>
        <w:rPr>
          <w:rFonts w:hAnsi="宋体"/>
          <w:color w:val="000000"/>
          <w:sz w:val="28"/>
        </w:rPr>
        <w:t>若基金管理人</w:t>
      </w:r>
      <w:r>
        <w:rPr>
          <w:color w:val="000000"/>
          <w:sz w:val="28"/>
        </w:rPr>
        <w:t>/</w:t>
      </w:r>
      <w:r>
        <w:rPr>
          <w:rFonts w:hAnsi="宋体"/>
          <w:color w:val="000000"/>
          <w:sz w:val="28"/>
        </w:rPr>
        <w:t>基金托管人发生变更，未变更的一方有义务协助变更后的接任人接收相应文件。</w:t>
      </w:r>
    </w:p>
    <w:p w:rsidR="008053E8">
      <w:pPr>
        <w:adjustRightInd w:val="0"/>
        <w:snapToGrid w:val="0"/>
        <w:spacing w:line="360" w:lineRule="auto"/>
        <w:ind w:firstLine="560" w:firstLineChars="200"/>
        <w:rPr>
          <w:color w:val="000000"/>
          <w:sz w:val="28"/>
        </w:rPr>
      </w:pPr>
      <w:r>
        <w:rPr>
          <w:rFonts w:hAnsi="宋体"/>
          <w:color w:val="000000"/>
          <w:sz w:val="28"/>
        </w:rPr>
        <w:t>（四）基金管理人和基金托管人应按各自职责完整保存原始凭证、记账凭</w:t>
      </w:r>
      <w:r>
        <w:rPr>
          <w:rFonts w:hAnsi="宋体"/>
          <w:color w:val="000000"/>
          <w:sz w:val="28"/>
        </w:rPr>
        <w:t>证、基金账册、交易记录和重要合同等，承担保密义务并保存至少</w:t>
      </w:r>
      <w:r>
        <w:rPr>
          <w:color w:val="000000"/>
          <w:sz w:val="28"/>
        </w:rPr>
        <w:t>20</w:t>
      </w:r>
      <w:r>
        <w:rPr>
          <w:rFonts w:hAnsi="宋体"/>
          <w:color w:val="000000"/>
          <w:sz w:val="28"/>
        </w:rPr>
        <w:t>年以上。</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1" w:name="_Toc335661647"/>
      <w:r>
        <w:rPr>
          <w:rFonts w:ascii="Times New Roman" w:eastAsia="宋体" w:hAnsi="宋体"/>
          <w:color w:val="000000"/>
          <w:sz w:val="28"/>
        </w:rPr>
        <w:t>十四、基金管理人和基金托管人的更换</w:t>
      </w:r>
      <w:bookmarkEnd w:id="91"/>
    </w:p>
    <w:p w:rsidR="008053E8">
      <w:pPr>
        <w:adjustRightInd w:val="0"/>
        <w:snapToGrid w:val="0"/>
        <w:spacing w:line="360" w:lineRule="auto"/>
        <w:ind w:firstLine="560" w:firstLineChars="200"/>
        <w:rPr>
          <w:color w:val="000000"/>
          <w:sz w:val="28"/>
        </w:rPr>
      </w:pPr>
      <w:r>
        <w:rPr>
          <w:rFonts w:hAnsi="宋体"/>
          <w:color w:val="000000"/>
          <w:sz w:val="28"/>
        </w:rPr>
        <w:t>（一）基金管理人的更换</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基金管理人的更换条件</w:t>
      </w:r>
    </w:p>
    <w:p w:rsidR="008053E8">
      <w:pPr>
        <w:adjustRightInd w:val="0"/>
        <w:snapToGrid w:val="0"/>
        <w:spacing w:line="360" w:lineRule="auto"/>
        <w:ind w:firstLine="560" w:firstLineChars="200"/>
        <w:rPr>
          <w:color w:val="000000"/>
          <w:sz w:val="28"/>
        </w:rPr>
      </w:pPr>
      <w:r>
        <w:rPr>
          <w:rFonts w:hAnsi="宋体"/>
          <w:color w:val="000000"/>
          <w:sz w:val="28"/>
        </w:rPr>
        <w:t>有下列情形之一的，经中国证监会核准，基金管理人职责终止：</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基金管理人被依法取消其基金管理资格的；</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基金管理人解散、依法撤销或依法宣告破产；</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基金管理人被基金份额持有人大会解任；</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法律法规和基金合同规定的其他情形。</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基金管理人的更换程序</w:t>
      </w:r>
    </w:p>
    <w:p w:rsidR="008053E8">
      <w:pPr>
        <w:adjustRightInd w:val="0"/>
        <w:snapToGrid w:val="0"/>
        <w:spacing w:line="360" w:lineRule="auto"/>
        <w:ind w:firstLine="560" w:firstLineChars="200"/>
        <w:rPr>
          <w:color w:val="000000"/>
          <w:sz w:val="28"/>
        </w:rPr>
      </w:pPr>
      <w:r>
        <w:rPr>
          <w:rFonts w:hAnsi="宋体"/>
          <w:color w:val="000000"/>
          <w:sz w:val="28"/>
        </w:rPr>
        <w:t>更换基金管理人必须依照如下程序进行：</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提名：新任基金管理人由基金托管人</w:t>
      </w:r>
      <w:r>
        <w:rPr>
          <w:rFonts w:hAnsi="宋体" w:hint="eastAsia"/>
          <w:sz w:val="28"/>
        </w:rPr>
        <w:t>或者由单独或合计持有基金总份额</w:t>
      </w:r>
      <w:r>
        <w:rPr>
          <w:sz w:val="28"/>
        </w:rPr>
        <w:t>10%</w:t>
      </w:r>
      <w:r>
        <w:rPr>
          <w:rFonts w:hAnsi="宋体" w:hint="eastAsia"/>
          <w:sz w:val="28"/>
        </w:rPr>
        <w:t>以上的基金份额持有人提名</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决议：基金份额持有人大会在基金管理人职责终止后</w:t>
      </w:r>
      <w:r>
        <w:rPr>
          <w:color w:val="000000"/>
          <w:sz w:val="28"/>
        </w:rPr>
        <w:t>6</w:t>
      </w:r>
      <w:r>
        <w:rPr>
          <w:rFonts w:hAnsi="宋体"/>
          <w:color w:val="000000"/>
          <w:sz w:val="28"/>
        </w:rPr>
        <w:t>个月内对被提名的新任基金管理人形成决议，该决议需经参加大会的基金份额持有人所持表决权的</w:t>
      </w:r>
      <w:r>
        <w:rPr>
          <w:rFonts w:hAnsi="宋体" w:hint="eastAsia"/>
          <w:color w:val="000000"/>
          <w:sz w:val="28"/>
        </w:rPr>
        <w:t>三分之二</w:t>
      </w:r>
      <w:r>
        <w:rPr>
          <w:rFonts w:hAnsi="宋体"/>
          <w:color w:val="000000"/>
          <w:sz w:val="28"/>
        </w:rPr>
        <w:t>以上（含</w:t>
      </w:r>
      <w:r>
        <w:rPr>
          <w:rFonts w:hAnsi="宋体" w:hint="eastAsia"/>
          <w:color w:val="000000"/>
          <w:sz w:val="28"/>
        </w:rPr>
        <w:t>三分之二</w:t>
      </w:r>
      <w:r>
        <w:rPr>
          <w:rFonts w:hAnsi="宋体"/>
          <w:color w:val="000000"/>
          <w:sz w:val="28"/>
        </w:rPr>
        <w:t>）表决通过；</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核准：新任基金管理人产生之前，由中国证监会指定临时基金管理人。</w:t>
      </w:r>
      <w:r>
        <w:rPr>
          <w:rFonts w:hAnsi="宋体" w:hint="eastAsia"/>
          <w:sz w:val="28"/>
        </w:rPr>
        <w:t>更换基金管理人的基金份额持有人大会决议应经中国证监会核准生效后方可执行</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交接：基金管理人职责终止的，应当妥善保管基金管理业务资料，及时办理基金管理业务的移交手续，新任基金管理人应当及时接收</w:t>
      </w:r>
      <w:r>
        <w:rPr>
          <w:rFonts w:hAnsi="宋体" w:hint="eastAsia"/>
          <w:sz w:val="28"/>
        </w:rPr>
        <w:t>，并与基金托管人核对基金财产总值</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(5)</w:t>
      </w:r>
      <w:r>
        <w:rPr>
          <w:rFonts w:hAnsi="宋体"/>
          <w:color w:val="000000"/>
          <w:sz w:val="28"/>
        </w:rPr>
        <w:t>审计：基金管理人职责终止的，应当按照法律法规规定聘请会计师事务</w:t>
      </w:r>
      <w:r>
        <w:rPr>
          <w:rFonts w:hAnsi="宋体"/>
          <w:color w:val="000000"/>
          <w:sz w:val="28"/>
        </w:rPr>
        <w:t>所对基金财产进行审计，并将审计结果予以公告，同时报</w:t>
      </w:r>
      <w:r>
        <w:rPr>
          <w:rFonts w:hAnsi="宋体" w:hint="eastAsia"/>
          <w:sz w:val="28"/>
        </w:rPr>
        <w:t>中国证监会</w:t>
      </w:r>
      <w:r>
        <w:rPr>
          <w:rFonts w:hAnsi="宋体"/>
          <w:color w:val="000000"/>
          <w:sz w:val="28"/>
        </w:rPr>
        <w:t>备案；审计费用在基金财产中列支；</w:t>
      </w:r>
    </w:p>
    <w:p w:rsidR="008053E8">
      <w:pPr>
        <w:adjustRightInd w:val="0"/>
        <w:snapToGrid w:val="0"/>
        <w:spacing w:line="360" w:lineRule="auto"/>
        <w:ind w:firstLine="560" w:firstLineChars="200"/>
        <w:rPr>
          <w:color w:val="000000"/>
          <w:sz w:val="28"/>
        </w:rPr>
      </w:pPr>
      <w:r>
        <w:rPr>
          <w:color w:val="000000"/>
          <w:sz w:val="28"/>
        </w:rPr>
        <w:t>(6)</w:t>
      </w:r>
      <w:r>
        <w:rPr>
          <w:rFonts w:hAnsi="宋体"/>
          <w:color w:val="000000"/>
          <w:sz w:val="28"/>
        </w:rPr>
        <w:t>公告：基金管理人更换后，由基金托管人在获得中国证监会核准后</w:t>
      </w:r>
      <w:r>
        <w:rPr>
          <w:rFonts w:hAnsi="宋体" w:hint="eastAsia"/>
          <w:color w:val="000000"/>
          <w:sz w:val="28"/>
        </w:rPr>
        <w:t>依照有关规定在规定</w:t>
      </w:r>
      <w:r>
        <w:rPr>
          <w:rFonts w:hAnsi="宋体"/>
          <w:color w:val="000000"/>
          <w:sz w:val="28"/>
        </w:rPr>
        <w:t>媒介</w:t>
      </w:r>
      <w:r>
        <w:rPr>
          <w:rFonts w:hAnsi="宋体" w:hint="eastAsia"/>
          <w:color w:val="000000"/>
          <w:sz w:val="28"/>
        </w:rPr>
        <w:t>上</w:t>
      </w:r>
      <w:r>
        <w:rPr>
          <w:rFonts w:hAnsi="宋体"/>
          <w:color w:val="000000"/>
          <w:sz w:val="28"/>
        </w:rPr>
        <w:t>公告；</w:t>
      </w:r>
    </w:p>
    <w:p w:rsidR="008053E8">
      <w:pPr>
        <w:spacing w:line="360" w:lineRule="auto"/>
        <w:ind w:firstLine="560" w:firstLineChars="200"/>
        <w:rPr>
          <w:color w:val="000000"/>
          <w:sz w:val="28"/>
        </w:rPr>
      </w:pPr>
      <w:r>
        <w:rPr>
          <w:color w:val="000000"/>
          <w:sz w:val="28"/>
        </w:rPr>
        <w:t>(7)</w:t>
      </w:r>
      <w:r>
        <w:rPr>
          <w:rFonts w:hAnsi="宋体"/>
          <w:color w:val="000000"/>
          <w:sz w:val="28"/>
        </w:rPr>
        <w:t>基金名称变更：基金管理人退任后，应原任基金管理人要求，本基金应替换或删除基金名称中</w:t>
      </w:r>
      <w:r>
        <w:rPr>
          <w:rFonts w:hAnsi="宋体" w:hint="eastAsia"/>
          <w:sz w:val="28"/>
        </w:rPr>
        <w:t>与原任基金管理人有关</w:t>
      </w:r>
      <w:r>
        <w:rPr>
          <w:rFonts w:hAnsi="宋体"/>
          <w:color w:val="000000"/>
          <w:sz w:val="28"/>
        </w:rPr>
        <w:t>的</w:t>
      </w:r>
      <w:r>
        <w:rPr>
          <w:rFonts w:hAnsi="宋体" w:hint="eastAsia"/>
          <w:sz w:val="28"/>
        </w:rPr>
        <w:t>名称</w:t>
      </w:r>
      <w:r>
        <w:rPr>
          <w:rFonts w:hAnsi="宋体"/>
          <w:color w:val="000000"/>
          <w:sz w:val="28"/>
        </w:rPr>
        <w:t>字样。</w:t>
      </w:r>
    </w:p>
    <w:p w:rsidR="008053E8">
      <w:pPr>
        <w:adjustRightInd w:val="0"/>
        <w:snapToGrid w:val="0"/>
        <w:spacing w:line="360" w:lineRule="auto"/>
        <w:ind w:firstLine="560" w:firstLineChars="200"/>
        <w:rPr>
          <w:color w:val="000000"/>
          <w:sz w:val="28"/>
        </w:rPr>
      </w:pPr>
      <w:r>
        <w:rPr>
          <w:rFonts w:hAnsi="宋体"/>
          <w:color w:val="000000"/>
          <w:sz w:val="28"/>
        </w:rPr>
        <w:t>（二）基金托管人的更换</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基金托管人的更换条件</w:t>
      </w:r>
    </w:p>
    <w:p w:rsidR="008053E8">
      <w:pPr>
        <w:adjustRightInd w:val="0"/>
        <w:snapToGrid w:val="0"/>
        <w:spacing w:line="360" w:lineRule="auto"/>
        <w:ind w:firstLine="560" w:firstLineChars="200"/>
        <w:rPr>
          <w:color w:val="000000"/>
          <w:sz w:val="28"/>
        </w:rPr>
      </w:pPr>
      <w:r>
        <w:rPr>
          <w:rFonts w:hAnsi="宋体"/>
          <w:color w:val="000000"/>
          <w:sz w:val="28"/>
        </w:rPr>
        <w:t>有下列情形之一的，经中国证监会核准，基金托管人职责终止：</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基金托管人被依法取消其基金托管资格的；</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基金托管人解散、依法撤销或依法宣布破产；</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基金托管人被基金份额持有人大会解任；</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法律法规和基金合同规定的其他情形。</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基金托管人的更换程序</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提名：新任基金托管人由基金管理人</w:t>
      </w:r>
      <w:r>
        <w:rPr>
          <w:rFonts w:hAnsi="宋体" w:hint="eastAsia"/>
          <w:sz w:val="28"/>
        </w:rPr>
        <w:t>或者由单独或合计持有基金总份额</w:t>
      </w:r>
      <w:r>
        <w:rPr>
          <w:sz w:val="28"/>
        </w:rPr>
        <w:t>10%</w:t>
      </w:r>
      <w:r>
        <w:rPr>
          <w:rFonts w:hAnsi="宋体" w:hint="eastAsia"/>
          <w:sz w:val="28"/>
        </w:rPr>
        <w:t>以上的基金份额持有人</w:t>
      </w:r>
      <w:r>
        <w:rPr>
          <w:rFonts w:hAnsi="宋体"/>
          <w:color w:val="000000"/>
          <w:sz w:val="28"/>
        </w:rPr>
        <w:t>提名；</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决议：基金份额持有人大会在基金托管人职责终止后</w:t>
      </w:r>
      <w:r>
        <w:rPr>
          <w:color w:val="000000"/>
          <w:sz w:val="28"/>
        </w:rPr>
        <w:t>6</w:t>
      </w:r>
      <w:r>
        <w:rPr>
          <w:rFonts w:hAnsi="宋体"/>
          <w:color w:val="000000"/>
          <w:sz w:val="28"/>
        </w:rPr>
        <w:t>个月内对被提名的新任基金托管人形成决议</w:t>
      </w:r>
      <w:r>
        <w:rPr>
          <w:rFonts w:hAnsi="宋体" w:hint="eastAsia"/>
          <w:color w:val="000000"/>
          <w:sz w:val="28"/>
        </w:rPr>
        <w:t>，该决议需经参加大会的基金份额持有人所持表决权的三分之二以上（含三分之二）表决通过</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核准：新任基金托管人产生之前，由中国证监会指定临时基金托管人。</w:t>
      </w:r>
      <w:r>
        <w:rPr>
          <w:rFonts w:hAnsi="宋体" w:hint="eastAsia"/>
          <w:sz w:val="28"/>
        </w:rPr>
        <w:t>更换基金托管人的基金份额持有人大会决议应经中国证监会核准生效后方可执行</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交接：基金托管人职责终止的，应当妥善保管基金财产和基金托管业务资料，及时与新任基金托管人办理基金财产和托管业务移交手续，新任基金托管人应当及时接收</w:t>
      </w:r>
      <w:r>
        <w:rPr>
          <w:rFonts w:hAnsi="宋体" w:hint="eastAsia"/>
          <w:sz w:val="28"/>
        </w:rPr>
        <w:t>，并与基金管理人核对基金财产总值</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(5)</w:t>
      </w:r>
      <w:r>
        <w:rPr>
          <w:rFonts w:hAnsi="宋体"/>
          <w:color w:val="000000"/>
          <w:sz w:val="28"/>
        </w:rPr>
        <w:t>审计：基金托管人职责终止的，应当按照规定聘请会计师事务所对基金财产进行审计，并予以公告，同时报</w:t>
      </w:r>
      <w:r>
        <w:rPr>
          <w:rFonts w:hAnsi="宋体" w:hint="eastAsia"/>
          <w:sz w:val="28"/>
        </w:rPr>
        <w:t>中国证监会</w:t>
      </w:r>
      <w:r>
        <w:rPr>
          <w:rFonts w:hAnsi="宋体"/>
          <w:color w:val="000000"/>
          <w:sz w:val="28"/>
        </w:rPr>
        <w:t>备案；审计费用从基金财产中列支；</w:t>
      </w:r>
    </w:p>
    <w:p w:rsidR="008053E8">
      <w:pPr>
        <w:adjustRightInd w:val="0"/>
        <w:snapToGrid w:val="0"/>
        <w:spacing w:line="360" w:lineRule="auto"/>
        <w:ind w:firstLine="560" w:firstLineChars="200"/>
        <w:rPr>
          <w:color w:val="000000"/>
          <w:sz w:val="28"/>
        </w:rPr>
      </w:pPr>
      <w:r>
        <w:rPr>
          <w:color w:val="000000"/>
          <w:sz w:val="28"/>
        </w:rPr>
        <w:t>(6)</w:t>
      </w:r>
      <w:r>
        <w:rPr>
          <w:rFonts w:hAnsi="宋体"/>
          <w:color w:val="000000"/>
          <w:sz w:val="28"/>
        </w:rPr>
        <w:t>公告：基金托管人更换后，由基金管理人在获得中国证监会核准后</w:t>
      </w:r>
      <w:r>
        <w:rPr>
          <w:rFonts w:hAnsi="宋体" w:hint="eastAsia"/>
          <w:color w:val="000000"/>
          <w:sz w:val="28"/>
        </w:rPr>
        <w:t>依照有关规定在规定</w:t>
      </w:r>
      <w:r>
        <w:rPr>
          <w:rFonts w:hAnsi="宋体"/>
          <w:color w:val="000000"/>
          <w:sz w:val="28"/>
        </w:rPr>
        <w:t>媒介</w:t>
      </w:r>
      <w:r>
        <w:rPr>
          <w:rFonts w:hAnsi="宋体" w:hint="eastAsia"/>
          <w:color w:val="000000"/>
          <w:sz w:val="28"/>
        </w:rPr>
        <w:t>上</w:t>
      </w:r>
      <w:r>
        <w:rPr>
          <w:rFonts w:hAnsi="宋体"/>
          <w:color w:val="000000"/>
          <w:sz w:val="28"/>
        </w:rPr>
        <w:t>公告。</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基金管理人与基金托管人同时更换</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1</w:t>
      </w:r>
      <w:r>
        <w:rPr>
          <w:rFonts w:hAnsi="宋体"/>
          <w:color w:val="000000"/>
          <w:sz w:val="28"/>
        </w:rPr>
        <w:t>）提名：如果基金管理人和基金托管人同时更换，由单独或合计持有基金总份额</w:t>
      </w:r>
      <w:r>
        <w:rPr>
          <w:color w:val="000000"/>
          <w:sz w:val="28"/>
        </w:rPr>
        <w:t>10%</w:t>
      </w:r>
      <w:r>
        <w:rPr>
          <w:rFonts w:hAnsi="宋体"/>
          <w:color w:val="000000"/>
          <w:sz w:val="28"/>
        </w:rPr>
        <w:t>以上的基金份额持有人提名新的基金管理人和基金托管人；</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2</w:t>
      </w:r>
      <w:r>
        <w:rPr>
          <w:rFonts w:hAnsi="宋体"/>
          <w:color w:val="000000"/>
          <w:sz w:val="28"/>
        </w:rPr>
        <w:t>）基金管理人和基金托管人的更换分别按上述程序进行；</w:t>
      </w:r>
    </w:p>
    <w:p w:rsidR="008053E8">
      <w:pPr>
        <w:adjustRightInd w:val="0"/>
        <w:snapToGrid w:val="0"/>
        <w:spacing w:line="360" w:lineRule="auto"/>
        <w:ind w:firstLine="560" w:firstLineChars="200"/>
        <w:rPr>
          <w:color w:val="000000"/>
          <w:sz w:val="28"/>
        </w:rPr>
      </w:pPr>
      <w:r>
        <w:rPr>
          <w:rFonts w:hAnsi="宋体"/>
          <w:color w:val="000000"/>
          <w:sz w:val="28"/>
        </w:rPr>
        <w:t>（</w:t>
      </w:r>
      <w:r>
        <w:rPr>
          <w:color w:val="000000"/>
          <w:sz w:val="28"/>
        </w:rPr>
        <w:t>3</w:t>
      </w:r>
      <w:r>
        <w:rPr>
          <w:rFonts w:hAnsi="宋体"/>
          <w:color w:val="000000"/>
          <w:sz w:val="28"/>
        </w:rPr>
        <w:t>）公告：新任基金管理人和新任基金托管人</w:t>
      </w:r>
      <w:r>
        <w:rPr>
          <w:rFonts w:hAnsi="宋体" w:hint="eastAsia"/>
          <w:sz w:val="28"/>
        </w:rPr>
        <w:t>应</w:t>
      </w:r>
      <w:r>
        <w:rPr>
          <w:rFonts w:hAnsi="宋体"/>
          <w:color w:val="000000"/>
          <w:sz w:val="28"/>
        </w:rPr>
        <w:t>在</w:t>
      </w:r>
      <w:r>
        <w:rPr>
          <w:rFonts w:hAnsi="宋体" w:hint="eastAsia"/>
          <w:sz w:val="28"/>
        </w:rPr>
        <w:t>更换基金管理人和基金托管人的基金份额持有人大会决议</w:t>
      </w:r>
      <w:r>
        <w:rPr>
          <w:rFonts w:hAnsi="宋体"/>
          <w:color w:val="000000"/>
          <w:sz w:val="28"/>
        </w:rPr>
        <w:t>获得中国证监会核准后</w:t>
      </w:r>
      <w:r>
        <w:rPr>
          <w:rFonts w:hAnsi="宋体" w:hint="eastAsia"/>
          <w:color w:val="000000"/>
          <w:sz w:val="28"/>
        </w:rPr>
        <w:t>依照有关规定</w:t>
      </w:r>
      <w:r>
        <w:rPr>
          <w:rFonts w:hAnsi="宋体"/>
          <w:color w:val="000000"/>
          <w:sz w:val="28"/>
        </w:rPr>
        <w:t>在</w:t>
      </w:r>
      <w:r>
        <w:rPr>
          <w:rFonts w:hAnsi="宋体" w:hint="eastAsia"/>
          <w:color w:val="000000"/>
          <w:sz w:val="28"/>
        </w:rPr>
        <w:t>规定</w:t>
      </w:r>
      <w:r>
        <w:rPr>
          <w:rFonts w:hAnsi="宋体"/>
          <w:color w:val="000000"/>
          <w:sz w:val="28"/>
        </w:rPr>
        <w:t>媒介上联合公告。</w:t>
      </w:r>
    </w:p>
    <w:p w:rsidR="008053E8">
      <w:pPr>
        <w:adjustRightInd w:val="0"/>
        <w:snapToGrid w:val="0"/>
        <w:spacing w:line="360" w:lineRule="auto"/>
        <w:ind w:firstLine="560" w:firstLineChars="200"/>
        <w:rPr>
          <w:color w:val="000000"/>
          <w:sz w:val="28"/>
        </w:rPr>
      </w:pPr>
      <w:r>
        <w:rPr>
          <w:rFonts w:hAnsi="宋体"/>
          <w:color w:val="000000"/>
          <w:sz w:val="28"/>
        </w:rPr>
        <w:t>（三）新基金管理人接受基金管理或新基金托管人或接受基金财产和基金托管业务前，原基金管理人或基金托管人应</w:t>
      </w:r>
      <w:r>
        <w:rPr>
          <w:rFonts w:hAnsi="宋体" w:hint="eastAsia"/>
          <w:sz w:val="28"/>
        </w:rPr>
        <w:t>依据法律法规和基金合同的规定</w:t>
      </w:r>
      <w:r>
        <w:rPr>
          <w:rFonts w:hAnsi="宋体"/>
          <w:color w:val="000000"/>
          <w:sz w:val="28"/>
        </w:rPr>
        <w:t>继续履行相关职责，并保证不对基金份额持有人的利益造成损害。</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2" w:name="_Toc335661648"/>
      <w:r>
        <w:rPr>
          <w:rFonts w:ascii="Times New Roman" w:eastAsia="宋体" w:hAnsi="宋体"/>
          <w:color w:val="000000"/>
          <w:sz w:val="28"/>
        </w:rPr>
        <w:t>十五、禁止行为</w:t>
      </w:r>
      <w:bookmarkEnd w:id="92"/>
    </w:p>
    <w:p w:rsidR="008053E8">
      <w:pPr>
        <w:adjustRightInd w:val="0"/>
        <w:snapToGrid w:val="0"/>
        <w:spacing w:line="360" w:lineRule="auto"/>
        <w:ind w:firstLine="560" w:firstLineChars="200"/>
        <w:outlineLvl w:val="0"/>
        <w:rPr>
          <w:color w:val="000000"/>
          <w:sz w:val="28"/>
        </w:rPr>
      </w:pPr>
      <w:r>
        <w:rPr>
          <w:rFonts w:hAnsi="宋体"/>
          <w:color w:val="000000"/>
          <w:sz w:val="28"/>
        </w:rPr>
        <w:t>托管协议当事人禁止从事的行为，包括但不限于：</w:t>
      </w:r>
    </w:p>
    <w:p w:rsidR="008053E8">
      <w:pPr>
        <w:spacing w:line="360" w:lineRule="auto"/>
        <w:ind w:firstLine="560" w:firstLineChars="200"/>
        <w:rPr>
          <w:color w:val="000000"/>
          <w:sz w:val="28"/>
        </w:rPr>
      </w:pPr>
      <w:r>
        <w:rPr>
          <w:rFonts w:hAnsi="宋体"/>
          <w:color w:val="000000"/>
          <w:sz w:val="28"/>
        </w:rPr>
        <w:t>（一）基金管理人、基金托管人将其固有财产或者他人财产混同于基金财产从事证券投资。</w:t>
      </w:r>
    </w:p>
    <w:p w:rsidR="008053E8">
      <w:pPr>
        <w:spacing w:line="360" w:lineRule="auto"/>
        <w:ind w:firstLine="560" w:firstLineChars="200"/>
        <w:rPr>
          <w:color w:val="000000"/>
          <w:sz w:val="28"/>
        </w:rPr>
      </w:pPr>
      <w:r>
        <w:rPr>
          <w:rFonts w:hAnsi="宋体"/>
          <w:color w:val="000000"/>
          <w:sz w:val="28"/>
        </w:rPr>
        <w:t>（二）基金管理人不公平地对待其管理的不同基金财产</w:t>
      </w:r>
      <w:r>
        <w:rPr>
          <w:rFonts w:hAnsi="宋体" w:hint="eastAsia"/>
          <w:color w:val="000000"/>
          <w:sz w:val="28"/>
        </w:rPr>
        <w:t>。基金托管人不公平地对待其托管的不同基金财产。</w:t>
      </w:r>
    </w:p>
    <w:p w:rsidR="008053E8">
      <w:pPr>
        <w:spacing w:line="360" w:lineRule="auto"/>
        <w:ind w:firstLine="560" w:firstLineChars="200"/>
        <w:rPr>
          <w:color w:val="000000"/>
          <w:sz w:val="28"/>
        </w:rPr>
      </w:pPr>
      <w:r>
        <w:rPr>
          <w:rFonts w:hAnsi="宋体"/>
          <w:color w:val="000000"/>
          <w:sz w:val="28"/>
        </w:rPr>
        <w:t>（三）基金管理人、基金托管人利用基金财产为基金份额持有人以外的第三人牟取利益。</w:t>
      </w:r>
    </w:p>
    <w:p w:rsidR="008053E8">
      <w:pPr>
        <w:spacing w:line="360" w:lineRule="auto"/>
        <w:ind w:firstLine="560" w:firstLineChars="200"/>
        <w:rPr>
          <w:color w:val="000000"/>
          <w:sz w:val="28"/>
        </w:rPr>
      </w:pPr>
      <w:r>
        <w:rPr>
          <w:rFonts w:hAnsi="宋体"/>
          <w:color w:val="000000"/>
          <w:sz w:val="28"/>
        </w:rPr>
        <w:t>（四）基金管理人、基金托管人向基金份额持有人违规承诺收益或者承担损失。</w:t>
      </w:r>
    </w:p>
    <w:p w:rsidR="008053E8">
      <w:pPr>
        <w:adjustRightInd w:val="0"/>
        <w:snapToGrid w:val="0"/>
        <w:spacing w:line="360" w:lineRule="auto"/>
        <w:ind w:firstLine="560" w:firstLineChars="200"/>
        <w:outlineLvl w:val="0"/>
        <w:rPr>
          <w:color w:val="000000"/>
          <w:sz w:val="28"/>
        </w:rPr>
      </w:pPr>
      <w:r>
        <w:rPr>
          <w:rFonts w:hAnsi="宋体"/>
          <w:color w:val="000000"/>
          <w:sz w:val="28"/>
        </w:rPr>
        <w:t>（五）基金管理人、基金托管人对他人泄漏基金经营过程中任何尚未按法律法规规定的方式公开披露的信息。</w:t>
      </w:r>
    </w:p>
    <w:p w:rsidR="008053E8">
      <w:pPr>
        <w:pStyle w:val="Style6"/>
        <w:spacing w:line="360" w:lineRule="auto"/>
        <w:ind w:firstLine="560"/>
        <w:outlineLvl w:val="0"/>
        <w:rPr>
          <w:rFonts w:ascii="Times New Roman" w:eastAsia="宋体" w:hAnsi="Times New Roman"/>
          <w:sz w:val="28"/>
        </w:rPr>
      </w:pPr>
      <w:r>
        <w:rPr>
          <w:rFonts w:ascii="Times New Roman" w:eastAsia="宋体"/>
          <w:sz w:val="28"/>
        </w:rPr>
        <w:t>（六）基金管理人在没有充足资金的情况下向基金托管人发出投资指令和</w:t>
      </w:r>
      <w:r>
        <w:rPr>
          <w:rFonts w:ascii="Times New Roman" w:eastAsia="宋体" w:hint="eastAsia"/>
          <w:sz w:val="28"/>
        </w:rPr>
        <w:t>赎回、分红资金的划拨指令</w:t>
      </w:r>
      <w:r>
        <w:rPr>
          <w:rFonts w:ascii="Times New Roman" w:eastAsia="宋体"/>
          <w:sz w:val="28"/>
        </w:rPr>
        <w:t>，或违规向基金托管人发出指令。</w:t>
      </w:r>
    </w:p>
    <w:p w:rsidR="008053E8">
      <w:pPr>
        <w:adjustRightInd w:val="0"/>
        <w:snapToGrid w:val="0"/>
        <w:spacing w:line="360" w:lineRule="auto"/>
        <w:ind w:firstLine="560" w:firstLineChars="200"/>
        <w:outlineLvl w:val="0"/>
        <w:rPr>
          <w:color w:val="000000"/>
          <w:sz w:val="28"/>
        </w:rPr>
      </w:pPr>
      <w:r>
        <w:rPr>
          <w:rFonts w:hAnsi="宋体"/>
          <w:color w:val="000000"/>
          <w:sz w:val="28"/>
        </w:rPr>
        <w:t>（七）基金管理人、基金托管人在行政上、财务上不独立</w:t>
      </w:r>
      <w:r>
        <w:rPr>
          <w:color w:val="000000"/>
          <w:sz w:val="28"/>
        </w:rPr>
        <w:t xml:space="preserve">, </w:t>
      </w:r>
      <w:r>
        <w:rPr>
          <w:rFonts w:hAnsi="宋体"/>
          <w:color w:val="000000"/>
          <w:sz w:val="28"/>
        </w:rPr>
        <w:t>其高级管理人员和</w:t>
      </w:r>
      <w:r>
        <w:rPr>
          <w:rFonts w:hAnsi="宋体"/>
          <w:sz w:val="28"/>
        </w:rPr>
        <w:t>其他从业人员相互</w:t>
      </w:r>
      <w:r>
        <w:rPr>
          <w:rFonts w:hAnsi="宋体"/>
          <w:color w:val="000000"/>
          <w:sz w:val="28"/>
        </w:rPr>
        <w:t>兼职。</w:t>
      </w:r>
    </w:p>
    <w:p w:rsidR="008053E8">
      <w:pPr>
        <w:spacing w:line="360" w:lineRule="auto"/>
        <w:ind w:firstLine="560" w:firstLineChars="200"/>
        <w:rPr>
          <w:color w:val="000000"/>
          <w:sz w:val="28"/>
        </w:rPr>
      </w:pPr>
      <w:r>
        <w:rPr>
          <w:rFonts w:hAnsi="宋体"/>
          <w:color w:val="000000"/>
          <w:sz w:val="28"/>
        </w:rPr>
        <w:t>（八）基金托管人私自动用或处分基金资产，根据基金管理人的合法指令、基金合同或托管协议的规定进行处分的除外。</w:t>
      </w:r>
    </w:p>
    <w:p w:rsidR="008053E8">
      <w:pPr>
        <w:spacing w:line="360" w:lineRule="auto"/>
        <w:ind w:firstLine="560" w:firstLineChars="200"/>
        <w:rPr>
          <w:color w:val="000000"/>
          <w:sz w:val="28"/>
        </w:rPr>
      </w:pPr>
      <w:r>
        <w:rPr>
          <w:rFonts w:hAnsi="宋体"/>
          <w:color w:val="000000"/>
          <w:sz w:val="28"/>
        </w:rPr>
        <w:t>（九）基金财产用于下列投资或者活动：</w:t>
      </w:r>
    </w:p>
    <w:p w:rsidR="008053E8">
      <w:pPr>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承销证券；</w:t>
      </w:r>
    </w:p>
    <w:p w:rsidR="008053E8">
      <w:pPr>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向他人贷款或者提供担保；</w:t>
      </w:r>
    </w:p>
    <w:p w:rsidR="008053E8">
      <w:pPr>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从事承担无限责任的投资；</w:t>
      </w:r>
    </w:p>
    <w:p w:rsidR="008053E8">
      <w:pPr>
        <w:spacing w:line="360" w:lineRule="auto"/>
        <w:ind w:firstLine="560" w:firstLineChars="200"/>
        <w:rPr>
          <w:color w:val="000000"/>
          <w:sz w:val="28"/>
        </w:rPr>
      </w:pPr>
      <w:r>
        <w:rPr>
          <w:color w:val="000000"/>
          <w:sz w:val="28"/>
        </w:rPr>
        <w:t>4</w:t>
      </w:r>
      <w:r>
        <w:rPr>
          <w:rFonts w:hAnsi="宋体" w:hint="eastAsia"/>
          <w:color w:val="000000"/>
          <w:sz w:val="28"/>
        </w:rPr>
        <w:t>、</w:t>
      </w:r>
      <w:r>
        <w:rPr>
          <w:rFonts w:hAnsi="宋体"/>
          <w:color w:val="000000"/>
          <w:sz w:val="28"/>
        </w:rPr>
        <w:t>买卖其他基金份额，但是国务院另有规定的除外；</w:t>
      </w:r>
    </w:p>
    <w:p w:rsidR="008053E8">
      <w:pPr>
        <w:spacing w:line="360" w:lineRule="auto"/>
        <w:ind w:firstLine="560" w:firstLineChars="200"/>
        <w:rPr>
          <w:color w:val="000000"/>
          <w:sz w:val="28"/>
        </w:rPr>
      </w:pPr>
      <w:r>
        <w:rPr>
          <w:color w:val="000000"/>
          <w:sz w:val="28"/>
        </w:rPr>
        <w:t>5</w:t>
      </w:r>
      <w:r>
        <w:rPr>
          <w:rFonts w:hAnsi="宋体" w:hint="eastAsia"/>
          <w:color w:val="000000"/>
          <w:sz w:val="28"/>
        </w:rPr>
        <w:t>、</w:t>
      </w:r>
      <w:r>
        <w:rPr>
          <w:rFonts w:hAnsi="宋体"/>
          <w:color w:val="000000"/>
          <w:sz w:val="28"/>
        </w:rPr>
        <w:t>向其基金管理人、基金托管人出资或者买卖其基金管理人、基金托管人发行的股票或者债券；</w:t>
      </w:r>
    </w:p>
    <w:p w:rsidR="008053E8">
      <w:pPr>
        <w:spacing w:line="360" w:lineRule="auto"/>
        <w:ind w:firstLine="560" w:firstLineChars="200"/>
        <w:rPr>
          <w:color w:val="000000"/>
          <w:sz w:val="28"/>
        </w:rPr>
      </w:pPr>
      <w:r>
        <w:rPr>
          <w:color w:val="000000"/>
          <w:sz w:val="28"/>
        </w:rPr>
        <w:t>6</w:t>
      </w:r>
      <w:r>
        <w:rPr>
          <w:rFonts w:hAnsi="宋体" w:hint="eastAsia"/>
          <w:color w:val="000000"/>
          <w:sz w:val="28"/>
        </w:rPr>
        <w:t>、</w:t>
      </w:r>
      <w:r>
        <w:rPr>
          <w:rFonts w:hAnsi="宋体"/>
          <w:color w:val="000000"/>
          <w:sz w:val="28"/>
        </w:rPr>
        <w:t>买卖与其基金管理人、基金托管人有控股关系的股东或者与其基金管理人、基金托管人有其他重大利害关系的公司发行的证券或者承销期内承销的证券；</w:t>
      </w:r>
    </w:p>
    <w:p w:rsidR="008053E8">
      <w:pPr>
        <w:spacing w:line="360" w:lineRule="auto"/>
        <w:ind w:firstLine="560" w:firstLineChars="200"/>
        <w:rPr>
          <w:color w:val="000000"/>
          <w:sz w:val="28"/>
        </w:rPr>
      </w:pPr>
      <w:r>
        <w:rPr>
          <w:color w:val="000000"/>
          <w:sz w:val="28"/>
        </w:rPr>
        <w:t>7</w:t>
      </w:r>
      <w:r>
        <w:rPr>
          <w:rFonts w:hAnsi="宋体" w:hint="eastAsia"/>
          <w:color w:val="000000"/>
          <w:sz w:val="28"/>
        </w:rPr>
        <w:t>、</w:t>
      </w:r>
      <w:r>
        <w:rPr>
          <w:rFonts w:hAnsi="宋体"/>
          <w:color w:val="000000"/>
          <w:sz w:val="28"/>
        </w:rPr>
        <w:t>从事内幕交易、操纵证券交易价格及其他不正当的证券交易活动；</w:t>
      </w:r>
    </w:p>
    <w:p w:rsidR="008053E8">
      <w:pPr>
        <w:spacing w:line="360" w:lineRule="auto"/>
        <w:ind w:firstLine="560" w:firstLineChars="200"/>
        <w:rPr>
          <w:color w:val="000000"/>
          <w:sz w:val="28"/>
        </w:rPr>
      </w:pPr>
      <w:r>
        <w:rPr>
          <w:color w:val="000000"/>
          <w:sz w:val="28"/>
        </w:rPr>
        <w:t>8</w:t>
      </w:r>
      <w:r>
        <w:rPr>
          <w:rFonts w:hAnsi="宋体" w:hint="eastAsia"/>
          <w:color w:val="000000"/>
          <w:sz w:val="28"/>
        </w:rPr>
        <w:t>、</w:t>
      </w:r>
      <w:r>
        <w:rPr>
          <w:rFonts w:hAnsi="宋体"/>
          <w:color w:val="000000"/>
          <w:sz w:val="28"/>
        </w:rPr>
        <w:t>依照法律、行政法规有关规定，由中国证监会规定禁止的其他活动</w:t>
      </w:r>
      <w:r>
        <w:rPr>
          <w:rFonts w:hAnsi="宋体" w:hint="eastAsia"/>
          <w:color w:val="000000"/>
          <w:sz w:val="28"/>
        </w:rPr>
        <w:t>；</w:t>
      </w:r>
    </w:p>
    <w:p w:rsidR="008053E8">
      <w:pPr>
        <w:spacing w:line="360" w:lineRule="auto"/>
        <w:ind w:firstLine="560" w:firstLineChars="200"/>
        <w:rPr>
          <w:color w:val="000000"/>
          <w:sz w:val="28"/>
        </w:rPr>
      </w:pPr>
      <w:r>
        <w:rPr>
          <w:rFonts w:hint="eastAsia"/>
          <w:color w:val="000000"/>
          <w:sz w:val="28"/>
        </w:rPr>
        <w:t>9</w:t>
      </w:r>
      <w:r>
        <w:rPr>
          <w:rFonts w:hAnsi="宋体" w:hint="eastAsia"/>
          <w:color w:val="000000"/>
          <w:sz w:val="28"/>
        </w:rPr>
        <w:t>、法律法规和监管部门取消上述禁止性规定的，则本基金不受上述相关限</w:t>
      </w:r>
      <w:r>
        <w:rPr>
          <w:rFonts w:hAnsi="宋体" w:hint="eastAsia"/>
          <w:color w:val="000000"/>
          <w:sz w:val="28"/>
        </w:rPr>
        <w:t>制。</w:t>
      </w:r>
    </w:p>
    <w:p w:rsidR="008053E8">
      <w:pPr>
        <w:spacing w:line="360" w:lineRule="auto"/>
        <w:ind w:firstLine="560" w:firstLineChars="200"/>
        <w:rPr>
          <w:color w:val="000000"/>
          <w:sz w:val="28"/>
        </w:rPr>
      </w:pPr>
      <w:r>
        <w:rPr>
          <w:rFonts w:hAnsi="宋体"/>
          <w:color w:val="000000"/>
          <w:sz w:val="28"/>
        </w:rPr>
        <w:t>（十）法律法规和基金合同禁止的其他行为，以及依照法律、行政法规有关规定，由中国证监会规定禁止基金管理人、基金托管人从事的其他行为。</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3" w:name="_Toc335661649"/>
      <w:r>
        <w:rPr>
          <w:rFonts w:ascii="Times New Roman" w:eastAsia="宋体" w:hAnsi="宋体"/>
          <w:color w:val="000000"/>
          <w:sz w:val="28"/>
        </w:rPr>
        <w:t>十六、托管协议的变更、终止与基金财产的清算</w:t>
      </w:r>
      <w:bookmarkEnd w:id="93"/>
    </w:p>
    <w:p w:rsidR="008053E8">
      <w:pPr>
        <w:adjustRightInd w:val="0"/>
        <w:snapToGrid w:val="0"/>
        <w:spacing w:line="360" w:lineRule="auto"/>
        <w:ind w:firstLine="560" w:firstLineChars="200"/>
        <w:rPr>
          <w:color w:val="000000"/>
          <w:sz w:val="28"/>
        </w:rPr>
      </w:pPr>
      <w:r>
        <w:rPr>
          <w:rFonts w:hAnsi="宋体"/>
          <w:color w:val="000000"/>
          <w:sz w:val="28"/>
        </w:rPr>
        <w:t>（一）托管协议的变更程序</w:t>
      </w:r>
    </w:p>
    <w:p w:rsidR="008053E8">
      <w:pPr>
        <w:adjustRightInd w:val="0"/>
        <w:snapToGrid w:val="0"/>
        <w:spacing w:line="360" w:lineRule="auto"/>
        <w:ind w:firstLine="560" w:firstLineChars="200"/>
        <w:rPr>
          <w:color w:val="000000"/>
          <w:sz w:val="28"/>
        </w:rPr>
      </w:pPr>
      <w:r>
        <w:rPr>
          <w:rFonts w:hAnsi="宋体"/>
          <w:color w:val="000000"/>
          <w:sz w:val="28"/>
        </w:rPr>
        <w:t>本协议双方当事人经协商一致，可以对协议进行修改。修改后的新协议，其内容不得与基金合同的规定有任何冲突。基金托管协议的变更报中国证监会核准后生效。</w:t>
      </w:r>
    </w:p>
    <w:p w:rsidR="008053E8">
      <w:pPr>
        <w:adjustRightInd w:val="0"/>
        <w:snapToGrid w:val="0"/>
        <w:spacing w:line="360" w:lineRule="auto"/>
        <w:ind w:firstLine="560" w:firstLineChars="200"/>
        <w:rPr>
          <w:color w:val="000000"/>
          <w:sz w:val="28"/>
        </w:rPr>
      </w:pPr>
      <w:r>
        <w:rPr>
          <w:rFonts w:hAnsi="宋体"/>
          <w:color w:val="000000"/>
          <w:sz w:val="28"/>
        </w:rPr>
        <w:t>（二）基金托管协议终止的情形</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基金合同终止；</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基金托管人解散、依法被撤销、破产或由其他基金托管人接管基金资产；</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基金管理人解散、依法被撤销、破产或由其他基金管理人接管基金管理权；</w:t>
      </w:r>
    </w:p>
    <w:p w:rsidR="008053E8">
      <w:pPr>
        <w:adjustRightInd w:val="0"/>
        <w:snapToGrid w:val="0"/>
        <w:spacing w:line="360" w:lineRule="auto"/>
        <w:ind w:firstLine="560" w:firstLineChars="200"/>
        <w:rPr>
          <w:color w:val="000000"/>
          <w:sz w:val="28"/>
        </w:rPr>
      </w:pPr>
      <w:r>
        <w:rPr>
          <w:rFonts w:hint="eastAsia"/>
          <w:color w:val="000000"/>
          <w:sz w:val="28"/>
        </w:rPr>
        <w:t>4</w:t>
      </w:r>
      <w:r>
        <w:rPr>
          <w:rFonts w:hAnsi="宋体" w:hint="eastAsia"/>
          <w:color w:val="000000"/>
          <w:sz w:val="28"/>
        </w:rPr>
        <w:t>、</w:t>
      </w:r>
      <w:r>
        <w:rPr>
          <w:rFonts w:hAnsi="宋体"/>
          <w:color w:val="000000"/>
          <w:sz w:val="28"/>
        </w:rPr>
        <w:t>发生法律法规或基金合同规定的终止事项。</w:t>
      </w:r>
    </w:p>
    <w:p w:rsidR="008053E8">
      <w:pPr>
        <w:adjustRightInd w:val="0"/>
        <w:snapToGrid w:val="0"/>
        <w:spacing w:line="360" w:lineRule="auto"/>
        <w:ind w:firstLine="560" w:firstLineChars="200"/>
        <w:rPr>
          <w:color w:val="000000"/>
          <w:sz w:val="28"/>
        </w:rPr>
      </w:pPr>
      <w:r>
        <w:rPr>
          <w:rFonts w:hAnsi="宋体"/>
          <w:color w:val="000000"/>
          <w:sz w:val="28"/>
        </w:rPr>
        <w:t>（三）基金财产的清算</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基金财产清算小组</w:t>
      </w:r>
    </w:p>
    <w:p w:rsidR="008053E8">
      <w:pPr>
        <w:adjustRightInd w:val="0"/>
        <w:snapToGrid w:val="0"/>
        <w:spacing w:line="360" w:lineRule="auto"/>
        <w:ind w:firstLine="560" w:firstLineChars="200"/>
        <w:rPr>
          <w:color w:val="000000"/>
          <w:sz w:val="28"/>
        </w:rPr>
      </w:pPr>
      <w:r>
        <w:rPr>
          <w:color w:val="000000"/>
          <w:sz w:val="28"/>
        </w:rPr>
        <w:t xml:space="preserve">(1) </w:t>
      </w:r>
      <w:r>
        <w:rPr>
          <w:rFonts w:hAnsi="宋体"/>
          <w:color w:val="000000"/>
          <w:sz w:val="28"/>
        </w:rPr>
        <w:t>自出现基金合同终止事由之日起</w:t>
      </w:r>
      <w:r>
        <w:rPr>
          <w:color w:val="000000"/>
          <w:sz w:val="28"/>
        </w:rPr>
        <w:t>30</w:t>
      </w:r>
      <w:r>
        <w:rPr>
          <w:rFonts w:hAnsi="宋体"/>
          <w:color w:val="000000"/>
          <w:sz w:val="28"/>
        </w:rPr>
        <w:t>个工作日内成立基金清算小组，基金清算小组在中国证监会的监督下进行基金清算。</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基金清算小组成员由基金管理人、基金托管人、注册会计师、律师以及中国证监会指定的人员组成。基金清算小组可以聘用必要的工作人员。</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在基金财产清算过程中，基金管理人和基金托管人应各自履行职责，继续忠实、勤勉、尽责地履行基金合同和本托管协议规定的义务，维护基金份额持有人的合法权益。</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基金清算小组负责基金财产的保管、清理、估价、变现和分配。基金清算小组可以依法进行必要的民事活动。</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基金财产清算程序</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基金合同终止时，由基金清算小组统一接管基金财产；</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对基金财产进行清理和确认；</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对基金财产进行估价和变现；</w:t>
      </w:r>
    </w:p>
    <w:p w:rsidR="008053E8">
      <w:pPr>
        <w:adjustRightInd w:val="0"/>
        <w:snapToGrid w:val="0"/>
        <w:spacing w:line="360" w:lineRule="auto"/>
        <w:ind w:firstLine="560" w:firstLineChars="200"/>
        <w:rPr>
          <w:color w:val="000000"/>
          <w:sz w:val="28"/>
        </w:rPr>
      </w:pPr>
      <w:r>
        <w:rPr>
          <w:rFonts w:hint="eastAsia"/>
          <w:color w:val="000000"/>
          <w:sz w:val="28"/>
        </w:rPr>
        <w:t>(4)</w:t>
      </w:r>
      <w:r>
        <w:rPr>
          <w:rFonts w:hAnsi="宋体" w:hint="eastAsia"/>
          <w:color w:val="000000"/>
          <w:sz w:val="28"/>
        </w:rPr>
        <w:t>编制清算报告；</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5</w:t>
      </w:r>
      <w:r>
        <w:rPr>
          <w:color w:val="000000"/>
          <w:sz w:val="28"/>
        </w:rPr>
        <w:t>)</w:t>
      </w:r>
      <w:r>
        <w:rPr>
          <w:rFonts w:hAnsi="宋体"/>
          <w:color w:val="000000"/>
          <w:sz w:val="28"/>
        </w:rPr>
        <w:t>聘请会计师事务所对清算报告进行审计；</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6</w:t>
      </w:r>
      <w:r>
        <w:rPr>
          <w:color w:val="000000"/>
          <w:sz w:val="28"/>
        </w:rPr>
        <w:t>)</w:t>
      </w:r>
      <w:r>
        <w:rPr>
          <w:rFonts w:hAnsi="宋体"/>
          <w:color w:val="000000"/>
          <w:sz w:val="28"/>
        </w:rPr>
        <w:t>聘请律师事务所</w:t>
      </w:r>
      <w:r>
        <w:rPr>
          <w:rFonts w:hAnsi="宋体" w:hint="eastAsia"/>
          <w:color w:val="000000"/>
          <w:sz w:val="28"/>
        </w:rPr>
        <w:t>对清算报告</w:t>
      </w:r>
      <w:r>
        <w:rPr>
          <w:rFonts w:hAnsi="宋体"/>
          <w:color w:val="000000"/>
          <w:sz w:val="28"/>
        </w:rPr>
        <w:t>出具法律意见书；</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7</w:t>
      </w:r>
      <w:r>
        <w:rPr>
          <w:color w:val="000000"/>
          <w:sz w:val="28"/>
        </w:rPr>
        <w:t>)</w:t>
      </w:r>
      <w:r>
        <w:rPr>
          <w:rFonts w:hAnsi="宋体"/>
          <w:color w:val="000000"/>
          <w:sz w:val="28"/>
        </w:rPr>
        <w:t>将基金清算结果报告中国证监会；</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8</w:t>
      </w:r>
      <w:r>
        <w:rPr>
          <w:color w:val="000000"/>
          <w:sz w:val="28"/>
        </w:rPr>
        <w:t>)</w:t>
      </w:r>
      <w:r>
        <w:rPr>
          <w:rFonts w:hAnsi="宋体"/>
          <w:color w:val="000000"/>
          <w:sz w:val="28"/>
        </w:rPr>
        <w:t>公布基金清算</w:t>
      </w:r>
      <w:r>
        <w:rPr>
          <w:rFonts w:hAnsi="宋体" w:hint="eastAsia"/>
          <w:color w:val="000000"/>
          <w:sz w:val="28"/>
        </w:rPr>
        <w:t>报告</w:t>
      </w:r>
      <w:r>
        <w:rPr>
          <w:rFonts w:hAnsi="宋体"/>
          <w:color w:val="000000"/>
          <w:sz w:val="28"/>
        </w:rPr>
        <w:t>；</w:t>
      </w:r>
    </w:p>
    <w:p w:rsidR="008053E8">
      <w:pPr>
        <w:adjustRightInd w:val="0"/>
        <w:snapToGrid w:val="0"/>
        <w:spacing w:line="360" w:lineRule="auto"/>
        <w:ind w:firstLine="560" w:firstLineChars="200"/>
        <w:rPr>
          <w:color w:val="000000"/>
          <w:sz w:val="28"/>
        </w:rPr>
      </w:pPr>
      <w:r>
        <w:rPr>
          <w:color w:val="000000"/>
          <w:sz w:val="28"/>
        </w:rPr>
        <w:t>(</w:t>
      </w:r>
      <w:r>
        <w:rPr>
          <w:rFonts w:hint="eastAsia"/>
          <w:color w:val="000000"/>
          <w:sz w:val="28"/>
        </w:rPr>
        <w:t>9</w:t>
      </w:r>
      <w:r>
        <w:rPr>
          <w:color w:val="000000"/>
          <w:sz w:val="28"/>
        </w:rPr>
        <w:t>)</w:t>
      </w:r>
      <w:r>
        <w:rPr>
          <w:rFonts w:hAnsi="宋体"/>
          <w:color w:val="000000"/>
          <w:sz w:val="28"/>
        </w:rPr>
        <w:t>对基金剩余财产进行分配。</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清算费用</w:t>
      </w:r>
    </w:p>
    <w:p w:rsidR="008053E8">
      <w:pPr>
        <w:adjustRightInd w:val="0"/>
        <w:snapToGrid w:val="0"/>
        <w:spacing w:line="360" w:lineRule="auto"/>
        <w:ind w:firstLine="560" w:firstLineChars="200"/>
        <w:rPr>
          <w:color w:val="000000"/>
          <w:sz w:val="28"/>
        </w:rPr>
      </w:pPr>
      <w:r>
        <w:rPr>
          <w:rFonts w:hAnsi="宋体"/>
          <w:color w:val="000000"/>
          <w:sz w:val="28"/>
        </w:rPr>
        <w:t>清算费用是指基金清算小组在进行基金清算过程中发生的所有合理费用，清算费用由基金清算小组优先从基金财产中支付。</w:t>
      </w:r>
    </w:p>
    <w:p w:rsidR="008053E8">
      <w:pPr>
        <w:adjustRightInd w:val="0"/>
        <w:snapToGrid w:val="0"/>
        <w:spacing w:line="360" w:lineRule="auto"/>
        <w:ind w:firstLine="560" w:firstLineChars="200"/>
        <w:rPr>
          <w:color w:val="000000"/>
          <w:sz w:val="28"/>
        </w:rPr>
      </w:pPr>
      <w:r>
        <w:rPr>
          <w:color w:val="000000"/>
          <w:sz w:val="28"/>
        </w:rPr>
        <w:t>4</w:t>
      </w:r>
      <w:r>
        <w:rPr>
          <w:rFonts w:hAnsi="宋体" w:hint="eastAsia"/>
          <w:color w:val="000000"/>
          <w:sz w:val="28"/>
        </w:rPr>
        <w:t>、</w:t>
      </w:r>
      <w:r>
        <w:rPr>
          <w:rFonts w:hAnsi="宋体"/>
          <w:color w:val="000000"/>
          <w:sz w:val="28"/>
        </w:rPr>
        <w:t>基金财产按下列顺序清偿：</w:t>
      </w:r>
    </w:p>
    <w:p w:rsidR="008053E8">
      <w:pPr>
        <w:adjustRightInd w:val="0"/>
        <w:snapToGrid w:val="0"/>
        <w:spacing w:line="360" w:lineRule="auto"/>
        <w:ind w:firstLine="560" w:firstLineChars="200"/>
        <w:rPr>
          <w:color w:val="000000"/>
          <w:sz w:val="28"/>
        </w:rPr>
      </w:pPr>
      <w:r>
        <w:rPr>
          <w:color w:val="000000"/>
          <w:sz w:val="28"/>
        </w:rPr>
        <w:t>(1)</w:t>
      </w:r>
      <w:r>
        <w:rPr>
          <w:rFonts w:hAnsi="宋体"/>
          <w:color w:val="000000"/>
          <w:sz w:val="28"/>
        </w:rPr>
        <w:t>支付清算费用；</w:t>
      </w:r>
    </w:p>
    <w:p w:rsidR="008053E8">
      <w:pPr>
        <w:adjustRightInd w:val="0"/>
        <w:snapToGrid w:val="0"/>
        <w:spacing w:line="360" w:lineRule="auto"/>
        <w:ind w:firstLine="560" w:firstLineChars="200"/>
        <w:rPr>
          <w:color w:val="000000"/>
          <w:sz w:val="28"/>
        </w:rPr>
      </w:pPr>
      <w:r>
        <w:rPr>
          <w:color w:val="000000"/>
          <w:sz w:val="28"/>
        </w:rPr>
        <w:t>(2)</w:t>
      </w:r>
      <w:r>
        <w:rPr>
          <w:rFonts w:hAnsi="宋体"/>
          <w:color w:val="000000"/>
          <w:sz w:val="28"/>
        </w:rPr>
        <w:t>交纳所欠税款；</w:t>
      </w:r>
    </w:p>
    <w:p w:rsidR="008053E8">
      <w:pPr>
        <w:adjustRightInd w:val="0"/>
        <w:snapToGrid w:val="0"/>
        <w:spacing w:line="360" w:lineRule="auto"/>
        <w:ind w:firstLine="560" w:firstLineChars="200"/>
        <w:rPr>
          <w:color w:val="000000"/>
          <w:sz w:val="28"/>
        </w:rPr>
      </w:pPr>
      <w:r>
        <w:rPr>
          <w:color w:val="000000"/>
          <w:sz w:val="28"/>
        </w:rPr>
        <w:t>(3)</w:t>
      </w:r>
      <w:r>
        <w:rPr>
          <w:rFonts w:hAnsi="宋体"/>
          <w:color w:val="000000"/>
          <w:sz w:val="28"/>
        </w:rPr>
        <w:t>清偿基金债务；</w:t>
      </w:r>
    </w:p>
    <w:p w:rsidR="008053E8">
      <w:pPr>
        <w:adjustRightInd w:val="0"/>
        <w:snapToGrid w:val="0"/>
        <w:spacing w:line="360" w:lineRule="auto"/>
        <w:ind w:firstLine="560" w:firstLineChars="200"/>
        <w:rPr>
          <w:color w:val="000000"/>
          <w:sz w:val="28"/>
        </w:rPr>
      </w:pPr>
      <w:r>
        <w:rPr>
          <w:color w:val="000000"/>
          <w:sz w:val="28"/>
        </w:rPr>
        <w:t>(4)</w:t>
      </w:r>
      <w:r>
        <w:rPr>
          <w:rFonts w:hAnsi="宋体"/>
          <w:color w:val="000000"/>
          <w:sz w:val="28"/>
        </w:rPr>
        <w:t>按基金份额持有人持有的基金份额比例进行分配。</w:t>
      </w:r>
    </w:p>
    <w:p w:rsidR="008053E8">
      <w:pPr>
        <w:adjustRightInd w:val="0"/>
        <w:snapToGrid w:val="0"/>
        <w:spacing w:line="360" w:lineRule="auto"/>
        <w:ind w:firstLine="560" w:firstLineChars="200"/>
        <w:rPr>
          <w:color w:val="000000"/>
          <w:sz w:val="28"/>
        </w:rPr>
      </w:pPr>
      <w:r>
        <w:rPr>
          <w:rFonts w:hAnsi="宋体"/>
          <w:color w:val="000000"/>
          <w:sz w:val="28"/>
        </w:rPr>
        <w:t>基金财产未按前款</w:t>
      </w:r>
      <w:r>
        <w:rPr>
          <w:color w:val="000000"/>
          <w:sz w:val="28"/>
        </w:rPr>
        <w:t>(1)</w:t>
      </w:r>
      <w:r>
        <w:rPr>
          <w:rFonts w:hAnsi="宋体"/>
          <w:color w:val="000000"/>
          <w:sz w:val="28"/>
        </w:rPr>
        <w:t>－</w:t>
      </w:r>
      <w:r>
        <w:rPr>
          <w:color w:val="000000"/>
          <w:sz w:val="28"/>
        </w:rPr>
        <w:t>(3)</w:t>
      </w:r>
      <w:r>
        <w:rPr>
          <w:rFonts w:hAnsi="宋体"/>
          <w:color w:val="000000"/>
          <w:sz w:val="28"/>
        </w:rPr>
        <w:t>项规定清偿前，不分配给基金份额持有人。</w:t>
      </w:r>
    </w:p>
    <w:p w:rsidR="008053E8">
      <w:pPr>
        <w:adjustRightInd w:val="0"/>
        <w:snapToGrid w:val="0"/>
        <w:spacing w:line="360" w:lineRule="auto"/>
        <w:ind w:firstLine="560" w:firstLineChars="200"/>
        <w:rPr>
          <w:color w:val="000000"/>
          <w:sz w:val="28"/>
        </w:rPr>
      </w:pPr>
      <w:r>
        <w:rPr>
          <w:color w:val="000000"/>
          <w:sz w:val="28"/>
        </w:rPr>
        <w:t>5</w:t>
      </w:r>
      <w:r>
        <w:rPr>
          <w:rFonts w:hAnsi="宋体" w:hint="eastAsia"/>
          <w:color w:val="000000"/>
          <w:sz w:val="28"/>
        </w:rPr>
        <w:t>、</w:t>
      </w:r>
      <w:r>
        <w:rPr>
          <w:rFonts w:hAnsi="宋体"/>
          <w:color w:val="000000"/>
          <w:sz w:val="28"/>
        </w:rPr>
        <w:t>基金财产清算的公告</w:t>
      </w:r>
    </w:p>
    <w:p w:rsidR="008053E8">
      <w:pPr>
        <w:adjustRightInd w:val="0"/>
        <w:snapToGrid w:val="0"/>
        <w:spacing w:line="360" w:lineRule="auto"/>
        <w:ind w:firstLine="560" w:firstLineChars="200"/>
        <w:rPr>
          <w:color w:val="000000"/>
          <w:sz w:val="28"/>
        </w:rPr>
      </w:pPr>
      <w:r>
        <w:rPr>
          <w:rFonts w:hAnsi="宋体"/>
          <w:color w:val="000000"/>
          <w:sz w:val="28"/>
        </w:rPr>
        <w:t>基金财产清算公告于基金合同终止并报中国证监会备案后</w:t>
      </w:r>
      <w:r>
        <w:rPr>
          <w:color w:val="000000"/>
          <w:sz w:val="28"/>
        </w:rPr>
        <w:t>5</w:t>
      </w:r>
      <w:r>
        <w:rPr>
          <w:rFonts w:hAnsi="宋体"/>
          <w:color w:val="000000"/>
          <w:sz w:val="28"/>
        </w:rPr>
        <w:t>个工作日内由基金清算小组公告；清算过程中的有关重大事项须及时公告；</w:t>
      </w:r>
      <w:r>
        <w:rPr>
          <w:rFonts w:hAnsi="宋体" w:hint="eastAsia"/>
          <w:color w:val="000000"/>
          <w:sz w:val="28"/>
        </w:rPr>
        <w:t>基金财产清算结果经符合《证券法》规定的会计师事务所审计，律师事务所出具法律意见书后，</w:t>
      </w:r>
      <w:r>
        <w:rPr>
          <w:rFonts w:hAnsi="宋体" w:hint="eastAsia"/>
          <w:color w:val="000000"/>
          <w:sz w:val="28"/>
        </w:rPr>
        <w:t>由基金财产清算小组报中国证监会备案并公告。</w:t>
      </w:r>
    </w:p>
    <w:p w:rsidR="008053E8">
      <w:pPr>
        <w:adjustRightInd w:val="0"/>
        <w:snapToGrid w:val="0"/>
        <w:spacing w:line="360" w:lineRule="auto"/>
        <w:ind w:firstLine="560" w:firstLineChars="200"/>
        <w:rPr>
          <w:color w:val="000000"/>
          <w:sz w:val="28"/>
        </w:rPr>
      </w:pPr>
      <w:r>
        <w:rPr>
          <w:color w:val="000000"/>
          <w:sz w:val="28"/>
        </w:rPr>
        <w:t>6</w:t>
      </w:r>
      <w:r>
        <w:rPr>
          <w:rFonts w:hAnsi="宋体" w:hint="eastAsia"/>
          <w:color w:val="000000"/>
          <w:sz w:val="28"/>
        </w:rPr>
        <w:t>、</w:t>
      </w:r>
      <w:r>
        <w:rPr>
          <w:rFonts w:hAnsi="宋体"/>
          <w:color w:val="000000"/>
          <w:sz w:val="28"/>
        </w:rPr>
        <w:t>基金财产清算账册及文件的保存</w:t>
      </w:r>
    </w:p>
    <w:p w:rsidR="008053E8">
      <w:pPr>
        <w:adjustRightInd w:val="0"/>
        <w:snapToGrid w:val="0"/>
        <w:spacing w:line="360" w:lineRule="auto"/>
        <w:ind w:firstLine="560" w:firstLineChars="200"/>
        <w:rPr>
          <w:color w:val="000000"/>
          <w:sz w:val="28"/>
        </w:rPr>
      </w:pPr>
      <w:r>
        <w:rPr>
          <w:rFonts w:hAnsi="宋体"/>
          <w:color w:val="000000"/>
          <w:sz w:val="28"/>
        </w:rPr>
        <w:t>基金财产清算账册及有关文件由基金托管人保存</w:t>
      </w:r>
      <w:r>
        <w:rPr>
          <w:color w:val="000000"/>
          <w:sz w:val="28"/>
        </w:rPr>
        <w:t>20</w:t>
      </w:r>
      <w:r>
        <w:rPr>
          <w:rFonts w:hAnsi="宋体"/>
          <w:color w:val="000000"/>
          <w:sz w:val="28"/>
        </w:rPr>
        <w:t>年以上。</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4" w:name="_Toc335661650"/>
      <w:r>
        <w:rPr>
          <w:rFonts w:ascii="Times New Roman" w:eastAsia="宋体" w:hAnsi="宋体"/>
          <w:color w:val="000000"/>
          <w:sz w:val="28"/>
        </w:rPr>
        <w:t>十七、违约责任</w:t>
      </w:r>
      <w:bookmarkEnd w:id="94"/>
    </w:p>
    <w:p w:rsidR="008053E8">
      <w:pPr>
        <w:adjustRightInd w:val="0"/>
        <w:snapToGrid w:val="0"/>
        <w:spacing w:line="360" w:lineRule="auto"/>
        <w:ind w:firstLine="560" w:firstLineChars="200"/>
        <w:outlineLvl w:val="0"/>
        <w:rPr>
          <w:color w:val="000000"/>
          <w:sz w:val="28"/>
        </w:rPr>
      </w:pPr>
      <w:r>
        <w:rPr>
          <w:rFonts w:hAnsi="宋体"/>
          <w:color w:val="000000"/>
          <w:sz w:val="28"/>
        </w:rPr>
        <w:t>（一）基金管理人、基金托管人不履行本协议或履行本协议不符合约定的，应当承担违约责任。</w:t>
      </w:r>
    </w:p>
    <w:p w:rsidR="008053E8">
      <w:pPr>
        <w:adjustRightInd w:val="0"/>
        <w:snapToGrid w:val="0"/>
        <w:spacing w:line="360" w:lineRule="auto"/>
        <w:ind w:firstLine="560" w:firstLineChars="200"/>
        <w:outlineLvl w:val="0"/>
        <w:rPr>
          <w:color w:val="000000"/>
          <w:sz w:val="28"/>
        </w:rPr>
      </w:pPr>
      <w:r>
        <w:rPr>
          <w:rFonts w:hAnsi="宋体"/>
          <w:color w:val="000000"/>
          <w:sz w:val="28"/>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8053E8">
      <w:pPr>
        <w:adjustRightInd w:val="0"/>
        <w:snapToGrid w:val="0"/>
        <w:spacing w:line="360" w:lineRule="auto"/>
        <w:ind w:firstLine="560" w:firstLineChars="200"/>
        <w:outlineLvl w:val="0"/>
        <w:rPr>
          <w:color w:val="000000"/>
          <w:sz w:val="28"/>
        </w:rPr>
      </w:pPr>
      <w:r>
        <w:rPr>
          <w:rFonts w:hAnsi="宋体"/>
          <w:color w:val="000000"/>
          <w:sz w:val="28"/>
        </w:rPr>
        <w:t>（三）当事人违约，给另一方当事人造成损失的，应就直接损失进行赔偿；给基金资产造成损失的，应就直接损失进行赔偿，另一方当事人有权利及义务代表基金向违约方追偿。如发生下列情况，当事人可以免责：</w:t>
      </w:r>
    </w:p>
    <w:p w:rsidR="008053E8">
      <w:pPr>
        <w:adjustRightInd w:val="0"/>
        <w:snapToGrid w:val="0"/>
        <w:spacing w:line="360" w:lineRule="auto"/>
        <w:ind w:firstLine="560" w:firstLineChars="200"/>
        <w:rPr>
          <w:color w:val="000000"/>
          <w:sz w:val="28"/>
        </w:rPr>
      </w:pPr>
      <w:r>
        <w:rPr>
          <w:color w:val="000000"/>
          <w:sz w:val="28"/>
        </w:rPr>
        <w:t>1</w:t>
      </w:r>
      <w:r>
        <w:rPr>
          <w:rFonts w:hAnsi="宋体" w:hint="eastAsia"/>
          <w:color w:val="000000"/>
          <w:sz w:val="28"/>
        </w:rPr>
        <w:t>、</w:t>
      </w:r>
      <w:r>
        <w:rPr>
          <w:rFonts w:hAnsi="宋体"/>
          <w:color w:val="000000"/>
          <w:sz w:val="28"/>
        </w:rPr>
        <w:t>不可抗力；</w:t>
      </w:r>
    </w:p>
    <w:p w:rsidR="008053E8">
      <w:pPr>
        <w:adjustRightInd w:val="0"/>
        <w:snapToGrid w:val="0"/>
        <w:spacing w:line="360" w:lineRule="auto"/>
        <w:ind w:firstLine="560" w:firstLineChars="200"/>
        <w:rPr>
          <w:color w:val="000000"/>
          <w:sz w:val="28"/>
        </w:rPr>
      </w:pPr>
      <w:r>
        <w:rPr>
          <w:color w:val="000000"/>
          <w:sz w:val="28"/>
        </w:rPr>
        <w:t>2</w:t>
      </w:r>
      <w:r>
        <w:rPr>
          <w:rFonts w:hAnsi="宋体" w:hint="eastAsia"/>
          <w:color w:val="000000"/>
          <w:sz w:val="28"/>
        </w:rPr>
        <w:t>、</w:t>
      </w:r>
      <w:r>
        <w:rPr>
          <w:rFonts w:hAnsi="宋体"/>
          <w:color w:val="000000"/>
          <w:sz w:val="28"/>
        </w:rPr>
        <w:t>基金管理人及基金托管人按照当时有效的法律法规或中国证监会的规定作为或不作为而造成的损失等；</w:t>
      </w:r>
    </w:p>
    <w:p w:rsidR="008053E8">
      <w:pPr>
        <w:adjustRightInd w:val="0"/>
        <w:snapToGrid w:val="0"/>
        <w:spacing w:line="360" w:lineRule="auto"/>
        <w:ind w:firstLine="560" w:firstLineChars="200"/>
        <w:rPr>
          <w:color w:val="000000"/>
          <w:sz w:val="28"/>
        </w:rPr>
      </w:pPr>
      <w:r>
        <w:rPr>
          <w:color w:val="000000"/>
          <w:sz w:val="28"/>
        </w:rPr>
        <w:t>3</w:t>
      </w:r>
      <w:r>
        <w:rPr>
          <w:rFonts w:hAnsi="宋体" w:hint="eastAsia"/>
          <w:color w:val="000000"/>
          <w:sz w:val="28"/>
        </w:rPr>
        <w:t>、</w:t>
      </w:r>
      <w:r>
        <w:rPr>
          <w:rFonts w:hAnsi="宋体"/>
          <w:color w:val="000000"/>
          <w:sz w:val="28"/>
        </w:rPr>
        <w:t>基金管理人由于按照基金合同规定的投资原则投资或不投资造成的直接损失或潜在损失等</w:t>
      </w:r>
      <w:r>
        <w:rPr>
          <w:rFonts w:hAnsi="宋体" w:hint="eastAsia"/>
          <w:color w:val="000000"/>
          <w:sz w:val="28"/>
        </w:rPr>
        <w:t>。</w:t>
      </w:r>
    </w:p>
    <w:p w:rsidR="008053E8">
      <w:pPr>
        <w:adjustRightInd w:val="0"/>
        <w:snapToGrid w:val="0"/>
        <w:spacing w:line="360" w:lineRule="auto"/>
        <w:ind w:firstLine="560" w:firstLineChars="200"/>
        <w:rPr>
          <w:color w:val="000000"/>
          <w:sz w:val="28"/>
        </w:rPr>
      </w:pPr>
      <w:r>
        <w:rPr>
          <w:rFonts w:hAnsi="宋体"/>
          <w:color w:val="000000"/>
          <w:sz w:val="28"/>
        </w:rPr>
        <w:t>（四）当事人违约，另一方当事人在职责范围内有义务及时采取必要的措施，尽力防止损失的扩大。</w:t>
      </w:r>
      <w:r>
        <w:rPr>
          <w:rFonts w:hAnsi="宋体" w:hint="eastAsia"/>
          <w:color w:val="000000"/>
          <w:sz w:val="28"/>
        </w:rPr>
        <w:t>没有采取适当措施致使损失进一步扩大的，不得就扩大的损失要求赔偿。非违约方因防止损失扩大而支出的合理费用由违约方承担。</w:t>
      </w:r>
    </w:p>
    <w:p w:rsidR="008053E8">
      <w:pPr>
        <w:adjustRightInd w:val="0"/>
        <w:snapToGrid w:val="0"/>
        <w:spacing w:line="360" w:lineRule="auto"/>
        <w:ind w:firstLine="560" w:firstLineChars="200"/>
        <w:outlineLvl w:val="0"/>
        <w:rPr>
          <w:color w:val="000000"/>
          <w:sz w:val="28"/>
        </w:rPr>
      </w:pPr>
      <w:r>
        <w:rPr>
          <w:rFonts w:hAnsi="宋体"/>
          <w:color w:val="000000"/>
          <w:sz w:val="28"/>
        </w:rPr>
        <w:t>（五）违约行为虽已发生，但本托管协议能够继续履行的，在最大限度地</w:t>
      </w:r>
      <w:r>
        <w:rPr>
          <w:rFonts w:hAnsi="宋体"/>
          <w:color w:val="000000"/>
          <w:sz w:val="28"/>
        </w:rPr>
        <w:t>保护基金份额持有人利益的前提下，基金管理人和基金托管人应当继续履行本协议。若基金管理人或基金托管人因履行本协议而被起诉，另一方应提供合理的必要支持。</w:t>
      </w:r>
    </w:p>
    <w:p w:rsidR="008053E8">
      <w:pPr>
        <w:adjustRightInd w:val="0"/>
        <w:snapToGrid w:val="0"/>
        <w:spacing w:line="360" w:lineRule="auto"/>
        <w:ind w:firstLine="560" w:firstLineChars="200"/>
        <w:outlineLvl w:val="0"/>
        <w:rPr>
          <w:color w:val="000000"/>
          <w:sz w:val="28"/>
        </w:rPr>
      </w:pPr>
      <w:r>
        <w:rPr>
          <w:rFonts w:hAnsi="宋体" w:hint="eastAsia"/>
          <w:color w:val="000000"/>
          <w:sz w:val="28"/>
        </w:rPr>
        <w:t>（六）由于不可抗力，基金管理人和基金托管人虽然已经采取必要、适当、合理的措施进行检查，但是未能发现该错误的，由此造成基金财产或基金投资者损失，基金管理人和基金托管人可以免除赔偿责任。但基金管理人和基金托管人应当积极采取必要的措施消除由此造成的影响。</w:t>
      </w:r>
    </w:p>
    <w:p w:rsidR="008053E8">
      <w:pPr>
        <w:adjustRightInd w:val="0"/>
        <w:snapToGrid w:val="0"/>
        <w:spacing w:line="360" w:lineRule="auto"/>
        <w:outlineLvl w:val="0"/>
        <w:rPr>
          <w:color w:val="000000"/>
          <w:sz w:val="28"/>
        </w:rPr>
      </w:pPr>
    </w:p>
    <w:p w:rsidR="008053E8">
      <w:pPr>
        <w:pStyle w:val="Heading2"/>
        <w:spacing w:line="360" w:lineRule="auto"/>
        <w:jc w:val="center"/>
        <w:rPr>
          <w:rFonts w:ascii="Times New Roman" w:eastAsia="宋体" w:hAnsi="Times New Roman"/>
          <w:color w:val="000000"/>
          <w:sz w:val="28"/>
        </w:rPr>
      </w:pPr>
      <w:bookmarkStart w:id="95" w:name="_Toc335661651"/>
      <w:r>
        <w:rPr>
          <w:rFonts w:ascii="Times New Roman" w:eastAsia="宋体" w:hAnsi="宋体"/>
          <w:color w:val="000000"/>
          <w:sz w:val="28"/>
        </w:rPr>
        <w:t>十八、争议解决方式</w:t>
      </w:r>
      <w:bookmarkEnd w:id="95"/>
    </w:p>
    <w:p w:rsidR="008053E8">
      <w:pPr>
        <w:adjustRightInd w:val="0"/>
        <w:snapToGrid w:val="0"/>
        <w:spacing w:line="360" w:lineRule="auto"/>
        <w:ind w:firstLine="560" w:firstLineChars="200"/>
        <w:rPr>
          <w:color w:val="000000"/>
          <w:sz w:val="28"/>
        </w:rPr>
      </w:pPr>
      <w:r>
        <w:rPr>
          <w:rFonts w:hAnsi="宋体"/>
          <w:color w:val="000000"/>
          <w:sz w:val="28"/>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8053E8">
      <w:pPr>
        <w:adjustRightInd w:val="0"/>
        <w:snapToGrid w:val="0"/>
        <w:spacing w:line="360" w:lineRule="auto"/>
        <w:ind w:firstLine="560" w:firstLineChars="200"/>
        <w:rPr>
          <w:color w:val="000000"/>
          <w:sz w:val="28"/>
        </w:rPr>
      </w:pPr>
      <w:r>
        <w:rPr>
          <w:rFonts w:hAnsi="宋体"/>
          <w:color w:val="000000"/>
          <w:sz w:val="28"/>
        </w:rPr>
        <w:t>争议处理期间，双方当事人应恪守基金管理人和基金托管人职责，各自继续忠实、勤勉、尽责地履行基金合同和本托管协议规定的义务，维护基金份额持有人的合法权益。</w:t>
      </w:r>
    </w:p>
    <w:p w:rsidR="008053E8">
      <w:pPr>
        <w:adjustRightInd w:val="0"/>
        <w:snapToGrid w:val="0"/>
        <w:spacing w:line="360" w:lineRule="auto"/>
        <w:ind w:firstLine="630" w:firstLineChars="225"/>
        <w:rPr>
          <w:color w:val="000000"/>
          <w:sz w:val="28"/>
        </w:rPr>
      </w:pPr>
      <w:r>
        <w:rPr>
          <w:rFonts w:hAnsi="宋体" w:hint="eastAsia"/>
          <w:sz w:val="28"/>
        </w:rPr>
        <w:t>本协议适用中华人民共和国法律并从其解释。</w:t>
      </w:r>
    </w:p>
    <w:p w:rsidR="008053E8">
      <w:pPr>
        <w:pStyle w:val="Heading2"/>
        <w:spacing w:line="360" w:lineRule="auto"/>
        <w:jc w:val="center"/>
        <w:rPr>
          <w:rFonts w:ascii="Times New Roman" w:eastAsia="宋体" w:hAnsi="Times New Roman"/>
          <w:color w:val="000000"/>
          <w:sz w:val="28"/>
        </w:rPr>
      </w:pPr>
      <w:bookmarkStart w:id="96" w:name="_Toc335661652"/>
      <w:r>
        <w:rPr>
          <w:rFonts w:ascii="Times New Roman" w:eastAsia="宋体" w:hAnsi="宋体"/>
          <w:color w:val="000000"/>
          <w:sz w:val="28"/>
        </w:rPr>
        <w:t>十九、托管协议的效力</w:t>
      </w:r>
      <w:bookmarkEnd w:id="96"/>
    </w:p>
    <w:p w:rsidR="008053E8">
      <w:pPr>
        <w:adjustRightInd w:val="0"/>
        <w:snapToGrid w:val="0"/>
        <w:spacing w:line="360" w:lineRule="auto"/>
        <w:ind w:firstLine="560" w:firstLineChars="200"/>
        <w:rPr>
          <w:color w:val="000000"/>
          <w:sz w:val="28"/>
        </w:rPr>
      </w:pPr>
      <w:r>
        <w:rPr>
          <w:rFonts w:hAnsi="宋体"/>
          <w:color w:val="000000"/>
          <w:sz w:val="28"/>
        </w:rPr>
        <w:t>双方对托管协议的效力约定如下：</w:t>
      </w:r>
    </w:p>
    <w:p w:rsidR="008053E8">
      <w:pPr>
        <w:adjustRightInd w:val="0"/>
        <w:snapToGrid w:val="0"/>
        <w:spacing w:line="360" w:lineRule="auto"/>
        <w:ind w:firstLine="560" w:firstLineChars="200"/>
        <w:rPr>
          <w:color w:val="000000"/>
          <w:sz w:val="28"/>
        </w:rPr>
      </w:pPr>
      <w:r>
        <w:rPr>
          <w:rFonts w:hAnsi="宋体"/>
          <w:color w:val="000000"/>
          <w:sz w:val="28"/>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核准的文本为正式文本。</w:t>
      </w:r>
    </w:p>
    <w:p w:rsidR="008053E8">
      <w:pPr>
        <w:adjustRightInd w:val="0"/>
        <w:snapToGrid w:val="0"/>
        <w:spacing w:line="360" w:lineRule="auto"/>
        <w:ind w:firstLine="560" w:firstLineChars="200"/>
        <w:rPr>
          <w:color w:val="000000"/>
          <w:sz w:val="28"/>
        </w:rPr>
      </w:pPr>
      <w:r>
        <w:rPr>
          <w:rFonts w:hAnsi="宋体"/>
          <w:color w:val="000000"/>
          <w:sz w:val="28"/>
        </w:rPr>
        <w:t>（二）托管协议自基金合同成立之日起成立，自基金合同生效之日起生效。托管协议的有效期自其生效之日起至该基金财产清算结果报中国证监会批准并公告之日止。</w:t>
      </w:r>
    </w:p>
    <w:p w:rsidR="008053E8">
      <w:pPr>
        <w:adjustRightInd w:val="0"/>
        <w:snapToGrid w:val="0"/>
        <w:spacing w:line="360" w:lineRule="auto"/>
        <w:ind w:firstLine="560" w:firstLineChars="200"/>
        <w:rPr>
          <w:color w:val="000000"/>
          <w:sz w:val="28"/>
        </w:rPr>
      </w:pPr>
      <w:r>
        <w:rPr>
          <w:rFonts w:hAnsi="宋体"/>
          <w:color w:val="000000"/>
          <w:sz w:val="28"/>
        </w:rPr>
        <w:t>（三）托管协议自生效之日对托管协议当事人具有同等的法律约束力。</w:t>
      </w:r>
    </w:p>
    <w:p w:rsidR="008053E8">
      <w:pPr>
        <w:adjustRightInd w:val="0"/>
        <w:snapToGrid w:val="0"/>
        <w:spacing w:line="360" w:lineRule="auto"/>
        <w:ind w:firstLine="560" w:firstLineChars="200"/>
        <w:rPr>
          <w:color w:val="000000"/>
          <w:sz w:val="28"/>
        </w:rPr>
      </w:pPr>
      <w:r>
        <w:rPr>
          <w:rFonts w:hAnsi="宋体"/>
          <w:color w:val="000000"/>
          <w:sz w:val="28"/>
        </w:rPr>
        <w:t>（四）本协议一式</w:t>
      </w:r>
      <w:r>
        <w:rPr>
          <w:rFonts w:hAnsi="宋体" w:hint="eastAsia"/>
          <w:color w:val="000000"/>
          <w:sz w:val="28"/>
        </w:rPr>
        <w:t>六</w:t>
      </w:r>
      <w:r>
        <w:rPr>
          <w:rFonts w:hAnsi="宋体"/>
          <w:color w:val="000000"/>
          <w:sz w:val="28"/>
        </w:rPr>
        <w:t>份，协议双方各持二份，上报</w:t>
      </w:r>
      <w:r>
        <w:rPr>
          <w:rFonts w:hAnsi="宋体" w:hint="eastAsia"/>
          <w:color w:val="000000"/>
          <w:sz w:val="28"/>
        </w:rPr>
        <w:t>有关监管部门两</w:t>
      </w:r>
      <w:r>
        <w:rPr>
          <w:rFonts w:hAnsi="宋体"/>
          <w:color w:val="000000"/>
          <w:sz w:val="28"/>
        </w:rPr>
        <w:t>份，每份具有同等法律效力。</w:t>
      </w:r>
    </w:p>
    <w:p w:rsidR="008053E8">
      <w:pPr>
        <w:adjustRightInd w:val="0"/>
        <w:snapToGrid w:val="0"/>
        <w:spacing w:line="360" w:lineRule="auto"/>
        <w:rPr>
          <w:color w:val="000000"/>
          <w:sz w:val="28"/>
        </w:rPr>
      </w:pPr>
    </w:p>
    <w:p w:rsidR="008053E8">
      <w:pPr>
        <w:pStyle w:val="Heading2"/>
        <w:spacing w:line="360" w:lineRule="auto"/>
        <w:jc w:val="center"/>
        <w:rPr>
          <w:rFonts w:ascii="Times New Roman" w:eastAsia="宋体" w:hAnsi="Times New Roman"/>
          <w:color w:val="000000"/>
          <w:sz w:val="28"/>
        </w:rPr>
      </w:pPr>
      <w:bookmarkStart w:id="97" w:name="_Toc335661653"/>
      <w:r>
        <w:rPr>
          <w:rFonts w:ascii="Times New Roman" w:eastAsia="宋体" w:hAnsi="宋体"/>
          <w:color w:val="000000"/>
          <w:sz w:val="28"/>
        </w:rPr>
        <w:t>二十、其他事项</w:t>
      </w:r>
      <w:bookmarkEnd w:id="97"/>
    </w:p>
    <w:p w:rsidR="008053E8">
      <w:pPr>
        <w:adjustRightInd w:val="0"/>
        <w:snapToGrid w:val="0"/>
        <w:spacing w:line="360" w:lineRule="auto"/>
        <w:ind w:firstLine="560" w:firstLineChars="200"/>
        <w:rPr>
          <w:color w:val="000000"/>
          <w:sz w:val="28"/>
        </w:rPr>
      </w:pPr>
      <w:r>
        <w:rPr>
          <w:rFonts w:hAnsi="宋体"/>
          <w:color w:val="000000"/>
          <w:sz w:val="28"/>
        </w:rPr>
        <w:t>除本协议有明确定义外，本协议的用语定义适用基金合同的约定。本协议未尽事宜，当事人依据基金合同、有关法律法规等规定协商办理。</w:t>
      </w:r>
    </w:p>
    <w:p w:rsidR="008053E8">
      <w:pPr>
        <w:adjustRightInd w:val="0"/>
        <w:snapToGrid w:val="0"/>
        <w:spacing w:line="360" w:lineRule="auto"/>
        <w:rPr>
          <w:b/>
          <w:color w:val="000000"/>
          <w:sz w:val="28"/>
        </w:rPr>
      </w:pPr>
    </w:p>
    <w:p w:rsidR="008053E8">
      <w:pPr>
        <w:pStyle w:val="Heading2"/>
        <w:spacing w:line="360" w:lineRule="auto"/>
        <w:jc w:val="center"/>
        <w:rPr>
          <w:rFonts w:ascii="Times New Roman" w:eastAsia="宋体" w:hAnsi="Times New Roman"/>
          <w:color w:val="000000"/>
          <w:sz w:val="28"/>
        </w:rPr>
      </w:pPr>
      <w:bookmarkStart w:id="98" w:name="_Toc335661654"/>
      <w:r>
        <w:rPr>
          <w:rFonts w:ascii="Times New Roman" w:eastAsia="宋体" w:hAnsi="宋体"/>
          <w:color w:val="000000"/>
          <w:sz w:val="28"/>
        </w:rPr>
        <w:t>二十一、托管协议的签订</w:t>
      </w:r>
      <w:bookmarkEnd w:id="98"/>
    </w:p>
    <w:p w:rsidR="008053E8">
      <w:pPr>
        <w:adjustRightInd w:val="0"/>
        <w:snapToGrid w:val="0"/>
        <w:spacing w:line="360" w:lineRule="auto"/>
        <w:ind w:firstLine="560" w:firstLineChars="200"/>
        <w:rPr>
          <w:rFonts w:hAnsi="宋体"/>
          <w:color w:val="000000"/>
          <w:sz w:val="28"/>
        </w:rPr>
        <w:sectPr>
          <w:headerReference w:type="first" r:id="rId15"/>
          <w:footerReference w:type="first" r:id="rId16"/>
          <w:pgSz w:w="13227" w:h="16838"/>
          <w:pgMar w:top="1440" w:right="1797" w:bottom="1440" w:left="1797" w:header="851" w:footer="992" w:gutter="0"/>
          <w:pgNumType w:start="1"/>
          <w:cols w:space="720"/>
          <w:titlePg/>
          <w:docGrid w:type="lines" w:linePitch="312"/>
        </w:sectPr>
      </w:pPr>
      <w:r>
        <w:rPr>
          <w:rFonts w:hAnsi="宋体"/>
          <w:color w:val="000000"/>
          <w:sz w:val="28"/>
        </w:rPr>
        <w:t>本协议双方法定代表人或授权代表人签章、签订地、签订日</w:t>
      </w:r>
      <w:bookmarkStart w:id="99" w:name="_Hlt89590562"/>
      <w:bookmarkEnd w:id="99"/>
    </w:p>
    <w:p w:rsidR="008053E8">
      <w:pPr>
        <w:pStyle w:val="Style6"/>
        <w:spacing w:line="360" w:lineRule="auto"/>
        <w:ind w:firstLine="560"/>
        <w:rPr>
          <w:rFonts w:ascii="宋体" w:eastAsia="宋体"/>
          <w:sz w:val="28"/>
        </w:rPr>
      </w:pPr>
      <w:r>
        <w:rPr>
          <w:rFonts w:ascii="宋体" w:eastAsia="宋体" w:hint="eastAsia"/>
          <w:sz w:val="28"/>
        </w:rPr>
        <w:t>（本页无正文，为《易方达中债新综合债券指数发起式证券投资基金（LOF）托管协议》的签字盖章页。）</w:t>
      </w:r>
    </w:p>
    <w:p w:rsidR="008053E8">
      <w:pPr>
        <w:spacing w:line="360" w:lineRule="auto"/>
        <w:ind w:firstLine="538" w:firstLineChars="192"/>
        <w:rPr>
          <w:rFonts w:ascii="宋体" w:hAnsi="宋体"/>
          <w:sz w:val="28"/>
        </w:rPr>
      </w:pPr>
    </w:p>
    <w:p w:rsidR="008053E8">
      <w:pPr>
        <w:spacing w:line="360" w:lineRule="auto"/>
        <w:ind w:firstLine="538" w:firstLineChars="192"/>
        <w:rPr>
          <w:rFonts w:ascii="宋体" w:hAnsi="宋体"/>
          <w:sz w:val="28"/>
        </w:rPr>
      </w:pPr>
    </w:p>
    <w:p w:rsidR="008053E8">
      <w:pPr>
        <w:spacing w:line="360" w:lineRule="auto"/>
        <w:ind w:firstLine="538" w:firstLineChars="192"/>
        <w:rPr>
          <w:rFonts w:ascii="宋体" w:hAnsi="宋体"/>
          <w:sz w:val="28"/>
        </w:rPr>
      </w:pPr>
      <w:r>
        <w:rPr>
          <w:rFonts w:ascii="宋体" w:hAnsi="宋体" w:hint="eastAsia"/>
          <w:sz w:val="28"/>
        </w:rPr>
        <w:t>基金管理人：易方达基金管理有限公司（法人盖章）</w:t>
      </w:r>
    </w:p>
    <w:p w:rsidR="008053E8">
      <w:pPr>
        <w:pStyle w:val="Style6"/>
        <w:spacing w:line="360" w:lineRule="auto"/>
        <w:ind w:firstLine="560"/>
        <w:rPr>
          <w:rFonts w:ascii="宋体" w:eastAsia="宋体"/>
          <w:sz w:val="28"/>
        </w:rPr>
      </w:pPr>
    </w:p>
    <w:p w:rsidR="008053E8">
      <w:pPr>
        <w:pStyle w:val="Style6"/>
        <w:spacing w:line="360" w:lineRule="auto"/>
        <w:ind w:firstLine="560"/>
        <w:rPr>
          <w:rFonts w:ascii="宋体" w:eastAsia="宋体"/>
          <w:sz w:val="28"/>
        </w:rPr>
      </w:pPr>
    </w:p>
    <w:p w:rsidR="008053E8">
      <w:pPr>
        <w:pStyle w:val="Style6"/>
        <w:spacing w:line="360" w:lineRule="auto"/>
        <w:ind w:firstLine="538" w:firstLineChars="192"/>
        <w:rPr>
          <w:rFonts w:ascii="宋体" w:eastAsia="宋体"/>
          <w:sz w:val="28"/>
        </w:rPr>
      </w:pPr>
      <w:r>
        <w:rPr>
          <w:rFonts w:ascii="宋体" w:eastAsia="宋体" w:hint="eastAsia"/>
          <w:sz w:val="28"/>
        </w:rPr>
        <w:t>法定代表人或授权代表（签字）：</w:t>
      </w:r>
    </w:p>
    <w:p w:rsidR="008053E8">
      <w:pPr>
        <w:pStyle w:val="Style6"/>
        <w:spacing w:line="360" w:lineRule="auto"/>
        <w:ind w:firstLine="560"/>
        <w:rPr>
          <w:rFonts w:ascii="宋体" w:eastAsia="宋体"/>
          <w:sz w:val="28"/>
        </w:rPr>
      </w:pPr>
    </w:p>
    <w:p w:rsidR="008053E8">
      <w:pPr>
        <w:pStyle w:val="Style6"/>
        <w:spacing w:line="360" w:lineRule="auto"/>
        <w:ind w:firstLine="560"/>
        <w:rPr>
          <w:rFonts w:ascii="宋体" w:eastAsia="宋体"/>
          <w:sz w:val="28"/>
        </w:rPr>
      </w:pPr>
    </w:p>
    <w:p w:rsidR="008053E8">
      <w:pPr>
        <w:pStyle w:val="Style6"/>
        <w:spacing w:line="360" w:lineRule="auto"/>
        <w:ind w:firstLine="560"/>
        <w:rPr>
          <w:rFonts w:ascii="宋体" w:eastAsia="宋体"/>
          <w:sz w:val="28"/>
        </w:rPr>
      </w:pPr>
      <w:r>
        <w:rPr>
          <w:rFonts w:ascii="宋体" w:eastAsia="宋体" w:hint="eastAsia"/>
          <w:sz w:val="28"/>
        </w:rPr>
        <w:t>签订地：北京</w:t>
      </w:r>
    </w:p>
    <w:p w:rsidR="008053E8">
      <w:pPr>
        <w:pStyle w:val="Style6"/>
        <w:spacing w:line="360" w:lineRule="auto"/>
        <w:ind w:firstLine="560"/>
        <w:rPr>
          <w:rFonts w:ascii="宋体" w:eastAsia="宋体"/>
          <w:sz w:val="28"/>
        </w:rPr>
      </w:pPr>
    </w:p>
    <w:p w:rsidR="008053E8">
      <w:pPr>
        <w:pStyle w:val="Style6"/>
        <w:spacing w:line="360" w:lineRule="auto"/>
        <w:ind w:firstLine="538" w:firstLineChars="192"/>
        <w:rPr>
          <w:rFonts w:ascii="宋体" w:eastAsia="宋体"/>
          <w:sz w:val="28"/>
        </w:rPr>
      </w:pPr>
      <w:r>
        <w:rPr>
          <w:rFonts w:ascii="宋体" w:eastAsia="宋体" w:hint="eastAsia"/>
          <w:sz w:val="28"/>
        </w:rPr>
        <w:t>签订日：　　　　　年   月    日</w:t>
      </w:r>
    </w:p>
    <w:p w:rsidR="008053E8">
      <w:pPr>
        <w:spacing w:line="360" w:lineRule="auto"/>
        <w:rPr>
          <w:rFonts w:ascii="宋体" w:hAnsi="宋体"/>
          <w:color w:val="000000"/>
          <w:sz w:val="28"/>
        </w:rPr>
      </w:pPr>
    </w:p>
    <w:p w:rsidR="008053E8">
      <w:pPr>
        <w:spacing w:line="360" w:lineRule="auto"/>
        <w:rPr>
          <w:rFonts w:ascii="宋体" w:hAnsi="宋体"/>
          <w:color w:val="000000"/>
          <w:sz w:val="28"/>
        </w:rPr>
      </w:pPr>
    </w:p>
    <w:p w:rsidR="008053E8">
      <w:pPr>
        <w:pStyle w:val="Style6"/>
        <w:spacing w:line="360" w:lineRule="auto"/>
        <w:ind w:firstLine="560"/>
        <w:rPr>
          <w:rFonts w:ascii="宋体" w:eastAsia="宋体"/>
          <w:sz w:val="28"/>
        </w:rPr>
      </w:pPr>
      <w:r>
        <w:rPr>
          <w:rFonts w:ascii="宋体" w:eastAsia="宋体" w:hint="eastAsia"/>
          <w:sz w:val="28"/>
        </w:rPr>
        <w:t>基金托管人:中国农业银行股份有限公司（法人盖章）</w:t>
      </w:r>
    </w:p>
    <w:p w:rsidR="008053E8">
      <w:pPr>
        <w:pStyle w:val="Style6"/>
        <w:spacing w:line="360" w:lineRule="auto"/>
        <w:ind w:firstLine="538" w:firstLineChars="192"/>
        <w:rPr>
          <w:rFonts w:ascii="宋体" w:eastAsia="宋体"/>
          <w:sz w:val="28"/>
        </w:rPr>
      </w:pPr>
    </w:p>
    <w:p w:rsidR="008053E8">
      <w:pPr>
        <w:pStyle w:val="Style6"/>
        <w:spacing w:line="360" w:lineRule="auto"/>
        <w:ind w:firstLine="538" w:firstLineChars="192"/>
        <w:rPr>
          <w:rFonts w:ascii="宋体" w:eastAsia="宋体"/>
          <w:sz w:val="28"/>
        </w:rPr>
      </w:pPr>
    </w:p>
    <w:p w:rsidR="008053E8">
      <w:pPr>
        <w:pStyle w:val="Style6"/>
        <w:spacing w:line="360" w:lineRule="auto"/>
        <w:ind w:firstLine="538" w:firstLineChars="192"/>
        <w:rPr>
          <w:rFonts w:ascii="宋体" w:eastAsia="宋体"/>
          <w:sz w:val="28"/>
        </w:rPr>
      </w:pPr>
      <w:r>
        <w:rPr>
          <w:rFonts w:ascii="宋体" w:eastAsia="宋体" w:hint="eastAsia"/>
          <w:sz w:val="28"/>
        </w:rPr>
        <w:t>法定代表人或授权代表（签字）：</w:t>
      </w:r>
    </w:p>
    <w:p w:rsidR="008053E8">
      <w:pPr>
        <w:pStyle w:val="Style6"/>
        <w:spacing w:line="360" w:lineRule="auto"/>
        <w:ind w:firstLine="560"/>
        <w:rPr>
          <w:rFonts w:ascii="宋体" w:eastAsia="宋体"/>
          <w:sz w:val="28"/>
        </w:rPr>
      </w:pPr>
    </w:p>
    <w:p w:rsidR="008053E8">
      <w:pPr>
        <w:pStyle w:val="Style6"/>
        <w:spacing w:line="360" w:lineRule="auto"/>
        <w:ind w:firstLine="560"/>
        <w:rPr>
          <w:rFonts w:ascii="宋体" w:eastAsia="宋体"/>
          <w:sz w:val="28"/>
        </w:rPr>
      </w:pPr>
      <w:r>
        <w:rPr>
          <w:rFonts w:ascii="宋体" w:eastAsia="宋体" w:hint="eastAsia"/>
          <w:sz w:val="28"/>
        </w:rPr>
        <w:t>签订地：北京</w:t>
      </w:r>
    </w:p>
    <w:p w:rsidR="008053E8">
      <w:pPr>
        <w:pStyle w:val="Style6"/>
        <w:spacing w:line="360" w:lineRule="auto"/>
        <w:ind w:firstLine="560"/>
        <w:rPr>
          <w:rFonts w:ascii="宋体" w:eastAsia="宋体"/>
          <w:sz w:val="28"/>
        </w:rPr>
      </w:pPr>
    </w:p>
    <w:p w:rsidR="008053E8">
      <w:pPr>
        <w:pStyle w:val="Style6"/>
        <w:spacing w:line="360" w:lineRule="auto"/>
        <w:ind w:firstLine="538" w:firstLineChars="192"/>
      </w:pPr>
      <w:r>
        <w:rPr>
          <w:rFonts w:ascii="宋体" w:hint="eastAsia"/>
          <w:sz w:val="28"/>
        </w:rPr>
        <w:t>签订日：　　　　年</w:t>
      </w:r>
      <w:r>
        <w:rPr>
          <w:rFonts w:ascii="宋体" w:hint="eastAsia"/>
          <w:sz w:val="28"/>
        </w:rPr>
        <w:t xml:space="preserve">   </w:t>
      </w:r>
      <w:r>
        <w:rPr>
          <w:rFonts w:ascii="宋体" w:hint="eastAsia"/>
          <w:sz w:val="28"/>
        </w:rPr>
        <w:t>月</w:t>
      </w:r>
      <w:r>
        <w:rPr>
          <w:rFonts w:ascii="宋体" w:hint="eastAsia"/>
          <w:sz w:val="28"/>
        </w:rPr>
        <w:t xml:space="preserve">   </w:t>
      </w:r>
      <w:r>
        <w:rPr>
          <w:rFonts w:ascii="宋体" w:hint="eastAsia"/>
          <w:sz w:val="28"/>
        </w:rPr>
        <w:t>日</w:t>
      </w:r>
    </w:p>
    <w:p w:rsidR="008053E8">
      <w:pPr>
        <w:rPr>
          <w:sz w:val="28"/>
        </w:rPr>
      </w:pPr>
    </w:p>
    <w:sectPr>
      <w:footerReference w:type="first" r:id="rId17"/>
      <w:pgSz w:w="13227" w:h="16838"/>
      <w:pgMar w:top="1440" w:right="1797" w:bottom="1440" w:left="1797"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 w:rsidR="00DD6562">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jc w:val="center"/>
    </w:pPr>
    <w:r>
      <w:fldChar w:fldCharType="begin"/>
    </w:r>
    <w:r>
      <w:instrText xml:space="preserve"> PAGE   \* MERGEFORMAT </w:instrText>
    </w:r>
    <w:r>
      <w:fldChar w:fldCharType="separate"/>
    </w:r>
    <w:r>
      <w:rPr>
        <w:lang w:val="zh-CN"/>
      </w:rPr>
      <w:t>2</w:t>
    </w:r>
    <w:r>
      <w:fldChar w:fldCharType="end"/>
    </w:r>
  </w:p>
  <w:p w:rsidR="00DD6562">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jc w:val="center"/>
    </w:pPr>
    <w:r>
      <w:fldChar w:fldCharType="begin"/>
    </w:r>
    <w:r>
      <w:instrText xml:space="preserve"> PAGE   \* MERGEFORMAT </w:instrText>
    </w:r>
    <w:r>
      <w:fldChar w:fldCharType="separate"/>
    </w:r>
    <w:r w:rsidRPr="0074437D" w:rsidR="0074437D">
      <w:rPr>
        <w:noProof/>
        <w:lang w:val="zh-CN"/>
      </w:rPr>
      <w:t>42</w:t>
    </w:r>
    <w:r>
      <w:rPr>
        <w:lang w:val="zh-CN"/>
      </w:rPr>
      <w:fldChar w:fldCharType="end"/>
    </w:r>
  </w:p>
  <w:p w:rsidR="00DD6562">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jc w:val="center"/>
    </w:pPr>
  </w:p>
  <w:p w:rsidR="00DD65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DD65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Header"/>
      <w:pBdr>
        <w:bottom w:val="none" w:sz="0" w:space="0" w:color="auto"/>
      </w:pBdr>
      <w:jc w:val="right"/>
      <w:rPr>
        <w:szCs w:val="18"/>
      </w:rPr>
    </w:pPr>
  </w:p>
  <w:p w:rsidR="00DD6562">
    <w:pPr>
      <w:jc w:val="right"/>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Header"/>
      <w:pBdr>
        <w:bottom w:val="none" w:sz="0" w:space="0" w:color="auto"/>
      </w:pBdr>
      <w:jc w:val="right"/>
      <w:rPr>
        <w:szCs w:val="18"/>
      </w:rPr>
    </w:pPr>
  </w:p>
  <w:p w:rsidR="00DD6562">
    <w:pPr>
      <w:tabs>
        <w:tab w:val="left" w:pos="6249"/>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2">
    <w:pPr>
      <w:pStyle w:val="Header"/>
      <w:pBdr>
        <w:bottom w:val="none" w:sz="0" w:space="0" w:color="auto"/>
      </w:pBdr>
      <w:jc w:val="right"/>
      <w:rPr>
        <w:szCs w:val="18"/>
      </w:rPr>
    </w:pPr>
  </w:p>
  <w:p w:rsidR="00DD6562">
    <w:pPr>
      <w:pStyle w:val="Header"/>
      <w:pBdr>
        <w:bottom w:val="none" w:sz="0" w:space="0" w:color="auto"/>
      </w:pBdr>
      <w:jc w:val="right"/>
      <w:rPr>
        <w:szCs w:val="18"/>
      </w:rPr>
    </w:pPr>
    <w:r>
      <w:rPr>
        <w:szCs w:val="18"/>
      </w:rPr>
      <w:tab/>
    </w:r>
  </w:p>
  <w:p w:rsidR="00DD6562">
    <w:pPr>
      <w:tabs>
        <w:tab w:val="left" w:pos="6249"/>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CFB"/>
    <w:rsid w:val="00047BF7"/>
    <w:rsid w:val="00071B45"/>
    <w:rsid w:val="000904A0"/>
    <w:rsid w:val="00093F67"/>
    <w:rsid w:val="0009494B"/>
    <w:rsid w:val="000B48B8"/>
    <w:rsid w:val="000C3891"/>
    <w:rsid w:val="000D6854"/>
    <w:rsid w:val="000E2E3D"/>
    <w:rsid w:val="000E7084"/>
    <w:rsid w:val="00105C51"/>
    <w:rsid w:val="0011302E"/>
    <w:rsid w:val="001327D9"/>
    <w:rsid w:val="0014484A"/>
    <w:rsid w:val="00151F4E"/>
    <w:rsid w:val="00172A27"/>
    <w:rsid w:val="00194FD8"/>
    <w:rsid w:val="001A21CA"/>
    <w:rsid w:val="001B29C4"/>
    <w:rsid w:val="001F55D5"/>
    <w:rsid w:val="002437E1"/>
    <w:rsid w:val="00243D32"/>
    <w:rsid w:val="00247819"/>
    <w:rsid w:val="00266DF1"/>
    <w:rsid w:val="00283F10"/>
    <w:rsid w:val="002A7E4A"/>
    <w:rsid w:val="002F1CDE"/>
    <w:rsid w:val="003260D4"/>
    <w:rsid w:val="00330417"/>
    <w:rsid w:val="00356166"/>
    <w:rsid w:val="0036487D"/>
    <w:rsid w:val="003714CD"/>
    <w:rsid w:val="0039601E"/>
    <w:rsid w:val="003E69F6"/>
    <w:rsid w:val="00404405"/>
    <w:rsid w:val="0043545C"/>
    <w:rsid w:val="00447C76"/>
    <w:rsid w:val="00463539"/>
    <w:rsid w:val="004651AC"/>
    <w:rsid w:val="00486F8C"/>
    <w:rsid w:val="004A0D8E"/>
    <w:rsid w:val="004B246D"/>
    <w:rsid w:val="004D5F33"/>
    <w:rsid w:val="004E081E"/>
    <w:rsid w:val="004F6BA8"/>
    <w:rsid w:val="005316D6"/>
    <w:rsid w:val="00533B98"/>
    <w:rsid w:val="005664FB"/>
    <w:rsid w:val="005668B5"/>
    <w:rsid w:val="00570643"/>
    <w:rsid w:val="00595C18"/>
    <w:rsid w:val="005B507A"/>
    <w:rsid w:val="005D1D2E"/>
    <w:rsid w:val="005D3B3C"/>
    <w:rsid w:val="005E01A9"/>
    <w:rsid w:val="005E0939"/>
    <w:rsid w:val="005E3BDD"/>
    <w:rsid w:val="005F5BE3"/>
    <w:rsid w:val="00625FC2"/>
    <w:rsid w:val="00642552"/>
    <w:rsid w:val="00646D46"/>
    <w:rsid w:val="00651434"/>
    <w:rsid w:val="006567D1"/>
    <w:rsid w:val="006636E3"/>
    <w:rsid w:val="00664DF6"/>
    <w:rsid w:val="00667442"/>
    <w:rsid w:val="00670ED2"/>
    <w:rsid w:val="00674C76"/>
    <w:rsid w:val="006901B4"/>
    <w:rsid w:val="006B2789"/>
    <w:rsid w:val="006B3D7A"/>
    <w:rsid w:val="006C7572"/>
    <w:rsid w:val="006E205F"/>
    <w:rsid w:val="007346A6"/>
    <w:rsid w:val="0073482B"/>
    <w:rsid w:val="00740A13"/>
    <w:rsid w:val="0074437D"/>
    <w:rsid w:val="0074593E"/>
    <w:rsid w:val="007957D4"/>
    <w:rsid w:val="00796DB4"/>
    <w:rsid w:val="007A3E8A"/>
    <w:rsid w:val="007D3DF1"/>
    <w:rsid w:val="007F40FC"/>
    <w:rsid w:val="008053E8"/>
    <w:rsid w:val="0081001A"/>
    <w:rsid w:val="0083284C"/>
    <w:rsid w:val="00854030"/>
    <w:rsid w:val="00855E18"/>
    <w:rsid w:val="008D78B9"/>
    <w:rsid w:val="00917445"/>
    <w:rsid w:val="009303F3"/>
    <w:rsid w:val="00941CCF"/>
    <w:rsid w:val="00952B9C"/>
    <w:rsid w:val="00955D55"/>
    <w:rsid w:val="009917AE"/>
    <w:rsid w:val="009A0D8A"/>
    <w:rsid w:val="009A22D9"/>
    <w:rsid w:val="009B209E"/>
    <w:rsid w:val="009D38BC"/>
    <w:rsid w:val="009E2FC0"/>
    <w:rsid w:val="009F38C5"/>
    <w:rsid w:val="009F38EF"/>
    <w:rsid w:val="009F4179"/>
    <w:rsid w:val="00A42413"/>
    <w:rsid w:val="00A83942"/>
    <w:rsid w:val="00A923A0"/>
    <w:rsid w:val="00AA6C82"/>
    <w:rsid w:val="00AB400F"/>
    <w:rsid w:val="00AE438A"/>
    <w:rsid w:val="00B12041"/>
    <w:rsid w:val="00B12818"/>
    <w:rsid w:val="00B148FB"/>
    <w:rsid w:val="00B17479"/>
    <w:rsid w:val="00B53B85"/>
    <w:rsid w:val="00B9659D"/>
    <w:rsid w:val="00BB5751"/>
    <w:rsid w:val="00BD2984"/>
    <w:rsid w:val="00C043F7"/>
    <w:rsid w:val="00C0549A"/>
    <w:rsid w:val="00C10E9D"/>
    <w:rsid w:val="00C266EC"/>
    <w:rsid w:val="00C35D43"/>
    <w:rsid w:val="00C5799A"/>
    <w:rsid w:val="00C61F5D"/>
    <w:rsid w:val="00C81CA2"/>
    <w:rsid w:val="00CA380E"/>
    <w:rsid w:val="00CB7F60"/>
    <w:rsid w:val="00CC5F3C"/>
    <w:rsid w:val="00CD499E"/>
    <w:rsid w:val="00CE3F31"/>
    <w:rsid w:val="00CF496A"/>
    <w:rsid w:val="00D02AAF"/>
    <w:rsid w:val="00D04FBE"/>
    <w:rsid w:val="00D06F58"/>
    <w:rsid w:val="00D335B2"/>
    <w:rsid w:val="00D568B1"/>
    <w:rsid w:val="00D96352"/>
    <w:rsid w:val="00D97857"/>
    <w:rsid w:val="00DD6562"/>
    <w:rsid w:val="00DE4785"/>
    <w:rsid w:val="00DE4E4C"/>
    <w:rsid w:val="00DE6960"/>
    <w:rsid w:val="00DF2805"/>
    <w:rsid w:val="00E411B3"/>
    <w:rsid w:val="00E74C73"/>
    <w:rsid w:val="00E80228"/>
    <w:rsid w:val="00E86CBB"/>
    <w:rsid w:val="00E93F5F"/>
    <w:rsid w:val="00EA0D50"/>
    <w:rsid w:val="00EA268D"/>
    <w:rsid w:val="00EA6AE9"/>
    <w:rsid w:val="00EC314D"/>
    <w:rsid w:val="00ED20DA"/>
    <w:rsid w:val="00EF305D"/>
    <w:rsid w:val="00F35D91"/>
    <w:rsid w:val="00F755A9"/>
    <w:rsid w:val="00F7595F"/>
    <w:rsid w:val="00FA2208"/>
    <w:rsid w:val="00FA705B"/>
    <w:rsid w:val="62FF70C4"/>
    <w:rsid w:val="7FDE63F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9921DB1-8683-4644-A482-D69B62C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2">
    <w:name w:val="heading 2"/>
    <w:basedOn w:val="Normal"/>
    <w:next w:val="NormalIndent"/>
    <w:qFormat/>
    <w:pPr>
      <w:keepNext/>
      <w:keepLines/>
      <w:spacing w:before="260" w:after="260" w:line="413" w:lineRule="auto"/>
      <w:outlineLvl w:val="1"/>
    </w:pPr>
    <w:rPr>
      <w:rFonts w:ascii="Arial" w:eastAsia="黑体"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firstLineChars="200"/>
    </w:pPr>
  </w:style>
  <w:style w:type="paragraph" w:styleId="DocumentMap">
    <w:name w:val="Document Map"/>
    <w:basedOn w:val="Normal"/>
    <w:pPr>
      <w:shd w:val="clear" w:color="auto" w:fill="000080"/>
    </w:pPr>
  </w:style>
  <w:style w:type="paragraph" w:styleId="CommentText">
    <w:name w:val="annotation text"/>
    <w:basedOn w:val="Normal"/>
    <w:link w:val="a1"/>
    <w:qFormat/>
    <w:pPr>
      <w:jc w:val="left"/>
    </w:pPr>
  </w:style>
  <w:style w:type="paragraph" w:styleId="BodyText">
    <w:name w:val="Body Text"/>
    <w:basedOn w:val="Normal"/>
    <w:qFormat/>
    <w:pPr>
      <w:spacing w:after="120"/>
    </w:pPr>
  </w:style>
  <w:style w:type="paragraph" w:styleId="BodyTextIndent">
    <w:name w:val="Body Text Indent"/>
    <w:basedOn w:val="Normal"/>
    <w:pPr>
      <w:spacing w:after="120"/>
      <w:ind w:left="420" w:leftChars="200"/>
    </w:pPr>
  </w:style>
  <w:style w:type="paragraph" w:styleId="BodyTextIndent2">
    <w:name w:val="Body Text Indent 2"/>
    <w:basedOn w:val="Normal"/>
    <w:pPr>
      <w:spacing w:after="120" w:line="480" w:lineRule="auto"/>
      <w:ind w:left="420" w:leftChars="200"/>
    </w:pPr>
  </w:style>
  <w:style w:type="paragraph" w:styleId="BalloonText">
    <w:name w:val="Balloon Text"/>
    <w:basedOn w:val="Normal"/>
    <w:rPr>
      <w:sz w:val="18"/>
    </w:rPr>
  </w:style>
  <w:style w:type="paragraph" w:styleId="Footer">
    <w:name w:val="footer"/>
    <w:basedOn w:val="Normal"/>
    <w:link w:val="a0"/>
    <w:uiPriority w:val="99"/>
    <w:pPr>
      <w:tabs>
        <w:tab w:val="center" w:pos="4153"/>
        <w:tab w:val="right" w:pos="8306"/>
      </w:tabs>
      <w:snapToGrid w:val="0"/>
      <w:jc w:val="left"/>
    </w:pPr>
    <w:rPr>
      <w:sz w:val="18"/>
    </w:rPr>
  </w:style>
  <w:style w:type="paragraph" w:styleId="Header">
    <w:name w:val="header"/>
    <w:basedOn w:val="Normal"/>
    <w:link w:val="a"/>
    <w:uiPriority w:val="99"/>
    <w:qFormat/>
    <w:pPr>
      <w:pBdr>
        <w:bottom w:val="single" w:sz="6" w:space="1" w:color="auto"/>
      </w:pBdr>
      <w:tabs>
        <w:tab w:val="center" w:pos="4153"/>
        <w:tab w:val="right" w:pos="8306"/>
      </w:tabs>
      <w:snapToGrid w:val="0"/>
      <w:jc w:val="center"/>
    </w:pPr>
    <w:rPr>
      <w:sz w:val="18"/>
    </w:rPr>
  </w:style>
  <w:style w:type="paragraph" w:styleId="BodyTextIndent3">
    <w:name w:val="Body Text Indent 3"/>
    <w:basedOn w:val="Normal"/>
    <w:pPr>
      <w:spacing w:after="120"/>
      <w:ind w:left="420" w:leftChars="200"/>
    </w:pPr>
    <w:rPr>
      <w:sz w:val="16"/>
    </w:rPr>
  </w:style>
  <w:style w:type="paragraph" w:styleId="TOC2">
    <w:name w:val="toc 2"/>
    <w:basedOn w:val="Normal"/>
    <w:next w:val="Normal"/>
    <w:uiPriority w:val="39"/>
    <w:pPr>
      <w:ind w:left="420" w:leftChars="200"/>
    </w:pPr>
  </w:style>
  <w:style w:type="paragraph" w:styleId="NormalWeb">
    <w:name w:val="Normal (Web)"/>
    <w:basedOn w:val="Normal"/>
    <w:rPr>
      <w:sz w:val="24"/>
    </w:rPr>
  </w:style>
  <w:style w:type="paragraph" w:styleId="CommentSubject">
    <w:name w:val="annotation subject"/>
    <w:basedOn w:val="CommentText"/>
    <w:next w:val="CommentText"/>
    <w:rPr>
      <w:b/>
    </w:rPr>
  </w:style>
  <w:style w:type="character" w:styleId="Strong">
    <w:name w:val="Strong"/>
    <w:basedOn w:val="DefaultParagraphFont"/>
    <w:qFormat/>
    <w:rPr>
      <w:b/>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rPr>
      <w:sz w:val="21"/>
    </w:rPr>
  </w:style>
  <w:style w:type="character" w:customStyle="1" w:styleId="read">
    <w:name w:val="read"/>
    <w:basedOn w:val="DefaultParagraphFont"/>
  </w:style>
  <w:style w:type="paragraph" w:customStyle="1" w:styleId="CharCharChar1">
    <w:name w:val="Char Char Char1"/>
    <w:basedOn w:val="Normal"/>
  </w:style>
  <w:style w:type="paragraph" w:customStyle="1" w:styleId="1">
    <w:name w:val="1"/>
    <w:basedOn w:val="Normal"/>
    <w:next w:val="BodyTextIndent3"/>
    <w:pPr>
      <w:adjustRightInd w:val="0"/>
      <w:snapToGrid w:val="0"/>
      <w:ind w:firstLine="480" w:firstLineChars="200"/>
    </w:pPr>
    <w:rPr>
      <w:rFonts w:ascii="仿宋_GB2312" w:eastAsia="仿宋_GB2312" w:hAnsi="宋体"/>
      <w:color w:val="000000"/>
      <w:sz w:val="24"/>
    </w:rPr>
  </w:style>
  <w:style w:type="paragraph" w:customStyle="1" w:styleId="Char">
    <w:name w:val="Char"/>
    <w:basedOn w:val="Normal"/>
  </w:style>
  <w:style w:type="paragraph" w:customStyle="1" w:styleId="Style6">
    <w:name w:val="_Style 6"/>
    <w:basedOn w:val="Normal"/>
    <w:next w:val="Normal"/>
    <w:qFormat/>
    <w:pPr>
      <w:adjustRightInd w:val="0"/>
      <w:snapToGrid w:val="0"/>
      <w:ind w:firstLine="480" w:firstLineChars="200"/>
    </w:pPr>
    <w:rPr>
      <w:rFonts w:ascii="仿宋_GB2312" w:eastAsia="仿宋_GB2312" w:hAnsi="宋体"/>
      <w:color w:val="000000"/>
      <w:sz w:val="24"/>
    </w:rPr>
  </w:style>
  <w:style w:type="character" w:customStyle="1" w:styleId="a">
    <w:name w:val="页眉 字符"/>
    <w:basedOn w:val="DefaultParagraphFont"/>
    <w:link w:val="Header"/>
    <w:uiPriority w:val="99"/>
    <w:qFormat/>
    <w:rPr>
      <w:kern w:val="2"/>
      <w:sz w:val="18"/>
    </w:rPr>
  </w:style>
  <w:style w:type="character" w:customStyle="1" w:styleId="a0">
    <w:name w:val="页脚 字符"/>
    <w:basedOn w:val="DefaultParagraphFont"/>
    <w:link w:val="Footer"/>
    <w:uiPriority w:val="99"/>
    <w:rPr>
      <w:kern w:val="2"/>
      <w:sz w:val="18"/>
    </w:rPr>
  </w:style>
  <w:style w:type="character" w:customStyle="1" w:styleId="a1">
    <w:name w:val="批注文字 字符"/>
    <w:basedOn w:val="DefaultParagraphFont"/>
    <w:link w:val="CommentTex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45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