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6 -->
  <w:body>
    <w:p w:rsidR="00EA10E2" w:rsidRPr="00B64A1E" w:rsidP="00EA10E2">
      <w:pPr>
        <w:pStyle w:val="font14"/>
        <w:jc w:val="center"/>
        <w:rPr>
          <w:rFonts w:ascii="Times New Roman" w:hAnsi="Times New Roman" w:cs="Times New Roman"/>
          <w:sz w:val="36"/>
          <w:szCs w:val="36"/>
        </w:rPr>
      </w:pPr>
      <w:r w:rsidRPr="00B64A1E">
        <w:rPr>
          <w:rStyle w:val="Strong"/>
          <w:rFonts w:ascii="Times New Roman" w:hAnsi="Times New Roman" w:cs="Times New Roman"/>
          <w:sz w:val="36"/>
          <w:szCs w:val="36"/>
        </w:rPr>
        <w:t>易方达基金管理有限公司关于旗下部分基金获配</w:t>
      </w:r>
      <w:r w:rsidRPr="00B64A1E" w:rsidR="00F20762">
        <w:rPr>
          <w:rStyle w:val="Strong"/>
          <w:rFonts w:ascii="Times New Roman" w:hAnsi="Times New Roman" w:cs="Times New Roman"/>
          <w:sz w:val="36"/>
          <w:szCs w:val="36"/>
        </w:rPr>
        <w:t>司太立</w:t>
      </w:r>
      <w:r w:rsidRPr="00B64A1E" w:rsidR="005B7759">
        <w:rPr>
          <w:rStyle w:val="Strong"/>
          <w:rFonts w:ascii="Times New Roman" w:hAnsi="Times New Roman" w:cs="Times New Roman"/>
          <w:sz w:val="36"/>
          <w:szCs w:val="36"/>
        </w:rPr>
        <w:t>（</w:t>
      </w:r>
      <w:r w:rsidRPr="00B64A1E" w:rsidR="00F20762">
        <w:rPr>
          <w:rStyle w:val="Strong"/>
          <w:rFonts w:ascii="Times New Roman" w:hAnsi="Times New Roman" w:cs="Times New Roman"/>
          <w:sz w:val="36"/>
          <w:szCs w:val="36"/>
        </w:rPr>
        <w:t>603520</w:t>
      </w:r>
      <w:r w:rsidRPr="00B64A1E" w:rsidR="005B7759">
        <w:rPr>
          <w:rStyle w:val="Strong"/>
          <w:rFonts w:ascii="Times New Roman" w:hAnsi="Times New Roman" w:cs="Times New Roman"/>
          <w:sz w:val="36"/>
          <w:szCs w:val="36"/>
        </w:rPr>
        <w:t>）</w:t>
      </w:r>
      <w:r w:rsidRPr="00B64A1E">
        <w:rPr>
          <w:rStyle w:val="Strong"/>
          <w:rFonts w:ascii="Times New Roman" w:hAnsi="Times New Roman" w:cs="Times New Roman"/>
          <w:sz w:val="36"/>
          <w:szCs w:val="36"/>
        </w:rPr>
        <w:t>非公开发行</w:t>
      </w:r>
      <w:r w:rsidRPr="00B64A1E">
        <w:rPr>
          <w:rStyle w:val="Strong"/>
          <w:rFonts w:ascii="Times New Roman" w:hAnsi="Times New Roman" w:cs="Times New Roman"/>
          <w:sz w:val="36"/>
          <w:szCs w:val="36"/>
        </w:rPr>
        <w:t>A</w:t>
      </w:r>
      <w:r w:rsidRPr="00B64A1E">
        <w:rPr>
          <w:rStyle w:val="Strong"/>
          <w:rFonts w:ascii="Times New Roman" w:hAnsi="Times New Roman" w:cs="Times New Roman"/>
          <w:sz w:val="36"/>
          <w:szCs w:val="36"/>
        </w:rPr>
        <w:t>股的公告</w:t>
      </w:r>
    </w:p>
    <w:p w:rsidR="00740340" w:rsidRPr="00472218" w:rsidP="00575028">
      <w:pPr>
        <w:widowControl/>
        <w:spacing w:line="360" w:lineRule="auto"/>
        <w:ind w:firstLine="480" w:firstLineChars="200"/>
        <w:rPr>
          <w:kern w:val="0"/>
          <w:sz w:val="24"/>
        </w:rPr>
      </w:pPr>
      <w:r w:rsidRPr="00472218">
        <w:rPr>
          <w:kern w:val="0"/>
          <w:sz w:val="24"/>
        </w:rPr>
        <w:t>易方达基金管理有限公司</w:t>
      </w:r>
      <w:r w:rsidRPr="00472218">
        <w:rPr>
          <w:kern w:val="0"/>
          <w:sz w:val="24"/>
        </w:rPr>
        <w:t>(</w:t>
      </w:r>
      <w:r w:rsidRPr="00472218">
        <w:rPr>
          <w:kern w:val="0"/>
          <w:sz w:val="24"/>
        </w:rPr>
        <w:t>以下简称</w:t>
      </w:r>
      <w:r w:rsidRPr="00472218">
        <w:rPr>
          <w:kern w:val="0"/>
          <w:sz w:val="24"/>
        </w:rPr>
        <w:t>“</w:t>
      </w:r>
      <w:r w:rsidRPr="00472218">
        <w:rPr>
          <w:kern w:val="0"/>
          <w:sz w:val="24"/>
        </w:rPr>
        <w:t>本公司</w:t>
      </w:r>
      <w:r w:rsidRPr="00472218">
        <w:rPr>
          <w:kern w:val="0"/>
          <w:sz w:val="24"/>
        </w:rPr>
        <w:t>”)</w:t>
      </w:r>
      <w:r w:rsidRPr="00472218">
        <w:rPr>
          <w:kern w:val="0"/>
          <w:sz w:val="24"/>
        </w:rPr>
        <w:t>所管理的</w:t>
      </w:r>
      <w:r w:rsidRPr="00472218" w:rsidR="00575028">
        <w:rPr>
          <w:kern w:val="0"/>
          <w:sz w:val="24"/>
        </w:rPr>
        <w:t>部分</w:t>
      </w:r>
      <w:r w:rsidRPr="00472218" w:rsidR="00377AFD">
        <w:rPr>
          <w:kern w:val="0"/>
          <w:sz w:val="24"/>
        </w:rPr>
        <w:t>基金</w:t>
      </w:r>
      <w:r w:rsidRPr="00472218">
        <w:rPr>
          <w:kern w:val="0"/>
          <w:sz w:val="24"/>
        </w:rPr>
        <w:t>参加了</w:t>
      </w:r>
      <w:r w:rsidRPr="00472218" w:rsidR="00F20762">
        <w:rPr>
          <w:kern w:val="0"/>
          <w:sz w:val="24"/>
        </w:rPr>
        <w:t>浙江司太立制药股份有限公司</w:t>
      </w:r>
      <w:r w:rsidRPr="00472218">
        <w:rPr>
          <w:kern w:val="0"/>
          <w:sz w:val="24"/>
        </w:rPr>
        <w:t>非公开发行股票的认购。</w:t>
      </w:r>
    </w:p>
    <w:p w:rsidR="001104F8" w:rsidRPr="00472218" w:rsidP="00387016">
      <w:pPr>
        <w:widowControl/>
        <w:spacing w:after="240" w:line="360" w:lineRule="auto"/>
        <w:ind w:firstLine="480" w:firstLineChars="200"/>
        <w:rPr>
          <w:kern w:val="0"/>
          <w:sz w:val="24"/>
        </w:rPr>
      </w:pPr>
      <w:r>
        <w:rPr>
          <w:kern w:val="0"/>
          <w:sz w:val="24"/>
        </w:rPr>
        <w:t>根据中国证监会《公开募集证券投资基金信息披露管理办法》</w:t>
      </w:r>
      <w:r w:rsidRPr="00472218" w:rsidR="00EA10E2">
        <w:rPr>
          <w:kern w:val="0"/>
          <w:sz w:val="24"/>
        </w:rPr>
        <w:t>《关于基金投资非公开发行股票等流通受限证券有关问题的通知》等有关规定</w:t>
      </w:r>
      <w:r w:rsidRPr="00472218" w:rsidR="00EA10E2">
        <w:rPr>
          <w:kern w:val="0"/>
          <w:sz w:val="24"/>
        </w:rPr>
        <w:t>,</w:t>
      </w:r>
      <w:r w:rsidRPr="00472218" w:rsidR="00EA10E2">
        <w:rPr>
          <w:kern w:val="0"/>
          <w:sz w:val="24"/>
        </w:rPr>
        <w:t>本公司现将</w:t>
      </w:r>
      <w:r w:rsidRPr="00E80951" w:rsidR="00E80951">
        <w:rPr>
          <w:rFonts w:hint="eastAsia"/>
          <w:kern w:val="0"/>
          <w:sz w:val="24"/>
        </w:rPr>
        <w:t>旗下</w:t>
      </w:r>
      <w:r w:rsidRPr="00472218" w:rsidR="00FC7DF3">
        <w:rPr>
          <w:kern w:val="0"/>
          <w:sz w:val="24"/>
        </w:rPr>
        <w:t>基金</w:t>
      </w:r>
      <w:r w:rsidRPr="00472218" w:rsidR="00EA10E2">
        <w:rPr>
          <w:kern w:val="0"/>
          <w:sz w:val="24"/>
        </w:rPr>
        <w:t>获配</w:t>
      </w:r>
      <w:r w:rsidRPr="00472218" w:rsidR="00F20762">
        <w:rPr>
          <w:kern w:val="0"/>
          <w:sz w:val="24"/>
        </w:rPr>
        <w:t>浙江司太立制药股份有限公司</w:t>
      </w:r>
      <w:r w:rsidRPr="00472218" w:rsidR="00EA10E2">
        <w:rPr>
          <w:kern w:val="0"/>
          <w:sz w:val="24"/>
        </w:rPr>
        <w:t>非公开发行股票情况披露如下：</w:t>
      </w:r>
    </w:p>
    <w:tbl>
      <w:tblPr>
        <w:tblStyle w:val="TableGrid"/>
        <w:tblW w:w="0" w:type="auto"/>
        <w:jc w:val="center"/>
        <w:tblLook w:val="04A0"/>
      </w:tblPr>
      <w:tblGrid>
        <w:gridCol w:w="2229"/>
        <w:gridCol w:w="1118"/>
        <w:gridCol w:w="1481"/>
        <w:gridCol w:w="837"/>
        <w:gridCol w:w="1424"/>
        <w:gridCol w:w="884"/>
        <w:gridCol w:w="549"/>
      </w:tblGrid>
      <w:tr w:rsidTr="00387016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992" w:type="dxa"/>
            <w:vAlign w:val="center"/>
          </w:tcPr>
          <w:p w:rsidR="00387016" w:rsidRPr="0054726D" w:rsidP="00387016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54726D">
              <w:rPr>
                <w:color w:val="000000"/>
                <w:kern w:val="0"/>
                <w:szCs w:val="21"/>
              </w:rPr>
              <w:t>基金名称</w:t>
            </w:r>
          </w:p>
        </w:tc>
        <w:tc>
          <w:tcPr>
            <w:tcW w:w="1241" w:type="dxa"/>
            <w:vAlign w:val="center"/>
          </w:tcPr>
          <w:p w:rsidR="00387016" w:rsidRPr="0054726D" w:rsidP="00387016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54726D">
              <w:rPr>
                <w:color w:val="000000"/>
                <w:kern w:val="0"/>
                <w:szCs w:val="21"/>
              </w:rPr>
              <w:t>获配数量（股）</w:t>
            </w:r>
          </w:p>
        </w:tc>
        <w:tc>
          <w:tcPr>
            <w:tcW w:w="1594" w:type="dxa"/>
            <w:vAlign w:val="center"/>
          </w:tcPr>
          <w:p w:rsidR="00387016" w:rsidRPr="0054726D" w:rsidP="00387016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54726D">
              <w:rPr>
                <w:color w:val="000000"/>
                <w:kern w:val="0"/>
                <w:szCs w:val="21"/>
              </w:rPr>
              <w:t>总成本（元）</w:t>
            </w:r>
          </w:p>
        </w:tc>
        <w:tc>
          <w:tcPr>
            <w:tcW w:w="993" w:type="dxa"/>
            <w:vAlign w:val="center"/>
          </w:tcPr>
          <w:p w:rsidR="00387016" w:rsidRPr="0054726D" w:rsidP="00387016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54726D">
              <w:rPr>
                <w:color w:val="000000"/>
                <w:kern w:val="0"/>
                <w:szCs w:val="21"/>
              </w:rPr>
              <w:t>总成本占基金资产净值比例</w:t>
            </w:r>
          </w:p>
        </w:tc>
        <w:tc>
          <w:tcPr>
            <w:tcW w:w="1417" w:type="dxa"/>
            <w:vAlign w:val="center"/>
          </w:tcPr>
          <w:p w:rsidR="00387016" w:rsidRPr="0054726D" w:rsidP="00387016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54726D">
              <w:rPr>
                <w:color w:val="000000"/>
                <w:kern w:val="0"/>
                <w:szCs w:val="21"/>
              </w:rPr>
              <w:t>账面价值（元）</w:t>
            </w:r>
          </w:p>
        </w:tc>
        <w:tc>
          <w:tcPr>
            <w:tcW w:w="1134" w:type="dxa"/>
            <w:vAlign w:val="center"/>
          </w:tcPr>
          <w:p w:rsidR="00387016" w:rsidRPr="0054726D" w:rsidP="00387016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54726D">
              <w:rPr>
                <w:color w:val="000000"/>
                <w:kern w:val="0"/>
                <w:szCs w:val="21"/>
              </w:rPr>
              <w:t>账面价值占基金资产净值比例</w:t>
            </w:r>
          </w:p>
        </w:tc>
        <w:tc>
          <w:tcPr>
            <w:tcW w:w="788" w:type="dxa"/>
            <w:vAlign w:val="center"/>
          </w:tcPr>
          <w:p w:rsidR="00387016" w:rsidRPr="0054726D" w:rsidP="00387016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54726D">
              <w:rPr>
                <w:color w:val="000000"/>
                <w:kern w:val="0"/>
                <w:szCs w:val="21"/>
              </w:rPr>
              <w:t>锁定期</w:t>
            </w:r>
          </w:p>
        </w:tc>
      </w:tr>
      <w:tr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0" w:type="auto"/>
            <w:vAlign w:val="center"/>
          </w:tcPr>
          <w:p w:rsidR="003E4D3E">
            <w:pPr>
              <w:jc w:val="center"/>
            </w:pPr>
            <w:r>
              <w:rPr>
                <w:szCs w:val="21"/>
              </w:rPr>
              <w:t>易方达新经济灵活配置混合型证券投资基金</w:t>
            </w:r>
          </w:p>
        </w:tc>
        <w:tc>
          <w:tcPr>
            <w:tcW w:w="0" w:type="auto"/>
            <w:vAlign w:val="center"/>
          </w:tcPr>
          <w:p w:rsidR="003E4D3E">
            <w:pPr>
              <w:jc w:val="center"/>
            </w:pPr>
            <w:r>
              <w:rPr>
                <w:szCs w:val="21"/>
              </w:rPr>
              <w:t>441,025</w:t>
            </w:r>
          </w:p>
        </w:tc>
        <w:tc>
          <w:tcPr>
            <w:tcW w:w="0" w:type="auto"/>
            <w:vAlign w:val="center"/>
          </w:tcPr>
          <w:p w:rsidR="003E4D3E">
            <w:pPr>
              <w:jc w:val="center"/>
            </w:pPr>
            <w:r>
              <w:rPr>
                <w:szCs w:val="21"/>
              </w:rPr>
              <w:t>4,299,993.75</w:t>
            </w:r>
          </w:p>
        </w:tc>
        <w:tc>
          <w:tcPr>
            <w:tcW w:w="0" w:type="auto"/>
            <w:vAlign w:val="center"/>
          </w:tcPr>
          <w:p w:rsidR="003E4D3E">
            <w:pPr>
              <w:jc w:val="center"/>
            </w:pPr>
            <w:r>
              <w:rPr>
                <w:szCs w:val="21"/>
              </w:rPr>
              <w:t>0.10%</w:t>
            </w:r>
          </w:p>
        </w:tc>
        <w:tc>
          <w:tcPr>
            <w:tcW w:w="0" w:type="auto"/>
            <w:vAlign w:val="center"/>
          </w:tcPr>
          <w:p w:rsidR="003E4D3E">
            <w:pPr>
              <w:jc w:val="center"/>
            </w:pPr>
            <w:r>
              <w:rPr>
                <w:szCs w:val="21"/>
              </w:rPr>
              <w:t>4,132,404.25</w:t>
            </w:r>
          </w:p>
        </w:tc>
        <w:tc>
          <w:tcPr>
            <w:tcW w:w="0" w:type="auto"/>
            <w:vAlign w:val="center"/>
          </w:tcPr>
          <w:p w:rsidR="003E4D3E">
            <w:pPr>
              <w:jc w:val="center"/>
            </w:pPr>
            <w:r>
              <w:rPr>
                <w:szCs w:val="21"/>
              </w:rPr>
              <w:t>0.10%</w:t>
            </w:r>
          </w:p>
        </w:tc>
        <w:tc>
          <w:tcPr>
            <w:tcW w:w="0" w:type="auto"/>
            <w:vAlign w:val="center"/>
          </w:tcPr>
          <w:p w:rsidR="003E4D3E">
            <w:pPr>
              <w:jc w:val="center"/>
            </w:pPr>
            <w:r>
              <w:rPr>
                <w:szCs w:val="21"/>
              </w:rPr>
              <w:t>6</w:t>
            </w:r>
            <w:r>
              <w:rPr>
                <w:szCs w:val="21"/>
              </w:rPr>
              <w:t>个月</w:t>
            </w:r>
          </w:p>
        </w:tc>
      </w:tr>
      <w:tr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0" w:type="auto"/>
            <w:vAlign w:val="center"/>
          </w:tcPr>
          <w:p w:rsidR="003E4D3E">
            <w:pPr>
              <w:jc w:val="center"/>
            </w:pPr>
            <w:r>
              <w:rPr>
                <w:szCs w:val="21"/>
              </w:rPr>
              <w:t>易方达裕祥回报债券型证券投资基金</w:t>
            </w:r>
          </w:p>
        </w:tc>
        <w:tc>
          <w:tcPr>
            <w:tcW w:w="0" w:type="auto"/>
            <w:vAlign w:val="center"/>
          </w:tcPr>
          <w:p w:rsidR="003E4D3E">
            <w:pPr>
              <w:jc w:val="center"/>
            </w:pPr>
            <w:r>
              <w:rPr>
                <w:szCs w:val="21"/>
              </w:rPr>
              <w:t>1,230,769</w:t>
            </w:r>
          </w:p>
        </w:tc>
        <w:tc>
          <w:tcPr>
            <w:tcW w:w="0" w:type="auto"/>
            <w:vAlign w:val="center"/>
          </w:tcPr>
          <w:p w:rsidR="003E4D3E">
            <w:pPr>
              <w:jc w:val="center"/>
            </w:pPr>
            <w:r>
              <w:rPr>
                <w:szCs w:val="21"/>
              </w:rPr>
              <w:t>11,999,997.75</w:t>
            </w:r>
          </w:p>
        </w:tc>
        <w:tc>
          <w:tcPr>
            <w:tcW w:w="0" w:type="auto"/>
            <w:vAlign w:val="center"/>
          </w:tcPr>
          <w:p w:rsidR="003E4D3E">
            <w:pPr>
              <w:jc w:val="center"/>
            </w:pPr>
            <w:r>
              <w:rPr>
                <w:szCs w:val="21"/>
              </w:rPr>
              <w:t>0.04%</w:t>
            </w:r>
          </w:p>
        </w:tc>
        <w:tc>
          <w:tcPr>
            <w:tcW w:w="0" w:type="auto"/>
            <w:vAlign w:val="center"/>
          </w:tcPr>
          <w:p w:rsidR="003E4D3E">
            <w:pPr>
              <w:jc w:val="center"/>
            </w:pPr>
            <w:r>
              <w:rPr>
                <w:szCs w:val="21"/>
              </w:rPr>
              <w:t>11,532,305.53</w:t>
            </w:r>
          </w:p>
        </w:tc>
        <w:tc>
          <w:tcPr>
            <w:tcW w:w="0" w:type="auto"/>
            <w:vAlign w:val="center"/>
          </w:tcPr>
          <w:p w:rsidR="003E4D3E">
            <w:pPr>
              <w:jc w:val="center"/>
            </w:pPr>
            <w:r>
              <w:rPr>
                <w:szCs w:val="21"/>
              </w:rPr>
              <w:t>0.04%</w:t>
            </w:r>
          </w:p>
        </w:tc>
        <w:tc>
          <w:tcPr>
            <w:tcW w:w="0" w:type="auto"/>
            <w:vAlign w:val="center"/>
          </w:tcPr>
          <w:p w:rsidR="003E4D3E">
            <w:pPr>
              <w:jc w:val="center"/>
            </w:pPr>
            <w:r>
              <w:rPr>
                <w:szCs w:val="21"/>
              </w:rPr>
              <w:t>6</w:t>
            </w:r>
            <w:r>
              <w:rPr>
                <w:szCs w:val="21"/>
              </w:rPr>
              <w:t>个月</w:t>
            </w:r>
          </w:p>
        </w:tc>
      </w:tr>
      <w:tr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0" w:type="auto"/>
            <w:vAlign w:val="center"/>
          </w:tcPr>
          <w:p w:rsidR="003E4D3E">
            <w:pPr>
              <w:jc w:val="center"/>
            </w:pPr>
            <w:r>
              <w:rPr>
                <w:szCs w:val="21"/>
              </w:rPr>
              <w:t>易方达均衡成长股票型证券投资基金</w:t>
            </w:r>
          </w:p>
        </w:tc>
        <w:tc>
          <w:tcPr>
            <w:tcW w:w="0" w:type="auto"/>
            <w:vAlign w:val="center"/>
          </w:tcPr>
          <w:p w:rsidR="003E4D3E">
            <w:pPr>
              <w:jc w:val="center"/>
            </w:pPr>
            <w:r>
              <w:rPr>
                <w:szCs w:val="21"/>
              </w:rPr>
              <w:t>430,769</w:t>
            </w:r>
          </w:p>
        </w:tc>
        <w:tc>
          <w:tcPr>
            <w:tcW w:w="0" w:type="auto"/>
            <w:vAlign w:val="center"/>
          </w:tcPr>
          <w:p w:rsidR="003E4D3E">
            <w:pPr>
              <w:jc w:val="center"/>
            </w:pPr>
            <w:r>
              <w:rPr>
                <w:szCs w:val="21"/>
              </w:rPr>
              <w:t>4,199,997.75</w:t>
            </w:r>
          </w:p>
        </w:tc>
        <w:tc>
          <w:tcPr>
            <w:tcW w:w="0" w:type="auto"/>
            <w:vAlign w:val="center"/>
          </w:tcPr>
          <w:p w:rsidR="003E4D3E">
            <w:pPr>
              <w:jc w:val="center"/>
            </w:pPr>
            <w:r>
              <w:rPr>
                <w:szCs w:val="21"/>
              </w:rPr>
              <w:t>0.10%</w:t>
            </w:r>
          </w:p>
        </w:tc>
        <w:tc>
          <w:tcPr>
            <w:tcW w:w="0" w:type="auto"/>
            <w:vAlign w:val="center"/>
          </w:tcPr>
          <w:p w:rsidR="003E4D3E">
            <w:pPr>
              <w:jc w:val="center"/>
            </w:pPr>
            <w:r>
              <w:rPr>
                <w:szCs w:val="21"/>
              </w:rPr>
              <w:t>4,036,305.53</w:t>
            </w:r>
          </w:p>
        </w:tc>
        <w:tc>
          <w:tcPr>
            <w:tcW w:w="0" w:type="auto"/>
            <w:vAlign w:val="center"/>
          </w:tcPr>
          <w:p w:rsidR="003E4D3E">
            <w:pPr>
              <w:jc w:val="center"/>
            </w:pPr>
            <w:r>
              <w:rPr>
                <w:szCs w:val="21"/>
              </w:rPr>
              <w:t>0.10%</w:t>
            </w:r>
          </w:p>
        </w:tc>
        <w:tc>
          <w:tcPr>
            <w:tcW w:w="0" w:type="auto"/>
            <w:vAlign w:val="center"/>
          </w:tcPr>
          <w:p w:rsidR="003E4D3E">
            <w:pPr>
              <w:jc w:val="center"/>
            </w:pPr>
            <w:r>
              <w:rPr>
                <w:szCs w:val="21"/>
              </w:rPr>
              <w:t>6</w:t>
            </w:r>
            <w:r>
              <w:rPr>
                <w:szCs w:val="21"/>
              </w:rPr>
              <w:t>个月</w:t>
            </w:r>
          </w:p>
        </w:tc>
      </w:tr>
      <w:tr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0" w:type="auto"/>
            <w:vAlign w:val="center"/>
          </w:tcPr>
          <w:p w:rsidR="003E4D3E">
            <w:pPr>
              <w:jc w:val="center"/>
            </w:pPr>
            <w:r>
              <w:rPr>
                <w:szCs w:val="21"/>
              </w:rPr>
              <w:t>易方达品质动能三年持有期混合型证券投资基金</w:t>
            </w:r>
          </w:p>
        </w:tc>
        <w:tc>
          <w:tcPr>
            <w:tcW w:w="0" w:type="auto"/>
            <w:vAlign w:val="center"/>
          </w:tcPr>
          <w:p w:rsidR="003E4D3E">
            <w:pPr>
              <w:jc w:val="center"/>
            </w:pPr>
            <w:r>
              <w:rPr>
                <w:szCs w:val="21"/>
              </w:rPr>
              <w:t>1,251,281</w:t>
            </w:r>
          </w:p>
        </w:tc>
        <w:tc>
          <w:tcPr>
            <w:tcW w:w="0" w:type="auto"/>
            <w:vAlign w:val="center"/>
          </w:tcPr>
          <w:p w:rsidR="003E4D3E">
            <w:pPr>
              <w:jc w:val="center"/>
            </w:pPr>
            <w:r>
              <w:rPr>
                <w:szCs w:val="21"/>
              </w:rPr>
              <w:t>12,199,989.75</w:t>
            </w:r>
          </w:p>
        </w:tc>
        <w:tc>
          <w:tcPr>
            <w:tcW w:w="0" w:type="auto"/>
            <w:vAlign w:val="center"/>
          </w:tcPr>
          <w:p w:rsidR="003E4D3E">
            <w:pPr>
              <w:jc w:val="center"/>
            </w:pPr>
            <w:r>
              <w:rPr>
                <w:szCs w:val="21"/>
              </w:rPr>
              <w:t>0.15%</w:t>
            </w:r>
          </w:p>
        </w:tc>
        <w:tc>
          <w:tcPr>
            <w:tcW w:w="0" w:type="auto"/>
            <w:vAlign w:val="center"/>
          </w:tcPr>
          <w:p w:rsidR="003E4D3E">
            <w:pPr>
              <w:jc w:val="center"/>
            </w:pPr>
            <w:r>
              <w:rPr>
                <w:szCs w:val="21"/>
              </w:rPr>
              <w:t>11,724,502.97</w:t>
            </w:r>
          </w:p>
        </w:tc>
        <w:tc>
          <w:tcPr>
            <w:tcW w:w="0" w:type="auto"/>
            <w:vAlign w:val="center"/>
          </w:tcPr>
          <w:p w:rsidR="003E4D3E">
            <w:pPr>
              <w:jc w:val="center"/>
            </w:pPr>
            <w:r>
              <w:rPr>
                <w:szCs w:val="21"/>
              </w:rPr>
              <w:t>0.15%</w:t>
            </w:r>
          </w:p>
        </w:tc>
        <w:tc>
          <w:tcPr>
            <w:tcW w:w="0" w:type="auto"/>
            <w:vAlign w:val="center"/>
          </w:tcPr>
          <w:p w:rsidR="003E4D3E">
            <w:pPr>
              <w:jc w:val="center"/>
            </w:pPr>
            <w:r>
              <w:rPr>
                <w:szCs w:val="21"/>
              </w:rPr>
              <w:t>6</w:t>
            </w:r>
            <w:r>
              <w:rPr>
                <w:szCs w:val="21"/>
              </w:rPr>
              <w:t>个月</w:t>
            </w:r>
          </w:p>
        </w:tc>
      </w:tr>
      <w:tr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0" w:type="auto"/>
            <w:vAlign w:val="center"/>
          </w:tcPr>
          <w:p w:rsidR="003E4D3E">
            <w:pPr>
              <w:jc w:val="center"/>
            </w:pPr>
            <w:r>
              <w:rPr>
                <w:szCs w:val="21"/>
              </w:rPr>
              <w:t>易方达平稳增长证券投资基金</w:t>
            </w:r>
          </w:p>
        </w:tc>
        <w:tc>
          <w:tcPr>
            <w:tcW w:w="0" w:type="auto"/>
            <w:vAlign w:val="center"/>
          </w:tcPr>
          <w:p w:rsidR="003E4D3E">
            <w:pPr>
              <w:jc w:val="center"/>
            </w:pPr>
            <w:r>
              <w:rPr>
                <w:szCs w:val="21"/>
              </w:rPr>
              <w:t>287,179</w:t>
            </w:r>
          </w:p>
        </w:tc>
        <w:tc>
          <w:tcPr>
            <w:tcW w:w="0" w:type="auto"/>
            <w:vAlign w:val="center"/>
          </w:tcPr>
          <w:p w:rsidR="003E4D3E">
            <w:pPr>
              <w:jc w:val="center"/>
            </w:pPr>
            <w:r>
              <w:rPr>
                <w:szCs w:val="21"/>
              </w:rPr>
              <w:t>2,799,995.25</w:t>
            </w:r>
          </w:p>
        </w:tc>
        <w:tc>
          <w:tcPr>
            <w:tcW w:w="0" w:type="auto"/>
            <w:vAlign w:val="center"/>
          </w:tcPr>
          <w:p w:rsidR="003E4D3E">
            <w:pPr>
              <w:jc w:val="center"/>
            </w:pPr>
            <w:r>
              <w:rPr>
                <w:szCs w:val="21"/>
              </w:rPr>
              <w:t>0.10%</w:t>
            </w:r>
          </w:p>
        </w:tc>
        <w:tc>
          <w:tcPr>
            <w:tcW w:w="0" w:type="auto"/>
            <w:vAlign w:val="center"/>
          </w:tcPr>
          <w:p w:rsidR="003E4D3E">
            <w:pPr>
              <w:jc w:val="center"/>
            </w:pPr>
            <w:r>
              <w:rPr>
                <w:szCs w:val="21"/>
              </w:rPr>
              <w:t>2,690,867.23</w:t>
            </w:r>
          </w:p>
        </w:tc>
        <w:tc>
          <w:tcPr>
            <w:tcW w:w="0" w:type="auto"/>
            <w:vAlign w:val="center"/>
          </w:tcPr>
          <w:p w:rsidR="003E4D3E">
            <w:pPr>
              <w:jc w:val="center"/>
            </w:pPr>
            <w:r>
              <w:rPr>
                <w:szCs w:val="21"/>
              </w:rPr>
              <w:t>0.10%</w:t>
            </w:r>
          </w:p>
        </w:tc>
        <w:tc>
          <w:tcPr>
            <w:tcW w:w="0" w:type="auto"/>
            <w:vAlign w:val="center"/>
          </w:tcPr>
          <w:p w:rsidR="003E4D3E">
            <w:pPr>
              <w:jc w:val="center"/>
            </w:pPr>
            <w:r>
              <w:rPr>
                <w:szCs w:val="21"/>
              </w:rPr>
              <w:t>6</w:t>
            </w:r>
            <w:r>
              <w:rPr>
                <w:szCs w:val="21"/>
              </w:rPr>
              <w:t>个月</w:t>
            </w:r>
          </w:p>
        </w:tc>
      </w:tr>
      <w:tr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0" w:type="auto"/>
            <w:vAlign w:val="center"/>
          </w:tcPr>
          <w:p w:rsidR="003E4D3E">
            <w:pPr>
              <w:jc w:val="center"/>
            </w:pPr>
            <w:r>
              <w:rPr>
                <w:szCs w:val="21"/>
              </w:rPr>
              <w:t>易方达科翔混合型证券投资基金</w:t>
            </w:r>
          </w:p>
        </w:tc>
        <w:tc>
          <w:tcPr>
            <w:tcW w:w="0" w:type="auto"/>
            <w:vAlign w:val="center"/>
          </w:tcPr>
          <w:p w:rsidR="003E4D3E">
            <w:pPr>
              <w:jc w:val="center"/>
            </w:pPr>
            <w:r>
              <w:rPr>
                <w:szCs w:val="21"/>
              </w:rPr>
              <w:t>482,052</w:t>
            </w:r>
          </w:p>
        </w:tc>
        <w:tc>
          <w:tcPr>
            <w:tcW w:w="0" w:type="auto"/>
            <w:vAlign w:val="center"/>
          </w:tcPr>
          <w:p w:rsidR="003E4D3E">
            <w:pPr>
              <w:jc w:val="center"/>
            </w:pPr>
            <w:r>
              <w:rPr>
                <w:szCs w:val="21"/>
              </w:rPr>
              <w:t>4,700,007.00</w:t>
            </w:r>
          </w:p>
        </w:tc>
        <w:tc>
          <w:tcPr>
            <w:tcW w:w="0" w:type="auto"/>
            <w:vAlign w:val="center"/>
          </w:tcPr>
          <w:p w:rsidR="003E4D3E">
            <w:pPr>
              <w:jc w:val="center"/>
            </w:pPr>
            <w:r>
              <w:rPr>
                <w:szCs w:val="21"/>
              </w:rPr>
              <w:t>0.10%</w:t>
            </w:r>
          </w:p>
        </w:tc>
        <w:tc>
          <w:tcPr>
            <w:tcW w:w="0" w:type="auto"/>
            <w:vAlign w:val="center"/>
          </w:tcPr>
          <w:p w:rsidR="003E4D3E">
            <w:pPr>
              <w:jc w:val="center"/>
            </w:pPr>
            <w:r>
              <w:rPr>
                <w:szCs w:val="21"/>
              </w:rPr>
              <w:t>4,516,827.24</w:t>
            </w:r>
          </w:p>
        </w:tc>
        <w:tc>
          <w:tcPr>
            <w:tcW w:w="0" w:type="auto"/>
            <w:vAlign w:val="center"/>
          </w:tcPr>
          <w:p w:rsidR="003E4D3E">
            <w:pPr>
              <w:jc w:val="center"/>
            </w:pPr>
            <w:r>
              <w:rPr>
                <w:szCs w:val="21"/>
              </w:rPr>
              <w:t>0.10%</w:t>
            </w:r>
          </w:p>
        </w:tc>
        <w:tc>
          <w:tcPr>
            <w:tcW w:w="0" w:type="auto"/>
            <w:vAlign w:val="center"/>
          </w:tcPr>
          <w:p w:rsidR="003E4D3E">
            <w:pPr>
              <w:jc w:val="center"/>
            </w:pPr>
            <w:r>
              <w:rPr>
                <w:szCs w:val="21"/>
              </w:rPr>
              <w:t>6</w:t>
            </w:r>
            <w:r>
              <w:rPr>
                <w:szCs w:val="21"/>
              </w:rPr>
              <w:t>个月</w:t>
            </w:r>
          </w:p>
        </w:tc>
      </w:tr>
      <w:tr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0" w:type="auto"/>
            <w:vAlign w:val="center"/>
          </w:tcPr>
          <w:p w:rsidR="003E4D3E">
            <w:pPr>
              <w:jc w:val="center"/>
            </w:pPr>
            <w:r>
              <w:rPr>
                <w:szCs w:val="21"/>
              </w:rPr>
              <w:t>易方达医疗保健行业混合型证券投资基金</w:t>
            </w:r>
          </w:p>
        </w:tc>
        <w:tc>
          <w:tcPr>
            <w:tcW w:w="0" w:type="auto"/>
            <w:vAlign w:val="center"/>
          </w:tcPr>
          <w:p w:rsidR="003E4D3E">
            <w:pPr>
              <w:jc w:val="center"/>
            </w:pPr>
            <w:r>
              <w:rPr>
                <w:szCs w:val="21"/>
              </w:rPr>
              <w:t>3,076,922</w:t>
            </w:r>
          </w:p>
        </w:tc>
        <w:tc>
          <w:tcPr>
            <w:tcW w:w="0" w:type="auto"/>
            <w:vAlign w:val="center"/>
          </w:tcPr>
          <w:p w:rsidR="003E4D3E">
            <w:pPr>
              <w:jc w:val="center"/>
            </w:pPr>
            <w:r>
              <w:rPr>
                <w:szCs w:val="21"/>
              </w:rPr>
              <w:t>29,999,989.50</w:t>
            </w:r>
          </w:p>
        </w:tc>
        <w:tc>
          <w:tcPr>
            <w:tcW w:w="0" w:type="auto"/>
            <w:vAlign w:val="center"/>
          </w:tcPr>
          <w:p w:rsidR="003E4D3E">
            <w:pPr>
              <w:jc w:val="center"/>
            </w:pPr>
            <w:r>
              <w:rPr>
                <w:szCs w:val="21"/>
              </w:rPr>
              <w:t>0.50%</w:t>
            </w:r>
          </w:p>
        </w:tc>
        <w:tc>
          <w:tcPr>
            <w:tcW w:w="0" w:type="auto"/>
            <w:vAlign w:val="center"/>
          </w:tcPr>
          <w:p w:rsidR="003E4D3E">
            <w:pPr>
              <w:jc w:val="center"/>
            </w:pPr>
            <w:r>
              <w:rPr>
                <w:szCs w:val="21"/>
              </w:rPr>
              <w:t>28,830,759.14</w:t>
            </w:r>
          </w:p>
        </w:tc>
        <w:tc>
          <w:tcPr>
            <w:tcW w:w="0" w:type="auto"/>
            <w:vAlign w:val="center"/>
          </w:tcPr>
          <w:p w:rsidR="003E4D3E">
            <w:pPr>
              <w:jc w:val="center"/>
            </w:pPr>
            <w:r>
              <w:rPr>
                <w:szCs w:val="21"/>
              </w:rPr>
              <w:t>0.48%</w:t>
            </w:r>
          </w:p>
        </w:tc>
        <w:tc>
          <w:tcPr>
            <w:tcW w:w="0" w:type="auto"/>
            <w:vAlign w:val="center"/>
          </w:tcPr>
          <w:p w:rsidR="003E4D3E">
            <w:pPr>
              <w:jc w:val="center"/>
            </w:pPr>
            <w:r>
              <w:rPr>
                <w:szCs w:val="21"/>
              </w:rPr>
              <w:t>6</w:t>
            </w:r>
            <w:r>
              <w:rPr>
                <w:szCs w:val="21"/>
              </w:rPr>
              <w:t>个月</w:t>
            </w:r>
          </w:p>
        </w:tc>
      </w:tr>
      <w:tr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0" w:type="auto"/>
            <w:vAlign w:val="center"/>
          </w:tcPr>
          <w:p w:rsidR="003E4D3E">
            <w:pPr>
              <w:jc w:val="center"/>
            </w:pPr>
            <w:r>
              <w:rPr>
                <w:szCs w:val="21"/>
              </w:rPr>
              <w:t>易方达创新未来混合型证券投资基金（</w:t>
            </w:r>
            <w:r>
              <w:rPr>
                <w:szCs w:val="21"/>
              </w:rPr>
              <w:t>LOF</w:t>
            </w:r>
            <w:r>
              <w:rPr>
                <w:szCs w:val="21"/>
              </w:rPr>
              <w:t>）</w:t>
            </w:r>
          </w:p>
        </w:tc>
        <w:tc>
          <w:tcPr>
            <w:tcW w:w="0" w:type="auto"/>
            <w:vAlign w:val="center"/>
          </w:tcPr>
          <w:p w:rsidR="003E4D3E">
            <w:pPr>
              <w:jc w:val="center"/>
            </w:pPr>
            <w:r>
              <w:rPr>
                <w:szCs w:val="21"/>
              </w:rPr>
              <w:t>338,461</w:t>
            </w:r>
          </w:p>
        </w:tc>
        <w:tc>
          <w:tcPr>
            <w:tcW w:w="0" w:type="auto"/>
            <w:vAlign w:val="center"/>
          </w:tcPr>
          <w:p w:rsidR="003E4D3E">
            <w:pPr>
              <w:jc w:val="center"/>
            </w:pPr>
            <w:r>
              <w:rPr>
                <w:szCs w:val="21"/>
              </w:rPr>
              <w:t>3,299,994.75</w:t>
            </w:r>
          </w:p>
        </w:tc>
        <w:tc>
          <w:tcPr>
            <w:tcW w:w="0" w:type="auto"/>
            <w:vAlign w:val="center"/>
          </w:tcPr>
          <w:p w:rsidR="003E4D3E">
            <w:pPr>
              <w:jc w:val="center"/>
            </w:pPr>
            <w:r>
              <w:rPr>
                <w:szCs w:val="21"/>
              </w:rPr>
              <w:t>0.11%</w:t>
            </w:r>
          </w:p>
        </w:tc>
        <w:tc>
          <w:tcPr>
            <w:tcW w:w="0" w:type="auto"/>
            <w:vAlign w:val="center"/>
          </w:tcPr>
          <w:p w:rsidR="003E4D3E">
            <w:pPr>
              <w:jc w:val="center"/>
            </w:pPr>
            <w:r>
              <w:rPr>
                <w:szCs w:val="21"/>
              </w:rPr>
              <w:t>3,171,379.57</w:t>
            </w:r>
          </w:p>
        </w:tc>
        <w:tc>
          <w:tcPr>
            <w:tcW w:w="0" w:type="auto"/>
            <w:vAlign w:val="center"/>
          </w:tcPr>
          <w:p w:rsidR="003E4D3E">
            <w:pPr>
              <w:jc w:val="center"/>
            </w:pPr>
            <w:r>
              <w:rPr>
                <w:szCs w:val="21"/>
              </w:rPr>
              <w:t>0.10%</w:t>
            </w:r>
          </w:p>
        </w:tc>
        <w:tc>
          <w:tcPr>
            <w:tcW w:w="0" w:type="auto"/>
            <w:vAlign w:val="center"/>
          </w:tcPr>
          <w:p w:rsidR="003E4D3E">
            <w:pPr>
              <w:jc w:val="center"/>
            </w:pPr>
            <w:r>
              <w:rPr>
                <w:szCs w:val="21"/>
              </w:rPr>
              <w:t>6</w:t>
            </w:r>
            <w:r>
              <w:rPr>
                <w:szCs w:val="21"/>
              </w:rPr>
              <w:t>个月</w:t>
            </w:r>
          </w:p>
        </w:tc>
      </w:tr>
    </w:tbl>
    <w:p w:rsidR="00387016" w:rsidRPr="00472218" w:rsidP="006905CB">
      <w:pPr>
        <w:spacing w:line="360" w:lineRule="auto"/>
        <w:rPr>
          <w:kern w:val="0"/>
          <w:sz w:val="24"/>
        </w:rPr>
      </w:pPr>
    </w:p>
    <w:p w:rsidR="006905CB" w:rsidRPr="00472218" w:rsidP="006905CB">
      <w:pPr>
        <w:spacing w:line="360" w:lineRule="auto"/>
        <w:rPr>
          <w:kern w:val="0"/>
          <w:sz w:val="24"/>
        </w:rPr>
      </w:pPr>
      <w:r w:rsidRPr="00472218">
        <w:rPr>
          <w:kern w:val="0"/>
          <w:sz w:val="24"/>
        </w:rPr>
        <w:t>注：基金资产净值、账面价值为</w:t>
      </w:r>
      <w:r w:rsidRPr="00472218" w:rsidR="00F20762">
        <w:rPr>
          <w:kern w:val="0"/>
          <w:sz w:val="24"/>
        </w:rPr>
        <w:t>2024</w:t>
      </w:r>
      <w:r w:rsidRPr="00472218" w:rsidR="00F20762">
        <w:rPr>
          <w:kern w:val="0"/>
          <w:sz w:val="24"/>
        </w:rPr>
        <w:t>年</w:t>
      </w:r>
      <w:r w:rsidRPr="00472218" w:rsidR="00F20762">
        <w:rPr>
          <w:kern w:val="0"/>
          <w:sz w:val="24"/>
        </w:rPr>
        <w:t>6</w:t>
      </w:r>
      <w:r w:rsidRPr="00472218" w:rsidR="00F20762">
        <w:rPr>
          <w:kern w:val="0"/>
          <w:sz w:val="24"/>
        </w:rPr>
        <w:t>月</w:t>
      </w:r>
      <w:r w:rsidRPr="00472218" w:rsidR="00F20762">
        <w:rPr>
          <w:kern w:val="0"/>
          <w:sz w:val="24"/>
        </w:rPr>
        <w:t>7</w:t>
      </w:r>
      <w:r w:rsidRPr="00472218" w:rsidR="00F20762">
        <w:rPr>
          <w:kern w:val="0"/>
          <w:sz w:val="24"/>
        </w:rPr>
        <w:t>日</w:t>
      </w:r>
      <w:r w:rsidRPr="00472218">
        <w:rPr>
          <w:kern w:val="0"/>
          <w:sz w:val="24"/>
        </w:rPr>
        <w:t>数据。</w:t>
      </w:r>
    </w:p>
    <w:p w:rsidR="006905CB" w:rsidRPr="00472218" w:rsidP="00E94FC4">
      <w:pPr>
        <w:spacing w:line="360" w:lineRule="auto"/>
        <w:ind w:firstLine="480" w:firstLineChars="200"/>
        <w:rPr>
          <w:kern w:val="0"/>
          <w:sz w:val="24"/>
        </w:rPr>
      </w:pPr>
      <w:r w:rsidRPr="00472218">
        <w:rPr>
          <w:kern w:val="0"/>
          <w:sz w:val="24"/>
        </w:rPr>
        <w:t>特此公告</w:t>
      </w:r>
      <w:r w:rsidRPr="00472218" w:rsidR="003F4B29">
        <w:rPr>
          <w:kern w:val="0"/>
          <w:sz w:val="24"/>
        </w:rPr>
        <w:t>。</w:t>
      </w:r>
    </w:p>
    <w:p w:rsidR="006905CB" w:rsidRPr="00472218" w:rsidP="006905CB">
      <w:pPr>
        <w:spacing w:line="360" w:lineRule="auto"/>
        <w:jc w:val="right"/>
        <w:rPr>
          <w:kern w:val="0"/>
          <w:sz w:val="24"/>
        </w:rPr>
      </w:pPr>
      <w:r w:rsidRPr="00472218">
        <w:rPr>
          <w:kern w:val="0"/>
          <w:sz w:val="24"/>
        </w:rPr>
        <w:t>易方达基金管理有限公司</w:t>
      </w:r>
    </w:p>
    <w:p w:rsidR="008068CA" w:rsidRPr="00472218" w:rsidP="006905CB">
      <w:pPr>
        <w:spacing w:line="360" w:lineRule="auto"/>
        <w:jc w:val="right"/>
        <w:rPr>
          <w:kern w:val="0"/>
          <w:sz w:val="24"/>
        </w:rPr>
      </w:pPr>
      <w:r w:rsidRPr="00472218">
        <w:rPr>
          <w:kern w:val="0"/>
          <w:sz w:val="24"/>
        </w:rPr>
        <w:t>2024</w:t>
      </w:r>
      <w:r w:rsidRPr="00472218">
        <w:rPr>
          <w:kern w:val="0"/>
          <w:sz w:val="24"/>
        </w:rPr>
        <w:t>年</w:t>
      </w:r>
      <w:r w:rsidRPr="00472218">
        <w:rPr>
          <w:kern w:val="0"/>
          <w:sz w:val="24"/>
        </w:rPr>
        <w:t>6</w:t>
      </w:r>
      <w:r w:rsidRPr="00472218">
        <w:rPr>
          <w:kern w:val="0"/>
          <w:sz w:val="24"/>
        </w:rPr>
        <w:t>月</w:t>
      </w:r>
      <w:r w:rsidRPr="00472218">
        <w:rPr>
          <w:kern w:val="0"/>
          <w:sz w:val="24"/>
        </w:rPr>
        <w:t>8</w:t>
      </w:r>
      <w:r w:rsidRPr="00472218">
        <w:rPr>
          <w:kern w:val="0"/>
          <w:sz w:val="24"/>
        </w:rPr>
        <w:t>日</w:t>
      </w:r>
      <w:bookmarkStart w:id="0" w:name="_GoBack"/>
      <w:bookmarkEnd w:id="0"/>
    </w:p>
    <w:sectPr w:rsidSect="006E31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0E2"/>
    <w:rsid w:val="000068AC"/>
    <w:rsid w:val="00056A9D"/>
    <w:rsid w:val="00067C88"/>
    <w:rsid w:val="0007578E"/>
    <w:rsid w:val="00084730"/>
    <w:rsid w:val="00091454"/>
    <w:rsid w:val="00091C26"/>
    <w:rsid w:val="000D409F"/>
    <w:rsid w:val="000F4885"/>
    <w:rsid w:val="001104F8"/>
    <w:rsid w:val="0013172F"/>
    <w:rsid w:val="00182DBA"/>
    <w:rsid w:val="00185879"/>
    <w:rsid w:val="00196752"/>
    <w:rsid w:val="001B1DBB"/>
    <w:rsid w:val="001C374B"/>
    <w:rsid w:val="001C412F"/>
    <w:rsid w:val="001E1CD2"/>
    <w:rsid w:val="00225369"/>
    <w:rsid w:val="00277148"/>
    <w:rsid w:val="00294F51"/>
    <w:rsid w:val="00296B13"/>
    <w:rsid w:val="00301B9A"/>
    <w:rsid w:val="00303C8C"/>
    <w:rsid w:val="0033061C"/>
    <w:rsid w:val="00340B3A"/>
    <w:rsid w:val="003535FC"/>
    <w:rsid w:val="00377AFD"/>
    <w:rsid w:val="00387016"/>
    <w:rsid w:val="003B10DF"/>
    <w:rsid w:val="003B1232"/>
    <w:rsid w:val="003C1E98"/>
    <w:rsid w:val="003E178A"/>
    <w:rsid w:val="003E4D3E"/>
    <w:rsid w:val="003F4B29"/>
    <w:rsid w:val="00426619"/>
    <w:rsid w:val="00437EFE"/>
    <w:rsid w:val="004536F8"/>
    <w:rsid w:val="00457BBE"/>
    <w:rsid w:val="0046432B"/>
    <w:rsid w:val="00465A81"/>
    <w:rsid w:val="00472218"/>
    <w:rsid w:val="0047707C"/>
    <w:rsid w:val="004864EF"/>
    <w:rsid w:val="00491539"/>
    <w:rsid w:val="004A37D9"/>
    <w:rsid w:val="004A6FD4"/>
    <w:rsid w:val="004A748B"/>
    <w:rsid w:val="004E00DA"/>
    <w:rsid w:val="005104D0"/>
    <w:rsid w:val="00514C2A"/>
    <w:rsid w:val="005173AF"/>
    <w:rsid w:val="0054079D"/>
    <w:rsid w:val="005410D0"/>
    <w:rsid w:val="00545916"/>
    <w:rsid w:val="0054726D"/>
    <w:rsid w:val="00557020"/>
    <w:rsid w:val="0056424C"/>
    <w:rsid w:val="00565313"/>
    <w:rsid w:val="00575028"/>
    <w:rsid w:val="00594EC0"/>
    <w:rsid w:val="00597646"/>
    <w:rsid w:val="005B7759"/>
    <w:rsid w:val="005D6EFF"/>
    <w:rsid w:val="005F5B86"/>
    <w:rsid w:val="006162D1"/>
    <w:rsid w:val="0066427C"/>
    <w:rsid w:val="0067264D"/>
    <w:rsid w:val="006742D8"/>
    <w:rsid w:val="006904DC"/>
    <w:rsid w:val="006905CB"/>
    <w:rsid w:val="00694AB9"/>
    <w:rsid w:val="006A6F40"/>
    <w:rsid w:val="006B20BE"/>
    <w:rsid w:val="006B73C3"/>
    <w:rsid w:val="006E31C5"/>
    <w:rsid w:val="006E3C8F"/>
    <w:rsid w:val="00701BA4"/>
    <w:rsid w:val="00713551"/>
    <w:rsid w:val="00740340"/>
    <w:rsid w:val="00767737"/>
    <w:rsid w:val="007A0408"/>
    <w:rsid w:val="007C2F1F"/>
    <w:rsid w:val="008068CA"/>
    <w:rsid w:val="00824F39"/>
    <w:rsid w:val="008700B0"/>
    <w:rsid w:val="00875A99"/>
    <w:rsid w:val="00881EB9"/>
    <w:rsid w:val="0088426E"/>
    <w:rsid w:val="008905B4"/>
    <w:rsid w:val="008E3175"/>
    <w:rsid w:val="00943EEF"/>
    <w:rsid w:val="00945A25"/>
    <w:rsid w:val="00953744"/>
    <w:rsid w:val="009744BE"/>
    <w:rsid w:val="00990035"/>
    <w:rsid w:val="009A0A35"/>
    <w:rsid w:val="009A4875"/>
    <w:rsid w:val="009B4906"/>
    <w:rsid w:val="009C0D0E"/>
    <w:rsid w:val="009F70AA"/>
    <w:rsid w:val="009F7B3D"/>
    <w:rsid w:val="00A023DA"/>
    <w:rsid w:val="00A76FCB"/>
    <w:rsid w:val="00A9101C"/>
    <w:rsid w:val="00AD2F78"/>
    <w:rsid w:val="00AE5C3D"/>
    <w:rsid w:val="00B06905"/>
    <w:rsid w:val="00B27AC1"/>
    <w:rsid w:val="00B37206"/>
    <w:rsid w:val="00B57F57"/>
    <w:rsid w:val="00B64A1E"/>
    <w:rsid w:val="00B67FB7"/>
    <w:rsid w:val="00BA15AC"/>
    <w:rsid w:val="00BA3220"/>
    <w:rsid w:val="00BA3E0A"/>
    <w:rsid w:val="00BB54B0"/>
    <w:rsid w:val="00BC5A9F"/>
    <w:rsid w:val="00BC5B73"/>
    <w:rsid w:val="00BD22BB"/>
    <w:rsid w:val="00BD58A6"/>
    <w:rsid w:val="00BD7CE6"/>
    <w:rsid w:val="00BE0613"/>
    <w:rsid w:val="00BE6C39"/>
    <w:rsid w:val="00BE7D30"/>
    <w:rsid w:val="00BF7639"/>
    <w:rsid w:val="00C010A4"/>
    <w:rsid w:val="00C16B5A"/>
    <w:rsid w:val="00C16E41"/>
    <w:rsid w:val="00C16E87"/>
    <w:rsid w:val="00C342E5"/>
    <w:rsid w:val="00C51485"/>
    <w:rsid w:val="00C53F2C"/>
    <w:rsid w:val="00C57775"/>
    <w:rsid w:val="00C73256"/>
    <w:rsid w:val="00C74CAB"/>
    <w:rsid w:val="00C76D21"/>
    <w:rsid w:val="00CA7C64"/>
    <w:rsid w:val="00D66832"/>
    <w:rsid w:val="00D753C1"/>
    <w:rsid w:val="00D82CEE"/>
    <w:rsid w:val="00D86EEB"/>
    <w:rsid w:val="00D87EB7"/>
    <w:rsid w:val="00D9314C"/>
    <w:rsid w:val="00DA0710"/>
    <w:rsid w:val="00DB4A42"/>
    <w:rsid w:val="00DD04AC"/>
    <w:rsid w:val="00DE18A7"/>
    <w:rsid w:val="00E04841"/>
    <w:rsid w:val="00E0716B"/>
    <w:rsid w:val="00E11A5D"/>
    <w:rsid w:val="00E2716D"/>
    <w:rsid w:val="00E37F29"/>
    <w:rsid w:val="00E41585"/>
    <w:rsid w:val="00E46D9A"/>
    <w:rsid w:val="00E62CE3"/>
    <w:rsid w:val="00E72B6A"/>
    <w:rsid w:val="00E80951"/>
    <w:rsid w:val="00E94FC4"/>
    <w:rsid w:val="00EA10E2"/>
    <w:rsid w:val="00EB2D11"/>
    <w:rsid w:val="00EB5883"/>
    <w:rsid w:val="00EC223E"/>
    <w:rsid w:val="00EE4CF2"/>
    <w:rsid w:val="00EF34D7"/>
    <w:rsid w:val="00F11F77"/>
    <w:rsid w:val="00F20762"/>
    <w:rsid w:val="00F22B55"/>
    <w:rsid w:val="00F54A05"/>
    <w:rsid w:val="00F72C67"/>
    <w:rsid w:val="00FA2042"/>
    <w:rsid w:val="00FC2449"/>
    <w:rsid w:val="00FC7DF3"/>
    <w:rsid w:val="00FF2B45"/>
    <w:rsid w:val="00FF37E9"/>
    <w:rsid w:val="00FF402D"/>
  </w:rsid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BE68D179-4839-46CF-9EDD-D7D8D7782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14">
    <w:name w:val="font14"/>
    <w:basedOn w:val="Normal"/>
    <w:rsid w:val="00EA10E2"/>
    <w:pPr>
      <w:widowControl/>
      <w:spacing w:before="100" w:beforeAutospacing="1" w:after="100" w:afterAutospacing="1" w:line="360" w:lineRule="auto"/>
      <w:jc w:val="left"/>
    </w:pPr>
    <w:rPr>
      <w:rFonts w:ascii="宋体" w:hAnsi="宋体" w:cs="宋体"/>
      <w:kern w:val="0"/>
      <w:szCs w:val="21"/>
    </w:rPr>
  </w:style>
  <w:style w:type="character" w:styleId="Strong">
    <w:name w:val="Strong"/>
    <w:qFormat/>
    <w:rsid w:val="00EA10E2"/>
    <w:rPr>
      <w:b/>
      <w:bCs/>
    </w:rPr>
  </w:style>
  <w:style w:type="character" w:styleId="HTMLTypewriter">
    <w:name w:val="HTML Typewriter"/>
    <w:rsid w:val="00EA10E2"/>
    <w:rPr>
      <w:rFonts w:ascii="宋体" w:eastAsia="宋体" w:hAnsi="宋体" w:cs="宋体"/>
      <w:sz w:val="24"/>
      <w:szCs w:val="24"/>
    </w:rPr>
  </w:style>
  <w:style w:type="paragraph" w:styleId="BalloonText">
    <w:name w:val="Balloon Text"/>
    <w:basedOn w:val="Normal"/>
    <w:semiHidden/>
    <w:rsid w:val="00EA10E2"/>
    <w:rPr>
      <w:sz w:val="18"/>
      <w:szCs w:val="18"/>
    </w:rPr>
  </w:style>
  <w:style w:type="paragraph" w:styleId="Header">
    <w:name w:val="header"/>
    <w:basedOn w:val="Normal"/>
    <w:link w:val="Char"/>
    <w:rsid w:val="004A6F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Header"/>
    <w:rsid w:val="004A6FD4"/>
    <w:rPr>
      <w:kern w:val="2"/>
      <w:sz w:val="18"/>
      <w:szCs w:val="18"/>
    </w:rPr>
  </w:style>
  <w:style w:type="paragraph" w:styleId="Footer">
    <w:name w:val="footer"/>
    <w:basedOn w:val="Normal"/>
    <w:link w:val="Char0"/>
    <w:rsid w:val="004A6F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Footer"/>
    <w:rsid w:val="004A6FD4"/>
    <w:rPr>
      <w:kern w:val="2"/>
      <w:sz w:val="18"/>
      <w:szCs w:val="18"/>
    </w:rPr>
  </w:style>
  <w:style w:type="paragraph" w:styleId="Date">
    <w:name w:val="Date"/>
    <w:basedOn w:val="Normal"/>
    <w:next w:val="Normal"/>
    <w:link w:val="Char1"/>
    <w:rsid w:val="008068CA"/>
    <w:pPr>
      <w:ind w:left="100" w:leftChars="2500"/>
    </w:pPr>
  </w:style>
  <w:style w:type="character" w:customStyle="1" w:styleId="Char1">
    <w:name w:val="日期 Char"/>
    <w:link w:val="Date"/>
    <w:rsid w:val="008068CA"/>
    <w:rPr>
      <w:kern w:val="2"/>
      <w:sz w:val="21"/>
      <w:szCs w:val="24"/>
    </w:rPr>
  </w:style>
  <w:style w:type="table" w:styleId="TableGrid">
    <w:name w:val="Table Grid"/>
    <w:basedOn w:val="TableNormal"/>
    <w:rsid w:val="003870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E2CB90-E7DA-42D4-B47D-20267991F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