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汇添富上证50基本面增强指数型证券投资基金D类份额更新基金产品资料概要(2024年06月11日更新)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2024年06月07日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2024年06月11日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汇添富上证50基本面增强指数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012157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汇添富上证50基本面增强指数D</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019546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2022年01月12日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邵蕴奇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2017年07月10日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自2023年9月22日起，本基金增设D类基金份额。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本基金为股票型指数增强基金，在对标的指数进行有效跟踪的被动投资基础上，通过基本面选股方法进行积极的组合管理和风险控制，力求实现超越标的指数的业绩表现。</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本基金的标的指数为上证50指数。</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主板、中小板、创业板及其他中国证监会允许上市的股票）、港股通标的股票、存托凭证、债券（包括国债、金融债券、企业债券、公司债券、次级债券、政府机构债券、地方政府债券、可交换债券、可转换债券（含分离交易可转债）、央行票据、中期票据、短期融资券（含超短期融资券）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的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及存托凭证占基金资产的比例不低于80%，其中投资于标的指数成份股和备选成份股的资产占非现金基金资产的比例不低于80%，投资于港股通标的股票的比例不超过股票资产的20%。每个交易日日终在扣除股指期货、国债期货和股票期权合约需缴纳的交易保证金后，基金保留的现金或投资于到期日在一年以内的政府债券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指数增强型投资策略，以上证50指数作为基金投资组合的标的指数，立足于深入的基本面分析，精选高质量证券组合，力争控制本基金净值增长率与业绩比较基准之间的日均跟踪偏离度的绝对值不超过0.5%，年跟踪误差不超过7.75%，以实现高于标的指数的投资收益和基金资产的长期增值。</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股票投资策略为本基金的核心策略。本基金股票投资以个股精选策略为主。在本基金的投资过程中，将控制股票投资组合与标的指数的结构性偏离，以期在长期实现持续超越标的指数收益率的投资目标。本基金的投资策略还包括：资产配置策略、债券投资策略、资产支持证券投资策略、可转债及可交换债投资策略、股指期货投资策略、股票期权投资策略、融资及转融通证券出借业务投资策略、国债期货投资策略。</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本基金运作过程中，当标的指数成份股发生明显负面事件面临退市，且指数编制机构暂未作出调整的，基金管理人应当按照基金份额持有人利益优先的原则，履行内部决策程序后及时对相关成份股进行调整。</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上证50指数收益率*95%+活期存款利率（税后）*5%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本基金为股票型指数增强基金，其预期风险和预期收益高于货币市场基金、债券型基金、混合型基金。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本基金D类基金份额不收取申购费用。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《基金合同》生效后与基金相关的律师费/仲裁费/诉讼费、基金份额持有人大会费用、证券/期货等交易费用、银行汇划费用、基金的开户费用、账户维护费用、因投资港股通标的股票而产生的各项合理费用等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宋体"/>
          <w:bCs/>
          <w:iCs/>
          <w:color w:val="000000"/>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1.93%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宋体"/>
          <w:iCs/>
          <w:color w:val="000000"/>
          <w:szCs w:val="21"/>
        </w:rPr>
        <w:sectPr w:rsidSect="00580B2D">
          <w:type w:val="continuous"/>
          <w:pgSz w:w="12240" w:h="15840"/>
          <w:pgMar w:top="1440" w:right="1800" w:bottom="1440" w:left="1800" w:header="720" w:footer="720" w:gutter="0"/>
          <w:cols w:space="720"/>
        </w:sectPr>
      </w:pPr>
      <w:r w:rsidRPr="004118E0">
        <w:rPr>
          <w:rFonts w:ascii="宋体" w:eastAsia="宋体" w:hAnsi="宋体" w:cs="宋体"/>
          <w:iCs/>
          <w:color w:val="000000"/>
          <w:szCs w:val="21"/>
        </w:rPr>
        <w:t>注：基金运作综合费率（年化）测算日期为2024年06月07日。基金管理费率、托管费率、销售服务费率（若有）为基金现行费率，其他运作费用以最近一次基金年报披露的相关数据为基准测算。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定风险、基金法律文件风险收益特征表述与销售机构基金风险评价可能不一致的风险、操作或技术风险、法律风险、启用侧袋机制的风险及其他风险。其中特定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基金投资组合收益率与标的指数收益率偏离的风险及跟踪误差未达约定目标的风险；（2）基金投资组合收益率与股票市场平均收益率偏离的风险；（3）标的指数变更的风险以及指数编制机构停止服务的风险；（4）成份股停牌的风险；（5）股指期货投资风险；（6）股票期权投资风险；（7）国债期货投资风险；（8）参与融资交易风险；（9）投资港股通标的股票的风险；（10）本基金参与转融通证券出借业务的风险；（11）基金投资资产支持证券的风险；（12）存托凭证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以上所述因素可能会给本基金投资带来特殊交易风险。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本次更新因基金经理变更。</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