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中证能源交易型开放式指数证券投资基金更新基金产品资料概要(2024年06月07日更新)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汇添富中证能源ETF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159930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2013年08月23日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深圳证券交易所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董瑾</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2023年04月06日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场内简称：能源ETF</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中小板、创业板及其他经中国证监会核准上市的股票）、存托凭证、债券、货币市场工具、权证、股指期货、资产支持证券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主要投资于标的指数成份股、备选成份股。在建仓完成后，本基金投资于标的指数成份股、备选成份股的资产比例不低于基金资产的90%，权证、股指期货及其他金融工具的投资比例依照法律法规或监管机构的规定执行。</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主要采取完全复制法，即完全按照标的指数的成份股组成及其权重构建基金股票投资组合，并根据标的指数成份股及其权重的变动进行相应调整。但在因特殊情况（如流动性不足）导致无法获得足够数量的股票时，基金管理人将运用其他合理的投资方法构建本基金的实际投资组合，追求尽可能贴近目标指数的表现。在正常市场情况下，本基金日均跟踪偏离度的绝对值不超过0.1%，年化跟踪误差不超过 2%。如因标的指数编制规则调整或其他因素导致跟踪偏离度和跟踪误差超过正常范围的，基金管理人应采取合理措施避免跟踪误差进一步扩大。本基金投资存托凭证在综合考虑预期收益、风险、流动性等因素的基础上，根据审慎原则合理参与存托凭证的投资，以更好地跟踪标的指数，追求跟踪偏离度和跟踪误差的最小化。 </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中证能源指数</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股票型基金,预期风险与预期收益高于混合型基金、债券型基金与货币市场基金。本基金为指数型基金,主要采用完全复制法跟踪标的指数的表现,具有与标的指数、以及标的指数所代表的股票市场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3240806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8862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场外申购费率0.05%。投资者在场内申购基金份额时，申购代理券商可按照不超过申购份额0.5%的标准收取佣金，其中包含证券交易所、注册登记机构等收取的相关费用。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场外赎回费率0.15%。投资者在场内赎回基金份额时，赎回代理券商可按照不超过赎回份额0.5%的标准收取佣金，其中包含证券交易所、注册登记机构等收取的相关费用。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0.03%的年费率计提。本基金指数许可使用费的收取下限为每季度3.5万元，合计年下限为14万元，若计费期间不足一季度的，则根据实际天数按比例计算。当季日均基金资产净值小于或等于人民币5000万元时，则不设指数许可使用费的收取下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交易费用，基金的银行汇划费用，基金上市费及年费，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0.74%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投资于本基金的风险包括：市场风险、管理风险、流动性风险、特定风险、操作或技术风险、合规性风险、其他风险。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其中特定风险包括: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1、指数化投资的风险：ETF 作为股票指数基金，在投资管理中会至少维持90%的股票投资比例，具有对股票市场的系统性风险，不能规避市场下跌的风险和个股风险。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跟踪误差的风险：由于标的指数成份股配股、增发、分红等公司行为；标的指数成份股调整；基金现金资产的拖累；基金的管理费和托管费带来的跟踪误差；指数成份股停牌、摘牌，成份股涨、跌停板等因素带来的偏差；由于缺少衍生金融工具，基金建仓期间无法实现对指数的有效跟踪所带来的偏差等。</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3、标的指数变更的风险以及指数编制机构停止服务的风险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4、成份股停牌的风险 </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5、二级市场折溢价风险：ETF二级市场的价格受供需关系的影响，可能高于或低于基金的份额净值，形成溢价交易或折价交易。</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6、二级市场流动性风险：ETF可在二级市场进行买卖，因此也可能面临因市场交易量不足而造成的流动性问题，带来基金在二级市场的流动性风险。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7、套利风险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8、参考IOPV决策和IOPV计算错误的风险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9、退市风险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10、投资者申购失败的风险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11、投资者赎回失败的风险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12、基金份额赎回对价的变现风险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13、申赎清单标识设置风险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14、第三方机构服务的风险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15、存托凭证投资风险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